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 One)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QUARTERLY REPORT PURSUANT TO SECTION 13 OR 15(d) OF THE SECURITIES EXCHANGE ACT OF 1934</w:t>
            </w:r>
          </w:p>
        </w:tc>
      </w:tr>
    </w:tbl>
    <w:p>
      <w:pPr>
        <w:pStyle w:val="TextBody"/>
        <w:bidi w:val="0"/>
        <w:spacing w:before="0" w:after="0"/>
        <w:jc w:val="left"/>
        <w:rPr>
          <w:color w:val="000000"/>
        </w:rPr>
      </w:pPr>
      <w:r>
        <w:rPr>
          <w:color w:val="000000"/>
        </w:rPr>
        <w:t xml:space="preserve">    </w:t>
      </w:r>
      <w:r>
        <w:rPr>
          <w:rFonts w:ascii="Times New Roman" w:hAnsi="Times New Roman"/>
          <w:color w:val="000000"/>
          <w:sz w:val="20"/>
        </w:rPr>
        <w:t xml:space="preserve">For the quarterly period ended </w:t>
      </w:r>
      <w:r>
        <w:rPr>
          <w:rFonts w:ascii="Times New Roman" w:hAnsi="Times New Roman"/>
          <w:color w:val="000000"/>
          <w:sz w:val="20"/>
          <w:u w:val="single"/>
        </w:rPr>
        <w:t>March 31, 2023</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OR</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TRANSITION REPORT PURSUANT TO SECTION 13 OR 15(d) OF THE SECURITIES EXCHANGE ACT OF 1934</w:t>
            </w:r>
          </w:p>
        </w:tc>
      </w:tr>
    </w:tbl>
    <w:p>
      <w:pPr>
        <w:pStyle w:val="TextBody"/>
        <w:bidi w:val="0"/>
        <w:spacing w:before="0" w:after="0"/>
        <w:jc w:val="left"/>
        <w:rPr>
          <w:color w:val="000000"/>
        </w:rPr>
      </w:pPr>
      <w:r>
        <w:rPr>
          <w:color w:val="000000"/>
        </w:rPr>
        <w:t xml:space="preserve">               </w:t>
      </w:r>
      <w:r>
        <w:rPr>
          <w:rFonts w:ascii="Times New Roman" w:hAnsi="Times New Roman"/>
          <w:color w:val="000000"/>
          <w:sz w:val="20"/>
        </w:rPr>
        <w:t xml:space="preserve">For the transition period from ________ to ________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Commission file number </w:t>
      </w:r>
      <w:r>
        <w:rPr>
          <w:rFonts w:ascii="Times New Roman" w:hAnsi="Times New Roman"/>
          <w:color w:val="000000"/>
          <w:sz w:val="20"/>
          <w:u w:val="single"/>
        </w:rPr>
        <w:t>001-36728</w:t>
      </w:r>
    </w:p>
    <w:p>
      <w:pPr>
        <w:pStyle w:val="TextBody"/>
        <w:bidi w:val="0"/>
        <w:spacing w:before="0" w:after="0"/>
        <w:jc w:val="center"/>
        <w:rPr>
          <w:rFonts w:ascii="Times New Roman" w:hAnsi="Times New Roman"/>
          <w:b/>
          <w:color w:val="000000"/>
          <w:sz w:val="48"/>
          <w:u w:val="single"/>
        </w:rPr>
      </w:pPr>
      <w:r>
        <w:rPr>
          <w:rFonts w:ascii="Times New Roman" w:hAnsi="Times New Roman"/>
          <w:b/>
          <w:color w:val="000000"/>
          <w:sz w:val="48"/>
          <w:u w:val="single"/>
        </w:rPr>
        <w:t>ADMA BIOLOGICS,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tbl>
      <w:tblPr>
        <w:tblW w:w="9265" w:type="dxa"/>
        <w:jc w:val="left"/>
        <w:tblInd w:w="0" w:type="dxa"/>
        <w:tblLayout w:type="fixed"/>
        <w:tblCellMar>
          <w:top w:w="0" w:type="dxa"/>
          <w:left w:w="0" w:type="dxa"/>
          <w:bottom w:w="0" w:type="dxa"/>
          <w:right w:w="0" w:type="dxa"/>
        </w:tblCellMar>
      </w:tblPr>
      <w:tblGrid>
        <w:gridCol w:w="5765"/>
        <w:gridCol w:w="60"/>
        <w:gridCol w:w="3440"/>
      </w:tblGrid>
      <w:tr>
        <w:trPr/>
        <w:tc>
          <w:tcPr>
            <w:tcW w:w="5765" w:type="dxa"/>
            <w:tcBorders/>
            <w:vAlign w:val="center"/>
          </w:tcPr>
          <w:p>
            <w:pPr>
              <w:pStyle w:val="TableContents"/>
              <w:bidi w:val="0"/>
              <w:spacing w:before="0" w:after="0"/>
              <w:jc w:val="center"/>
              <w:rPr>
                <w:color w:val="000000"/>
                <w:u w:val="single"/>
              </w:rPr>
            </w:pPr>
            <w:r>
              <w:rPr>
                <w:color w:val="000000"/>
                <w:u w:val="single"/>
              </w:rPr>
              <w:t>Delaware</w:t>
            </w:r>
          </w:p>
        </w:tc>
        <w:tc>
          <w:tcPr>
            <w:tcW w:w="60" w:type="dxa"/>
            <w:tcBorders/>
            <w:vAlign w:val="center"/>
          </w:tcPr>
          <w:p>
            <w:pPr>
              <w:pStyle w:val="TableContents"/>
              <w:bidi w:val="0"/>
              <w:spacing w:before="0" w:after="0"/>
              <w:ind w:left="180" w:right="0" w:hanging="0"/>
              <w:jc w:val="left"/>
              <w:rPr/>
            </w:pPr>
            <w:r>
              <w:rPr/>
              <w:t> </w:t>
            </w:r>
          </w:p>
        </w:tc>
        <w:tc>
          <w:tcPr>
            <w:tcW w:w="3440" w:type="dxa"/>
            <w:tcBorders/>
            <w:vAlign w:val="center"/>
          </w:tcPr>
          <w:p>
            <w:pPr>
              <w:pStyle w:val="TableContents"/>
              <w:bidi w:val="0"/>
              <w:spacing w:before="0" w:after="0"/>
              <w:jc w:val="center"/>
              <w:rPr>
                <w:color w:val="000000"/>
                <w:u w:val="single"/>
              </w:rPr>
            </w:pPr>
            <w:r>
              <w:rPr>
                <w:color w:val="000000"/>
                <w:u w:val="single"/>
              </w:rPr>
              <w:t>56-2590442</w:t>
            </w:r>
          </w:p>
        </w:tc>
      </w:tr>
      <w:tr>
        <w:trPr/>
        <w:tc>
          <w:tcPr>
            <w:tcW w:w="5765" w:type="dxa"/>
            <w:tcBorders/>
            <w:vAlign w:val="center"/>
          </w:tcPr>
          <w:p>
            <w:pPr>
              <w:pStyle w:val="TableContents"/>
              <w:bidi w:val="0"/>
              <w:spacing w:before="0" w:after="0"/>
              <w:jc w:val="center"/>
              <w:rPr>
                <w:color w:val="000000"/>
              </w:rPr>
            </w:pPr>
            <w:r>
              <w:rPr>
                <w:color w:val="00000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tbl>
      <w:tblPr>
        <w:tblW w:w="5080" w:type="dxa"/>
        <w:jc w:val="left"/>
        <w:tblInd w:w="0" w:type="dxa"/>
        <w:tblLayout w:type="fixed"/>
        <w:tblCellMar>
          <w:top w:w="0" w:type="dxa"/>
          <w:left w:w="0" w:type="dxa"/>
          <w:bottom w:w="0" w:type="dxa"/>
          <w:right w:w="0" w:type="dxa"/>
        </w:tblCellMar>
      </w:tblPr>
      <w:tblGrid>
        <w:gridCol w:w="3950"/>
        <w:gridCol w:w="60"/>
        <w:gridCol w:w="1070"/>
      </w:tblGrid>
      <w:tr>
        <w:trPr/>
        <w:tc>
          <w:tcPr>
            <w:tcW w:w="3950" w:type="dxa"/>
            <w:tcBorders/>
            <w:vAlign w:val="center"/>
          </w:tcPr>
          <w:p>
            <w:pPr>
              <w:pStyle w:val="TableContents"/>
              <w:bidi w:val="0"/>
              <w:spacing w:before="0" w:after="0"/>
              <w:jc w:val="center"/>
              <w:rPr>
                <w:color w:val="000000"/>
                <w:u w:val="single"/>
              </w:rPr>
            </w:pPr>
            <w:r>
              <w:rPr>
                <w:color w:val="000000"/>
                <w:u w:val="single"/>
              </w:rPr>
              <w:t>465 State Route 17, Ramsey, New Jersey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color w:val="000000"/>
                <w:u w:val="single"/>
              </w:rPr>
            </w:pPr>
            <w:r>
              <w:rPr>
                <w:color w:val="000000"/>
                <w:u w:val="single"/>
              </w:rPr>
              <w:t>07446</w:t>
            </w:r>
          </w:p>
        </w:tc>
      </w:tr>
      <w:tr>
        <w:trPr/>
        <w:tc>
          <w:tcPr>
            <w:tcW w:w="3950" w:type="dxa"/>
            <w:tcBorders/>
            <w:vAlign w:val="center"/>
          </w:tcPr>
          <w:p>
            <w:pPr>
              <w:pStyle w:val="TableContents"/>
              <w:bidi w:val="0"/>
              <w:spacing w:before="0" w:after="0"/>
              <w:jc w:val="center"/>
              <w:rPr>
                <w:color w:val="000000"/>
              </w:rPr>
            </w:pPr>
            <w:r>
              <w:rPr>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(201) 478-5552</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center"/>
        <w:rPr>
          <w:color w:val="000000"/>
        </w:rPr>
      </w:pPr>
      <w:r>
        <w:rPr>
          <w:color w:val="00000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0" w:after="0"/>
        <w:jc w:val="center"/>
        <w:rPr>
          <w:color w:val="000000"/>
        </w:rPr>
      </w:pPr>
      <w:r>
        <w:rPr>
          <w:color w:val="00000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center"/>
        <w:rPr>
          <w:color w:val="000000"/>
        </w:rPr>
      </w:pPr>
      <w:r>
        <w:rPr>
          <w:color w:val="000000"/>
        </w:rPr>
      </w:r>
    </w:p>
    <w:tbl>
      <w:tblPr>
        <w:tblW w:w="7740" w:type="dxa"/>
        <w:jc w:val="left"/>
        <w:tblInd w:w="-15" w:type="dxa"/>
        <w:tblLayout w:type="fixed"/>
        <w:tblCellMar>
          <w:top w:w="28" w:type="dxa"/>
          <w:left w:w="28" w:type="dxa"/>
          <w:bottom w:w="28" w:type="dxa"/>
          <w:right w:w="28" w:type="dxa"/>
        </w:tblCellMar>
      </w:tblPr>
      <w:tblGrid>
        <w:gridCol w:w="1715"/>
        <w:gridCol w:w="1805"/>
        <w:gridCol w:w="4220"/>
      </w:tblGrid>
      <w:tr>
        <w:trPr/>
        <w:tc>
          <w:tcPr>
            <w:tcW w:w="17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2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17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Common Stock</w:t>
            </w:r>
          </w:p>
        </w:tc>
        <w:tc>
          <w:tcPr>
            <w:tcW w:w="18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ADMA</w:t>
            </w:r>
          </w:p>
        </w:tc>
        <w:tc>
          <w:tcPr>
            <w:tcW w:w="42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Nasdaq Global Market</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r>
    </w:p>
    <w:tbl>
      <w:tblPr>
        <w:tblW w:w="5695" w:type="dxa"/>
        <w:jc w:val="left"/>
        <w:tblInd w:w="0" w:type="dxa"/>
        <w:tblLayout w:type="fixed"/>
        <w:tblCellMar>
          <w:top w:w="0" w:type="dxa"/>
          <w:left w:w="0" w:type="dxa"/>
          <w:bottom w:w="0" w:type="dxa"/>
          <w:right w:w="0" w:type="dxa"/>
        </w:tblCellMar>
      </w:tblPr>
      <w:tblGrid>
        <w:gridCol w:w="60"/>
        <w:gridCol w:w="2570"/>
        <w:gridCol w:w="3065"/>
      </w:tblGrid>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color w:val="000000"/>
              </w:rPr>
            </w:pPr>
            <w:r>
              <w:rPr>
                <w:color w:val="000000"/>
              </w:rPr>
              <w:t>Large accelerated filer    ☐</w:t>
            </w:r>
          </w:p>
        </w:tc>
        <w:tc>
          <w:tcPr>
            <w:tcW w:w="3065" w:type="dxa"/>
            <w:tcBorders/>
            <w:vAlign w:val="center"/>
          </w:tcPr>
          <w:p>
            <w:pPr>
              <w:pStyle w:val="TableContents"/>
              <w:bidi w:val="0"/>
              <w:spacing w:before="0" w:after="0"/>
              <w:jc w:val="left"/>
              <w:rPr>
                <w:color w:val="000000"/>
              </w:rPr>
            </w:pPr>
            <w:r>
              <w:rPr>
                <w:color w:val="000000"/>
              </w:rPr>
              <w:t>Accelerated filer    ☐</w:t>
            </w:r>
          </w:p>
        </w:tc>
      </w:tr>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pPr>
            <w:r>
              <w:rPr>
                <w:color w:val="000000"/>
              </w:rPr>
              <w:t xml:space="preserve">Non-accelerated filer    </w:t>
            </w:r>
            <w:r>
              <w:rPr/>
              <w:t>☒</w:t>
            </w:r>
          </w:p>
        </w:tc>
        <w:tc>
          <w:tcPr>
            <w:tcW w:w="3065" w:type="dxa"/>
            <w:tcBorders/>
            <w:vAlign w:val="center"/>
          </w:tcPr>
          <w:p>
            <w:pPr>
              <w:pStyle w:val="TableContents"/>
              <w:bidi w:val="0"/>
              <w:spacing w:before="0" w:after="0"/>
              <w:jc w:val="left"/>
              <w:rPr>
                <w:color w:val="000000"/>
              </w:rPr>
            </w:pPr>
            <w:r>
              <w:rPr>
                <w:color w:val="000000"/>
              </w:rPr>
              <w:t>Smaller reporting company    ☒</w:t>
            </w:r>
          </w:p>
        </w:tc>
      </w:tr>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pPr>
            <w:r>
              <w:rPr>
                <w:color w:val="000000"/>
              </w:rPr>
              <w:t xml:space="preserve">Emerging growth company    </w:t>
            </w:r>
            <w:r>
              <w:rPr/>
              <w:t>☐</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As of </w:t>
      </w:r>
      <w:r>
        <w:rPr>
          <w:rFonts w:ascii="Times New Roman" w:hAnsi="Times New Roman"/>
          <w:b w:val="false"/>
          <w:i w:val="false"/>
          <w:caps w:val="false"/>
          <w:smallCaps w:val="false"/>
          <w:color w:val="000000"/>
          <w:spacing w:val="0"/>
          <w:sz w:val="20"/>
          <w:shd w:fill="FFFFFF" w:val="clear"/>
        </w:rPr>
        <w:t>May 5, 2023</w:t>
      </w:r>
      <w:r>
        <w:rPr>
          <w:rFonts w:ascii="Times New Roman" w:hAnsi="Times New Roman"/>
          <w:color w:val="000000"/>
          <w:sz w:val="20"/>
        </w:rPr>
        <w:t>, there were 222,272,962 shares of the issuer’s common stock outstanding.</w:t>
      </w:r>
    </w:p>
    <w:p>
      <w:pPr>
        <w:pStyle w:val="TextBody"/>
        <w:bidi w:val="0"/>
        <w:spacing w:before="0" w:after="0"/>
        <w:ind w:left="0" w:right="0" w:firstLine="720"/>
        <w:jc w:val="both"/>
        <w:rPr/>
      </w:pPr>
      <w:r>
        <w:rPr/>
      </w:r>
    </w:p>
    <w:p>
      <w:pPr>
        <w:pStyle w:val="HorizontalLine"/>
        <w:bidi w:val="0"/>
        <w:ind w:left="0" w:right="0" w:firstLine="72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 AND SUBSIDIARIES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0" w:name="INDEX"/>
      <w:bookmarkEnd w:id="0"/>
      <w:r>
        <w:rPr>
          <w:rFonts w:ascii="Times New Roman" w:hAnsi="Times New Roman"/>
          <w:b/>
          <w:color w:val="000000"/>
          <w:sz w:val="20"/>
        </w:rPr>
        <w:t>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14"/>
        <w:gridCol w:w="9230"/>
        <w:gridCol w:w="261"/>
      </w:tblGrid>
      <w:tr>
        <w:trPr/>
        <w:tc>
          <w:tcPr>
            <w:tcW w:w="10205" w:type="dxa"/>
            <w:gridSpan w:val="3"/>
            <w:tcBorders/>
            <w:vAlign w:val="center"/>
          </w:tcPr>
          <w:p>
            <w:pPr>
              <w:pStyle w:val="TableContents"/>
              <w:bidi w:val="0"/>
              <w:spacing w:before="0" w:after="0"/>
              <w:jc w:val="left"/>
              <w:rPr/>
            </w:pPr>
            <w:r>
              <w:rPr/>
              <w:t>PART I FINANCIAL INFORMATION</w:t>
            </w:r>
          </w:p>
        </w:tc>
      </w:tr>
      <w:tr>
        <w:trPr/>
        <w:tc>
          <w:tcPr>
            <w:tcW w:w="10205" w:type="dxa"/>
            <w:gridSpan w:val="3"/>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spacing w:before="0" w:after="0"/>
              <w:jc w:val="center"/>
              <w:rPr/>
            </w:pPr>
            <w:r>
              <w:rPr/>
              <w:t>Item 1.</w:t>
            </w:r>
          </w:p>
        </w:tc>
        <w:tc>
          <w:tcPr>
            <w:tcW w:w="9230" w:type="dxa"/>
            <w:tcBorders/>
            <w:vAlign w:val="center"/>
          </w:tcPr>
          <w:p>
            <w:pPr>
              <w:pStyle w:val="TableContents"/>
              <w:bidi w:val="0"/>
              <w:spacing w:before="0" w:after="0"/>
              <w:jc w:val="left"/>
              <w:rPr/>
            </w:pPr>
            <w:r>
              <w:rPr/>
              <w:t>Financial Statements</w:t>
            </w:r>
          </w:p>
        </w:tc>
        <w:tc>
          <w:tcPr>
            <w:tcW w:w="261"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283"/>
              <w:jc w:val="center"/>
              <w:rPr/>
            </w:pPr>
            <w:r>
              <w:rPr/>
              <w:t> </w:t>
            </w:r>
          </w:p>
        </w:tc>
        <w:tc>
          <w:tcPr>
            <w:tcW w:w="9230" w:type="dxa"/>
            <w:tcBorders/>
            <w:shd w:fill="CCEEFF" w:val="clear"/>
            <w:vAlign w:val="center"/>
          </w:tcPr>
          <w:p>
            <w:pPr>
              <w:pStyle w:val="TableContents"/>
              <w:bidi w:val="0"/>
              <w:spacing w:before="0" w:after="0"/>
              <w:jc w:val="left"/>
              <w:rPr/>
            </w:pPr>
            <w:hyperlink w:anchor="BALANCESHEETS">
              <w:r>
                <w:rPr>
                  <w:rStyle w:val="InternetLink"/>
                </w:rPr>
                <w:t>Condensed Consolidated Balance Sheets as of March 31, 2023 (Unaudited) and December 31, 2022</w:t>
              </w:r>
            </w:hyperlink>
          </w:p>
        </w:tc>
        <w:tc>
          <w:tcPr>
            <w:tcW w:w="261" w:type="dxa"/>
            <w:tcBorders/>
            <w:shd w:fill="CCEEFF" w:val="clear"/>
            <w:vAlign w:val="center"/>
          </w:tcPr>
          <w:p>
            <w:pPr>
              <w:pStyle w:val="TableContents"/>
              <w:bidi w:val="0"/>
              <w:spacing w:before="0" w:after="0"/>
              <w:jc w:val="right"/>
              <w:rPr/>
            </w:pPr>
            <w:r>
              <w:rPr/>
              <w:t>1</w:t>
            </w:r>
          </w:p>
        </w:tc>
      </w:tr>
      <w:tr>
        <w:trPr/>
        <w:tc>
          <w:tcPr>
            <w:tcW w:w="714" w:type="dxa"/>
            <w:tcBorders/>
            <w:vAlign w:val="center"/>
          </w:tcPr>
          <w:p>
            <w:pPr>
              <w:pStyle w:val="TableContents"/>
              <w:bidi w:val="0"/>
              <w:spacing w:before="0" w:after="283"/>
              <w:jc w:val="center"/>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283"/>
              <w:jc w:val="center"/>
              <w:rPr/>
            </w:pPr>
            <w:r>
              <w:rPr/>
              <w:t> </w:t>
            </w:r>
          </w:p>
        </w:tc>
        <w:tc>
          <w:tcPr>
            <w:tcW w:w="9230" w:type="dxa"/>
            <w:tcBorders/>
            <w:shd w:fill="CCEEFF" w:val="clear"/>
            <w:vAlign w:val="center"/>
          </w:tcPr>
          <w:p>
            <w:pPr>
              <w:pStyle w:val="TableContents"/>
              <w:bidi w:val="0"/>
              <w:spacing w:before="0" w:after="0"/>
              <w:jc w:val="left"/>
              <w:rPr/>
            </w:pPr>
            <w:hyperlink w:anchor="STATEMENTSOFOPERATIONS">
              <w:r>
                <w:rPr>
                  <w:rStyle w:val="InternetLink"/>
                </w:rPr>
                <w:t>Condensed Consolidated Statements of Operations (Unaudited) for the Three Months Ended March 31, 2023 and 2022</w:t>
              </w:r>
            </w:hyperlink>
          </w:p>
        </w:tc>
        <w:tc>
          <w:tcPr>
            <w:tcW w:w="261" w:type="dxa"/>
            <w:tcBorders/>
            <w:shd w:fill="CCEEFF" w:val="clear"/>
            <w:vAlign w:val="center"/>
          </w:tcPr>
          <w:p>
            <w:pPr>
              <w:pStyle w:val="TableContents"/>
              <w:bidi w:val="0"/>
              <w:spacing w:before="0" w:after="0"/>
              <w:jc w:val="right"/>
              <w:rPr/>
            </w:pPr>
            <w:r>
              <w:rPr/>
              <w:t>2</w:t>
            </w:r>
          </w:p>
        </w:tc>
      </w:tr>
      <w:tr>
        <w:trPr/>
        <w:tc>
          <w:tcPr>
            <w:tcW w:w="714" w:type="dxa"/>
            <w:tcBorders/>
            <w:vAlign w:val="center"/>
          </w:tcPr>
          <w:p>
            <w:pPr>
              <w:pStyle w:val="TableContents"/>
              <w:bidi w:val="0"/>
              <w:spacing w:before="0" w:after="283"/>
              <w:jc w:val="center"/>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283"/>
              <w:jc w:val="center"/>
              <w:rPr/>
            </w:pPr>
            <w:r>
              <w:rPr/>
              <w:t> </w:t>
            </w:r>
          </w:p>
        </w:tc>
        <w:tc>
          <w:tcPr>
            <w:tcW w:w="9230" w:type="dxa"/>
            <w:tcBorders/>
            <w:shd w:fill="CCEEFF" w:val="clear"/>
            <w:vAlign w:val="center"/>
          </w:tcPr>
          <w:p>
            <w:pPr>
              <w:pStyle w:val="TableContents"/>
              <w:bidi w:val="0"/>
              <w:spacing w:before="0" w:after="0"/>
              <w:jc w:val="left"/>
              <w:rPr/>
            </w:pPr>
            <w:hyperlink w:anchor="STOCKHOLDERSEQUITY">
              <w:r>
                <w:rPr>
                  <w:rStyle w:val="InternetLink"/>
                </w:rPr>
                <w:t>Condensed Consolidated Statements of Changes in Stockholders’ Equity (Unaudited) for the Three Months Ended March 31, 2023 and 2022</w:t>
              </w:r>
            </w:hyperlink>
          </w:p>
        </w:tc>
        <w:tc>
          <w:tcPr>
            <w:tcW w:w="261" w:type="dxa"/>
            <w:tcBorders/>
            <w:shd w:fill="CCEEFF" w:val="clear"/>
            <w:vAlign w:val="center"/>
          </w:tcPr>
          <w:p>
            <w:pPr>
              <w:pStyle w:val="TableContents"/>
              <w:bidi w:val="0"/>
              <w:spacing w:before="0" w:after="0"/>
              <w:jc w:val="right"/>
              <w:rPr/>
            </w:pPr>
            <w:r>
              <w:rPr/>
              <w:t>3</w:t>
            </w:r>
          </w:p>
        </w:tc>
      </w:tr>
      <w:tr>
        <w:trPr/>
        <w:tc>
          <w:tcPr>
            <w:tcW w:w="714" w:type="dxa"/>
            <w:tcBorders/>
            <w:vAlign w:val="center"/>
          </w:tcPr>
          <w:p>
            <w:pPr>
              <w:pStyle w:val="TableContents"/>
              <w:bidi w:val="0"/>
              <w:spacing w:before="0" w:after="283"/>
              <w:jc w:val="center"/>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283"/>
              <w:jc w:val="center"/>
              <w:rPr/>
            </w:pPr>
            <w:r>
              <w:rPr/>
              <w:t> </w:t>
            </w:r>
          </w:p>
        </w:tc>
        <w:tc>
          <w:tcPr>
            <w:tcW w:w="9230" w:type="dxa"/>
            <w:tcBorders/>
            <w:shd w:fill="CCEEFF" w:val="clear"/>
            <w:vAlign w:val="center"/>
          </w:tcPr>
          <w:p>
            <w:pPr>
              <w:pStyle w:val="TableContents"/>
              <w:bidi w:val="0"/>
              <w:spacing w:before="0" w:after="0"/>
              <w:jc w:val="left"/>
              <w:rPr/>
            </w:pPr>
            <w:hyperlink w:anchor="CASHFLOWS">
              <w:r>
                <w:rPr>
                  <w:rStyle w:val="InternetLink"/>
                </w:rPr>
                <w:t>Condensed Consolidated Statements of Cash Flows (Unaudited) for the Three Months Ended March 31, 2023 and 2022</w:t>
              </w:r>
            </w:hyperlink>
          </w:p>
        </w:tc>
        <w:tc>
          <w:tcPr>
            <w:tcW w:w="261" w:type="dxa"/>
            <w:tcBorders/>
            <w:shd w:fill="CCEEFF" w:val="clear"/>
            <w:vAlign w:val="center"/>
          </w:tcPr>
          <w:p>
            <w:pPr>
              <w:pStyle w:val="TableContents"/>
              <w:bidi w:val="0"/>
              <w:spacing w:before="0" w:after="0"/>
              <w:jc w:val="right"/>
              <w:rPr/>
            </w:pPr>
            <w:r>
              <w:rPr/>
              <w:t>4</w:t>
            </w:r>
          </w:p>
        </w:tc>
      </w:tr>
      <w:tr>
        <w:trPr/>
        <w:tc>
          <w:tcPr>
            <w:tcW w:w="714" w:type="dxa"/>
            <w:tcBorders/>
            <w:vAlign w:val="center"/>
          </w:tcPr>
          <w:p>
            <w:pPr>
              <w:pStyle w:val="TableContents"/>
              <w:bidi w:val="0"/>
              <w:spacing w:before="0" w:after="283"/>
              <w:jc w:val="center"/>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283"/>
              <w:jc w:val="center"/>
              <w:rPr/>
            </w:pPr>
            <w:r>
              <w:rPr/>
              <w:t> </w:t>
            </w:r>
          </w:p>
        </w:tc>
        <w:tc>
          <w:tcPr>
            <w:tcW w:w="9230" w:type="dxa"/>
            <w:tcBorders/>
            <w:shd w:fill="CCEEFF" w:val="clear"/>
            <w:vAlign w:val="center"/>
          </w:tcPr>
          <w:p>
            <w:pPr>
              <w:pStyle w:val="TableContents"/>
              <w:bidi w:val="0"/>
              <w:spacing w:before="0" w:after="0"/>
              <w:jc w:val="left"/>
              <w:rPr/>
            </w:pPr>
            <w:hyperlink w:anchor="NOTES">
              <w:r>
                <w:rPr>
                  <w:rStyle w:val="InternetLink"/>
                </w:rPr>
                <w:t>Notes to Unaudited Condensed Consolidated Financial Statements</w:t>
              </w:r>
            </w:hyperlink>
          </w:p>
        </w:tc>
        <w:tc>
          <w:tcPr>
            <w:tcW w:w="261" w:type="dxa"/>
            <w:tcBorders/>
            <w:shd w:fill="CCEEFF" w:val="clear"/>
            <w:vAlign w:val="center"/>
          </w:tcPr>
          <w:p>
            <w:pPr>
              <w:pStyle w:val="TableContents"/>
              <w:bidi w:val="0"/>
              <w:spacing w:before="0" w:after="0"/>
              <w:jc w:val="right"/>
              <w:rPr/>
            </w:pPr>
            <w:r>
              <w:rPr/>
              <w:t>5</w:t>
            </w:r>
          </w:p>
        </w:tc>
      </w:tr>
      <w:tr>
        <w:trPr/>
        <w:tc>
          <w:tcPr>
            <w:tcW w:w="714" w:type="dxa"/>
            <w:tcBorders/>
            <w:vAlign w:val="center"/>
          </w:tcPr>
          <w:p>
            <w:pPr>
              <w:pStyle w:val="TableContents"/>
              <w:bidi w:val="0"/>
              <w:spacing w:before="0" w:after="283"/>
              <w:jc w:val="center"/>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2.</w:t>
            </w:r>
          </w:p>
        </w:tc>
        <w:tc>
          <w:tcPr>
            <w:tcW w:w="9230" w:type="dxa"/>
            <w:tcBorders/>
            <w:shd w:fill="CCEEFF" w:val="clear"/>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261" w:type="dxa"/>
            <w:tcBorders/>
            <w:shd w:fill="CCEEFF" w:val="clear"/>
            <w:vAlign w:val="center"/>
          </w:tcPr>
          <w:p>
            <w:pPr>
              <w:pStyle w:val="TableContents"/>
              <w:bidi w:val="0"/>
              <w:spacing w:before="0" w:after="0"/>
              <w:jc w:val="right"/>
              <w:rPr/>
            </w:pPr>
            <w:r>
              <w:rPr/>
              <w:t>21</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3.</w:t>
            </w:r>
          </w:p>
        </w:tc>
        <w:tc>
          <w:tcPr>
            <w:tcW w:w="9230" w:type="dxa"/>
            <w:tcBorders/>
            <w:shd w:fill="CCEEFF" w:val="clear"/>
            <w:vAlign w:val="center"/>
          </w:tcPr>
          <w:p>
            <w:pPr>
              <w:pStyle w:val="TableContents"/>
              <w:bidi w:val="0"/>
              <w:spacing w:before="0" w:after="0"/>
              <w:jc w:val="left"/>
              <w:rPr/>
            </w:pPr>
            <w:hyperlink w:anchor="QuantitativeandQualitativ">
              <w:r>
                <w:rPr>
                  <w:rStyle w:val="InternetLink"/>
                </w:rPr>
                <w:t>Quantitative and Qualitative Disclosures About Market Risk.</w:t>
              </w:r>
            </w:hyperlink>
          </w:p>
        </w:tc>
        <w:tc>
          <w:tcPr>
            <w:tcW w:w="261" w:type="dxa"/>
            <w:tcBorders/>
            <w:shd w:fill="CCEEFF" w:val="clear"/>
            <w:vAlign w:val="center"/>
          </w:tcPr>
          <w:p>
            <w:pPr>
              <w:pStyle w:val="TableContents"/>
              <w:bidi w:val="0"/>
              <w:spacing w:before="0" w:after="0"/>
              <w:jc w:val="right"/>
              <w:rPr/>
            </w:pPr>
            <w:r>
              <w:rPr/>
              <w:t>33</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4.</w:t>
            </w:r>
          </w:p>
        </w:tc>
        <w:tc>
          <w:tcPr>
            <w:tcW w:w="9230" w:type="dxa"/>
            <w:tcBorders/>
            <w:shd w:fill="CCEEFF" w:val="clear"/>
            <w:vAlign w:val="center"/>
          </w:tcPr>
          <w:p>
            <w:pPr>
              <w:pStyle w:val="TableContents"/>
              <w:bidi w:val="0"/>
              <w:spacing w:before="0" w:after="0"/>
              <w:jc w:val="left"/>
              <w:rPr/>
            </w:pPr>
            <w:hyperlink w:anchor="ControlsandProcedures.">
              <w:r>
                <w:rPr>
                  <w:rStyle w:val="InternetLink"/>
                </w:rPr>
                <w:t>Controls and Procedures.</w:t>
              </w:r>
            </w:hyperlink>
          </w:p>
        </w:tc>
        <w:tc>
          <w:tcPr>
            <w:tcW w:w="261" w:type="dxa"/>
            <w:tcBorders/>
            <w:shd w:fill="CCEEFF" w:val="clear"/>
            <w:vAlign w:val="center"/>
          </w:tcPr>
          <w:p>
            <w:pPr>
              <w:pStyle w:val="TableContents"/>
              <w:bidi w:val="0"/>
              <w:spacing w:before="0" w:after="0"/>
              <w:jc w:val="right"/>
              <w:rPr/>
            </w:pPr>
            <w:r>
              <w:rPr/>
              <w:t>33</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2"/>
            <w:tcBorders/>
            <w:shd w:fill="CCEEFF" w:val="clear"/>
            <w:vAlign w:val="center"/>
          </w:tcPr>
          <w:p>
            <w:pPr>
              <w:pStyle w:val="TableContents"/>
              <w:bidi w:val="0"/>
              <w:spacing w:before="0" w:after="0"/>
              <w:jc w:val="left"/>
              <w:rPr/>
            </w:pPr>
            <w:hyperlink w:anchor="PARTII">
              <w:r>
                <w:rPr>
                  <w:rStyle w:val="InternetLink"/>
                </w:rPr>
                <w:t>PART II OTHER INFORMATION</w:t>
              </w:r>
            </w:hyperlink>
          </w:p>
        </w:tc>
        <w:tc>
          <w:tcPr>
            <w:tcW w:w="261" w:type="dxa"/>
            <w:tcBorders/>
            <w:shd w:fill="CCEEFF" w:val="clear"/>
            <w:vAlign w:val="center"/>
          </w:tcPr>
          <w:p>
            <w:pPr>
              <w:pStyle w:val="TableContents"/>
              <w:bidi w:val="0"/>
              <w:spacing w:before="0" w:after="0"/>
              <w:jc w:val="right"/>
              <w:rPr/>
            </w:pPr>
            <w:r>
              <w:rPr/>
              <w:t>34</w:t>
            </w:r>
          </w:p>
        </w:tc>
      </w:tr>
      <w:tr>
        <w:trPr/>
        <w:tc>
          <w:tcPr>
            <w:tcW w:w="9944" w:type="dxa"/>
            <w:gridSpan w:val="2"/>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1.</w:t>
            </w:r>
          </w:p>
        </w:tc>
        <w:tc>
          <w:tcPr>
            <w:tcW w:w="9230" w:type="dxa"/>
            <w:tcBorders/>
            <w:shd w:fill="CCEEFF" w:val="clear"/>
            <w:vAlign w:val="center"/>
          </w:tcPr>
          <w:p>
            <w:pPr>
              <w:pStyle w:val="TableContents"/>
              <w:bidi w:val="0"/>
              <w:spacing w:before="0" w:after="0"/>
              <w:jc w:val="left"/>
              <w:rPr/>
            </w:pPr>
            <w:hyperlink w:anchor="LegalProceedings.">
              <w:r>
                <w:rPr>
                  <w:rStyle w:val="InternetLink"/>
                </w:rPr>
                <w:t>Legal Proceedings.</w:t>
              </w:r>
            </w:hyperlink>
          </w:p>
        </w:tc>
        <w:tc>
          <w:tcPr>
            <w:tcW w:w="261" w:type="dxa"/>
            <w:tcBorders/>
            <w:shd w:fill="CCEEFF" w:val="clear"/>
            <w:vAlign w:val="center"/>
          </w:tcPr>
          <w:p>
            <w:pPr>
              <w:pStyle w:val="TableContents"/>
              <w:bidi w:val="0"/>
              <w:spacing w:before="0" w:after="0"/>
              <w:jc w:val="right"/>
              <w:rPr/>
            </w:pPr>
            <w:r>
              <w:rPr/>
              <w:t>34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1A.</w:t>
            </w:r>
          </w:p>
        </w:tc>
        <w:tc>
          <w:tcPr>
            <w:tcW w:w="9230" w:type="dxa"/>
            <w:tcBorders/>
            <w:shd w:fill="CCEEFF" w:val="clear"/>
            <w:vAlign w:val="center"/>
          </w:tcPr>
          <w:p>
            <w:pPr>
              <w:pStyle w:val="TableContents"/>
              <w:bidi w:val="0"/>
              <w:spacing w:before="0" w:after="0"/>
              <w:jc w:val="left"/>
              <w:rPr/>
            </w:pPr>
            <w:hyperlink w:anchor="RiskFactors">
              <w:r>
                <w:rPr>
                  <w:rStyle w:val="InternetLink"/>
                </w:rPr>
                <w:t>Risk Factors.</w:t>
              </w:r>
            </w:hyperlink>
          </w:p>
        </w:tc>
        <w:tc>
          <w:tcPr>
            <w:tcW w:w="261" w:type="dxa"/>
            <w:tcBorders/>
            <w:shd w:fill="CCEEFF" w:val="clear"/>
            <w:vAlign w:val="center"/>
          </w:tcPr>
          <w:p>
            <w:pPr>
              <w:pStyle w:val="TableContents"/>
              <w:bidi w:val="0"/>
              <w:spacing w:before="0" w:after="0"/>
              <w:jc w:val="right"/>
              <w:rPr/>
            </w:pPr>
            <w:r>
              <w:rPr/>
              <w:t>34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2.</w:t>
            </w:r>
          </w:p>
        </w:tc>
        <w:tc>
          <w:tcPr>
            <w:tcW w:w="9230" w:type="dxa"/>
            <w:tcBorders/>
            <w:shd w:fill="CCEEFF" w:val="clear"/>
            <w:vAlign w:val="center"/>
          </w:tcPr>
          <w:p>
            <w:pPr>
              <w:pStyle w:val="TableContents"/>
              <w:bidi w:val="0"/>
              <w:spacing w:before="0" w:after="0"/>
              <w:jc w:val="left"/>
              <w:rPr/>
            </w:pPr>
            <w:hyperlink w:anchor="UnregisteredSalesofEquity">
              <w:r>
                <w:rPr>
                  <w:rStyle w:val="InternetLink"/>
                </w:rPr>
                <w:t>Unregistered Sales of Equity Securities and Use of Proceeds.</w:t>
              </w:r>
            </w:hyperlink>
          </w:p>
        </w:tc>
        <w:tc>
          <w:tcPr>
            <w:tcW w:w="261" w:type="dxa"/>
            <w:tcBorders/>
            <w:shd w:fill="CCEEFF" w:val="clear"/>
            <w:vAlign w:val="center"/>
          </w:tcPr>
          <w:p>
            <w:pPr>
              <w:pStyle w:val="TableContents"/>
              <w:bidi w:val="0"/>
              <w:spacing w:before="0" w:after="0"/>
              <w:jc w:val="right"/>
              <w:rPr/>
            </w:pPr>
            <w:r>
              <w:rPr/>
              <w:t>64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3.</w:t>
            </w:r>
          </w:p>
        </w:tc>
        <w:tc>
          <w:tcPr>
            <w:tcW w:w="9230" w:type="dxa"/>
            <w:tcBorders/>
            <w:shd w:fill="CCEEFF" w:val="clear"/>
            <w:vAlign w:val="center"/>
          </w:tcPr>
          <w:p>
            <w:pPr>
              <w:pStyle w:val="TableContents"/>
              <w:bidi w:val="0"/>
              <w:spacing w:before="0" w:after="0"/>
              <w:jc w:val="left"/>
              <w:rPr/>
            </w:pPr>
            <w:hyperlink w:anchor="DefaultsUponSeniorSecurit">
              <w:r>
                <w:rPr>
                  <w:rStyle w:val="InternetLink"/>
                </w:rPr>
                <w:t>Defaults Upon Senior Securities.</w:t>
              </w:r>
            </w:hyperlink>
          </w:p>
        </w:tc>
        <w:tc>
          <w:tcPr>
            <w:tcW w:w="261" w:type="dxa"/>
            <w:tcBorders/>
            <w:shd w:fill="CCEEFF" w:val="clear"/>
            <w:vAlign w:val="center"/>
          </w:tcPr>
          <w:p>
            <w:pPr>
              <w:pStyle w:val="TableContents"/>
              <w:bidi w:val="0"/>
              <w:spacing w:before="0" w:after="0"/>
              <w:jc w:val="right"/>
              <w:rPr/>
            </w:pPr>
            <w:r>
              <w:rPr/>
              <w:t>64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4.</w:t>
            </w:r>
          </w:p>
        </w:tc>
        <w:tc>
          <w:tcPr>
            <w:tcW w:w="9230" w:type="dxa"/>
            <w:tcBorders/>
            <w:shd w:fill="CCEEFF" w:val="clear"/>
            <w:vAlign w:val="center"/>
          </w:tcPr>
          <w:p>
            <w:pPr>
              <w:pStyle w:val="TableContents"/>
              <w:bidi w:val="0"/>
              <w:spacing w:before="0" w:after="0"/>
              <w:jc w:val="left"/>
              <w:rPr/>
            </w:pPr>
            <w:hyperlink w:anchor="MineSafetyDisclosures.">
              <w:r>
                <w:rPr>
                  <w:rStyle w:val="InternetLink"/>
                </w:rPr>
                <w:t>Mine Safety Disclosures.</w:t>
              </w:r>
            </w:hyperlink>
          </w:p>
        </w:tc>
        <w:tc>
          <w:tcPr>
            <w:tcW w:w="261" w:type="dxa"/>
            <w:tcBorders/>
            <w:shd w:fill="CCEEFF" w:val="clear"/>
            <w:vAlign w:val="center"/>
          </w:tcPr>
          <w:p>
            <w:pPr>
              <w:pStyle w:val="TableContents"/>
              <w:bidi w:val="0"/>
              <w:spacing w:before="0" w:after="0"/>
              <w:jc w:val="right"/>
              <w:rPr/>
            </w:pPr>
            <w:r>
              <w:rPr/>
              <w:t>64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5.</w:t>
            </w:r>
          </w:p>
        </w:tc>
        <w:tc>
          <w:tcPr>
            <w:tcW w:w="9230" w:type="dxa"/>
            <w:tcBorders/>
            <w:shd w:fill="CCEEFF" w:val="clear"/>
            <w:vAlign w:val="center"/>
          </w:tcPr>
          <w:p>
            <w:pPr>
              <w:pStyle w:val="TableContents"/>
              <w:bidi w:val="0"/>
              <w:spacing w:before="0" w:after="0"/>
              <w:jc w:val="left"/>
              <w:rPr/>
            </w:pPr>
            <w:hyperlink w:anchor="OtherInformation.">
              <w:r>
                <w:rPr>
                  <w:rStyle w:val="InternetLink"/>
                </w:rPr>
                <w:t>Other Information.</w:t>
              </w:r>
            </w:hyperlink>
          </w:p>
        </w:tc>
        <w:tc>
          <w:tcPr>
            <w:tcW w:w="261" w:type="dxa"/>
            <w:tcBorders/>
            <w:shd w:fill="CCEEFF" w:val="clear"/>
            <w:vAlign w:val="center"/>
          </w:tcPr>
          <w:p>
            <w:pPr>
              <w:pStyle w:val="TableContents"/>
              <w:bidi w:val="0"/>
              <w:spacing w:before="0" w:after="0"/>
              <w:jc w:val="right"/>
              <w:rPr/>
            </w:pPr>
            <w:r>
              <w:rPr/>
              <w:t>64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714" w:type="dxa"/>
            <w:tcBorders/>
            <w:shd w:fill="CCEEFF" w:val="clear"/>
            <w:vAlign w:val="center"/>
          </w:tcPr>
          <w:p>
            <w:pPr>
              <w:pStyle w:val="TableContents"/>
              <w:bidi w:val="0"/>
              <w:spacing w:before="0" w:after="0"/>
              <w:jc w:val="center"/>
              <w:rPr/>
            </w:pPr>
            <w:r>
              <w:rPr/>
              <w:t>Item 6.</w:t>
            </w:r>
          </w:p>
        </w:tc>
        <w:tc>
          <w:tcPr>
            <w:tcW w:w="9230" w:type="dxa"/>
            <w:tcBorders/>
            <w:shd w:fill="CCEEFF" w:val="clear"/>
            <w:vAlign w:val="center"/>
          </w:tcPr>
          <w:p>
            <w:pPr>
              <w:pStyle w:val="TableContents"/>
              <w:bidi w:val="0"/>
              <w:spacing w:before="0" w:after="0"/>
              <w:jc w:val="left"/>
              <w:rPr/>
            </w:pPr>
            <w:hyperlink w:anchor="Exhibits">
              <w:r>
                <w:rPr>
                  <w:rStyle w:val="InternetLink"/>
                </w:rPr>
                <w:t>Exhibits.</w:t>
              </w:r>
            </w:hyperlink>
          </w:p>
        </w:tc>
        <w:tc>
          <w:tcPr>
            <w:tcW w:w="261" w:type="dxa"/>
            <w:tcBorders/>
            <w:shd w:fill="CCEEFF" w:val="clear"/>
            <w:vAlign w:val="center"/>
          </w:tcPr>
          <w:p>
            <w:pPr>
              <w:pStyle w:val="TableContents"/>
              <w:bidi w:val="0"/>
              <w:spacing w:before="0" w:after="0"/>
              <w:jc w:val="right"/>
              <w:rPr/>
            </w:pPr>
            <w:r>
              <w:rPr/>
              <w:t>64</w:t>
            </w:r>
          </w:p>
        </w:tc>
      </w:tr>
      <w:tr>
        <w:trPr/>
        <w:tc>
          <w:tcPr>
            <w:tcW w:w="714"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2"/>
            <w:tcBorders/>
            <w:shd w:fill="CCEEFF" w:val="clear"/>
            <w:vAlign w:val="center"/>
          </w:tcPr>
          <w:p>
            <w:pPr>
              <w:pStyle w:val="TableContents"/>
              <w:bidi w:val="0"/>
              <w:spacing w:before="0" w:after="0"/>
              <w:jc w:val="left"/>
              <w:rPr/>
            </w:pPr>
            <w:hyperlink w:anchor="SIGNATURES">
              <w:r>
                <w:rPr>
                  <w:rStyle w:val="InternetLink"/>
                </w:rPr>
                <w:t>SIGNATURES</w:t>
              </w:r>
            </w:hyperlink>
          </w:p>
        </w:tc>
        <w:tc>
          <w:tcPr>
            <w:tcW w:w="261" w:type="dxa"/>
            <w:tcBorders/>
            <w:shd w:fill="CCEEFF" w:val="clear"/>
            <w:vAlign w:val="center"/>
          </w:tcPr>
          <w:p>
            <w:pPr>
              <w:pStyle w:val="TableContents"/>
              <w:bidi w:val="0"/>
              <w:spacing w:before="0" w:after="0"/>
              <w:jc w:val="right"/>
              <w:rPr/>
            </w:pPr>
            <w:r>
              <w:rPr/>
              <w:t>65</w:t>
            </w:r>
          </w:p>
        </w:tc>
      </w:tr>
    </w:tbl>
    <w:p>
      <w:pPr>
        <w:pStyle w:val="TextBody"/>
        <w:bidi w:val="0"/>
        <w:spacing w:before="0" w:after="0"/>
        <w:jc w:val="left"/>
        <w:rPr/>
      </w:pPr>
      <w:r>
        <w:rPr/>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This Quarterly Report on Form 10-Q includes our trademarks, trade names and service marks, such as “ASCENIV™,”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firstLine="72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manufacture BIVIGAM and ASCENIV on a commercial scale and further commercialize these products as a result of their approval by the U.S. Food and Drug Administration (the “FDA”) in 2019;</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develop, manufacture, market, launch and expand our commercial infrastructure and commercialize our current and future products and the success of such efforts;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safety, efficacy and expected timing of and our ability to obtain and maintain regulatory approvals for our current products and product candidates, and the labeling or nature of any such approvals;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achievement of or expected timing, progress and results of clinical development, clinical trials and potential regulatory approvals for our product candidates;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dependence upon our third-party customers and vendors and their compliance with applicable regulatory requirements;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tc>
      </w:tr>
    </w:tbl>
    <w:p>
      <w:pPr>
        <w:pStyle w:val="TextBody"/>
        <w:bidi w:val="0"/>
        <w:spacing w:before="0" w:after="0"/>
        <w:ind w:left="720" w:right="0" w:hanging="360"/>
        <w:jc w:val="left"/>
        <w:rPr/>
      </w:pPr>
      <w:r>
        <w:rPr/>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our ability to obtain adequate quantities of FDA-approved plasma with proper specifications;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tc>
      </w:tr>
    </w:tbl>
    <w:p>
      <w:pPr>
        <w:pStyle w:val="TextBody"/>
        <w:bidi w:val="0"/>
        <w:spacing w:before="0" w:after="0"/>
        <w:jc w:val="left"/>
        <w:rPr/>
      </w:pPr>
      <w:r>
        <w:rPr/>
      </w:r>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pPr>
            <w:r>
              <w:rPr/>
              <w:t>the potential indications for our products and product candidates;</w:t>
            </w:r>
          </w:p>
        </w:tc>
      </w:tr>
    </w:tbl>
    <w:p>
      <w:pPr>
        <w:pStyle w:val="TextBody"/>
        <w:bidi w:val="0"/>
        <w:spacing w:before="0" w:after="0"/>
        <w:ind w:left="720" w:right="0" w:hanging="360"/>
        <w:jc w:val="left"/>
        <w:rPr/>
      </w:pPr>
      <w:r>
        <w:rPr/>
      </w:r>
    </w:p>
    <w:tbl>
      <w:tblPr>
        <w:tblW w:w="4908" w:type="dxa"/>
        <w:jc w:val="left"/>
        <w:tblInd w:w="0" w:type="dxa"/>
        <w:tblLayout w:type="fixed"/>
        <w:tblCellMar>
          <w:top w:w="0" w:type="dxa"/>
          <w:left w:w="0" w:type="dxa"/>
          <w:bottom w:w="0" w:type="dxa"/>
          <w:right w:w="0" w:type="dxa"/>
        </w:tblCellMar>
      </w:tblPr>
      <w:tblGrid>
        <w:gridCol w:w="38"/>
        <w:gridCol w:w="110"/>
        <w:gridCol w:w="4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0"/>
              <w:jc w:val="left"/>
              <w:rPr/>
            </w:pPr>
            <w:r>
              <w:rPr/>
              <w:t>potential investigational new product applications;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acceptability of any of our products, including BIVIGAM, ASCENIV and Nabi-HB, for any purpose, including FDA-approved indications, by physicians, patients or payers;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evaluate the clinical and regulatory paths to grow the ASCENIV franchise through expanded FDA-approved uses;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Federal, state and local regulatory and business review processes and timing by such governmental and regulatory agencies of our business and regulatory submissions;</w:t>
            </w:r>
          </w:p>
        </w:tc>
      </w:tr>
    </w:tbl>
    <w:p>
      <w:pPr>
        <w:pStyle w:val="TextBody"/>
        <w:bidi w:val="0"/>
        <w:spacing w:before="0" w:after="0"/>
        <w:jc w:val="left"/>
        <w:rPr/>
      </w:pPr>
      <w:r>
        <w:rPr/>
      </w:r>
    </w:p>
    <w:tbl>
      <w:tblPr>
        <w:tblW w:w="9213" w:type="dxa"/>
        <w:jc w:val="left"/>
        <w:tblInd w:w="0" w:type="dxa"/>
        <w:tblLayout w:type="fixed"/>
        <w:tblCellMar>
          <w:top w:w="0" w:type="dxa"/>
          <w:left w:w="0" w:type="dxa"/>
          <w:bottom w:w="0" w:type="dxa"/>
          <w:right w:w="0" w:type="dxa"/>
        </w:tblCellMar>
      </w:tblPr>
      <w:tblGrid>
        <w:gridCol w:w="38"/>
        <w:gridCol w:w="110"/>
        <w:gridCol w:w="9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pPr>
            <w:r>
              <w:rPr/>
              <w:t>concurrence by the FDA with our conclusions concerning our products and product candidates;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comparability of results of our hyperimmune and immune globulin (“IG”) products to other comparably run hyperimmune and immune globulin clinical trials;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w:t>
            </w:r>
            <w:r>
              <w:rPr>
                <w:rFonts w:ascii="Times New Roman" w:hAnsi="Times New Roman"/>
              </w:rPr>
              <w:t xml:space="preserve">he potential for ASCENIV and BIVIGAM to provide meaningful clinical improvement for patients living with </w:t>
            </w:r>
            <w:r>
              <w:rPr>
                <w:rFonts w:ascii="Times New Roman" w:hAnsi="Times New Roman"/>
                <w:color w:val="000000"/>
                <w:sz w:val="20"/>
              </w:rPr>
              <w:t>Primary Humoral Immunodeficiency (“PI”), also known as Primary Immunodeficiency Disease (“PIDD”) or Inborn Errors of Immunity,</w:t>
            </w:r>
            <w:r>
              <w:rPr>
                <w:rFonts w:ascii="Times New Roman" w:hAnsi="Times New Roman"/>
              </w:rPr>
              <w:t xml:space="preserve"> or other immune deficiencies or any other condition for which the products may be prescribed or evaluated</w:t>
            </w: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market and promote Nabi-HB in a highly competitive environment with increasing competition from other antiviral therapies and to generate meaningful revenues from this product;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intellectual property position and the defense thereof, including our expectations regarding the scope of patent protection with respect to ASCENIV or other future pipeline product candidates;</w:t>
            </w:r>
          </w:p>
        </w:tc>
      </w:tr>
    </w:tbl>
    <w:p>
      <w:pPr>
        <w:pStyle w:val="TextBody"/>
        <w:bidi w:val="0"/>
        <w:spacing w:before="0" w:after="0"/>
        <w:jc w:val="left"/>
        <w:rPr/>
      </w:pPr>
      <w:r>
        <w:rPr/>
      </w:r>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left"/>
              <w:rPr/>
            </w:pPr>
            <w:r>
              <w:rPr/>
              <w:t>our manufacturing capabilities, third-party contractor capabilities and vertical integration strategy;</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related to the expansion and efficiencies of our manufacturing capacity, yield improvements, supply-chain robustness, in-house fill-finish capabilities, distribution and other collaborative agreements and the success of such endeavors;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estimates regarding revenues, expenses, capital requirements, timing to profitability and positive cash flows and the need for and availability of additional financing;</w:t>
            </w:r>
          </w:p>
        </w:tc>
      </w:tr>
    </w:tbl>
    <w:p>
      <w:pPr>
        <w:pStyle w:val="TextBody"/>
        <w:bidi w:val="0"/>
        <w:spacing w:before="0" w:after="0"/>
        <w:ind w:left="720" w:right="0" w:hanging="360"/>
        <w:jc w:val="left"/>
        <w:rPr/>
      </w:pPr>
      <w:r>
        <w:rPr/>
      </w:r>
    </w:p>
    <w:tbl>
      <w:tblPr>
        <w:tblW w:w="7308" w:type="dxa"/>
        <w:jc w:val="left"/>
        <w:tblInd w:w="0" w:type="dxa"/>
        <w:tblLayout w:type="fixed"/>
        <w:tblCellMar>
          <w:top w:w="0" w:type="dxa"/>
          <w:left w:w="0" w:type="dxa"/>
          <w:bottom w:w="0" w:type="dxa"/>
          <w:right w:w="0" w:type="dxa"/>
        </w:tblCellMar>
      </w:tblPr>
      <w:tblGrid>
        <w:gridCol w:w="38"/>
        <w:gridCol w:w="110"/>
        <w:gridCol w:w="71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0"/>
              <w:jc w:val="left"/>
              <w:rPr/>
            </w:pPr>
            <w:r>
              <w:rPr/>
              <w:t>possible or likely reimbursement levels for our currently marketed products;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estimates regarding market size, projected growth and sales of our existing products as well as our expectations of market acceptance of ASCENIV and BIVIGAM;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effects of the coronavirus COVID-19 pandemic and other potential pandemics on our business, financial condition, liquidity and results of operations, and our ability to continue operations in the same manner as previously conducted prior to the macroeconomic effects of the COVID-19 pandemic and other potential pandemics;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future domestic and global economic conditions including, but not limited to, supply chain constraints, inflationary pressures or performance.</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2022 and in this Quarterly Report on Form 10-Q for the quarter ended March 31, 2023.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pStyle w:val="TextBody"/>
        <w:bidi w:val="0"/>
        <w:spacing w:before="0" w:after="0"/>
        <w:ind w:left="0" w:right="0" w:firstLine="72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FINANCIAL INFORMATION</w:t>
      </w:r>
    </w:p>
    <w:p>
      <w:pPr>
        <w:pStyle w:val="TextBody"/>
        <w:bidi w:val="0"/>
        <w:spacing w:before="0" w:after="0"/>
        <w:jc w:val="left"/>
        <w:rPr/>
      </w:pPr>
      <w:r>
        <w:rPr/>
      </w:r>
    </w:p>
    <w:tbl>
      <w:tblPr>
        <w:tblW w:w="2950" w:type="dxa"/>
        <w:jc w:val="left"/>
        <w:tblInd w:w="0" w:type="dxa"/>
        <w:tblLayout w:type="fixed"/>
        <w:tblCellMar>
          <w:top w:w="0" w:type="dxa"/>
          <w:left w:w="0" w:type="dxa"/>
          <w:bottom w:w="0" w:type="dxa"/>
          <w:right w:w="0" w:type="dxa"/>
        </w:tblCellMar>
      </w:tblPr>
      <w:tblGrid>
        <w:gridCol w:w="740"/>
        <w:gridCol w:w="2210"/>
      </w:tblGrid>
      <w:tr>
        <w:trPr/>
        <w:tc>
          <w:tcPr>
            <w:tcW w:w="740" w:type="dxa"/>
            <w:tcBorders/>
            <w:vAlign w:val="center"/>
          </w:tcPr>
          <w:p>
            <w:pPr>
              <w:pStyle w:val="TableContents"/>
              <w:bidi w:val="0"/>
              <w:spacing w:before="0" w:after="283"/>
              <w:jc w:val="left"/>
              <w:rPr>
                <w:b/>
              </w:rPr>
            </w:pPr>
            <w:r>
              <w:rPr>
                <w:b/>
              </w:rPr>
              <w:t>Item 1.</w:t>
            </w:r>
          </w:p>
        </w:tc>
        <w:tc>
          <w:tcPr>
            <w:tcW w:w="221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CONDENSED CONSOLIDATED </w:t>
      </w:r>
      <w:bookmarkStart w:id="1" w:name="BALANCESHEETS"/>
      <w:bookmarkEnd w:id="1"/>
      <w:r>
        <w:rPr>
          <w:rFonts w:ascii="Times New Roman" w:hAnsi="Times New Roman"/>
          <w:b/>
          <w:color w:val="000000"/>
          <w:sz w:val="20"/>
        </w:rPr>
        <w:t>BALANCE SHEETS</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6992"/>
        <w:gridCol w:w="60"/>
        <w:gridCol w:w="140"/>
        <w:gridCol w:w="1295"/>
        <w:gridCol w:w="95"/>
        <w:gridCol w:w="60"/>
        <w:gridCol w:w="141"/>
        <w:gridCol w:w="1311"/>
        <w:gridCol w:w="111"/>
      </w:tblGrid>
      <w:tr>
        <w:trPr/>
        <w:tc>
          <w:tcPr>
            <w:tcW w:w="69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center"/>
              <w:rPr/>
            </w:pPr>
            <w:r>
              <w:rPr/>
              <w:t> </w:t>
            </w:r>
            <w:r>
              <w:rPr>
                <w:b/>
              </w:rPr>
              <w:t>March 31,</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452" w:type="dxa"/>
            <w:gridSpan w:val="2"/>
            <w:tcBorders/>
            <w:vAlign w:val="bottom"/>
          </w:tcPr>
          <w:p>
            <w:pPr>
              <w:pStyle w:val="TableContents"/>
              <w:bidi w:val="0"/>
              <w:spacing w:before="0" w:after="283"/>
              <w:jc w:val="center"/>
              <w:rPr/>
            </w:pPr>
            <w:r>
              <w:rPr/>
              <w:t> </w:t>
            </w:r>
            <w:r>
              <w:rPr>
                <w:b/>
              </w:rPr>
              <w:t>December 31,</w:t>
            </w:r>
          </w:p>
        </w:tc>
        <w:tc>
          <w:tcPr>
            <w:tcW w:w="111" w:type="dxa"/>
            <w:tcBorders/>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2023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2022 </w:t>
            </w:r>
          </w:p>
        </w:tc>
        <w:tc>
          <w:tcPr>
            <w:tcW w:w="111" w:type="dxa"/>
            <w:tcBorders/>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ASSETS</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Current assets:</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324" w:right="0" w:hanging="144"/>
              <w:jc w:val="left"/>
              <w:rPr/>
            </w:pPr>
            <w:r>
              <w:rPr/>
              <w:t>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1295" w:type="dxa"/>
            <w:tcBorders/>
            <w:shd w:fill="CCEEFF" w:val="clear"/>
            <w:vAlign w:val="bottom"/>
          </w:tcPr>
          <w:p>
            <w:pPr>
              <w:pStyle w:val="TableContents"/>
              <w:bidi w:val="0"/>
              <w:spacing w:before="0" w:after="0"/>
              <w:jc w:val="right"/>
              <w:rPr/>
            </w:pPr>
            <w:r>
              <w:rPr/>
              <w:t>69,204,163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pPr>
            <w:r>
              <w:rPr/>
              <w:t>$</w:t>
            </w:r>
          </w:p>
        </w:tc>
        <w:tc>
          <w:tcPr>
            <w:tcW w:w="1311" w:type="dxa"/>
            <w:tcBorders/>
            <w:shd w:fill="CCEEFF" w:val="clear"/>
            <w:vAlign w:val="bottom"/>
          </w:tcPr>
          <w:p>
            <w:pPr>
              <w:pStyle w:val="TableContents"/>
              <w:bidi w:val="0"/>
              <w:spacing w:before="0" w:after="0"/>
              <w:jc w:val="right"/>
              <w:rPr/>
            </w:pPr>
            <w:r>
              <w:rPr/>
              <w:t>86,521,542</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324" w:right="0" w:hanging="144"/>
              <w:jc w:val="left"/>
              <w:rPr/>
            </w:pPr>
            <w:r>
              <w:rPr/>
              <w:t>Accounts receivable, net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26,518,495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15,505,048</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324" w:right="0" w:hanging="144"/>
              <w:jc w:val="left"/>
              <w:rPr/>
            </w:pPr>
            <w:r>
              <w:rPr/>
              <w:t>Inventories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163,984,873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163,280,047</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324" w:right="0" w:hanging="144"/>
              <w:jc w:val="left"/>
              <w:rPr/>
            </w:pPr>
            <w:r>
              <w:rPr/>
              <w:t>Prepaid expenses and other current assets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4,378,681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pPr>
            <w:r>
              <w:rPr/>
              <w:t>5,095,146</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504" w:right="0" w:hanging="144"/>
              <w:jc w:val="left"/>
              <w:rPr/>
            </w:pPr>
            <w:r>
              <w:rPr/>
              <w:t>Total current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264,086,212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270,401,783</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Property and equipment, net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57,370,783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58,261,481</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pPr>
            <w:r>
              <w:rPr/>
              <w:t>Intangible assets,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834,577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1,013,415</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Goodwill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3,529,509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3,529,509</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pPr>
            <w:r>
              <w:rPr/>
              <w:t>Right to use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10,247,700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10,485,447</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Deposits and other assets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4,718,761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pPr>
            <w:r>
              <w:rPr/>
              <w:t>4,770,246</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b/>
              </w:rPr>
            </w:pPr>
            <w:r>
              <w:rPr>
                <w:b/>
              </w:rPr>
              <w:t>TOTAL ASSETS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5" w:type="dxa"/>
            <w:tcBorders>
              <w:bottom w:val="double" w:sz="8" w:space="0" w:color="000000"/>
            </w:tcBorders>
            <w:shd w:fill="CCEEFF" w:val="clear"/>
            <w:tcMar>
              <w:bottom w:w="28" w:type="dxa"/>
            </w:tcMar>
            <w:vAlign w:val="bottom"/>
          </w:tcPr>
          <w:p>
            <w:pPr>
              <w:pStyle w:val="TableContents"/>
              <w:bidi w:val="0"/>
              <w:spacing w:before="0" w:after="0"/>
              <w:jc w:val="right"/>
              <w:rPr/>
            </w:pPr>
            <w:r>
              <w:rPr/>
              <w:t>340,787,542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11" w:type="dxa"/>
            <w:tcBorders>
              <w:bottom w:val="double" w:sz="8" w:space="0" w:color="000000"/>
            </w:tcBorders>
            <w:shd w:fill="CCEEFF" w:val="clear"/>
            <w:tcMar>
              <w:bottom w:w="28" w:type="dxa"/>
            </w:tcMar>
            <w:vAlign w:val="bottom"/>
          </w:tcPr>
          <w:p>
            <w:pPr>
              <w:pStyle w:val="TableContents"/>
              <w:bidi w:val="0"/>
              <w:spacing w:before="0" w:after="0"/>
              <w:jc w:val="right"/>
              <w:rPr/>
            </w:pPr>
            <w:r>
              <w:rPr/>
              <w:t>348,461,881</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b/>
              </w:rPr>
            </w:pPr>
            <w:r>
              <w:rPr>
                <w:b/>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Current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324" w:right="0" w:hanging="144"/>
              <w:jc w:val="left"/>
              <w:rPr/>
            </w:pPr>
            <w:r>
              <w:rPr/>
              <w:t>Accounts payable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1295" w:type="dxa"/>
            <w:tcBorders/>
            <w:shd w:fill="CCEEFF" w:val="clear"/>
            <w:vAlign w:val="bottom"/>
          </w:tcPr>
          <w:p>
            <w:pPr>
              <w:pStyle w:val="TableContents"/>
              <w:bidi w:val="0"/>
              <w:spacing w:before="0" w:after="0"/>
              <w:jc w:val="right"/>
              <w:rPr/>
            </w:pPr>
            <w:r>
              <w:rPr/>
              <w:t>12,956,486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pPr>
            <w:r>
              <w:rPr/>
              <w:t>$</w:t>
            </w:r>
          </w:p>
        </w:tc>
        <w:tc>
          <w:tcPr>
            <w:tcW w:w="1311" w:type="dxa"/>
            <w:tcBorders/>
            <w:shd w:fill="CCEEFF" w:val="clear"/>
            <w:vAlign w:val="bottom"/>
          </w:tcPr>
          <w:p>
            <w:pPr>
              <w:pStyle w:val="TableContents"/>
              <w:bidi w:val="0"/>
              <w:spacing w:before="0" w:after="0"/>
              <w:jc w:val="right"/>
              <w:rPr/>
            </w:pPr>
            <w:r>
              <w:rPr/>
              <w:t>13,229,390</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324" w:right="0" w:hanging="144"/>
              <w:jc w:val="left"/>
              <w:rPr/>
            </w:pPr>
            <w:r>
              <w:rPr/>
              <w:t>Accrued expenses and other current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22,672,464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24,989,349</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324" w:right="0" w:hanging="144"/>
              <w:jc w:val="left"/>
              <w:rPr/>
            </w:pPr>
            <w:r>
              <w:rPr/>
              <w:t>Current portion of deferred revenue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142,834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142,834</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324" w:right="0" w:hanging="144"/>
              <w:jc w:val="left"/>
              <w:rPr/>
            </w:pPr>
            <w:r>
              <w:rPr/>
              <w:t>Current portion of lease obligations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956,045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pPr>
            <w:r>
              <w:rPr/>
              <w:t>905,369</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504" w:right="0" w:hanging="144"/>
              <w:jc w:val="left"/>
              <w:rPr/>
            </w:pPr>
            <w:r>
              <w:rPr/>
              <w:t>Total current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36,727,829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39,266,942</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Senior notes payable, net of discount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144,300,930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142,833,063</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pPr>
            <w:r>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1,797,323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1,833,031</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End of term fee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1,500,000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1,500,000</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pPr>
            <w:r>
              <w:rPr/>
              <w:t>Lease obligations, net of current portion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10,468,109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10,704,176</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Other non-current liabilities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338,731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pPr>
            <w:r>
              <w:rPr/>
              <w:t>350,454</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b/>
              </w:rPr>
            </w:pPr>
            <w:r>
              <w:rPr>
                <w:b/>
              </w:rPr>
              <w:t>TOTAL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bottom"/>
          </w:tcPr>
          <w:p>
            <w:pPr>
              <w:pStyle w:val="TableContents"/>
              <w:bidi w:val="0"/>
              <w:spacing w:before="0" w:after="0"/>
              <w:jc w:val="right"/>
              <w:rPr/>
            </w:pPr>
            <w:r>
              <w:rPr/>
              <w:t>195,132,922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pPr>
            <w:r>
              <w:rPr/>
              <w:t>196,487,666</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b/>
              </w:rPr>
            </w:pPr>
            <w:r>
              <w:rPr>
                <w:b/>
              </w:rPr>
              <w:t>COMMITMENTS AND CONTINGENCIES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b/>
              </w:rPr>
            </w:pPr>
            <w:r>
              <w:rPr>
                <w:b/>
              </w:rPr>
              <w:t>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0"/>
              <w:jc w:val="left"/>
              <w:rPr/>
            </w:pPr>
            <w:r>
              <w:rPr/>
              <w:t>Preferred Stock, $0.0001 par value, 10,000,000 shares authorized, no shares issued and outstanding</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0"/>
              <w:jc w:val="left"/>
              <w:rPr/>
            </w:pPr>
            <w:r>
              <w:rPr/>
              <w:t>Common Stock - voting, $0.0001 par value, 300,000,000 shares authorized, 222,262,588 and 221,816,930 shares issued and outstanding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22,226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pPr>
            <w:r>
              <w:rPr/>
              <w:t>22,182</w:t>
            </w:r>
          </w:p>
        </w:tc>
        <w:tc>
          <w:tcPr>
            <w:tcW w:w="111" w:type="dxa"/>
            <w:tcBorders/>
            <w:shd w:fill="CCEEFF" w:val="clear"/>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0"/>
              <w:ind w:left="144" w:right="0" w:hanging="144"/>
              <w:jc w:val="left"/>
              <w:rPr/>
            </w:pPr>
            <w:r>
              <w:rPr/>
              <w:t>Additional paid-in capital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630,437,880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pPr>
            <w:r>
              <w:rPr/>
              <w:t>629,968,704</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pPr>
            <w:r>
              <w:rPr/>
              <w:t>Accumulated deficit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bottom"/>
          </w:tcPr>
          <w:p>
            <w:pPr>
              <w:pStyle w:val="TableContents"/>
              <w:bidi w:val="0"/>
              <w:spacing w:before="0" w:after="0"/>
              <w:jc w:val="right"/>
              <w:rPr/>
            </w:pPr>
            <w:r>
              <w:rPr/>
              <w:t>(484,805,486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pPr>
            <w:r>
              <w:rPr/>
              <w:t>(478,016,671</w:t>
            </w:r>
          </w:p>
        </w:tc>
        <w:tc>
          <w:tcPr>
            <w:tcW w:w="111" w:type="dxa"/>
            <w:tcBorders/>
            <w:shd w:fill="CCEEFF" w:val="clear"/>
            <w:vAlign w:val="bottom"/>
          </w:tcPr>
          <w:p>
            <w:pPr>
              <w:pStyle w:val="TableContents"/>
              <w:bidi w:val="0"/>
              <w:spacing w:before="0" w:after="0"/>
              <w:jc w:val="left"/>
              <w:rPr/>
            </w:pPr>
            <w:r>
              <w:rPr/>
              <w:t>)</w:t>
            </w:r>
          </w:p>
        </w:tc>
      </w:tr>
      <w:tr>
        <w:trPr/>
        <w:tc>
          <w:tcPr>
            <w:tcW w:w="6992" w:type="dxa"/>
            <w:tcBorders/>
            <w:vAlign w:val="bottom"/>
          </w:tcPr>
          <w:p>
            <w:pPr>
              <w:pStyle w:val="TableContents"/>
              <w:bidi w:val="0"/>
              <w:spacing w:before="0" w:after="0"/>
              <w:ind w:left="144" w:right="0" w:hanging="144"/>
              <w:jc w:val="left"/>
              <w:rPr>
                <w:b/>
              </w:rPr>
            </w:pPr>
            <w:r>
              <w:rPr>
                <w:b/>
              </w:rPr>
              <w:t>TOTAL STOCKHOLDERS’ EQUITY</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145,654,620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pPr>
            <w:r>
              <w:rPr/>
              <w:t>151,974,215</w:t>
            </w:r>
          </w:p>
        </w:tc>
        <w:tc>
          <w:tcPr>
            <w:tcW w:w="111" w:type="dxa"/>
            <w:tcBorders/>
            <w:vAlign w:val="bottom"/>
          </w:tcPr>
          <w:p>
            <w:pPr>
              <w:pStyle w:val="TableContents"/>
              <w:bidi w:val="0"/>
              <w:spacing w:before="0" w:after="283"/>
              <w:jc w:val="left"/>
              <w:rPr/>
            </w:pPr>
            <w:r>
              <w:rPr/>
              <w:t> </w:t>
            </w:r>
          </w:p>
        </w:tc>
      </w:tr>
      <w:tr>
        <w:trPr/>
        <w:tc>
          <w:tcPr>
            <w:tcW w:w="6992" w:type="dxa"/>
            <w:tcBorders/>
            <w:shd w:fill="CCEEFF" w:val="clear"/>
            <w:vAlign w:val="bottom"/>
          </w:tcPr>
          <w:p>
            <w:pPr>
              <w:pStyle w:val="TableContents"/>
              <w:bidi w:val="0"/>
              <w:spacing w:before="0" w:after="0"/>
              <w:ind w:left="144" w:right="0" w:hanging="144"/>
              <w:jc w:val="left"/>
              <w:rPr>
                <w:b/>
              </w:rPr>
            </w:pPr>
            <w:r>
              <w:rPr>
                <w:b/>
              </w:rPr>
              <w:t>TOTAL 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5" w:type="dxa"/>
            <w:tcBorders>
              <w:bottom w:val="double" w:sz="8" w:space="0" w:color="000000"/>
            </w:tcBorders>
            <w:shd w:fill="CCEEFF" w:val="clear"/>
            <w:tcMar>
              <w:bottom w:w="28" w:type="dxa"/>
            </w:tcMar>
            <w:vAlign w:val="bottom"/>
          </w:tcPr>
          <w:p>
            <w:pPr>
              <w:pStyle w:val="TableContents"/>
              <w:bidi w:val="0"/>
              <w:spacing w:before="0" w:after="0"/>
              <w:jc w:val="right"/>
              <w:rPr/>
            </w:pPr>
            <w:r>
              <w:rPr/>
              <w:t>340,787,542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11" w:type="dxa"/>
            <w:tcBorders>
              <w:bottom w:val="double" w:sz="8" w:space="0" w:color="000000"/>
            </w:tcBorders>
            <w:shd w:fill="CCEEFF" w:val="clear"/>
            <w:tcMar>
              <w:bottom w:w="28" w:type="dxa"/>
            </w:tcMar>
            <w:vAlign w:val="bottom"/>
          </w:tcPr>
          <w:p>
            <w:pPr>
              <w:pStyle w:val="TableContents"/>
              <w:bidi w:val="0"/>
              <w:spacing w:before="0" w:after="0"/>
              <w:jc w:val="right"/>
              <w:rPr/>
            </w:pPr>
            <w:r>
              <w:rPr/>
              <w:t>348,461,881</w:t>
            </w:r>
          </w:p>
        </w:tc>
        <w:tc>
          <w:tcPr>
            <w:tcW w:w="111"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CONDENSED CONSOLIDATED </w:t>
      </w:r>
      <w:bookmarkStart w:id="2" w:name="STATEMENTSOFOPERATIONS"/>
      <w:bookmarkEnd w:id="2"/>
      <w:r>
        <w:rPr>
          <w:rFonts w:ascii="Times New Roman" w:hAnsi="Times New Roman"/>
          <w:b/>
          <w:color w:val="000000"/>
          <w:sz w:val="20"/>
        </w:rPr>
        <w:t>STATEMENTS OF OPERATIONS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6746"/>
        <w:gridCol w:w="60"/>
        <w:gridCol w:w="160"/>
        <w:gridCol w:w="1402"/>
        <w:gridCol w:w="108"/>
        <w:gridCol w:w="68"/>
        <w:gridCol w:w="160"/>
        <w:gridCol w:w="1402"/>
        <w:gridCol w:w="99"/>
      </w:tblGrid>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99"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6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9"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283"/>
              <w:jc w:val="left"/>
              <w:rPr>
                <w:b/>
              </w:rPr>
            </w:pPr>
            <w:r>
              <w:rPr>
                <w:b/>
              </w:rPr>
              <w:t>REVENUES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56,913,534</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29,103,093</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pPr>
            <w:r>
              <w:rPr/>
              <w:t>Cost of product revenue</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283"/>
              <w:jc w:val="right"/>
              <w:rPr/>
            </w:pPr>
            <w:r>
              <w:rPr/>
              <w:t>40,400,544</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283"/>
              <w:jc w:val="right"/>
              <w:rPr/>
            </w:pPr>
            <w:r>
              <w:rPr/>
              <w:t>25,441,046</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360" w:right="0" w:hanging="0"/>
              <w:jc w:val="left"/>
              <w:rPr>
                <w:b/>
              </w:rPr>
            </w:pPr>
            <w:r>
              <w:rPr>
                <w:b/>
              </w:rPr>
              <w:t>Gross profit</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bottom"/>
          </w:tcPr>
          <w:p>
            <w:pPr>
              <w:pStyle w:val="TableContents"/>
              <w:bidi w:val="0"/>
              <w:spacing w:before="0" w:after="283"/>
              <w:jc w:val="right"/>
              <w:rPr/>
            </w:pPr>
            <w:r>
              <w:rPr/>
              <w:t>16,512,990</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bottom"/>
          </w:tcPr>
          <w:p>
            <w:pPr>
              <w:pStyle w:val="TableContents"/>
              <w:bidi w:val="0"/>
              <w:spacing w:before="0" w:after="283"/>
              <w:jc w:val="right"/>
              <w:rPr/>
            </w:pPr>
            <w:r>
              <w:rPr/>
              <w:t>3,662,047</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144" w:right="0" w:hanging="144"/>
              <w:jc w:val="left"/>
              <w:rPr>
                <w:b/>
              </w:rPr>
            </w:pPr>
            <w:r>
              <w:rPr>
                <w:b/>
              </w:rPr>
              <w:t>OPERATING EXPENSES: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324" w:right="0" w:hanging="144"/>
              <w:jc w:val="left"/>
              <w:rPr/>
            </w:pPr>
            <w:r>
              <w:rPr/>
              <w:t>Research and development</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0"/>
              <w:jc w:val="right"/>
              <w:rPr/>
            </w:pPr>
            <w:r>
              <w:rPr/>
              <w:t>855,351</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0"/>
              <w:jc w:val="right"/>
              <w:rPr/>
            </w:pPr>
            <w:r>
              <w:rPr/>
              <w:t>624,111</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324" w:right="0" w:hanging="144"/>
              <w:jc w:val="left"/>
              <w:rPr/>
            </w:pPr>
            <w:r>
              <w:rPr/>
              <w:t>Plasma center operating expenses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0"/>
              <w:jc w:val="right"/>
              <w:rPr/>
            </w:pPr>
            <w:r>
              <w:rPr/>
              <w:t>1,780,463</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0"/>
              <w:jc w:val="right"/>
              <w:rPr/>
            </w:pPr>
            <w:r>
              <w:rPr/>
              <w:t>3,974,589</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324" w:right="0" w:hanging="144"/>
              <w:jc w:val="left"/>
              <w:rPr/>
            </w:pPr>
            <w:r>
              <w:rPr/>
              <w:t>Amortization of intangible assets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0"/>
              <w:jc w:val="right"/>
              <w:rPr/>
            </w:pPr>
            <w:r>
              <w:rPr/>
              <w:t>178,838</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0"/>
              <w:jc w:val="right"/>
              <w:rPr/>
            </w:pPr>
            <w:r>
              <w:rPr/>
              <w:t>178,838</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324" w:right="0" w:hanging="144"/>
              <w:jc w:val="left"/>
              <w:rPr/>
            </w:pPr>
            <w:r>
              <w:rPr/>
              <w:t>Selling, general and administrative</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bottom"/>
          </w:tcPr>
          <w:p>
            <w:pPr>
              <w:pStyle w:val="TableContents"/>
              <w:bidi w:val="0"/>
              <w:spacing w:before="0" w:after="0"/>
              <w:jc w:val="right"/>
              <w:rPr/>
            </w:pPr>
            <w:r>
              <w:rPr/>
              <w:t>14,511,656</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bottom"/>
          </w:tcPr>
          <w:p>
            <w:pPr>
              <w:pStyle w:val="TableContents"/>
              <w:bidi w:val="0"/>
              <w:spacing w:before="0" w:after="0"/>
              <w:jc w:val="right"/>
              <w:rPr/>
            </w:pPr>
            <w:r>
              <w:rPr/>
              <w:t>13,699,575</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504" w:right="0" w:hanging="144"/>
              <w:jc w:val="left"/>
              <w:rPr>
                <w:b/>
              </w:rPr>
            </w:pPr>
            <w:r>
              <w:rPr>
                <w:b/>
              </w:rPr>
              <w:t>Total operating expenses</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0"/>
              <w:jc w:val="right"/>
              <w:rPr/>
            </w:pPr>
            <w:r>
              <w:rPr/>
              <w:t>17,326,308</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0"/>
              <w:jc w:val="right"/>
              <w:rPr/>
            </w:pPr>
            <w:r>
              <w:rPr/>
              <w:t>18,477,113</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144" w:right="0" w:hanging="144"/>
              <w:jc w:val="left"/>
              <w:rPr>
                <w:b/>
              </w:rPr>
            </w:pPr>
            <w:r>
              <w:rPr>
                <w:b/>
              </w:rPr>
              <w:t>LOSS FROM OPERATIONS</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0"/>
              <w:jc w:val="right"/>
              <w:rPr/>
            </w:pPr>
            <w:r>
              <w:rPr/>
              <w:t>(813,318</w:t>
            </w:r>
          </w:p>
        </w:tc>
        <w:tc>
          <w:tcPr>
            <w:tcW w:w="108" w:type="dxa"/>
            <w:tcBorders/>
            <w:vAlign w:val="bottom"/>
          </w:tcPr>
          <w:p>
            <w:pPr>
              <w:pStyle w:val="TableContents"/>
              <w:bidi w:val="0"/>
              <w:spacing w:before="0" w:after="0"/>
              <w:jc w:val="left"/>
              <w:rPr/>
            </w:pPr>
            <w:r>
              <w:rPr/>
              <w:t>)</w:t>
            </w:r>
          </w:p>
        </w:tc>
        <w:tc>
          <w:tcPr>
            <w:tcW w:w="68"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0"/>
              <w:jc w:val="right"/>
              <w:rPr/>
            </w:pPr>
            <w:r>
              <w:rPr/>
              <w:t>(14,815,066</w:t>
            </w:r>
          </w:p>
        </w:tc>
        <w:tc>
          <w:tcPr>
            <w:tcW w:w="99" w:type="dxa"/>
            <w:tcBorders/>
            <w:vAlign w:val="bottom"/>
          </w:tcPr>
          <w:p>
            <w:pPr>
              <w:pStyle w:val="TableContents"/>
              <w:bidi w:val="0"/>
              <w:spacing w:before="0" w:after="0"/>
              <w:jc w:val="left"/>
              <w:rPr/>
            </w:pPr>
            <w:r>
              <w:rPr/>
              <w:t>)</w:t>
            </w:r>
          </w:p>
        </w:tc>
      </w:tr>
      <w:tr>
        <w:trPr/>
        <w:tc>
          <w:tcPr>
            <w:tcW w:w="67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144" w:right="0" w:hanging="144"/>
              <w:jc w:val="left"/>
              <w:rPr>
                <w:b/>
              </w:rPr>
            </w:pPr>
            <w:r>
              <w:rPr>
                <w:b/>
              </w:rPr>
              <w:t>OTHER INCOME (EXPENSE):</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324" w:right="0" w:hanging="144"/>
              <w:jc w:val="left"/>
              <w:rPr/>
            </w:pPr>
            <w:r>
              <w:rPr/>
              <w:t>Interest income</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0"/>
              <w:jc w:val="right"/>
              <w:rPr/>
            </w:pPr>
            <w:r>
              <w:rPr/>
              <w:t>166,971</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0"/>
              <w:jc w:val="right"/>
              <w:rPr/>
            </w:pPr>
            <w:r>
              <w:rPr/>
              <w:t>33,068</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324" w:right="0" w:hanging="144"/>
              <w:jc w:val="left"/>
              <w:rPr/>
            </w:pPr>
            <w:r>
              <w:rPr/>
              <w:t>Interest expense</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0"/>
              <w:jc w:val="right"/>
              <w:rPr/>
            </w:pPr>
            <w:r>
              <w:rPr/>
              <w:t>(6,115,484</w:t>
            </w:r>
          </w:p>
        </w:tc>
        <w:tc>
          <w:tcPr>
            <w:tcW w:w="108" w:type="dxa"/>
            <w:tcBorders/>
            <w:vAlign w:val="bottom"/>
          </w:tcPr>
          <w:p>
            <w:pPr>
              <w:pStyle w:val="TableContents"/>
              <w:bidi w:val="0"/>
              <w:spacing w:before="0" w:after="0"/>
              <w:jc w:val="left"/>
              <w:rPr/>
            </w:pPr>
            <w:r>
              <w:rPr/>
              <w:t>)</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0"/>
              <w:jc w:val="right"/>
              <w:rPr/>
            </w:pPr>
            <w:r>
              <w:rPr/>
              <w:t>(3,389,038</w:t>
            </w:r>
          </w:p>
        </w:tc>
        <w:tc>
          <w:tcPr>
            <w:tcW w:w="99" w:type="dxa"/>
            <w:tcBorders/>
            <w:vAlign w:val="bottom"/>
          </w:tcPr>
          <w:p>
            <w:pPr>
              <w:pStyle w:val="TableContents"/>
              <w:bidi w:val="0"/>
              <w:spacing w:before="0" w:after="0"/>
              <w:jc w:val="left"/>
              <w:rPr/>
            </w:pPr>
            <w:r>
              <w:rPr/>
              <w:t>)</w:t>
            </w:r>
          </w:p>
        </w:tc>
      </w:tr>
      <w:tr>
        <w:trPr/>
        <w:tc>
          <w:tcPr>
            <w:tcW w:w="6746" w:type="dxa"/>
            <w:tcBorders/>
            <w:shd w:fill="CCEEFF" w:val="clear"/>
            <w:vAlign w:val="bottom"/>
          </w:tcPr>
          <w:p>
            <w:pPr>
              <w:pStyle w:val="TableContents"/>
              <w:bidi w:val="0"/>
              <w:spacing w:before="0" w:after="0"/>
              <w:ind w:left="180" w:right="0" w:hanging="0"/>
              <w:jc w:val="left"/>
              <w:rPr/>
            </w:pPr>
            <w:r>
              <w:rPr/>
              <w:t>Loss on extinguishment of debt</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(6,669,941</w:t>
            </w:r>
          </w:p>
        </w:tc>
        <w:tc>
          <w:tcPr>
            <w:tcW w:w="99" w:type="dxa"/>
            <w:tcBorders/>
            <w:shd w:fill="CCEEFF" w:val="clear"/>
            <w:vAlign w:val="bottom"/>
          </w:tcPr>
          <w:p>
            <w:pPr>
              <w:pStyle w:val="TableContents"/>
              <w:bidi w:val="0"/>
              <w:spacing w:before="0" w:after="283"/>
              <w:jc w:val="left"/>
              <w:rPr/>
            </w:pPr>
            <w:r>
              <w:rPr/>
              <w:t>)</w:t>
            </w:r>
          </w:p>
        </w:tc>
      </w:tr>
      <w:tr>
        <w:trPr/>
        <w:tc>
          <w:tcPr>
            <w:tcW w:w="6746" w:type="dxa"/>
            <w:tcBorders/>
            <w:vAlign w:val="bottom"/>
          </w:tcPr>
          <w:p>
            <w:pPr>
              <w:pStyle w:val="TableContents"/>
              <w:bidi w:val="0"/>
              <w:spacing w:before="0" w:after="0"/>
              <w:ind w:left="324" w:right="0" w:hanging="144"/>
              <w:jc w:val="left"/>
              <w:rPr/>
            </w:pPr>
            <w:r>
              <w:rPr/>
              <w:t>Other expense</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0"/>
              <w:jc w:val="right"/>
              <w:rPr/>
            </w:pPr>
            <w:r>
              <w:rPr/>
              <w:t>(26,984</w:t>
            </w:r>
          </w:p>
        </w:tc>
        <w:tc>
          <w:tcPr>
            <w:tcW w:w="108" w:type="dxa"/>
            <w:tcBorders/>
            <w:vAlign w:val="bottom"/>
          </w:tcPr>
          <w:p>
            <w:pPr>
              <w:pStyle w:val="TableContents"/>
              <w:bidi w:val="0"/>
              <w:spacing w:before="0" w:after="0"/>
              <w:jc w:val="left"/>
              <w:rPr/>
            </w:pPr>
            <w:r>
              <w:rPr/>
              <w:t>)</w:t>
            </w:r>
          </w:p>
        </w:tc>
        <w:tc>
          <w:tcPr>
            <w:tcW w:w="68"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tcMar>
              <w:bottom w:w="28" w:type="dxa"/>
            </w:tcMar>
            <w:vAlign w:val="bottom"/>
          </w:tcPr>
          <w:p>
            <w:pPr>
              <w:pStyle w:val="TableContents"/>
              <w:bidi w:val="0"/>
              <w:spacing w:before="0" w:after="0"/>
              <w:jc w:val="right"/>
              <w:rPr/>
            </w:pPr>
            <w:r>
              <w:rPr/>
              <w:t>(166,880</w:t>
            </w:r>
          </w:p>
        </w:tc>
        <w:tc>
          <w:tcPr>
            <w:tcW w:w="99" w:type="dxa"/>
            <w:tcBorders/>
            <w:vAlign w:val="bottom"/>
          </w:tcPr>
          <w:p>
            <w:pPr>
              <w:pStyle w:val="TableContents"/>
              <w:bidi w:val="0"/>
              <w:spacing w:before="0" w:after="0"/>
              <w:jc w:val="left"/>
              <w:rPr/>
            </w:pPr>
            <w:r>
              <w:rPr/>
              <w:t>)</w:t>
            </w:r>
          </w:p>
        </w:tc>
      </w:tr>
      <w:tr>
        <w:trPr/>
        <w:tc>
          <w:tcPr>
            <w:tcW w:w="6746" w:type="dxa"/>
            <w:tcBorders/>
            <w:shd w:fill="CCEEFF" w:val="clear"/>
            <w:vAlign w:val="bottom"/>
          </w:tcPr>
          <w:p>
            <w:pPr>
              <w:pStyle w:val="TableContents"/>
              <w:bidi w:val="0"/>
              <w:spacing w:before="0" w:after="0"/>
              <w:ind w:left="504" w:right="0" w:hanging="144"/>
              <w:jc w:val="left"/>
              <w:rPr>
                <w:b/>
              </w:rPr>
            </w:pPr>
            <w:r>
              <w:rPr>
                <w:b/>
              </w:rPr>
              <w:t>Other expense, net</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bottom"/>
          </w:tcPr>
          <w:p>
            <w:pPr>
              <w:pStyle w:val="TableContents"/>
              <w:bidi w:val="0"/>
              <w:spacing w:before="0" w:after="0"/>
              <w:jc w:val="right"/>
              <w:rPr/>
            </w:pPr>
            <w:r>
              <w:rPr/>
              <w:t>(5,975,497</w:t>
            </w:r>
          </w:p>
        </w:tc>
        <w:tc>
          <w:tcPr>
            <w:tcW w:w="108"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bottom"/>
          </w:tcPr>
          <w:p>
            <w:pPr>
              <w:pStyle w:val="TableContents"/>
              <w:bidi w:val="0"/>
              <w:spacing w:before="0" w:after="0"/>
              <w:jc w:val="right"/>
              <w:rPr/>
            </w:pPr>
            <w:r>
              <w:rPr/>
              <w:t>(10,192,791</w:t>
            </w:r>
          </w:p>
        </w:tc>
        <w:tc>
          <w:tcPr>
            <w:tcW w:w="99" w:type="dxa"/>
            <w:tcBorders/>
            <w:shd w:fill="CCEEFF" w:val="clear"/>
            <w:vAlign w:val="bottom"/>
          </w:tcPr>
          <w:p>
            <w:pPr>
              <w:pStyle w:val="TableContents"/>
              <w:bidi w:val="0"/>
              <w:spacing w:before="0" w:after="0"/>
              <w:jc w:val="left"/>
              <w:rPr/>
            </w:pPr>
            <w:r>
              <w:rPr/>
              <w:t>)</w:t>
            </w:r>
          </w:p>
        </w:tc>
      </w:tr>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144" w:right="0" w:hanging="144"/>
              <w:jc w:val="left"/>
              <w:rPr>
                <w:b/>
              </w:rPr>
            </w:pPr>
            <w:r>
              <w:rPr>
                <w:b/>
              </w:rPr>
              <w:t>NET LOSS</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02" w:type="dxa"/>
            <w:tcBorders>
              <w:bottom w:val="double" w:sz="8" w:space="0" w:color="000000"/>
            </w:tcBorders>
            <w:shd w:fill="CCEEFF" w:val="clear"/>
            <w:tcMar>
              <w:bottom w:w="28" w:type="dxa"/>
            </w:tcMar>
            <w:vAlign w:val="bottom"/>
          </w:tcPr>
          <w:p>
            <w:pPr>
              <w:pStyle w:val="TableContents"/>
              <w:bidi w:val="0"/>
              <w:spacing w:before="0" w:after="0"/>
              <w:jc w:val="right"/>
              <w:rPr/>
            </w:pPr>
            <w:r>
              <w:rPr/>
              <w:t>(6,788,815</w:t>
            </w:r>
          </w:p>
        </w:tc>
        <w:tc>
          <w:tcPr>
            <w:tcW w:w="108"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02" w:type="dxa"/>
            <w:tcBorders>
              <w:bottom w:val="double" w:sz="8" w:space="0" w:color="000000"/>
            </w:tcBorders>
            <w:shd w:fill="CCEEFF" w:val="clear"/>
            <w:tcMar>
              <w:bottom w:w="28" w:type="dxa"/>
            </w:tcMar>
            <w:vAlign w:val="bottom"/>
          </w:tcPr>
          <w:p>
            <w:pPr>
              <w:pStyle w:val="TableContents"/>
              <w:bidi w:val="0"/>
              <w:spacing w:before="0" w:after="0"/>
              <w:jc w:val="right"/>
              <w:rPr/>
            </w:pPr>
            <w:r>
              <w:rPr/>
              <w:t>(25,007,857</w:t>
            </w:r>
          </w:p>
        </w:tc>
        <w:tc>
          <w:tcPr>
            <w:tcW w:w="99" w:type="dxa"/>
            <w:tcBorders/>
            <w:shd w:fill="CCEEFF" w:val="clear"/>
            <w:vAlign w:val="bottom"/>
          </w:tcPr>
          <w:p>
            <w:pPr>
              <w:pStyle w:val="TableContents"/>
              <w:bidi w:val="0"/>
              <w:spacing w:before="0" w:after="0"/>
              <w:jc w:val="left"/>
              <w:rPr/>
            </w:pPr>
            <w:r>
              <w:rPr/>
              <w:t>)</w:t>
            </w:r>
          </w:p>
        </w:tc>
      </w:tr>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144" w:right="0" w:hanging="144"/>
              <w:jc w:val="left"/>
              <w:rPr>
                <w:b/>
              </w:rPr>
            </w:pPr>
            <w:r>
              <w:rPr>
                <w:b/>
              </w:rPr>
              <w:t>BASIC AND DILUTED LOSS PER COMMON SHARE</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02" w:type="dxa"/>
            <w:tcBorders>
              <w:bottom w:val="double" w:sz="8" w:space="0" w:color="000000"/>
            </w:tcBorders>
            <w:shd w:fill="CCEEFF" w:val="clear"/>
            <w:tcMar>
              <w:bottom w:w="28" w:type="dxa"/>
            </w:tcMar>
            <w:vAlign w:val="bottom"/>
          </w:tcPr>
          <w:p>
            <w:pPr>
              <w:pStyle w:val="TableContents"/>
              <w:bidi w:val="0"/>
              <w:spacing w:before="0" w:after="0"/>
              <w:jc w:val="right"/>
              <w:rPr/>
            </w:pPr>
            <w:r>
              <w:rPr/>
              <w:t>(0.03</w:t>
            </w:r>
          </w:p>
        </w:tc>
        <w:tc>
          <w:tcPr>
            <w:tcW w:w="108"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02" w:type="dxa"/>
            <w:tcBorders>
              <w:bottom w:val="double" w:sz="8" w:space="0" w:color="000000"/>
            </w:tcBorders>
            <w:shd w:fill="CCEEFF" w:val="clear"/>
            <w:tcMar>
              <w:bottom w:w="28" w:type="dxa"/>
            </w:tcMar>
            <w:vAlign w:val="bottom"/>
          </w:tcPr>
          <w:p>
            <w:pPr>
              <w:pStyle w:val="TableContents"/>
              <w:bidi w:val="0"/>
              <w:spacing w:before="0" w:after="0"/>
              <w:jc w:val="right"/>
              <w:rPr/>
            </w:pPr>
            <w:r>
              <w:rPr/>
              <w:t>(0.13</w:t>
            </w:r>
          </w:p>
        </w:tc>
        <w:tc>
          <w:tcPr>
            <w:tcW w:w="99" w:type="dxa"/>
            <w:tcBorders/>
            <w:shd w:fill="CCEEFF" w:val="clear"/>
            <w:vAlign w:val="bottom"/>
          </w:tcPr>
          <w:p>
            <w:pPr>
              <w:pStyle w:val="TableContents"/>
              <w:bidi w:val="0"/>
              <w:spacing w:before="0" w:after="0"/>
              <w:jc w:val="left"/>
              <w:rPr/>
            </w:pPr>
            <w:r>
              <w:rPr/>
              <w:t>)</w:t>
            </w:r>
          </w:p>
        </w:tc>
      </w:tr>
      <w:tr>
        <w:trPr/>
        <w:tc>
          <w:tcPr>
            <w:tcW w:w="6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ind w:left="144" w:right="0" w:hanging="144"/>
              <w:jc w:val="left"/>
              <w:rPr>
                <w:b/>
              </w:rPr>
            </w:pPr>
            <w:r>
              <w:rPr>
                <w:b/>
              </w:rPr>
              <w:t>WEIGHTED AVERAGE COMMON SHARES OUTSTANDING:</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ind w:left="324" w:right="0" w:hanging="144"/>
              <w:jc w:val="left"/>
              <w:rPr>
                <w:b/>
              </w:rPr>
            </w:pPr>
            <w:r>
              <w:rPr>
                <w:b/>
              </w:rPr>
              <w:t>Basic and Diluted</w:t>
            </w:r>
          </w:p>
        </w:tc>
        <w:tc>
          <w:tcPr>
            <w:tcW w:w="60" w:type="dxa"/>
            <w:tcBorders/>
            <w:vAlign w:val="bottom"/>
          </w:tcPr>
          <w:p>
            <w:pPr>
              <w:pStyle w:val="TableContents"/>
              <w:bidi w:val="0"/>
              <w:spacing w:before="0" w:after="283"/>
              <w:jc w:val="right"/>
              <w:rPr/>
            </w:pPr>
            <w:r>
              <w:rPr/>
              <w:t> </w:t>
            </w:r>
          </w:p>
        </w:tc>
        <w:tc>
          <w:tcPr>
            <w:tcW w:w="160" w:type="dxa"/>
            <w:tcBorders>
              <w:bottom w:val="double" w:sz="8" w:space="0" w:color="000000"/>
            </w:tcBorders>
            <w:tcMar>
              <w:bottom w:w="28" w:type="dxa"/>
            </w:tcMar>
            <w:vAlign w:val="bottom"/>
          </w:tcPr>
          <w:p>
            <w:pPr>
              <w:pStyle w:val="TableContents"/>
              <w:bidi w:val="0"/>
              <w:spacing w:before="0" w:after="283"/>
              <w:jc w:val="left"/>
              <w:rPr/>
            </w:pPr>
            <w:r>
              <w:rPr/>
              <w:t> </w:t>
            </w:r>
          </w:p>
        </w:tc>
        <w:tc>
          <w:tcPr>
            <w:tcW w:w="1402" w:type="dxa"/>
            <w:tcBorders>
              <w:bottom w:val="double" w:sz="8" w:space="0" w:color="000000"/>
            </w:tcBorders>
            <w:tcMar>
              <w:bottom w:w="28" w:type="dxa"/>
            </w:tcMar>
            <w:vAlign w:val="bottom"/>
          </w:tcPr>
          <w:p>
            <w:pPr>
              <w:pStyle w:val="TableContents"/>
              <w:bidi w:val="0"/>
              <w:spacing w:before="0" w:after="0"/>
              <w:jc w:val="right"/>
              <w:rPr/>
            </w:pPr>
            <w:r>
              <w:rPr/>
              <w:t>221,921,750</w:t>
            </w:r>
          </w:p>
        </w:tc>
        <w:tc>
          <w:tcPr>
            <w:tcW w:w="10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60" w:type="dxa"/>
            <w:tcBorders>
              <w:bottom w:val="double" w:sz="8" w:space="0" w:color="000000"/>
            </w:tcBorders>
            <w:tcMar>
              <w:bottom w:w="28" w:type="dxa"/>
            </w:tcMar>
            <w:vAlign w:val="bottom"/>
          </w:tcPr>
          <w:p>
            <w:pPr>
              <w:pStyle w:val="TableContents"/>
              <w:bidi w:val="0"/>
              <w:spacing w:before="0" w:after="283"/>
              <w:jc w:val="left"/>
              <w:rPr/>
            </w:pPr>
            <w:r>
              <w:rPr/>
              <w:t> </w:t>
            </w:r>
          </w:p>
        </w:tc>
        <w:tc>
          <w:tcPr>
            <w:tcW w:w="1402" w:type="dxa"/>
            <w:tcBorders>
              <w:bottom w:val="double" w:sz="8" w:space="0" w:color="000000"/>
            </w:tcBorders>
            <w:tcMar>
              <w:bottom w:w="28" w:type="dxa"/>
            </w:tcMar>
            <w:vAlign w:val="bottom"/>
          </w:tcPr>
          <w:p>
            <w:pPr>
              <w:pStyle w:val="TableContents"/>
              <w:bidi w:val="0"/>
              <w:spacing w:before="0" w:after="0"/>
              <w:jc w:val="right"/>
              <w:rPr/>
            </w:pPr>
            <w:r>
              <w:rPr/>
              <w:t>195,871,932</w:t>
            </w:r>
          </w:p>
        </w:tc>
        <w:tc>
          <w:tcPr>
            <w:tcW w:w="9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CHANGES IN</w:t>
      </w:r>
    </w:p>
    <w:p>
      <w:pPr>
        <w:pStyle w:val="TextBody"/>
        <w:bidi w:val="0"/>
        <w:spacing w:before="0" w:after="0"/>
        <w:jc w:val="center"/>
        <w:rPr>
          <w:rFonts w:ascii="Times New Roman" w:hAnsi="Times New Roman"/>
          <w:b/>
          <w:color w:val="000000"/>
          <w:sz w:val="20"/>
        </w:rPr>
      </w:pPr>
      <w:bookmarkStart w:id="3" w:name="STOCKHOLDERSEQUITY"/>
      <w:bookmarkEnd w:id="3"/>
      <w:r>
        <w:rPr>
          <w:rFonts w:ascii="Times New Roman" w:hAnsi="Times New Roman"/>
          <w:b/>
          <w:color w:val="000000"/>
          <w:sz w:val="20"/>
        </w:rPr>
        <w:t xml:space="preserve">STOCKHOLDERS’ EQUITY (Unaudited)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Three Months Ended March 31, 2023</w:t>
      </w:r>
    </w:p>
    <w:tbl>
      <w:tblPr>
        <w:tblW w:w="10205" w:type="dxa"/>
        <w:jc w:val="left"/>
        <w:tblInd w:w="0" w:type="dxa"/>
        <w:tblLayout w:type="fixed"/>
        <w:tblCellMar>
          <w:top w:w="28" w:type="dxa"/>
          <w:left w:w="0" w:type="dxa"/>
          <w:bottom w:w="0" w:type="dxa"/>
          <w:right w:w="0" w:type="dxa"/>
        </w:tblCellMar>
      </w:tblPr>
      <w:tblGrid>
        <w:gridCol w:w="3168"/>
        <w:gridCol w:w="60"/>
        <w:gridCol w:w="60"/>
        <w:gridCol w:w="1220"/>
        <w:gridCol w:w="60"/>
        <w:gridCol w:w="60"/>
        <w:gridCol w:w="146"/>
        <w:gridCol w:w="714"/>
        <w:gridCol w:w="60"/>
        <w:gridCol w:w="60"/>
        <w:gridCol w:w="140"/>
        <w:gridCol w:w="1220"/>
        <w:gridCol w:w="95"/>
        <w:gridCol w:w="60"/>
        <w:gridCol w:w="140"/>
        <w:gridCol w:w="1295"/>
        <w:gridCol w:w="95"/>
        <w:gridCol w:w="60"/>
        <w:gridCol w:w="141"/>
        <w:gridCol w:w="1239"/>
        <w:gridCol w:w="112"/>
      </w:tblGrid>
      <w:tr>
        <w:trPr/>
        <w:tc>
          <w:tcPr>
            <w:tcW w:w="3168"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2260" w:type="dxa"/>
            <w:gridSpan w:val="6"/>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60" w:type="dxa"/>
            <w:gridSpan w:val="2"/>
            <w:tcBorders>
              <w:top w:val="single" w:sz="12" w:space="0" w:color="000000"/>
            </w:tcBorders>
            <w:vAlign w:val="bottom"/>
          </w:tcPr>
          <w:p>
            <w:pPr>
              <w:pStyle w:val="TableContents"/>
              <w:bidi w:val="0"/>
              <w:spacing w:before="0" w:after="283"/>
              <w:jc w:val="center"/>
              <w:rPr>
                <w:b/>
              </w:rPr>
            </w:pPr>
            <w:r>
              <w:rPr>
                <w:b/>
              </w:rPr>
              <w:t>Additional</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435" w:type="dxa"/>
            <w:gridSpan w:val="2"/>
            <w:tcBorders>
              <w:top w:val="single" w:sz="12" w:space="0" w:color="000000"/>
            </w:tcBorders>
            <w:vAlign w:val="bottom"/>
          </w:tcPr>
          <w:p>
            <w:pPr>
              <w:pStyle w:val="TableContents"/>
              <w:bidi w:val="0"/>
              <w:spacing w:before="0" w:after="283"/>
              <w:jc w:val="center"/>
              <w:rPr/>
            </w:pPr>
            <w:r>
              <w:rPr/>
              <w:t> </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80" w:type="dxa"/>
            <w:gridSpan w:val="2"/>
            <w:tcBorders>
              <w:top w:val="single" w:sz="12" w:space="0" w:color="000000"/>
            </w:tcBorders>
            <w:vAlign w:val="bottom"/>
          </w:tcPr>
          <w:p>
            <w:pPr>
              <w:pStyle w:val="TableContents"/>
              <w:bidi w:val="0"/>
              <w:spacing w:before="0" w:after="283"/>
              <w:jc w:val="center"/>
              <w:rPr>
                <w:b/>
              </w:rPr>
            </w:pPr>
            <w:r>
              <w:rPr>
                <w:b/>
              </w:rPr>
              <w:t>Total</w:t>
            </w:r>
          </w:p>
        </w:tc>
        <w:tc>
          <w:tcPr>
            <w:tcW w:w="112" w:type="dxa"/>
            <w:tcBorders/>
            <w:tcMar>
              <w:top w:w="0" w:type="dxa"/>
            </w:tcMar>
            <w:vAlign w:val="bottom"/>
          </w:tcPr>
          <w:p>
            <w:pPr>
              <w:pStyle w:val="TableContents"/>
              <w:bidi w:val="0"/>
              <w:spacing w:before="0" w:after="283"/>
              <w:jc w:val="left"/>
              <w:rPr/>
            </w:pPr>
            <w:r>
              <w:rPr/>
              <w:t> </w:t>
            </w:r>
          </w:p>
        </w:tc>
      </w:tr>
      <w:tr>
        <w:trPr/>
        <w:tc>
          <w:tcPr>
            <w:tcW w:w="3168"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2260" w:type="dxa"/>
            <w:gridSpan w:val="6"/>
            <w:tcBorders>
              <w:bottom w:val="single" w:sz="12" w:space="0" w:color="000000"/>
            </w:tcBorders>
            <w:tcMar>
              <w:top w:w="0" w:type="dxa"/>
              <w:bottom w:w="28" w:type="dxa"/>
            </w:tcMar>
            <w:vAlign w:val="bottom"/>
          </w:tcPr>
          <w:p>
            <w:pPr>
              <w:pStyle w:val="TableContents"/>
              <w:bidi w:val="0"/>
              <w:spacing w:before="0" w:after="0"/>
              <w:jc w:val="center"/>
              <w:rPr>
                <w:b/>
              </w:rPr>
            </w:pPr>
            <w:r>
              <w:rPr>
                <w:b/>
              </w:rPr>
              <w:t>Common Stock</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60" w:type="dxa"/>
            <w:gridSpan w:val="2"/>
            <w:tcBorders/>
            <w:tcMar>
              <w:top w:w="0" w:type="dxa"/>
            </w:tcMar>
            <w:vAlign w:val="bottom"/>
          </w:tcPr>
          <w:p>
            <w:pPr>
              <w:pStyle w:val="TableContents"/>
              <w:bidi w:val="0"/>
              <w:spacing w:before="0" w:after="0"/>
              <w:jc w:val="center"/>
              <w:rPr>
                <w:b/>
              </w:rPr>
            </w:pPr>
            <w:r>
              <w:rPr>
                <w:b/>
              </w:rPr>
              <w:t>Paid-in</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435" w:type="dxa"/>
            <w:gridSpan w:val="2"/>
            <w:tcBorders/>
            <w:tcMar>
              <w:top w:w="0" w:type="dxa"/>
            </w:tcMar>
            <w:vAlign w:val="bottom"/>
          </w:tcPr>
          <w:p>
            <w:pPr>
              <w:pStyle w:val="TableContents"/>
              <w:bidi w:val="0"/>
              <w:spacing w:before="0" w:after="0"/>
              <w:jc w:val="center"/>
              <w:rPr>
                <w:b/>
              </w:rPr>
            </w:pPr>
            <w:r>
              <w:rPr>
                <w:b/>
              </w:rPr>
              <w:t>Accumulated</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80" w:type="dxa"/>
            <w:gridSpan w:val="2"/>
            <w:tcBorders/>
            <w:tcMar>
              <w:top w:w="0" w:type="dxa"/>
            </w:tcMar>
            <w:vAlign w:val="bottom"/>
          </w:tcPr>
          <w:p>
            <w:pPr>
              <w:pStyle w:val="TableContents"/>
              <w:bidi w:val="0"/>
              <w:spacing w:before="0" w:after="0"/>
              <w:jc w:val="center"/>
              <w:rPr>
                <w:b/>
              </w:rPr>
            </w:pPr>
            <w:r>
              <w:rPr>
                <w:b/>
              </w:rPr>
              <w:t>Stockholders’</w:t>
            </w:r>
          </w:p>
        </w:tc>
        <w:tc>
          <w:tcPr>
            <w:tcW w:w="112" w:type="dxa"/>
            <w:tcBorders/>
            <w:tcMar>
              <w:top w:w="0" w:type="dxa"/>
            </w:tcMar>
            <w:vAlign w:val="bottom"/>
          </w:tcPr>
          <w:p>
            <w:pPr>
              <w:pStyle w:val="TableContents"/>
              <w:bidi w:val="0"/>
              <w:spacing w:before="0" w:after="283"/>
              <w:jc w:val="left"/>
              <w:rPr/>
            </w:pPr>
            <w:r>
              <w:rPr/>
              <w:t> </w:t>
            </w:r>
          </w:p>
        </w:tc>
      </w:tr>
      <w:tr>
        <w:trPr/>
        <w:tc>
          <w:tcPr>
            <w:tcW w:w="3168"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Shares</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Amount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6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Capital</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435"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Deficit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8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Equity</w:t>
            </w:r>
          </w:p>
        </w:tc>
        <w:tc>
          <w:tcPr>
            <w:tcW w:w="112" w:type="dxa"/>
            <w:tcBorders/>
            <w:tcMar>
              <w:top w:w="0" w:type="dxa"/>
            </w:tcMar>
            <w:vAlign w:val="bottom"/>
          </w:tcPr>
          <w:p>
            <w:pPr>
              <w:pStyle w:val="TableContents"/>
              <w:bidi w:val="0"/>
              <w:spacing w:before="0" w:after="283"/>
              <w:jc w:val="left"/>
              <w:rPr/>
            </w:pPr>
            <w:r>
              <w:rPr/>
              <w:t> </w:t>
            </w:r>
          </w:p>
        </w:tc>
      </w:tr>
      <w:tr>
        <w:trPr/>
        <w:tc>
          <w:tcPr>
            <w:tcW w:w="3168" w:type="dxa"/>
            <w:tcBorders/>
            <w:shd w:fill="CCEEFF" w:val="clear"/>
            <w:tcMar>
              <w:top w:w="0" w:type="dxa"/>
            </w:tcMar>
            <w:vAlign w:val="bottom"/>
          </w:tcPr>
          <w:p>
            <w:pPr>
              <w:pStyle w:val="TableContents"/>
              <w:bidi w:val="0"/>
              <w:spacing w:before="0" w:after="0"/>
              <w:ind w:left="144" w:right="0" w:hanging="0"/>
              <w:jc w:val="left"/>
              <w:rPr>
                <w:color w:val="000000"/>
              </w:rPr>
            </w:pPr>
            <w:r>
              <w:rPr>
                <w:color w:val="000000"/>
              </w:rPr>
              <w:t>Balance at December 31, 2022</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221,816,930</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6" w:type="dxa"/>
            <w:tcBorders/>
            <w:shd w:fill="CCEEFF" w:val="clear"/>
            <w:tcMar>
              <w:top w:w="0" w:type="dxa"/>
            </w:tcMar>
            <w:vAlign w:val="bottom"/>
          </w:tcPr>
          <w:p>
            <w:pPr>
              <w:pStyle w:val="TableContents"/>
              <w:bidi w:val="0"/>
              <w:spacing w:before="0" w:after="0"/>
              <w:jc w:val="left"/>
              <w:rPr/>
            </w:pPr>
            <w:r>
              <w:rPr/>
              <w:t>$</w:t>
            </w:r>
          </w:p>
        </w:tc>
        <w:tc>
          <w:tcPr>
            <w:tcW w:w="714" w:type="dxa"/>
            <w:tcBorders/>
            <w:shd w:fill="CCEEFF" w:val="clear"/>
            <w:tcMar>
              <w:top w:w="0" w:type="dxa"/>
            </w:tcMar>
            <w:vAlign w:val="bottom"/>
          </w:tcPr>
          <w:p>
            <w:pPr>
              <w:pStyle w:val="TableContents"/>
              <w:bidi w:val="0"/>
              <w:spacing w:before="0" w:after="0"/>
              <w:jc w:val="right"/>
              <w:rPr/>
            </w:pPr>
            <w:r>
              <w:rPr/>
              <w:t>22,182</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0"/>
              <w:jc w:val="left"/>
              <w:rPr/>
            </w:pPr>
            <w:r>
              <w:rPr/>
              <w:t>$</w:t>
            </w:r>
          </w:p>
        </w:tc>
        <w:tc>
          <w:tcPr>
            <w:tcW w:w="1220" w:type="dxa"/>
            <w:tcBorders/>
            <w:shd w:fill="CCEEFF" w:val="clear"/>
            <w:tcMar>
              <w:top w:w="0" w:type="dxa"/>
            </w:tcMar>
            <w:vAlign w:val="bottom"/>
          </w:tcPr>
          <w:p>
            <w:pPr>
              <w:pStyle w:val="TableContents"/>
              <w:bidi w:val="0"/>
              <w:spacing w:before="0" w:after="0"/>
              <w:jc w:val="right"/>
              <w:rPr/>
            </w:pPr>
            <w:r>
              <w:rPr/>
              <w:t>629,968,704</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0"/>
              <w:jc w:val="left"/>
              <w:rPr/>
            </w:pPr>
            <w:r>
              <w:rPr/>
              <w:t>$</w:t>
            </w:r>
          </w:p>
        </w:tc>
        <w:tc>
          <w:tcPr>
            <w:tcW w:w="1295" w:type="dxa"/>
            <w:tcBorders/>
            <w:shd w:fill="CCEEFF" w:val="clear"/>
            <w:tcMar>
              <w:top w:w="0" w:type="dxa"/>
            </w:tcMar>
            <w:vAlign w:val="bottom"/>
          </w:tcPr>
          <w:p>
            <w:pPr>
              <w:pStyle w:val="TableContents"/>
              <w:bidi w:val="0"/>
              <w:spacing w:before="0" w:after="0"/>
              <w:jc w:val="right"/>
              <w:rPr/>
            </w:pPr>
            <w:r>
              <w:rPr/>
              <w:t>(478,016,671</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141" w:type="dxa"/>
            <w:tcBorders/>
            <w:shd w:fill="CCEEFF" w:val="clear"/>
            <w:tcMar>
              <w:top w:w="0" w:type="dxa"/>
            </w:tcMar>
            <w:vAlign w:val="bottom"/>
          </w:tcPr>
          <w:p>
            <w:pPr>
              <w:pStyle w:val="TableContents"/>
              <w:bidi w:val="0"/>
              <w:spacing w:before="0" w:after="0"/>
              <w:jc w:val="left"/>
              <w:rPr/>
            </w:pPr>
            <w:r>
              <w:rPr/>
              <w:t>$</w:t>
            </w:r>
          </w:p>
        </w:tc>
        <w:tc>
          <w:tcPr>
            <w:tcW w:w="1239" w:type="dxa"/>
            <w:tcBorders/>
            <w:shd w:fill="CCEEFF" w:val="clear"/>
            <w:tcMar>
              <w:top w:w="0" w:type="dxa"/>
            </w:tcMar>
            <w:vAlign w:val="bottom"/>
          </w:tcPr>
          <w:p>
            <w:pPr>
              <w:pStyle w:val="TableContents"/>
              <w:bidi w:val="0"/>
              <w:spacing w:before="0" w:after="0"/>
              <w:jc w:val="right"/>
              <w:rPr/>
            </w:pPr>
            <w:r>
              <w:rPr/>
              <w:t>151,974,215</w:t>
            </w:r>
          </w:p>
        </w:tc>
        <w:tc>
          <w:tcPr>
            <w:tcW w:w="112" w:type="dxa"/>
            <w:tcBorders/>
            <w:shd w:fill="CCEEFF" w:val="clear"/>
            <w:tcMar>
              <w:top w:w="0" w:type="dxa"/>
            </w:tcMar>
            <w:vAlign w:val="bottom"/>
          </w:tcPr>
          <w:p>
            <w:pPr>
              <w:pStyle w:val="TableContents"/>
              <w:bidi w:val="0"/>
              <w:spacing w:before="0" w:after="283"/>
              <w:jc w:val="left"/>
              <w:rPr/>
            </w:pPr>
            <w:r>
              <w:rPr/>
              <w:t> </w:t>
            </w:r>
          </w:p>
        </w:tc>
      </w:tr>
      <w:tr>
        <w:trPr/>
        <w:tc>
          <w:tcPr>
            <w:tcW w:w="3168" w:type="dxa"/>
            <w:tcBorders/>
            <w:tcMar>
              <w:top w:w="0" w:type="dxa"/>
            </w:tcMar>
            <w:vAlign w:val="bottom"/>
          </w:tcPr>
          <w:p>
            <w:pPr>
              <w:pStyle w:val="TableContents"/>
              <w:bidi w:val="0"/>
              <w:spacing w:before="0" w:after="0"/>
              <w:ind w:left="144" w:right="0" w:hanging="144"/>
              <w:jc w:val="left"/>
              <w:rPr>
                <w:color w:val="000000"/>
              </w:rPr>
            </w:pPr>
            <w:r>
              <w:rPr>
                <w:color w:val="000000"/>
              </w:rPr>
              <w:t>Stock-based compensation</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6" w:type="dxa"/>
            <w:tcBorders/>
            <w:tcMar>
              <w:top w:w="0" w:type="dxa"/>
            </w:tcMar>
            <w:vAlign w:val="bottom"/>
          </w:tcPr>
          <w:p>
            <w:pPr>
              <w:pStyle w:val="TableContents"/>
              <w:bidi w:val="0"/>
              <w:spacing w:before="0" w:after="283"/>
              <w:jc w:val="left"/>
              <w:rPr/>
            </w:pPr>
            <w:r>
              <w:rPr/>
              <w:t> </w:t>
            </w:r>
          </w:p>
        </w:tc>
        <w:tc>
          <w:tcPr>
            <w:tcW w:w="714" w:type="dxa"/>
            <w:tcBorders/>
            <w:tcMar>
              <w:top w:w="0" w:type="dxa"/>
            </w:tcMar>
            <w:vAlign w:val="bottom"/>
          </w:tcPr>
          <w:p>
            <w:pPr>
              <w:pStyle w:val="TableContents"/>
              <w:bidi w:val="0"/>
              <w:spacing w:before="0" w:after="0"/>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0"/>
              <w:jc w:val="right"/>
              <w:rPr/>
            </w:pPr>
            <w:r>
              <w:rPr/>
              <w:t>1,110,166</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95" w:type="dxa"/>
            <w:tcBorders/>
            <w:tcMar>
              <w:top w:w="0" w:type="dxa"/>
            </w:tcMar>
            <w:vAlign w:val="bottom"/>
          </w:tcPr>
          <w:p>
            <w:pPr>
              <w:pStyle w:val="TableContents"/>
              <w:bidi w:val="0"/>
              <w:spacing w:before="0" w:after="0"/>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1" w:type="dxa"/>
            <w:tcBorders/>
            <w:tcMar>
              <w:top w:w="0" w:type="dxa"/>
            </w:tcMar>
            <w:vAlign w:val="bottom"/>
          </w:tcPr>
          <w:p>
            <w:pPr>
              <w:pStyle w:val="TableContents"/>
              <w:bidi w:val="0"/>
              <w:spacing w:before="0" w:after="283"/>
              <w:jc w:val="left"/>
              <w:rPr/>
            </w:pPr>
            <w:r>
              <w:rPr/>
              <w:t> </w:t>
            </w:r>
          </w:p>
        </w:tc>
        <w:tc>
          <w:tcPr>
            <w:tcW w:w="1239" w:type="dxa"/>
            <w:tcBorders/>
            <w:tcMar>
              <w:top w:w="0" w:type="dxa"/>
            </w:tcMar>
            <w:vAlign w:val="bottom"/>
          </w:tcPr>
          <w:p>
            <w:pPr>
              <w:pStyle w:val="TableContents"/>
              <w:bidi w:val="0"/>
              <w:spacing w:before="0" w:after="0"/>
              <w:jc w:val="right"/>
              <w:rPr/>
            </w:pPr>
            <w:r>
              <w:rPr/>
              <w:t>1,110,166</w:t>
            </w:r>
          </w:p>
        </w:tc>
        <w:tc>
          <w:tcPr>
            <w:tcW w:w="112" w:type="dxa"/>
            <w:tcBorders/>
            <w:tcMar>
              <w:top w:w="0" w:type="dxa"/>
            </w:tcMar>
            <w:vAlign w:val="bottom"/>
          </w:tcPr>
          <w:p>
            <w:pPr>
              <w:pStyle w:val="TableContents"/>
              <w:bidi w:val="0"/>
              <w:spacing w:before="0" w:after="283"/>
              <w:jc w:val="left"/>
              <w:rPr/>
            </w:pPr>
            <w:r>
              <w:rPr/>
              <w:t> </w:t>
            </w:r>
          </w:p>
        </w:tc>
      </w:tr>
      <w:tr>
        <w:trPr/>
        <w:tc>
          <w:tcPr>
            <w:tcW w:w="3168" w:type="dxa"/>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Vesting of Restricted Stock Units, net of shares withheld for taxes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443,215</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6" w:type="dxa"/>
            <w:tcBorders/>
            <w:shd w:fill="CCEEFF" w:val="clear"/>
            <w:tcMar>
              <w:top w:w="0" w:type="dxa"/>
            </w:tcMar>
            <w:vAlign w:val="bottom"/>
          </w:tcPr>
          <w:p>
            <w:pPr>
              <w:pStyle w:val="TableContents"/>
              <w:bidi w:val="0"/>
              <w:spacing w:before="0" w:after="283"/>
              <w:jc w:val="left"/>
              <w:rPr/>
            </w:pPr>
            <w:r>
              <w:rPr/>
              <w:t> </w:t>
            </w:r>
          </w:p>
        </w:tc>
        <w:tc>
          <w:tcPr>
            <w:tcW w:w="714" w:type="dxa"/>
            <w:tcBorders/>
            <w:shd w:fill="CCEEFF" w:val="clear"/>
            <w:tcMar>
              <w:top w:w="0" w:type="dxa"/>
            </w:tcMar>
            <w:vAlign w:val="bottom"/>
          </w:tcPr>
          <w:p>
            <w:pPr>
              <w:pStyle w:val="TableContents"/>
              <w:bidi w:val="0"/>
              <w:spacing w:before="0" w:after="0"/>
              <w:jc w:val="right"/>
              <w:rPr/>
            </w:pPr>
            <w:r>
              <w:rPr/>
              <w:t>44</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(640,990</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283"/>
              <w:jc w:val="left"/>
              <w:rPr/>
            </w:pPr>
            <w:r>
              <w:rPr/>
              <w:t> </w:t>
            </w:r>
          </w:p>
        </w:tc>
        <w:tc>
          <w:tcPr>
            <w:tcW w:w="1295" w:type="dxa"/>
            <w:tcBorders/>
            <w:shd w:fill="CCEEFF" w:val="clear"/>
            <w:tcMar>
              <w:top w:w="0" w:type="dxa"/>
            </w:tcMar>
            <w:vAlign w:val="bottom"/>
          </w:tcPr>
          <w:p>
            <w:pPr>
              <w:pStyle w:val="TableContents"/>
              <w:bidi w:val="0"/>
              <w:spacing w:before="0" w:after="0"/>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1" w:type="dxa"/>
            <w:tcBorders/>
            <w:shd w:fill="CCEEFF" w:val="clear"/>
            <w:tcMar>
              <w:top w:w="0" w:type="dxa"/>
            </w:tcMar>
            <w:vAlign w:val="bottom"/>
          </w:tcPr>
          <w:p>
            <w:pPr>
              <w:pStyle w:val="TableContents"/>
              <w:bidi w:val="0"/>
              <w:spacing w:before="0" w:after="283"/>
              <w:jc w:val="left"/>
              <w:rPr/>
            </w:pPr>
            <w:r>
              <w:rPr/>
              <w:t> </w:t>
            </w:r>
          </w:p>
        </w:tc>
        <w:tc>
          <w:tcPr>
            <w:tcW w:w="1239" w:type="dxa"/>
            <w:tcBorders/>
            <w:shd w:fill="CCEEFF" w:val="clear"/>
            <w:tcMar>
              <w:top w:w="0" w:type="dxa"/>
            </w:tcMar>
            <w:vAlign w:val="bottom"/>
          </w:tcPr>
          <w:p>
            <w:pPr>
              <w:pStyle w:val="TableContents"/>
              <w:bidi w:val="0"/>
              <w:spacing w:before="0" w:after="0"/>
              <w:jc w:val="right"/>
              <w:rPr/>
            </w:pPr>
            <w:r>
              <w:rPr/>
              <w:t>(640,946</w:t>
            </w:r>
          </w:p>
        </w:tc>
        <w:tc>
          <w:tcPr>
            <w:tcW w:w="112" w:type="dxa"/>
            <w:tcBorders/>
            <w:shd w:fill="CCEEFF" w:val="clear"/>
            <w:tcMar>
              <w:top w:w="0" w:type="dxa"/>
            </w:tcMar>
            <w:vAlign w:val="bottom"/>
          </w:tcPr>
          <w:p>
            <w:pPr>
              <w:pStyle w:val="TableContents"/>
              <w:bidi w:val="0"/>
              <w:spacing w:before="0" w:after="0"/>
              <w:jc w:val="left"/>
              <w:rPr/>
            </w:pPr>
            <w:r>
              <w:rPr/>
              <w:t>)</w:t>
            </w:r>
          </w:p>
        </w:tc>
      </w:tr>
      <w:tr>
        <w:trPr/>
        <w:tc>
          <w:tcPr>
            <w:tcW w:w="3168" w:type="dxa"/>
            <w:tcBorders/>
            <w:tcMar>
              <w:top w:w="0" w:type="dxa"/>
            </w:tcMar>
            <w:vAlign w:val="bottom"/>
          </w:tcPr>
          <w:p>
            <w:pPr>
              <w:pStyle w:val="TableContents"/>
              <w:bidi w:val="0"/>
              <w:spacing w:before="0" w:after="0"/>
              <w:ind w:left="144" w:right="0" w:hanging="144"/>
              <w:jc w:val="left"/>
              <w:rPr/>
            </w:pPr>
            <w:r>
              <w:rPr/>
              <w:t>Exercise of stock options</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2,443</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6" w:type="dxa"/>
            <w:tcBorders/>
            <w:tcMar>
              <w:top w:w="0" w:type="dxa"/>
            </w:tcMar>
            <w:vAlign w:val="bottom"/>
          </w:tcPr>
          <w:p>
            <w:pPr>
              <w:pStyle w:val="TableContents"/>
              <w:bidi w:val="0"/>
              <w:spacing w:before="0" w:after="283"/>
              <w:jc w:val="left"/>
              <w:rPr/>
            </w:pPr>
            <w:r>
              <w:rPr/>
              <w:t> </w:t>
            </w:r>
          </w:p>
        </w:tc>
        <w:tc>
          <w:tcPr>
            <w:tcW w:w="714"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95" w:type="dxa"/>
            <w:tcBorders/>
            <w:tcMar>
              <w:top w:w="0"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1" w:type="dxa"/>
            <w:tcBorders/>
            <w:tcMar>
              <w:top w:w="0" w:type="dxa"/>
            </w:tcMar>
            <w:vAlign w:val="bottom"/>
          </w:tcPr>
          <w:p>
            <w:pPr>
              <w:pStyle w:val="TableContents"/>
              <w:bidi w:val="0"/>
              <w:spacing w:before="0" w:after="283"/>
              <w:jc w:val="left"/>
              <w:rPr/>
            </w:pPr>
            <w:r>
              <w:rPr/>
              <w:t> </w:t>
            </w:r>
          </w:p>
        </w:tc>
        <w:tc>
          <w:tcPr>
            <w:tcW w:w="1239" w:type="dxa"/>
            <w:tcBorders/>
            <w:tcMar>
              <w:top w:w="0" w:type="dxa"/>
            </w:tcMar>
            <w:vAlign w:val="bottom"/>
          </w:tcPr>
          <w:p>
            <w:pPr>
              <w:pStyle w:val="TableContents"/>
              <w:bidi w:val="0"/>
              <w:spacing w:before="0" w:after="283"/>
              <w:jc w:val="right"/>
              <w:rPr/>
            </w:pPr>
            <w:r>
              <w:rPr/>
              <w:t>-</w:t>
            </w:r>
          </w:p>
        </w:tc>
        <w:tc>
          <w:tcPr>
            <w:tcW w:w="112" w:type="dxa"/>
            <w:tcBorders/>
            <w:tcMar>
              <w:top w:w="0" w:type="dxa"/>
            </w:tcMar>
            <w:vAlign w:val="bottom"/>
          </w:tcPr>
          <w:p>
            <w:pPr>
              <w:pStyle w:val="TableContents"/>
              <w:bidi w:val="0"/>
              <w:spacing w:before="0" w:after="283"/>
              <w:jc w:val="left"/>
              <w:rPr/>
            </w:pPr>
            <w:r>
              <w:rPr/>
              <w:t> </w:t>
            </w:r>
          </w:p>
        </w:tc>
      </w:tr>
      <w:tr>
        <w:trPr/>
        <w:tc>
          <w:tcPr>
            <w:tcW w:w="3168" w:type="dxa"/>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Net loss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714"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(6,788,815</w:t>
            </w:r>
          </w:p>
        </w:tc>
        <w:tc>
          <w:tcPr>
            <w:tcW w:w="95" w:type="dxa"/>
            <w:tcBorders/>
            <w:shd w:fill="CCEEFF" w:val="clear"/>
            <w:tcMar>
              <w:top w:w="0" w:type="dxa"/>
            </w:tcMar>
            <w:vAlign w:val="bottom"/>
          </w:tcPr>
          <w:p>
            <w:pPr>
              <w:pStyle w:val="TableContents"/>
              <w:bidi w:val="0"/>
              <w:spacing w:before="0" w:after="283"/>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39"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(6,788,815</w:t>
            </w:r>
          </w:p>
        </w:tc>
        <w:tc>
          <w:tcPr>
            <w:tcW w:w="112" w:type="dxa"/>
            <w:tcBorders/>
            <w:shd w:fill="CCEEFF" w:val="clear"/>
            <w:tcMar>
              <w:top w:w="0" w:type="dxa"/>
            </w:tcMar>
            <w:vAlign w:val="bottom"/>
          </w:tcPr>
          <w:p>
            <w:pPr>
              <w:pStyle w:val="TableContents"/>
              <w:bidi w:val="0"/>
              <w:spacing w:before="0" w:after="283"/>
              <w:jc w:val="left"/>
              <w:rPr/>
            </w:pPr>
            <w:r>
              <w:rPr/>
              <w:t>)</w:t>
            </w:r>
          </w:p>
        </w:tc>
      </w:tr>
      <w:tr>
        <w:trPr/>
        <w:tc>
          <w:tcPr>
            <w:tcW w:w="3168" w:type="dxa"/>
            <w:tcBorders/>
            <w:tcMar>
              <w:top w:w="0" w:type="dxa"/>
            </w:tcMar>
            <w:vAlign w:val="bottom"/>
          </w:tcPr>
          <w:p>
            <w:pPr>
              <w:pStyle w:val="TableContents"/>
              <w:bidi w:val="0"/>
              <w:spacing w:before="0" w:after="0"/>
              <w:ind w:left="144" w:right="0" w:hanging="0"/>
              <w:jc w:val="left"/>
              <w:rPr>
                <w:color w:val="000000"/>
              </w:rPr>
            </w:pPr>
            <w:r>
              <w:rPr>
                <w:color w:val="000000"/>
              </w:rPr>
              <w:t>Balance at March 31, 2023</w:t>
            </w:r>
          </w:p>
        </w:tc>
        <w:tc>
          <w:tcPr>
            <w:tcW w:w="60" w:type="dxa"/>
            <w:tcBorders/>
            <w:tcMar>
              <w:top w:w="0" w:type="dxa"/>
            </w:tcMar>
            <w:vAlign w:val="bottom"/>
          </w:tcPr>
          <w:p>
            <w:pPr>
              <w:pStyle w:val="TableContents"/>
              <w:bidi w:val="0"/>
              <w:spacing w:before="0" w:after="283"/>
              <w:jc w:val="right"/>
              <w:rPr/>
            </w:pPr>
            <w:r>
              <w:rPr/>
              <w:t> </w:t>
            </w:r>
          </w:p>
        </w:tc>
        <w:tc>
          <w:tcPr>
            <w:tcW w:w="60" w:type="dxa"/>
            <w:tcBorders>
              <w:bottom w:val="double" w:sz="8" w:space="0" w:color="000000"/>
            </w:tcBorders>
            <w:tcMar>
              <w:top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top w:w="0" w:type="dxa"/>
              <w:bottom w:w="28" w:type="dxa"/>
            </w:tcMar>
            <w:vAlign w:val="bottom"/>
          </w:tcPr>
          <w:p>
            <w:pPr>
              <w:pStyle w:val="TableContents"/>
              <w:bidi w:val="0"/>
              <w:spacing w:before="0" w:after="283"/>
              <w:jc w:val="right"/>
              <w:rPr/>
            </w:pPr>
            <w:r>
              <w:rPr/>
              <w:t>222,262,588</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6" w:type="dxa"/>
            <w:tcBorders>
              <w:bottom w:val="double" w:sz="8" w:space="0" w:color="000000"/>
            </w:tcBorders>
            <w:tcMar>
              <w:top w:w="0" w:type="dxa"/>
              <w:bottom w:w="28" w:type="dxa"/>
            </w:tcMar>
            <w:vAlign w:val="bottom"/>
          </w:tcPr>
          <w:p>
            <w:pPr>
              <w:pStyle w:val="TableContents"/>
              <w:bidi w:val="0"/>
              <w:spacing w:before="0" w:after="283"/>
              <w:jc w:val="left"/>
              <w:rPr/>
            </w:pPr>
            <w:r>
              <w:rPr/>
              <w:t>$</w:t>
            </w:r>
          </w:p>
        </w:tc>
        <w:tc>
          <w:tcPr>
            <w:tcW w:w="714" w:type="dxa"/>
            <w:tcBorders>
              <w:bottom w:val="double" w:sz="8" w:space="0" w:color="000000"/>
            </w:tcBorders>
            <w:tcMar>
              <w:top w:w="0" w:type="dxa"/>
              <w:bottom w:w="28" w:type="dxa"/>
            </w:tcMar>
            <w:vAlign w:val="bottom"/>
          </w:tcPr>
          <w:p>
            <w:pPr>
              <w:pStyle w:val="TableContents"/>
              <w:bidi w:val="0"/>
              <w:spacing w:before="0" w:after="283"/>
              <w:jc w:val="right"/>
              <w:rPr/>
            </w:pPr>
            <w:r>
              <w:rPr/>
              <w:t>22,226</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bottom w:val="double" w:sz="8" w:space="0" w:color="000000"/>
            </w:tcBorders>
            <w:tcMar>
              <w:top w:w="0" w:type="dxa"/>
              <w:bottom w:w="28" w:type="dxa"/>
            </w:tcMar>
            <w:vAlign w:val="bottom"/>
          </w:tcPr>
          <w:p>
            <w:pPr>
              <w:pStyle w:val="TableContents"/>
              <w:bidi w:val="0"/>
              <w:spacing w:before="0" w:after="283"/>
              <w:jc w:val="left"/>
              <w:rPr/>
            </w:pPr>
            <w:r>
              <w:rPr/>
              <w:t>$</w:t>
            </w:r>
          </w:p>
        </w:tc>
        <w:tc>
          <w:tcPr>
            <w:tcW w:w="1220" w:type="dxa"/>
            <w:tcBorders>
              <w:bottom w:val="double" w:sz="8" w:space="0" w:color="000000"/>
            </w:tcBorders>
            <w:tcMar>
              <w:top w:w="0" w:type="dxa"/>
              <w:bottom w:w="28" w:type="dxa"/>
            </w:tcMar>
            <w:vAlign w:val="bottom"/>
          </w:tcPr>
          <w:p>
            <w:pPr>
              <w:pStyle w:val="TableContents"/>
              <w:bidi w:val="0"/>
              <w:spacing w:before="0" w:after="283"/>
              <w:jc w:val="right"/>
              <w:rPr/>
            </w:pPr>
            <w:r>
              <w:rPr/>
              <w:t>630,437,880</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bottom w:val="double" w:sz="8" w:space="0" w:color="000000"/>
            </w:tcBorders>
            <w:tcMar>
              <w:top w:w="0" w:type="dxa"/>
              <w:bottom w:w="28" w:type="dxa"/>
            </w:tcMar>
            <w:vAlign w:val="bottom"/>
          </w:tcPr>
          <w:p>
            <w:pPr>
              <w:pStyle w:val="TableContents"/>
              <w:bidi w:val="0"/>
              <w:spacing w:before="0" w:after="283"/>
              <w:jc w:val="left"/>
              <w:rPr/>
            </w:pPr>
            <w:r>
              <w:rPr/>
              <w:t>$</w:t>
            </w:r>
          </w:p>
        </w:tc>
        <w:tc>
          <w:tcPr>
            <w:tcW w:w="1295" w:type="dxa"/>
            <w:tcBorders>
              <w:bottom w:val="double" w:sz="8" w:space="0" w:color="000000"/>
            </w:tcBorders>
            <w:tcMar>
              <w:top w:w="0" w:type="dxa"/>
              <w:bottom w:w="28" w:type="dxa"/>
            </w:tcMar>
            <w:vAlign w:val="bottom"/>
          </w:tcPr>
          <w:p>
            <w:pPr>
              <w:pStyle w:val="TableContents"/>
              <w:bidi w:val="0"/>
              <w:spacing w:before="0" w:after="283"/>
              <w:jc w:val="right"/>
              <w:rPr/>
            </w:pPr>
            <w:r>
              <w:rPr/>
              <w:t>(484,805,486</w:t>
            </w:r>
          </w:p>
        </w:tc>
        <w:tc>
          <w:tcPr>
            <w:tcW w:w="95" w:type="dxa"/>
            <w:tcBorders/>
            <w:tcMar>
              <w:top w:w="0" w:type="dxa"/>
            </w:tcMar>
            <w:vAlign w:val="bottom"/>
          </w:tcPr>
          <w:p>
            <w:pPr>
              <w:pStyle w:val="TableContents"/>
              <w:bidi w:val="0"/>
              <w:spacing w:before="0" w:after="283"/>
              <w:jc w:val="left"/>
              <w:rPr/>
            </w:pPr>
            <w:r>
              <w:rPr/>
              <w:t>)</w:t>
            </w:r>
          </w:p>
        </w:tc>
        <w:tc>
          <w:tcPr>
            <w:tcW w:w="60" w:type="dxa"/>
            <w:tcBorders/>
            <w:tcMar>
              <w:top w:w="0" w:type="dxa"/>
            </w:tcMar>
            <w:vAlign w:val="bottom"/>
          </w:tcPr>
          <w:p>
            <w:pPr>
              <w:pStyle w:val="TableContents"/>
              <w:bidi w:val="0"/>
              <w:spacing w:before="0" w:after="283"/>
              <w:jc w:val="right"/>
              <w:rPr/>
            </w:pPr>
            <w:r>
              <w:rPr/>
              <w:t> </w:t>
            </w:r>
          </w:p>
        </w:tc>
        <w:tc>
          <w:tcPr>
            <w:tcW w:w="141"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1239" w:type="dxa"/>
            <w:tcBorders>
              <w:bottom w:val="double" w:sz="8" w:space="0" w:color="000000"/>
            </w:tcBorders>
            <w:tcMar>
              <w:top w:w="0" w:type="dxa"/>
              <w:bottom w:w="28" w:type="dxa"/>
            </w:tcMar>
            <w:vAlign w:val="bottom"/>
          </w:tcPr>
          <w:p>
            <w:pPr>
              <w:pStyle w:val="TableContents"/>
              <w:bidi w:val="0"/>
              <w:spacing w:before="0" w:after="0"/>
              <w:jc w:val="right"/>
              <w:rPr/>
            </w:pPr>
            <w:r>
              <w:rPr/>
              <w:t>145,654,620</w:t>
            </w:r>
          </w:p>
        </w:tc>
        <w:tc>
          <w:tcPr>
            <w:tcW w:w="112" w:type="dxa"/>
            <w:tcBorders/>
            <w:tcMar>
              <w:top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Three Months Ended March 31, 2022</w:t>
      </w:r>
    </w:p>
    <w:tbl>
      <w:tblPr>
        <w:tblW w:w="10205" w:type="dxa"/>
        <w:jc w:val="left"/>
        <w:tblInd w:w="0" w:type="dxa"/>
        <w:tblLayout w:type="fixed"/>
        <w:tblCellMar>
          <w:top w:w="28" w:type="dxa"/>
          <w:left w:w="0" w:type="dxa"/>
          <w:bottom w:w="0" w:type="dxa"/>
          <w:right w:w="0" w:type="dxa"/>
        </w:tblCellMar>
      </w:tblPr>
      <w:tblGrid>
        <w:gridCol w:w="3187"/>
        <w:gridCol w:w="60"/>
        <w:gridCol w:w="60"/>
        <w:gridCol w:w="1220"/>
        <w:gridCol w:w="60"/>
        <w:gridCol w:w="60"/>
        <w:gridCol w:w="146"/>
        <w:gridCol w:w="714"/>
        <w:gridCol w:w="60"/>
        <w:gridCol w:w="60"/>
        <w:gridCol w:w="140"/>
        <w:gridCol w:w="1220"/>
        <w:gridCol w:w="95"/>
        <w:gridCol w:w="60"/>
        <w:gridCol w:w="140"/>
        <w:gridCol w:w="1295"/>
        <w:gridCol w:w="95"/>
        <w:gridCol w:w="60"/>
        <w:gridCol w:w="141"/>
        <w:gridCol w:w="1236"/>
        <w:gridCol w:w="96"/>
      </w:tblGrid>
      <w:tr>
        <w:trPr/>
        <w:tc>
          <w:tcPr>
            <w:tcW w:w="3187"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2260" w:type="dxa"/>
            <w:gridSpan w:val="6"/>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60" w:type="dxa"/>
            <w:gridSpan w:val="2"/>
            <w:tcBorders>
              <w:top w:val="single" w:sz="12" w:space="0" w:color="000000"/>
            </w:tcBorders>
            <w:vAlign w:val="bottom"/>
          </w:tcPr>
          <w:p>
            <w:pPr>
              <w:pStyle w:val="TableContents"/>
              <w:bidi w:val="0"/>
              <w:spacing w:before="0" w:after="283"/>
              <w:jc w:val="center"/>
              <w:rPr>
                <w:b/>
              </w:rPr>
            </w:pPr>
            <w:r>
              <w:rPr>
                <w:b/>
              </w:rPr>
              <w:t>Additional</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435" w:type="dxa"/>
            <w:gridSpan w:val="2"/>
            <w:tcBorders>
              <w:top w:val="single" w:sz="12" w:space="0" w:color="000000"/>
            </w:tcBorders>
            <w:vAlign w:val="bottom"/>
          </w:tcPr>
          <w:p>
            <w:pPr>
              <w:pStyle w:val="TableContents"/>
              <w:bidi w:val="0"/>
              <w:spacing w:before="0" w:after="283"/>
              <w:jc w:val="center"/>
              <w:rPr/>
            </w:pPr>
            <w:r>
              <w:rPr/>
              <w:t> </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77" w:type="dxa"/>
            <w:gridSpan w:val="2"/>
            <w:tcBorders>
              <w:top w:val="single" w:sz="12" w:space="0" w:color="000000"/>
            </w:tcBorders>
            <w:vAlign w:val="bottom"/>
          </w:tcPr>
          <w:p>
            <w:pPr>
              <w:pStyle w:val="TableContents"/>
              <w:bidi w:val="0"/>
              <w:spacing w:before="0" w:after="283"/>
              <w:jc w:val="center"/>
              <w:rPr>
                <w:b/>
              </w:rPr>
            </w:pPr>
            <w:r>
              <w:rPr>
                <w:b/>
              </w:rPr>
              <w:t>Total</w:t>
            </w:r>
          </w:p>
        </w:tc>
        <w:tc>
          <w:tcPr>
            <w:tcW w:w="96" w:type="dxa"/>
            <w:tcBorders/>
            <w:tcMar>
              <w:top w:w="0" w:type="dxa"/>
            </w:tcMar>
            <w:vAlign w:val="bottom"/>
          </w:tcPr>
          <w:p>
            <w:pPr>
              <w:pStyle w:val="TableContents"/>
              <w:bidi w:val="0"/>
              <w:spacing w:before="0" w:after="283"/>
              <w:jc w:val="left"/>
              <w:rPr/>
            </w:pPr>
            <w:r>
              <w:rPr/>
              <w:t> </w:t>
            </w:r>
          </w:p>
        </w:tc>
      </w:tr>
      <w:tr>
        <w:trPr/>
        <w:tc>
          <w:tcPr>
            <w:tcW w:w="3187"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2260" w:type="dxa"/>
            <w:gridSpan w:val="6"/>
            <w:tcBorders>
              <w:bottom w:val="single" w:sz="12" w:space="0" w:color="000000"/>
            </w:tcBorders>
            <w:tcMar>
              <w:top w:w="0" w:type="dxa"/>
              <w:bottom w:w="28" w:type="dxa"/>
            </w:tcMar>
            <w:vAlign w:val="bottom"/>
          </w:tcPr>
          <w:p>
            <w:pPr>
              <w:pStyle w:val="TableContents"/>
              <w:bidi w:val="0"/>
              <w:spacing w:before="0" w:after="0"/>
              <w:jc w:val="center"/>
              <w:rPr>
                <w:b/>
              </w:rPr>
            </w:pPr>
            <w:r>
              <w:rPr>
                <w:b/>
              </w:rPr>
              <w:t>Common Stock</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60" w:type="dxa"/>
            <w:gridSpan w:val="2"/>
            <w:tcBorders/>
            <w:tcMar>
              <w:top w:w="0" w:type="dxa"/>
            </w:tcMar>
            <w:vAlign w:val="bottom"/>
          </w:tcPr>
          <w:p>
            <w:pPr>
              <w:pStyle w:val="TableContents"/>
              <w:bidi w:val="0"/>
              <w:spacing w:before="0" w:after="0"/>
              <w:jc w:val="center"/>
              <w:rPr>
                <w:b/>
              </w:rPr>
            </w:pPr>
            <w:r>
              <w:rPr>
                <w:b/>
              </w:rPr>
              <w:t>Paid-in</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435" w:type="dxa"/>
            <w:gridSpan w:val="2"/>
            <w:tcBorders/>
            <w:tcMar>
              <w:top w:w="0" w:type="dxa"/>
            </w:tcMar>
            <w:vAlign w:val="bottom"/>
          </w:tcPr>
          <w:p>
            <w:pPr>
              <w:pStyle w:val="TableContents"/>
              <w:bidi w:val="0"/>
              <w:spacing w:before="0" w:after="0"/>
              <w:jc w:val="center"/>
              <w:rPr>
                <w:b/>
              </w:rPr>
            </w:pPr>
            <w:r>
              <w:rPr>
                <w:b/>
              </w:rPr>
              <w:t>Accumulated</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7" w:type="dxa"/>
            <w:gridSpan w:val="2"/>
            <w:tcBorders/>
            <w:tcMar>
              <w:top w:w="0" w:type="dxa"/>
            </w:tcMar>
            <w:vAlign w:val="bottom"/>
          </w:tcPr>
          <w:p>
            <w:pPr>
              <w:pStyle w:val="TableContents"/>
              <w:bidi w:val="0"/>
              <w:spacing w:before="0" w:after="0"/>
              <w:jc w:val="center"/>
              <w:rPr>
                <w:b/>
              </w:rPr>
            </w:pPr>
            <w:r>
              <w:rPr>
                <w:b/>
              </w:rPr>
              <w:t>Stockholders’</w:t>
            </w:r>
          </w:p>
        </w:tc>
        <w:tc>
          <w:tcPr>
            <w:tcW w:w="96" w:type="dxa"/>
            <w:tcBorders/>
            <w:tcMar>
              <w:top w:w="0" w:type="dxa"/>
            </w:tcMar>
            <w:vAlign w:val="bottom"/>
          </w:tcPr>
          <w:p>
            <w:pPr>
              <w:pStyle w:val="TableContents"/>
              <w:bidi w:val="0"/>
              <w:spacing w:before="0" w:after="283"/>
              <w:jc w:val="left"/>
              <w:rPr/>
            </w:pPr>
            <w:r>
              <w:rPr/>
              <w:t> </w:t>
            </w:r>
          </w:p>
        </w:tc>
      </w:tr>
      <w:tr>
        <w:trPr/>
        <w:tc>
          <w:tcPr>
            <w:tcW w:w="3187"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Shares</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Amount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6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Capital</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435"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Deficit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7"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Equity</w:t>
            </w:r>
          </w:p>
        </w:tc>
        <w:tc>
          <w:tcPr>
            <w:tcW w:w="96" w:type="dxa"/>
            <w:tcBorders/>
            <w:tcMar>
              <w:top w:w="0" w:type="dxa"/>
            </w:tcMar>
            <w:vAlign w:val="bottom"/>
          </w:tcPr>
          <w:p>
            <w:pPr>
              <w:pStyle w:val="TableContents"/>
              <w:bidi w:val="0"/>
              <w:spacing w:before="0" w:after="283"/>
              <w:jc w:val="left"/>
              <w:rPr/>
            </w:pPr>
            <w:r>
              <w:rPr/>
              <w:t> </w:t>
            </w:r>
          </w:p>
        </w:tc>
      </w:tr>
      <w:tr>
        <w:trPr/>
        <w:tc>
          <w:tcPr>
            <w:tcW w:w="3187" w:type="dxa"/>
            <w:tcBorders/>
            <w:shd w:fill="CCEEFF" w:val="clear"/>
            <w:tcMar>
              <w:top w:w="0" w:type="dxa"/>
            </w:tcMar>
            <w:vAlign w:val="bottom"/>
          </w:tcPr>
          <w:p>
            <w:pPr>
              <w:pStyle w:val="TableContents"/>
              <w:bidi w:val="0"/>
              <w:spacing w:before="0" w:after="0"/>
              <w:ind w:left="180" w:right="0" w:hanging="0"/>
              <w:jc w:val="left"/>
              <w:rPr>
                <w:color w:val="000000"/>
              </w:rPr>
            </w:pPr>
            <w:r>
              <w:rPr>
                <w:color w:val="000000"/>
              </w:rPr>
              <w:t>Balance at December 31, 2021</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195,813,817</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6" w:type="dxa"/>
            <w:tcBorders/>
            <w:shd w:fill="CCEEFF" w:val="clear"/>
            <w:tcMar>
              <w:top w:w="0" w:type="dxa"/>
            </w:tcMar>
            <w:vAlign w:val="bottom"/>
          </w:tcPr>
          <w:p>
            <w:pPr>
              <w:pStyle w:val="TableContents"/>
              <w:bidi w:val="0"/>
              <w:spacing w:before="0" w:after="0"/>
              <w:jc w:val="left"/>
              <w:rPr/>
            </w:pPr>
            <w:r>
              <w:rPr/>
              <w:t>$</w:t>
            </w:r>
          </w:p>
        </w:tc>
        <w:tc>
          <w:tcPr>
            <w:tcW w:w="714" w:type="dxa"/>
            <w:tcBorders/>
            <w:shd w:fill="CCEEFF" w:val="clear"/>
            <w:tcMar>
              <w:top w:w="0" w:type="dxa"/>
            </w:tcMar>
            <w:vAlign w:val="bottom"/>
          </w:tcPr>
          <w:p>
            <w:pPr>
              <w:pStyle w:val="TableContents"/>
              <w:bidi w:val="0"/>
              <w:spacing w:before="0" w:after="0"/>
              <w:jc w:val="right"/>
              <w:rPr/>
            </w:pPr>
            <w:r>
              <w:rPr/>
              <w:t>19,581</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0"/>
              <w:jc w:val="left"/>
              <w:rPr/>
            </w:pPr>
            <w:r>
              <w:rPr/>
              <w:t>$</w:t>
            </w:r>
          </w:p>
        </w:tc>
        <w:tc>
          <w:tcPr>
            <w:tcW w:w="1220" w:type="dxa"/>
            <w:tcBorders/>
            <w:shd w:fill="CCEEFF" w:val="clear"/>
            <w:tcMar>
              <w:top w:w="0" w:type="dxa"/>
            </w:tcMar>
            <w:vAlign w:val="bottom"/>
          </w:tcPr>
          <w:p>
            <w:pPr>
              <w:pStyle w:val="TableContents"/>
              <w:bidi w:val="0"/>
              <w:spacing w:before="0" w:after="0"/>
              <w:jc w:val="right"/>
              <w:rPr/>
            </w:pPr>
            <w:r>
              <w:rPr/>
              <w:t>553,265,706</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0"/>
              <w:jc w:val="left"/>
              <w:rPr/>
            </w:pPr>
            <w:r>
              <w:rPr/>
              <w:t>$</w:t>
            </w:r>
          </w:p>
        </w:tc>
        <w:tc>
          <w:tcPr>
            <w:tcW w:w="1295" w:type="dxa"/>
            <w:tcBorders/>
            <w:shd w:fill="CCEEFF" w:val="clear"/>
            <w:tcMar>
              <w:top w:w="0" w:type="dxa"/>
            </w:tcMar>
            <w:vAlign w:val="bottom"/>
          </w:tcPr>
          <w:p>
            <w:pPr>
              <w:pStyle w:val="TableContents"/>
              <w:bidi w:val="0"/>
              <w:spacing w:before="0" w:after="0"/>
              <w:jc w:val="right"/>
              <w:rPr/>
            </w:pPr>
            <w:r>
              <w:rPr/>
              <w:t>(412,112,721</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141" w:type="dxa"/>
            <w:tcBorders/>
            <w:shd w:fill="CCEEFF" w:val="clear"/>
            <w:tcMar>
              <w:top w:w="0" w:type="dxa"/>
            </w:tcMar>
            <w:vAlign w:val="bottom"/>
          </w:tcPr>
          <w:p>
            <w:pPr>
              <w:pStyle w:val="TableContents"/>
              <w:bidi w:val="0"/>
              <w:spacing w:before="0" w:after="0"/>
              <w:jc w:val="left"/>
              <w:rPr/>
            </w:pPr>
            <w:r>
              <w:rPr/>
              <w:t>$</w:t>
            </w:r>
          </w:p>
        </w:tc>
        <w:tc>
          <w:tcPr>
            <w:tcW w:w="1236" w:type="dxa"/>
            <w:tcBorders/>
            <w:shd w:fill="CCEEFF" w:val="clear"/>
            <w:tcMar>
              <w:top w:w="0" w:type="dxa"/>
            </w:tcMar>
            <w:vAlign w:val="bottom"/>
          </w:tcPr>
          <w:p>
            <w:pPr>
              <w:pStyle w:val="TableContents"/>
              <w:bidi w:val="0"/>
              <w:spacing w:before="0" w:after="0"/>
              <w:jc w:val="right"/>
              <w:rPr/>
            </w:pPr>
            <w:r>
              <w:rPr/>
              <w:t>141,172,566</w:t>
            </w:r>
          </w:p>
        </w:tc>
        <w:tc>
          <w:tcPr>
            <w:tcW w:w="96" w:type="dxa"/>
            <w:tcBorders/>
            <w:shd w:fill="CCEEFF" w:val="clear"/>
            <w:tcMar>
              <w:top w:w="0" w:type="dxa"/>
            </w:tcMar>
            <w:vAlign w:val="bottom"/>
          </w:tcPr>
          <w:p>
            <w:pPr>
              <w:pStyle w:val="TableContents"/>
              <w:bidi w:val="0"/>
              <w:spacing w:before="0" w:after="283"/>
              <w:jc w:val="left"/>
              <w:rPr/>
            </w:pPr>
            <w:r>
              <w:rPr/>
              <w:t> </w:t>
            </w:r>
          </w:p>
        </w:tc>
      </w:tr>
      <w:tr>
        <w:trPr/>
        <w:tc>
          <w:tcPr>
            <w:tcW w:w="3187" w:type="dxa"/>
            <w:tcBorders/>
            <w:tcMar>
              <w:top w:w="0" w:type="dxa"/>
            </w:tcMar>
            <w:vAlign w:val="bottom"/>
          </w:tcPr>
          <w:p>
            <w:pPr>
              <w:pStyle w:val="TableContents"/>
              <w:bidi w:val="0"/>
              <w:spacing w:before="0" w:after="0"/>
              <w:ind w:left="180" w:right="0" w:hanging="180"/>
              <w:jc w:val="left"/>
              <w:rPr/>
            </w:pPr>
            <w:r>
              <w:rPr/>
              <w:t>Warrants issued in connection with notes payable</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6" w:type="dxa"/>
            <w:tcBorders/>
            <w:tcMar>
              <w:top w:w="0" w:type="dxa"/>
            </w:tcMar>
            <w:vAlign w:val="bottom"/>
          </w:tcPr>
          <w:p>
            <w:pPr>
              <w:pStyle w:val="TableContents"/>
              <w:bidi w:val="0"/>
              <w:spacing w:before="0" w:after="283"/>
              <w:jc w:val="left"/>
              <w:rPr/>
            </w:pPr>
            <w:r>
              <w:rPr/>
              <w:t> </w:t>
            </w:r>
          </w:p>
        </w:tc>
        <w:tc>
          <w:tcPr>
            <w:tcW w:w="714"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9,569,604</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95" w:type="dxa"/>
            <w:tcBorders/>
            <w:tcMar>
              <w:top w:w="0"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1" w:type="dxa"/>
            <w:tcBorders/>
            <w:tcMar>
              <w:top w:w="0" w:type="dxa"/>
            </w:tcMar>
            <w:vAlign w:val="bottom"/>
          </w:tcPr>
          <w:p>
            <w:pPr>
              <w:pStyle w:val="TableContents"/>
              <w:bidi w:val="0"/>
              <w:spacing w:before="0" w:after="283"/>
              <w:jc w:val="left"/>
              <w:rPr/>
            </w:pPr>
            <w:r>
              <w:rPr/>
              <w:t> </w:t>
            </w:r>
          </w:p>
        </w:tc>
        <w:tc>
          <w:tcPr>
            <w:tcW w:w="1236" w:type="dxa"/>
            <w:tcBorders/>
            <w:tcMar>
              <w:top w:w="0" w:type="dxa"/>
            </w:tcMar>
            <w:vAlign w:val="bottom"/>
          </w:tcPr>
          <w:p>
            <w:pPr>
              <w:pStyle w:val="TableContents"/>
              <w:bidi w:val="0"/>
              <w:spacing w:before="0" w:after="283"/>
              <w:jc w:val="right"/>
              <w:rPr/>
            </w:pPr>
            <w:r>
              <w:rPr/>
              <w:t>9,569,604</w:t>
            </w:r>
          </w:p>
        </w:tc>
        <w:tc>
          <w:tcPr>
            <w:tcW w:w="96" w:type="dxa"/>
            <w:tcBorders/>
            <w:tcMar>
              <w:top w:w="0" w:type="dxa"/>
            </w:tcMar>
            <w:vAlign w:val="bottom"/>
          </w:tcPr>
          <w:p>
            <w:pPr>
              <w:pStyle w:val="TableContents"/>
              <w:bidi w:val="0"/>
              <w:spacing w:before="0" w:after="283"/>
              <w:jc w:val="left"/>
              <w:rPr/>
            </w:pPr>
            <w:r>
              <w:rPr/>
              <w:t> </w:t>
            </w:r>
          </w:p>
        </w:tc>
      </w:tr>
      <w:tr>
        <w:trPr/>
        <w:tc>
          <w:tcPr>
            <w:tcW w:w="3187" w:type="dxa"/>
            <w:tcBorders/>
            <w:shd w:fill="CCEEFF" w:val="clear"/>
            <w:tcMar>
              <w:top w:w="0" w:type="dxa"/>
            </w:tcMar>
            <w:vAlign w:val="bottom"/>
          </w:tcPr>
          <w:p>
            <w:pPr>
              <w:pStyle w:val="TableContents"/>
              <w:bidi w:val="0"/>
              <w:spacing w:before="0" w:after="0"/>
              <w:ind w:left="180" w:right="0" w:hanging="180"/>
              <w:jc w:val="left"/>
              <w:rPr>
                <w:color w:val="000000"/>
              </w:rPr>
            </w:pPr>
            <w:r>
              <w:rPr>
                <w:color w:val="000000"/>
              </w:rPr>
              <w:t>Stock-based compensation</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6" w:type="dxa"/>
            <w:tcBorders/>
            <w:shd w:fill="CCEEFF" w:val="clear"/>
            <w:tcMar>
              <w:top w:w="0" w:type="dxa"/>
            </w:tcMar>
            <w:vAlign w:val="bottom"/>
          </w:tcPr>
          <w:p>
            <w:pPr>
              <w:pStyle w:val="TableContents"/>
              <w:bidi w:val="0"/>
              <w:spacing w:before="0" w:after="283"/>
              <w:jc w:val="left"/>
              <w:rPr/>
            </w:pPr>
            <w:r>
              <w:rPr/>
              <w:t> </w:t>
            </w:r>
          </w:p>
        </w:tc>
        <w:tc>
          <w:tcPr>
            <w:tcW w:w="714" w:type="dxa"/>
            <w:tcBorders/>
            <w:shd w:fill="CCEEFF" w:val="clear"/>
            <w:tcMar>
              <w:top w:w="0" w:type="dxa"/>
            </w:tcMar>
            <w:vAlign w:val="bottom"/>
          </w:tcPr>
          <w:p>
            <w:pPr>
              <w:pStyle w:val="TableContents"/>
              <w:bidi w:val="0"/>
              <w:spacing w:before="0" w:after="0"/>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1,641,388</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shd w:fill="CCEEFF" w:val="clear"/>
            <w:tcMar>
              <w:top w:w="0" w:type="dxa"/>
            </w:tcMar>
            <w:vAlign w:val="bottom"/>
          </w:tcPr>
          <w:p>
            <w:pPr>
              <w:pStyle w:val="TableContents"/>
              <w:bidi w:val="0"/>
              <w:spacing w:before="0" w:after="283"/>
              <w:jc w:val="left"/>
              <w:rPr/>
            </w:pPr>
            <w:r>
              <w:rPr/>
              <w:t> </w:t>
            </w:r>
          </w:p>
        </w:tc>
        <w:tc>
          <w:tcPr>
            <w:tcW w:w="1295" w:type="dxa"/>
            <w:tcBorders/>
            <w:shd w:fill="CCEEFF" w:val="clear"/>
            <w:tcMar>
              <w:top w:w="0" w:type="dxa"/>
            </w:tcMar>
            <w:vAlign w:val="bottom"/>
          </w:tcPr>
          <w:p>
            <w:pPr>
              <w:pStyle w:val="TableContents"/>
              <w:bidi w:val="0"/>
              <w:spacing w:before="0" w:after="0"/>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1" w:type="dxa"/>
            <w:tcBorders/>
            <w:shd w:fill="CCEEFF" w:val="clear"/>
            <w:tcMar>
              <w:top w:w="0" w:type="dxa"/>
            </w:tcMar>
            <w:vAlign w:val="bottom"/>
          </w:tcPr>
          <w:p>
            <w:pPr>
              <w:pStyle w:val="TableContents"/>
              <w:bidi w:val="0"/>
              <w:spacing w:before="0" w:after="283"/>
              <w:jc w:val="left"/>
              <w:rPr/>
            </w:pPr>
            <w:r>
              <w:rPr/>
              <w:t> </w:t>
            </w:r>
          </w:p>
        </w:tc>
        <w:tc>
          <w:tcPr>
            <w:tcW w:w="1236" w:type="dxa"/>
            <w:tcBorders/>
            <w:shd w:fill="CCEEFF" w:val="clear"/>
            <w:tcMar>
              <w:top w:w="0" w:type="dxa"/>
            </w:tcMar>
            <w:vAlign w:val="bottom"/>
          </w:tcPr>
          <w:p>
            <w:pPr>
              <w:pStyle w:val="TableContents"/>
              <w:bidi w:val="0"/>
              <w:spacing w:before="0" w:after="0"/>
              <w:jc w:val="right"/>
              <w:rPr/>
            </w:pPr>
            <w:r>
              <w:rPr/>
              <w:t>1,641,388</w:t>
            </w:r>
          </w:p>
        </w:tc>
        <w:tc>
          <w:tcPr>
            <w:tcW w:w="96" w:type="dxa"/>
            <w:tcBorders/>
            <w:shd w:fill="CCEEFF" w:val="clear"/>
            <w:tcMar>
              <w:top w:w="0" w:type="dxa"/>
            </w:tcMar>
            <w:vAlign w:val="bottom"/>
          </w:tcPr>
          <w:p>
            <w:pPr>
              <w:pStyle w:val="TableContents"/>
              <w:bidi w:val="0"/>
              <w:spacing w:before="0" w:after="283"/>
              <w:jc w:val="left"/>
              <w:rPr/>
            </w:pPr>
            <w:r>
              <w:rPr/>
              <w:t> </w:t>
            </w:r>
          </w:p>
        </w:tc>
      </w:tr>
      <w:tr>
        <w:trPr/>
        <w:tc>
          <w:tcPr>
            <w:tcW w:w="3187" w:type="dxa"/>
            <w:tcBorders/>
            <w:tcMar>
              <w:top w:w="0" w:type="dxa"/>
            </w:tcMar>
            <w:vAlign w:val="bottom"/>
          </w:tcPr>
          <w:p>
            <w:pPr>
              <w:pStyle w:val="TableContents"/>
              <w:bidi w:val="0"/>
              <w:spacing w:before="0" w:after="0"/>
              <w:ind w:left="180" w:right="0" w:hanging="180"/>
              <w:jc w:val="left"/>
              <w:rPr/>
            </w:pPr>
            <w:r>
              <w:rPr/>
              <w:t xml:space="preserve">Vesting of Restricted Stock Units, net of shares withheld for taxes and retired </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533,712</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6" w:type="dxa"/>
            <w:tcBorders/>
            <w:tcMar>
              <w:top w:w="0" w:type="dxa"/>
            </w:tcMar>
            <w:vAlign w:val="bottom"/>
          </w:tcPr>
          <w:p>
            <w:pPr>
              <w:pStyle w:val="TableContents"/>
              <w:bidi w:val="0"/>
              <w:spacing w:before="0" w:after="283"/>
              <w:jc w:val="left"/>
              <w:rPr/>
            </w:pPr>
            <w:r>
              <w:rPr/>
              <w:t> </w:t>
            </w:r>
          </w:p>
        </w:tc>
        <w:tc>
          <w:tcPr>
            <w:tcW w:w="714" w:type="dxa"/>
            <w:tcBorders/>
            <w:tcMar>
              <w:top w:w="0" w:type="dxa"/>
            </w:tcMar>
            <w:vAlign w:val="bottom"/>
          </w:tcPr>
          <w:p>
            <w:pPr>
              <w:pStyle w:val="TableContents"/>
              <w:bidi w:val="0"/>
              <w:spacing w:before="0" w:after="283"/>
              <w:jc w:val="right"/>
              <w:rPr/>
            </w:pPr>
            <w:r>
              <w:rPr/>
              <w:t>54</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(442,690</w:t>
            </w:r>
          </w:p>
        </w:tc>
        <w:tc>
          <w:tcPr>
            <w:tcW w:w="95" w:type="dxa"/>
            <w:tcBorders/>
            <w:tcMar>
              <w:top w:w="0" w:type="dxa"/>
            </w:tcMar>
            <w:vAlign w:val="bottom"/>
          </w:tcPr>
          <w:p>
            <w:pPr>
              <w:pStyle w:val="TableContents"/>
              <w:bidi w:val="0"/>
              <w:spacing w:before="0" w:after="283"/>
              <w:jc w:val="left"/>
              <w:rPr/>
            </w:pPr>
            <w:r>
              <w:rPr/>
              <w:t>)</w:t>
            </w:r>
          </w:p>
        </w:tc>
        <w:tc>
          <w:tcPr>
            <w:tcW w:w="60" w:type="dxa"/>
            <w:tcBorders/>
            <w:tcMar>
              <w:top w:w="0" w:type="dxa"/>
            </w:tcMar>
            <w:vAlign w:val="bottom"/>
          </w:tcPr>
          <w:p>
            <w:pPr>
              <w:pStyle w:val="TableContents"/>
              <w:bidi w:val="0"/>
              <w:spacing w:before="0" w:after="283"/>
              <w:jc w:val="right"/>
              <w:rPr/>
            </w:pPr>
            <w:r>
              <w:rPr/>
              <w:t> </w:t>
            </w:r>
          </w:p>
        </w:tc>
        <w:tc>
          <w:tcPr>
            <w:tcW w:w="140" w:type="dxa"/>
            <w:tcBorders/>
            <w:tcMar>
              <w:top w:w="0" w:type="dxa"/>
            </w:tcMar>
            <w:vAlign w:val="bottom"/>
          </w:tcPr>
          <w:p>
            <w:pPr>
              <w:pStyle w:val="TableContents"/>
              <w:bidi w:val="0"/>
              <w:spacing w:before="0" w:after="283"/>
              <w:jc w:val="left"/>
              <w:rPr/>
            </w:pPr>
            <w:r>
              <w:rPr/>
              <w:t> </w:t>
            </w:r>
          </w:p>
        </w:tc>
        <w:tc>
          <w:tcPr>
            <w:tcW w:w="1295" w:type="dxa"/>
            <w:tcBorders/>
            <w:tcMar>
              <w:top w:w="0"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1" w:type="dxa"/>
            <w:tcBorders/>
            <w:tcMar>
              <w:top w:w="0" w:type="dxa"/>
            </w:tcMar>
            <w:vAlign w:val="bottom"/>
          </w:tcPr>
          <w:p>
            <w:pPr>
              <w:pStyle w:val="TableContents"/>
              <w:bidi w:val="0"/>
              <w:spacing w:before="0" w:after="283"/>
              <w:jc w:val="left"/>
              <w:rPr/>
            </w:pPr>
            <w:r>
              <w:rPr/>
              <w:t> </w:t>
            </w:r>
          </w:p>
        </w:tc>
        <w:tc>
          <w:tcPr>
            <w:tcW w:w="1236" w:type="dxa"/>
            <w:tcBorders/>
            <w:tcMar>
              <w:top w:w="0" w:type="dxa"/>
            </w:tcMar>
            <w:vAlign w:val="bottom"/>
          </w:tcPr>
          <w:p>
            <w:pPr>
              <w:pStyle w:val="TableContents"/>
              <w:bidi w:val="0"/>
              <w:spacing w:before="0" w:after="283"/>
              <w:jc w:val="right"/>
              <w:rPr/>
            </w:pPr>
            <w:r>
              <w:rPr/>
              <w:t>(442,636</w:t>
            </w:r>
          </w:p>
        </w:tc>
        <w:tc>
          <w:tcPr>
            <w:tcW w:w="96" w:type="dxa"/>
            <w:tcBorders/>
            <w:tcMar>
              <w:top w:w="0" w:type="dxa"/>
            </w:tcMar>
            <w:vAlign w:val="bottom"/>
          </w:tcPr>
          <w:p>
            <w:pPr>
              <w:pStyle w:val="TableContents"/>
              <w:bidi w:val="0"/>
              <w:spacing w:before="0" w:after="283"/>
              <w:jc w:val="left"/>
              <w:rPr/>
            </w:pPr>
            <w:r>
              <w:rPr/>
              <w:t>)</w:t>
            </w:r>
          </w:p>
        </w:tc>
      </w:tr>
      <w:tr>
        <w:trPr/>
        <w:tc>
          <w:tcPr>
            <w:tcW w:w="3187" w:type="dxa"/>
            <w:tcBorders/>
            <w:shd w:fill="CCEEFF" w:val="clear"/>
            <w:tcMar>
              <w:top w:w="0" w:type="dxa"/>
            </w:tcMar>
            <w:vAlign w:val="bottom"/>
          </w:tcPr>
          <w:p>
            <w:pPr>
              <w:pStyle w:val="TableContents"/>
              <w:bidi w:val="0"/>
              <w:spacing w:before="0" w:after="0"/>
              <w:ind w:left="180" w:right="0" w:hanging="180"/>
              <w:jc w:val="left"/>
              <w:rPr>
                <w:color w:val="000000"/>
              </w:rPr>
            </w:pPr>
            <w:r>
              <w:rPr>
                <w:color w:val="000000"/>
              </w:rPr>
              <w:t>Net loss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714"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(25,007,857</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36"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(25,007,857</w:t>
            </w:r>
          </w:p>
        </w:tc>
        <w:tc>
          <w:tcPr>
            <w:tcW w:w="96" w:type="dxa"/>
            <w:tcBorders/>
            <w:shd w:fill="CCEEFF" w:val="clear"/>
            <w:tcMar>
              <w:top w:w="0" w:type="dxa"/>
            </w:tcMar>
            <w:vAlign w:val="bottom"/>
          </w:tcPr>
          <w:p>
            <w:pPr>
              <w:pStyle w:val="TableContents"/>
              <w:bidi w:val="0"/>
              <w:spacing w:before="0" w:after="0"/>
              <w:jc w:val="left"/>
              <w:rPr/>
            </w:pPr>
            <w:r>
              <w:rPr/>
              <w:t>)</w:t>
            </w:r>
          </w:p>
        </w:tc>
      </w:tr>
      <w:tr>
        <w:trPr/>
        <w:tc>
          <w:tcPr>
            <w:tcW w:w="3187" w:type="dxa"/>
            <w:tcBorders/>
            <w:tcMar>
              <w:top w:w="0" w:type="dxa"/>
            </w:tcMar>
            <w:vAlign w:val="bottom"/>
          </w:tcPr>
          <w:p>
            <w:pPr>
              <w:pStyle w:val="TableContents"/>
              <w:bidi w:val="0"/>
              <w:spacing w:before="0" w:after="0"/>
              <w:ind w:left="180" w:right="0" w:hanging="0"/>
              <w:jc w:val="left"/>
              <w:rPr>
                <w:color w:val="000000"/>
              </w:rPr>
            </w:pPr>
            <w:r>
              <w:rPr>
                <w:color w:val="000000"/>
              </w:rPr>
              <w:t>Balance at March 31, 2022</w:t>
            </w:r>
          </w:p>
        </w:tc>
        <w:tc>
          <w:tcPr>
            <w:tcW w:w="60" w:type="dxa"/>
            <w:tcBorders/>
            <w:tcMar>
              <w:top w:w="0" w:type="dxa"/>
            </w:tcMar>
            <w:vAlign w:val="bottom"/>
          </w:tcPr>
          <w:p>
            <w:pPr>
              <w:pStyle w:val="TableContents"/>
              <w:bidi w:val="0"/>
              <w:spacing w:before="0" w:after="283"/>
              <w:jc w:val="right"/>
              <w:rPr/>
            </w:pPr>
            <w:r>
              <w:rPr/>
              <w:t> </w:t>
            </w:r>
          </w:p>
        </w:tc>
        <w:tc>
          <w:tcPr>
            <w:tcW w:w="60" w:type="dxa"/>
            <w:tcBorders>
              <w:bottom w:val="double" w:sz="8" w:space="0" w:color="000000"/>
            </w:tcBorders>
            <w:tcMar>
              <w:top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top w:w="0" w:type="dxa"/>
              <w:bottom w:w="28" w:type="dxa"/>
            </w:tcMar>
            <w:vAlign w:val="bottom"/>
          </w:tcPr>
          <w:p>
            <w:pPr>
              <w:pStyle w:val="TableContents"/>
              <w:bidi w:val="0"/>
              <w:spacing w:before="0" w:after="0"/>
              <w:jc w:val="right"/>
              <w:rPr/>
            </w:pPr>
            <w:r>
              <w:rPr/>
              <w:t>196,347,529</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6"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714" w:type="dxa"/>
            <w:tcBorders>
              <w:bottom w:val="double" w:sz="8" w:space="0" w:color="000000"/>
            </w:tcBorders>
            <w:tcMar>
              <w:top w:w="0" w:type="dxa"/>
              <w:bottom w:w="28" w:type="dxa"/>
            </w:tcMar>
            <w:vAlign w:val="bottom"/>
          </w:tcPr>
          <w:p>
            <w:pPr>
              <w:pStyle w:val="TableContents"/>
              <w:bidi w:val="0"/>
              <w:spacing w:before="0" w:after="0"/>
              <w:jc w:val="right"/>
              <w:rPr/>
            </w:pPr>
            <w:r>
              <w:rPr/>
              <w:t>19,635</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1220" w:type="dxa"/>
            <w:tcBorders>
              <w:bottom w:val="double" w:sz="8" w:space="0" w:color="000000"/>
            </w:tcBorders>
            <w:tcMar>
              <w:top w:w="0" w:type="dxa"/>
              <w:bottom w:w="28" w:type="dxa"/>
            </w:tcMar>
            <w:vAlign w:val="bottom"/>
          </w:tcPr>
          <w:p>
            <w:pPr>
              <w:pStyle w:val="TableContents"/>
              <w:bidi w:val="0"/>
              <w:spacing w:before="0" w:after="0"/>
              <w:jc w:val="right"/>
              <w:rPr/>
            </w:pPr>
            <w:r>
              <w:rPr/>
              <w:t>564,034,008</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40"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1295" w:type="dxa"/>
            <w:tcBorders>
              <w:bottom w:val="double" w:sz="8" w:space="0" w:color="000000"/>
            </w:tcBorders>
            <w:tcMar>
              <w:top w:w="0" w:type="dxa"/>
              <w:bottom w:w="28" w:type="dxa"/>
            </w:tcMar>
            <w:vAlign w:val="bottom"/>
          </w:tcPr>
          <w:p>
            <w:pPr>
              <w:pStyle w:val="TableContents"/>
              <w:bidi w:val="0"/>
              <w:spacing w:before="0" w:after="0"/>
              <w:jc w:val="right"/>
              <w:rPr/>
            </w:pPr>
            <w:r>
              <w:rPr/>
              <w:t>(437,120,578</w:t>
            </w:r>
          </w:p>
        </w:tc>
        <w:tc>
          <w:tcPr>
            <w:tcW w:w="95" w:type="dxa"/>
            <w:tcBorders/>
            <w:tcMar>
              <w:top w:w="0" w:type="dxa"/>
            </w:tcMar>
            <w:vAlign w:val="bottom"/>
          </w:tcPr>
          <w:p>
            <w:pPr>
              <w:pStyle w:val="TableContents"/>
              <w:bidi w:val="0"/>
              <w:spacing w:before="0" w:after="0"/>
              <w:jc w:val="left"/>
              <w:rPr/>
            </w:pPr>
            <w:r>
              <w:rPr/>
              <w:t>)</w:t>
            </w:r>
          </w:p>
        </w:tc>
        <w:tc>
          <w:tcPr>
            <w:tcW w:w="60" w:type="dxa"/>
            <w:tcBorders/>
            <w:tcMar>
              <w:top w:w="0" w:type="dxa"/>
            </w:tcMar>
            <w:vAlign w:val="bottom"/>
          </w:tcPr>
          <w:p>
            <w:pPr>
              <w:pStyle w:val="TableContents"/>
              <w:bidi w:val="0"/>
              <w:spacing w:before="0" w:after="283"/>
              <w:jc w:val="right"/>
              <w:rPr/>
            </w:pPr>
            <w:r>
              <w:rPr/>
              <w:t> </w:t>
            </w:r>
          </w:p>
        </w:tc>
        <w:tc>
          <w:tcPr>
            <w:tcW w:w="141"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1236" w:type="dxa"/>
            <w:tcBorders>
              <w:bottom w:val="double" w:sz="8" w:space="0" w:color="000000"/>
            </w:tcBorders>
            <w:tcMar>
              <w:top w:w="0" w:type="dxa"/>
              <w:bottom w:w="28" w:type="dxa"/>
            </w:tcMar>
            <w:vAlign w:val="bottom"/>
          </w:tcPr>
          <w:p>
            <w:pPr>
              <w:pStyle w:val="TableContents"/>
              <w:bidi w:val="0"/>
              <w:spacing w:before="0" w:after="0"/>
              <w:jc w:val="right"/>
              <w:rPr/>
            </w:pPr>
            <w:r>
              <w:rPr/>
              <w:t>126,933,065</w:t>
            </w:r>
          </w:p>
        </w:tc>
        <w:tc>
          <w:tcPr>
            <w:tcW w:w="96" w:type="dxa"/>
            <w:tcBorders/>
            <w:tcMar>
              <w:top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w:t>
      </w:r>
      <w:bookmarkStart w:id="4" w:name="CASHFLOWS"/>
      <w:bookmarkEnd w:id="4"/>
      <w:r>
        <w:rPr>
          <w:rFonts w:ascii="Times New Roman" w:hAnsi="Times New Roman"/>
          <w:b/>
          <w:color w:val="000000"/>
          <w:sz w:val="20"/>
        </w:rPr>
        <w:t xml:space="preserve"> CASH FLOWS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6427"/>
        <w:gridCol w:w="60"/>
        <w:gridCol w:w="158"/>
        <w:gridCol w:w="1327"/>
        <w:gridCol w:w="106"/>
        <w:gridCol w:w="67"/>
        <w:gridCol w:w="158"/>
        <w:gridCol w:w="1464"/>
        <w:gridCol w:w="438"/>
      </w:tblGrid>
      <w:tr>
        <w:trPr/>
        <w:tc>
          <w:tcPr>
            <w:tcW w:w="64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438" w:type="dxa"/>
            <w:tcBorders/>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2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438" w:type="dxa"/>
            <w:tcBorders/>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144" w:right="0" w:hanging="144"/>
              <w:jc w:val="left"/>
              <w:rPr>
                <w:b/>
              </w:rPr>
            </w:pPr>
            <w:r>
              <w:rPr>
                <w:b/>
              </w:rPr>
              <w:t>CASH FLOWS FROM OPERATING ACTIVITIES:</w:t>
            </w:r>
          </w:p>
        </w:tc>
        <w:tc>
          <w:tcPr>
            <w:tcW w:w="60"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324" w:right="0" w:hanging="144"/>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(6,788,815</w:t>
            </w:r>
          </w:p>
        </w:tc>
        <w:tc>
          <w:tcPr>
            <w:tcW w:w="106" w:type="dxa"/>
            <w:tcBorders/>
            <w:shd w:fill="CCEEFF" w:val="clear"/>
            <w:vAlign w:val="bottom"/>
          </w:tcPr>
          <w:p>
            <w:pPr>
              <w:pStyle w:val="TableContents"/>
              <w:bidi w:val="0"/>
              <w:spacing w:before="0" w:after="283"/>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1464" w:type="dxa"/>
            <w:tcBorders/>
            <w:shd w:fill="CCEEFF" w:val="clear"/>
            <w:vAlign w:val="bottom"/>
          </w:tcPr>
          <w:p>
            <w:pPr>
              <w:pStyle w:val="TableContents"/>
              <w:bidi w:val="0"/>
              <w:spacing w:before="0" w:after="0"/>
              <w:jc w:val="right"/>
              <w:rPr/>
            </w:pPr>
            <w:r>
              <w:rPr/>
              <w:t>(25,007,857</w:t>
            </w:r>
          </w:p>
        </w:tc>
        <w:tc>
          <w:tcPr>
            <w:tcW w:w="438" w:type="dxa"/>
            <w:tcBorders/>
            <w:shd w:fill="CCEEFF" w:val="clear"/>
            <w:vAlign w:val="bottom"/>
          </w:tcPr>
          <w:p>
            <w:pPr>
              <w:pStyle w:val="TableContents"/>
              <w:bidi w:val="0"/>
              <w:spacing w:before="0" w:after="0"/>
              <w:jc w:val="left"/>
              <w:rPr/>
            </w:pPr>
            <w:r>
              <w:rPr/>
              <w:t>)</w:t>
            </w:r>
          </w:p>
        </w:tc>
      </w:tr>
      <w:tr>
        <w:trPr/>
        <w:tc>
          <w:tcPr>
            <w:tcW w:w="6427" w:type="dxa"/>
            <w:tcBorders/>
            <w:vAlign w:val="bottom"/>
          </w:tcPr>
          <w:p>
            <w:pPr>
              <w:pStyle w:val="TableContents"/>
              <w:bidi w:val="0"/>
              <w:spacing w:before="0" w:after="0"/>
              <w:ind w:left="324" w:right="0" w:hanging="144"/>
              <w:jc w:val="left"/>
              <w:rPr/>
            </w:pPr>
            <w:r>
              <w:rPr/>
              <w:t xml:space="preserve">Adjustments to reconcile net loss to net cash used in operating activities: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504" w:right="0" w:hanging="144"/>
              <w:jc w:val="left"/>
              <w:rPr/>
            </w:pPr>
            <w:r>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2,032,965</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1,590,217</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504" w:right="0" w:hanging="144"/>
              <w:jc w:val="left"/>
              <w:rPr/>
            </w:pPr>
            <w:r>
              <w:rPr/>
              <w:t>Loss on disposal of fixed assets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18,096</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2,000</w:t>
            </w:r>
          </w:p>
        </w:tc>
        <w:tc>
          <w:tcPr>
            <w:tcW w:w="438" w:type="dxa"/>
            <w:tcBorders/>
            <w:vAlign w:val="bottom"/>
          </w:tcPr>
          <w:p>
            <w:pPr>
              <w:pStyle w:val="TableContents"/>
              <w:bidi w:val="0"/>
              <w:spacing w:before="0" w:after="283"/>
              <w:ind w:left="0" w:right="0" w:firstLine="360"/>
              <w:jc w:val="left"/>
              <w:rPr/>
            </w:pPr>
            <w:r>
              <w:rPr/>
              <w:t> </w:t>
            </w:r>
          </w:p>
        </w:tc>
      </w:tr>
      <w:tr>
        <w:trPr/>
        <w:tc>
          <w:tcPr>
            <w:tcW w:w="6427" w:type="dxa"/>
            <w:tcBorders/>
            <w:shd w:fill="CCEEFF" w:val="clear"/>
            <w:vAlign w:val="bottom"/>
          </w:tcPr>
          <w:p>
            <w:pPr>
              <w:pStyle w:val="TableContents"/>
              <w:bidi w:val="0"/>
              <w:spacing w:before="0" w:after="283"/>
              <w:jc w:val="left"/>
              <w:rPr/>
            </w:pPr>
            <w:r>
              <w:rPr/>
              <w:t>Interest paid in kind</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979,978</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504" w:right="0" w:hanging="144"/>
              <w:jc w:val="left"/>
              <w:rPr/>
            </w:pPr>
            <w:r>
              <w:rPr/>
              <w:t>Stock-based compensation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1,110,166</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1,641,388</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504" w:right="0" w:hanging="144"/>
              <w:jc w:val="left"/>
              <w:rPr/>
            </w:pPr>
            <w:r>
              <w:rPr/>
              <w:t>Amortization of debt discount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487,889</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584,842</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360" w:right="0" w:hanging="0"/>
              <w:jc w:val="left"/>
              <w:rPr/>
            </w:pPr>
            <w:r>
              <w:rPr/>
              <w:t>Loss on extinguishment of debt</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6,669,941</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504" w:right="0" w:hanging="144"/>
              <w:jc w:val="left"/>
              <w:rPr/>
            </w:pPr>
            <w:r>
              <w:rPr/>
              <w:t>Amortization of license revenue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(35,708</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(35,708</w:t>
            </w:r>
          </w:p>
        </w:tc>
        <w:tc>
          <w:tcPr>
            <w:tcW w:w="438" w:type="dxa"/>
            <w:tcBorders/>
            <w:shd w:fill="CCEEFF" w:val="clear"/>
            <w:vAlign w:val="bottom"/>
          </w:tcPr>
          <w:p>
            <w:pPr>
              <w:pStyle w:val="TableContents"/>
              <w:bidi w:val="0"/>
              <w:spacing w:before="0" w:after="0"/>
              <w:jc w:val="left"/>
              <w:rPr/>
            </w:pPr>
            <w:r>
              <w:rPr/>
              <w:t>)</w:t>
            </w:r>
          </w:p>
        </w:tc>
      </w:tr>
      <w:tr>
        <w:trPr/>
        <w:tc>
          <w:tcPr>
            <w:tcW w:w="6427" w:type="dxa"/>
            <w:tcBorders/>
            <w:vAlign w:val="bottom"/>
          </w:tcPr>
          <w:p>
            <w:pPr>
              <w:pStyle w:val="TableContents"/>
              <w:bidi w:val="0"/>
              <w:spacing w:before="0" w:after="0"/>
              <w:ind w:left="324" w:right="0" w:hanging="144"/>
              <w:jc w:val="left"/>
              <w:rPr/>
            </w:pPr>
            <w:r>
              <w:rPr/>
              <w:t>Changes in operating assets and liabilities: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504" w:right="0" w:hanging="144"/>
              <w:jc w:val="left"/>
              <w:rPr/>
            </w:pPr>
            <w:r>
              <w:rPr/>
              <w:t>Accounts receivable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(11,013,446</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2,947,233</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504" w:right="0" w:hanging="144"/>
              <w:jc w:val="left"/>
              <w:rPr/>
            </w:pPr>
            <w:r>
              <w:rPr/>
              <w:t>Inventories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(704,826</w:t>
            </w:r>
          </w:p>
        </w:tc>
        <w:tc>
          <w:tcPr>
            <w:tcW w:w="106" w:type="dxa"/>
            <w:tcBorders/>
            <w:vAlign w:val="bottom"/>
          </w:tcPr>
          <w:p>
            <w:pPr>
              <w:pStyle w:val="TableContents"/>
              <w:bidi w:val="0"/>
              <w:spacing w:before="0" w:after="0"/>
              <w:jc w:val="left"/>
              <w:rPr/>
            </w:pPr>
            <w:r>
              <w:rPr/>
              <w:t>)</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(14,422,219</w:t>
            </w:r>
          </w:p>
        </w:tc>
        <w:tc>
          <w:tcPr>
            <w:tcW w:w="438" w:type="dxa"/>
            <w:tcBorders/>
            <w:vAlign w:val="bottom"/>
          </w:tcPr>
          <w:p>
            <w:pPr>
              <w:pStyle w:val="TableContents"/>
              <w:bidi w:val="0"/>
              <w:spacing w:before="0" w:after="0"/>
              <w:jc w:val="left"/>
              <w:rPr/>
            </w:pPr>
            <w:r>
              <w:rPr/>
              <w:t>)</w:t>
            </w:r>
          </w:p>
        </w:tc>
      </w:tr>
      <w:tr>
        <w:trPr/>
        <w:tc>
          <w:tcPr>
            <w:tcW w:w="6427" w:type="dxa"/>
            <w:tcBorders/>
            <w:shd w:fill="CCEEFF" w:val="clear"/>
            <w:vAlign w:val="bottom"/>
          </w:tcPr>
          <w:p>
            <w:pPr>
              <w:pStyle w:val="TableContents"/>
              <w:bidi w:val="0"/>
              <w:spacing w:before="0" w:after="0"/>
              <w:ind w:left="504" w:right="0" w:hanging="144"/>
              <w:jc w:val="left"/>
              <w:rPr/>
            </w:pPr>
            <w:r>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716,465</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(1,180,056</w:t>
            </w:r>
          </w:p>
        </w:tc>
        <w:tc>
          <w:tcPr>
            <w:tcW w:w="438" w:type="dxa"/>
            <w:tcBorders/>
            <w:shd w:fill="CCEEFF" w:val="clear"/>
            <w:vAlign w:val="bottom"/>
          </w:tcPr>
          <w:p>
            <w:pPr>
              <w:pStyle w:val="TableContents"/>
              <w:bidi w:val="0"/>
              <w:spacing w:before="0" w:after="0"/>
              <w:jc w:val="left"/>
              <w:rPr/>
            </w:pPr>
            <w:r>
              <w:rPr/>
              <w:t>)</w:t>
            </w:r>
          </w:p>
        </w:tc>
      </w:tr>
      <w:tr>
        <w:trPr/>
        <w:tc>
          <w:tcPr>
            <w:tcW w:w="6427" w:type="dxa"/>
            <w:tcBorders/>
            <w:vAlign w:val="bottom"/>
          </w:tcPr>
          <w:p>
            <w:pPr>
              <w:pStyle w:val="TableContents"/>
              <w:bidi w:val="0"/>
              <w:spacing w:before="0" w:after="0"/>
              <w:ind w:left="504" w:right="0" w:hanging="144"/>
              <w:jc w:val="left"/>
              <w:rPr/>
            </w:pPr>
            <w:r>
              <w:rPr/>
              <w:t>Deposits and other assets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289,232</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1,397,672</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504" w:right="0" w:hanging="144"/>
              <w:jc w:val="left"/>
              <w:rPr/>
            </w:pPr>
            <w:r>
              <w:rPr/>
              <w:t>Accounts payable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(272,904</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1,685,724</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504" w:right="0" w:hanging="144"/>
              <w:jc w:val="left"/>
              <w:rPr/>
            </w:pPr>
            <w:r>
              <w:rPr/>
              <w:t>Accrued expenses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(1,353,815</w:t>
            </w:r>
          </w:p>
        </w:tc>
        <w:tc>
          <w:tcPr>
            <w:tcW w:w="106" w:type="dxa"/>
            <w:tcBorders/>
            <w:vAlign w:val="bottom"/>
          </w:tcPr>
          <w:p>
            <w:pPr>
              <w:pStyle w:val="TableContents"/>
              <w:bidi w:val="0"/>
              <w:spacing w:before="0" w:after="0"/>
              <w:jc w:val="left"/>
              <w:rPr/>
            </w:pPr>
            <w:r>
              <w:rPr/>
              <w:t>)</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(1,775,526</w:t>
            </w:r>
          </w:p>
        </w:tc>
        <w:tc>
          <w:tcPr>
            <w:tcW w:w="438" w:type="dxa"/>
            <w:tcBorders/>
            <w:vAlign w:val="bottom"/>
          </w:tcPr>
          <w:p>
            <w:pPr>
              <w:pStyle w:val="TableContents"/>
              <w:bidi w:val="0"/>
              <w:spacing w:before="0" w:after="0"/>
              <w:jc w:val="left"/>
              <w:rPr/>
            </w:pPr>
            <w:r>
              <w:rPr/>
              <w:t>)</w:t>
            </w:r>
          </w:p>
        </w:tc>
      </w:tr>
      <w:tr>
        <w:trPr/>
        <w:tc>
          <w:tcPr>
            <w:tcW w:w="6427" w:type="dxa"/>
            <w:tcBorders/>
            <w:shd w:fill="CCEEFF" w:val="clear"/>
            <w:vAlign w:val="bottom"/>
          </w:tcPr>
          <w:p>
            <w:pPr>
              <w:pStyle w:val="TableContents"/>
              <w:bidi w:val="0"/>
              <w:spacing w:before="0" w:after="0"/>
              <w:ind w:left="504" w:right="0" w:hanging="144"/>
              <w:jc w:val="left"/>
              <w:rPr/>
            </w:pPr>
            <w:r>
              <w:rPr/>
              <w:t>Other current and non-current liabilities</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bidi w:val="0"/>
              <w:spacing w:before="0" w:after="0"/>
              <w:jc w:val="right"/>
              <w:rPr/>
            </w:pPr>
            <w:r>
              <w:rPr/>
              <w:t>(187,551</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bottom"/>
          </w:tcPr>
          <w:p>
            <w:pPr>
              <w:pStyle w:val="TableContents"/>
              <w:bidi w:val="0"/>
              <w:spacing w:before="0" w:after="0"/>
              <w:jc w:val="right"/>
              <w:rPr/>
            </w:pPr>
            <w:r>
              <w:rPr/>
              <w:t>(111,064</w:t>
            </w:r>
          </w:p>
        </w:tc>
        <w:tc>
          <w:tcPr>
            <w:tcW w:w="438" w:type="dxa"/>
            <w:tcBorders/>
            <w:shd w:fill="CCEEFF" w:val="clear"/>
            <w:vAlign w:val="bottom"/>
          </w:tcPr>
          <w:p>
            <w:pPr>
              <w:pStyle w:val="TableContents"/>
              <w:bidi w:val="0"/>
              <w:spacing w:before="0" w:after="0"/>
              <w:jc w:val="left"/>
              <w:rPr/>
            </w:pPr>
            <w:r>
              <w:rPr/>
              <w:t>)</w:t>
            </w:r>
          </w:p>
        </w:tc>
      </w:tr>
      <w:tr>
        <w:trPr/>
        <w:tc>
          <w:tcPr>
            <w:tcW w:w="6427" w:type="dxa"/>
            <w:tcBorders/>
            <w:vAlign w:val="bottom"/>
          </w:tcPr>
          <w:p>
            <w:pPr>
              <w:pStyle w:val="TableContents"/>
              <w:bidi w:val="0"/>
              <w:spacing w:before="0" w:after="0"/>
              <w:ind w:left="504" w:right="0" w:hanging="144"/>
              <w:jc w:val="left"/>
              <w:rPr/>
            </w:pPr>
            <w:r>
              <w:rPr/>
              <w:t>Net cash used in operating activities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(14,722,274</w:t>
            </w:r>
          </w:p>
        </w:tc>
        <w:tc>
          <w:tcPr>
            <w:tcW w:w="106" w:type="dxa"/>
            <w:tcBorders/>
            <w:vAlign w:val="bottom"/>
          </w:tcPr>
          <w:p>
            <w:pPr>
              <w:pStyle w:val="TableContents"/>
              <w:bidi w:val="0"/>
              <w:spacing w:before="0" w:after="0"/>
              <w:jc w:val="left"/>
              <w:rPr/>
            </w:pPr>
            <w:r>
              <w:rPr/>
              <w:t>)</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tcMar>
              <w:bottom w:w="28" w:type="dxa"/>
            </w:tcMar>
            <w:vAlign w:val="bottom"/>
          </w:tcPr>
          <w:p>
            <w:pPr>
              <w:pStyle w:val="TableContents"/>
              <w:bidi w:val="0"/>
              <w:spacing w:before="0" w:after="0"/>
              <w:jc w:val="right"/>
              <w:rPr/>
            </w:pPr>
            <w:r>
              <w:rPr/>
              <w:t>(26,013,413</w:t>
            </w:r>
          </w:p>
        </w:tc>
        <w:tc>
          <w:tcPr>
            <w:tcW w:w="438" w:type="dxa"/>
            <w:tcBorders/>
            <w:vAlign w:val="bottom"/>
          </w:tcPr>
          <w:p>
            <w:pPr>
              <w:pStyle w:val="TableContents"/>
              <w:bidi w:val="0"/>
              <w:spacing w:before="0" w:after="0"/>
              <w:jc w:val="left"/>
              <w:rPr/>
            </w:pPr>
            <w:r>
              <w:rPr/>
              <w:t>)</w:t>
            </w:r>
          </w:p>
        </w:tc>
      </w:tr>
      <w:tr>
        <w:trPr/>
        <w:tc>
          <w:tcPr>
            <w:tcW w:w="64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 </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144" w:right="0" w:hanging="144"/>
              <w:jc w:val="left"/>
              <w:rPr>
                <w:b/>
              </w:rPr>
            </w:pPr>
            <w:r>
              <w:rPr>
                <w:b/>
              </w:rPr>
              <w:t>CASH FLOWS FROM INVESTING ACTIVITIES: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504" w:right="0" w:hanging="144"/>
              <w:jc w:val="left"/>
              <w:rPr/>
            </w:pPr>
            <w:r>
              <w:rPr/>
              <w:t>Purchase of property and equipment</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bidi w:val="0"/>
              <w:spacing w:before="0" w:after="0"/>
              <w:jc w:val="right"/>
              <w:rPr/>
            </w:pPr>
            <w:r>
              <w:rPr/>
              <w:t>(1,944,596</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bottom"/>
          </w:tcPr>
          <w:p>
            <w:pPr>
              <w:pStyle w:val="TableContents"/>
              <w:bidi w:val="0"/>
              <w:spacing w:before="0" w:after="0"/>
              <w:jc w:val="right"/>
              <w:rPr/>
            </w:pPr>
            <w:r>
              <w:rPr/>
              <w:t>(2,842,085</w:t>
            </w:r>
          </w:p>
        </w:tc>
        <w:tc>
          <w:tcPr>
            <w:tcW w:w="438" w:type="dxa"/>
            <w:tcBorders/>
            <w:shd w:fill="CCEEFF" w:val="clear"/>
            <w:vAlign w:val="bottom"/>
          </w:tcPr>
          <w:p>
            <w:pPr>
              <w:pStyle w:val="TableContents"/>
              <w:bidi w:val="0"/>
              <w:spacing w:before="0" w:after="0"/>
              <w:jc w:val="left"/>
              <w:rPr/>
            </w:pPr>
            <w:r>
              <w:rPr/>
              <w:t>)</w:t>
            </w:r>
          </w:p>
        </w:tc>
      </w:tr>
      <w:tr>
        <w:trPr/>
        <w:tc>
          <w:tcPr>
            <w:tcW w:w="6427" w:type="dxa"/>
            <w:tcBorders/>
            <w:vAlign w:val="bottom"/>
          </w:tcPr>
          <w:p>
            <w:pPr>
              <w:pStyle w:val="TableContents"/>
              <w:bidi w:val="0"/>
              <w:spacing w:before="0" w:after="0"/>
              <w:ind w:left="504" w:right="0" w:hanging="144"/>
              <w:jc w:val="left"/>
              <w:rPr/>
            </w:pPr>
            <w:r>
              <w:rPr/>
              <w:t>Net cash used in investing activities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(1,944,596</w:t>
            </w:r>
          </w:p>
        </w:tc>
        <w:tc>
          <w:tcPr>
            <w:tcW w:w="106" w:type="dxa"/>
            <w:tcBorders/>
            <w:vAlign w:val="bottom"/>
          </w:tcPr>
          <w:p>
            <w:pPr>
              <w:pStyle w:val="TableContents"/>
              <w:bidi w:val="0"/>
              <w:spacing w:before="0" w:after="0"/>
              <w:jc w:val="left"/>
              <w:rPr/>
            </w:pPr>
            <w:r>
              <w:rPr/>
              <w:t>)</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tcMar>
              <w:bottom w:w="28" w:type="dxa"/>
            </w:tcMar>
            <w:vAlign w:val="bottom"/>
          </w:tcPr>
          <w:p>
            <w:pPr>
              <w:pStyle w:val="TableContents"/>
              <w:bidi w:val="0"/>
              <w:spacing w:before="0" w:after="0"/>
              <w:jc w:val="right"/>
              <w:rPr/>
            </w:pPr>
            <w:r>
              <w:rPr/>
              <w:t>(2,842,085</w:t>
            </w:r>
          </w:p>
        </w:tc>
        <w:tc>
          <w:tcPr>
            <w:tcW w:w="438" w:type="dxa"/>
            <w:tcBorders/>
            <w:vAlign w:val="bottom"/>
          </w:tcPr>
          <w:p>
            <w:pPr>
              <w:pStyle w:val="TableContents"/>
              <w:bidi w:val="0"/>
              <w:spacing w:before="0" w:after="0"/>
              <w:jc w:val="left"/>
              <w:rPr/>
            </w:pPr>
            <w:r>
              <w:rPr/>
              <w:t>)</w:t>
            </w:r>
          </w:p>
        </w:tc>
      </w:tr>
      <w:tr>
        <w:trPr/>
        <w:tc>
          <w:tcPr>
            <w:tcW w:w="64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 </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144" w:right="0" w:hanging="144"/>
              <w:jc w:val="left"/>
              <w:rPr>
                <w:b/>
              </w:rPr>
            </w:pPr>
            <w:r>
              <w:rPr>
                <w:b/>
              </w:rPr>
              <w:t>CASH FLOWS FROM FINANCING ACTIVITIES: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360" w:right="0" w:hanging="0"/>
              <w:jc w:val="left"/>
              <w:rPr/>
            </w:pPr>
            <w:r>
              <w:rPr/>
              <w:t>Principal payments on notes payable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(100,000,000</w:t>
            </w:r>
          </w:p>
        </w:tc>
        <w:tc>
          <w:tcPr>
            <w:tcW w:w="438" w:type="dxa"/>
            <w:tcBorders/>
            <w:shd w:fill="CCEEFF" w:val="clear"/>
            <w:vAlign w:val="bottom"/>
          </w:tcPr>
          <w:p>
            <w:pPr>
              <w:pStyle w:val="TableContents"/>
              <w:bidi w:val="0"/>
              <w:spacing w:before="0" w:after="283"/>
              <w:jc w:val="left"/>
              <w:rPr/>
            </w:pPr>
            <w:r>
              <w:rPr/>
              <w:t>)</w:t>
            </w:r>
          </w:p>
        </w:tc>
      </w:tr>
      <w:tr>
        <w:trPr/>
        <w:tc>
          <w:tcPr>
            <w:tcW w:w="6427" w:type="dxa"/>
            <w:tcBorders/>
            <w:vAlign w:val="bottom"/>
          </w:tcPr>
          <w:p>
            <w:pPr>
              <w:pStyle w:val="TableContents"/>
              <w:bidi w:val="0"/>
              <w:spacing w:before="0" w:after="0"/>
              <w:ind w:left="360" w:right="0" w:hanging="0"/>
              <w:jc w:val="left"/>
              <w:rPr/>
            </w:pPr>
            <w:r>
              <w:rPr/>
              <w:t>Payment of debt refinancing fees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(2,000,000</w:t>
            </w:r>
          </w:p>
        </w:tc>
        <w:tc>
          <w:tcPr>
            <w:tcW w:w="438" w:type="dxa"/>
            <w:tcBorders/>
            <w:vAlign w:val="bottom"/>
          </w:tcPr>
          <w:p>
            <w:pPr>
              <w:pStyle w:val="TableContents"/>
              <w:bidi w:val="0"/>
              <w:spacing w:before="0" w:after="0"/>
              <w:jc w:val="left"/>
              <w:rPr/>
            </w:pPr>
            <w:r>
              <w:rPr/>
              <w:t>)</w:t>
            </w:r>
          </w:p>
        </w:tc>
      </w:tr>
      <w:tr>
        <w:trPr/>
        <w:tc>
          <w:tcPr>
            <w:tcW w:w="6427" w:type="dxa"/>
            <w:tcBorders/>
            <w:shd w:fill="CCEEFF" w:val="clear"/>
            <w:vAlign w:val="bottom"/>
          </w:tcPr>
          <w:p>
            <w:pPr>
              <w:pStyle w:val="TableContents"/>
              <w:bidi w:val="0"/>
              <w:spacing w:before="0" w:after="0"/>
              <w:ind w:left="360" w:right="0" w:hanging="0"/>
              <w:jc w:val="left"/>
              <w:rPr/>
            </w:pPr>
            <w:r>
              <w:rPr/>
              <w:t>Proceeds from issuance of note payable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151,750,000</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504" w:right="0" w:hanging="144"/>
              <w:jc w:val="left"/>
              <w:rPr/>
            </w:pPr>
            <w:r>
              <w:rPr/>
              <w:t>Taxes paid on vested Restricted Stock Units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(640,946</w:t>
            </w:r>
          </w:p>
        </w:tc>
        <w:tc>
          <w:tcPr>
            <w:tcW w:w="106" w:type="dxa"/>
            <w:tcBorders/>
            <w:vAlign w:val="bottom"/>
          </w:tcPr>
          <w:p>
            <w:pPr>
              <w:pStyle w:val="TableContents"/>
              <w:bidi w:val="0"/>
              <w:spacing w:before="0" w:after="0"/>
              <w:jc w:val="left"/>
              <w:rPr/>
            </w:pPr>
            <w:r>
              <w:rPr/>
              <w:t>)</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0"/>
              <w:jc w:val="right"/>
              <w:rPr/>
            </w:pPr>
            <w:r>
              <w:rPr/>
              <w:t>(91,367</w:t>
            </w:r>
          </w:p>
        </w:tc>
        <w:tc>
          <w:tcPr>
            <w:tcW w:w="438" w:type="dxa"/>
            <w:tcBorders/>
            <w:vAlign w:val="bottom"/>
          </w:tcPr>
          <w:p>
            <w:pPr>
              <w:pStyle w:val="TableContents"/>
              <w:bidi w:val="0"/>
              <w:spacing w:before="0" w:after="0"/>
              <w:jc w:val="left"/>
              <w:rPr/>
            </w:pPr>
            <w:r>
              <w:rPr/>
              <w:t>)</w:t>
            </w:r>
          </w:p>
        </w:tc>
      </w:tr>
      <w:tr>
        <w:trPr/>
        <w:tc>
          <w:tcPr>
            <w:tcW w:w="6427" w:type="dxa"/>
            <w:tcBorders/>
            <w:shd w:fill="CCEEFF" w:val="clear"/>
            <w:vAlign w:val="bottom"/>
          </w:tcPr>
          <w:p>
            <w:pPr>
              <w:pStyle w:val="TableContents"/>
              <w:bidi w:val="0"/>
              <w:spacing w:before="0" w:after="0"/>
              <w:ind w:left="504" w:right="0" w:hanging="144"/>
              <w:jc w:val="left"/>
              <w:rPr/>
            </w:pPr>
            <w:r>
              <w:rPr/>
              <w:t>Payments on finance lease obligations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(9,563</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(8,941</w:t>
            </w:r>
          </w:p>
        </w:tc>
        <w:tc>
          <w:tcPr>
            <w:tcW w:w="438" w:type="dxa"/>
            <w:tcBorders/>
            <w:shd w:fill="CCEEFF" w:val="clear"/>
            <w:vAlign w:val="bottom"/>
          </w:tcPr>
          <w:p>
            <w:pPr>
              <w:pStyle w:val="TableContents"/>
              <w:bidi w:val="0"/>
              <w:spacing w:before="0" w:after="0"/>
              <w:jc w:val="left"/>
              <w:rPr/>
            </w:pPr>
            <w:r>
              <w:rPr/>
              <w:t>)</w:t>
            </w:r>
          </w:p>
        </w:tc>
      </w:tr>
      <w:tr>
        <w:trPr/>
        <w:tc>
          <w:tcPr>
            <w:tcW w:w="6427" w:type="dxa"/>
            <w:tcBorders/>
            <w:vAlign w:val="bottom"/>
          </w:tcPr>
          <w:p>
            <w:pPr>
              <w:pStyle w:val="TableContents"/>
              <w:bidi w:val="0"/>
              <w:spacing w:before="0" w:after="0"/>
              <w:ind w:left="360" w:right="0" w:hanging="0"/>
              <w:jc w:val="left"/>
              <w:rPr/>
            </w:pPr>
            <w:r>
              <w:rPr/>
              <w:t>Payment of deferred financing fees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283"/>
              <w:jc w:val="right"/>
              <w:rPr/>
            </w:pPr>
            <w:r>
              <w:rPr/>
              <w:t>-</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tcMar>
              <w:bottom w:w="28" w:type="dxa"/>
            </w:tcMar>
            <w:vAlign w:val="bottom"/>
          </w:tcPr>
          <w:p>
            <w:pPr>
              <w:pStyle w:val="TableContents"/>
              <w:bidi w:val="0"/>
              <w:spacing w:before="0" w:after="283"/>
              <w:jc w:val="right"/>
              <w:rPr/>
            </w:pPr>
            <w:r>
              <w:rPr/>
              <w:t>(2,378,366</w:t>
            </w:r>
          </w:p>
        </w:tc>
        <w:tc>
          <w:tcPr>
            <w:tcW w:w="438" w:type="dxa"/>
            <w:tcBorders/>
            <w:vAlign w:val="bottom"/>
          </w:tcPr>
          <w:p>
            <w:pPr>
              <w:pStyle w:val="TableContents"/>
              <w:bidi w:val="0"/>
              <w:spacing w:before="0" w:after="283"/>
              <w:jc w:val="left"/>
              <w:rPr/>
            </w:pPr>
            <w:r>
              <w:rPr/>
              <w:t>)</w:t>
            </w:r>
          </w:p>
        </w:tc>
      </w:tr>
      <w:tr>
        <w:trPr/>
        <w:tc>
          <w:tcPr>
            <w:tcW w:w="6427" w:type="dxa"/>
            <w:tcBorders/>
            <w:shd w:fill="CCEEFF" w:val="clear"/>
            <w:vAlign w:val="bottom"/>
          </w:tcPr>
          <w:p>
            <w:pPr>
              <w:pStyle w:val="TableContents"/>
              <w:bidi w:val="0"/>
              <w:spacing w:before="0" w:after="0"/>
              <w:ind w:left="504" w:right="0" w:hanging="144"/>
              <w:jc w:val="left"/>
              <w:rPr/>
            </w:pPr>
            <w:r>
              <w:rPr/>
              <w:t>Net cash (used in) provided by financing activities</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bidi w:val="0"/>
              <w:spacing w:before="0" w:after="0"/>
              <w:jc w:val="right"/>
              <w:rPr/>
            </w:pPr>
            <w:r>
              <w:rPr/>
              <w:t>(650,509</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bottom"/>
          </w:tcPr>
          <w:p>
            <w:pPr>
              <w:pStyle w:val="TableContents"/>
              <w:bidi w:val="0"/>
              <w:spacing w:before="0" w:after="0"/>
              <w:jc w:val="right"/>
              <w:rPr/>
            </w:pPr>
            <w:r>
              <w:rPr/>
              <w:t>47,271,326</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144" w:right="0" w:hanging="144"/>
              <w:jc w:val="left"/>
              <w:rPr>
                <w:b/>
              </w:rPr>
            </w:pPr>
            <w:r>
              <w:rPr>
                <w:b/>
              </w:rPr>
              <w:t>Net (decrease) increase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(17,317,379</w:t>
            </w:r>
          </w:p>
        </w:tc>
        <w:tc>
          <w:tcPr>
            <w:tcW w:w="106" w:type="dxa"/>
            <w:tcBorders/>
            <w:shd w:fill="CCEEFF" w:val="clear"/>
            <w:vAlign w:val="bottom"/>
          </w:tcPr>
          <w:p>
            <w:pPr>
              <w:pStyle w:val="TableContents"/>
              <w:bidi w:val="0"/>
              <w:spacing w:before="0" w:after="0"/>
              <w:jc w:val="left"/>
              <w:rPr/>
            </w:pPr>
            <w:r>
              <w:rPr/>
              <w:t>)</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0"/>
              <w:jc w:val="right"/>
              <w:rPr/>
            </w:pPr>
            <w:r>
              <w:rPr/>
              <w:t>18,415,828</w:t>
            </w:r>
          </w:p>
        </w:tc>
        <w:tc>
          <w:tcPr>
            <w:tcW w:w="438" w:type="dxa"/>
            <w:tcBorders/>
            <w:shd w:fill="CCEEFF" w:val="clear"/>
            <w:vAlign w:val="bottom"/>
          </w:tcPr>
          <w:p>
            <w:pPr>
              <w:pStyle w:val="TableContents"/>
              <w:bidi w:val="0"/>
              <w:spacing w:before="0" w:after="283"/>
              <w:jc w:val="left"/>
              <w:rPr/>
            </w:pPr>
            <w:r>
              <w:rPr/>
              <w:t> </w:t>
            </w:r>
          </w:p>
        </w:tc>
      </w:tr>
      <w:tr>
        <w:trPr/>
        <w:tc>
          <w:tcPr>
            <w:tcW w:w="6427" w:type="dxa"/>
            <w:tcBorders/>
            <w:vAlign w:val="bottom"/>
          </w:tcPr>
          <w:p>
            <w:pPr>
              <w:pStyle w:val="TableContents"/>
              <w:bidi w:val="0"/>
              <w:spacing w:before="0" w:after="0"/>
              <w:ind w:left="144" w:right="0" w:hanging="144"/>
              <w:jc w:val="left"/>
              <w:rPr>
                <w:b/>
              </w:rPr>
            </w:pPr>
            <w:r>
              <w:rPr>
                <w:b/>
              </w:rPr>
              <w:t>Cash and cash equivalents - beginning of period</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86,521,542</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4" w:type="dxa"/>
            <w:tcBorders>
              <w:bottom w:val="single" w:sz="12" w:space="0" w:color="000000"/>
            </w:tcBorders>
            <w:tcMar>
              <w:bottom w:w="28" w:type="dxa"/>
            </w:tcMar>
            <w:vAlign w:val="bottom"/>
          </w:tcPr>
          <w:p>
            <w:pPr>
              <w:pStyle w:val="TableContents"/>
              <w:bidi w:val="0"/>
              <w:spacing w:before="0" w:after="0"/>
              <w:jc w:val="right"/>
              <w:rPr/>
            </w:pPr>
            <w:r>
              <w:rPr/>
              <w:t>51,089,118</w:t>
            </w:r>
          </w:p>
        </w:tc>
        <w:tc>
          <w:tcPr>
            <w:tcW w:w="438" w:type="dxa"/>
            <w:tcBorders/>
            <w:vAlign w:val="bottom"/>
          </w:tcPr>
          <w:p>
            <w:pPr>
              <w:pStyle w:val="TableContents"/>
              <w:bidi w:val="0"/>
              <w:spacing w:before="0" w:after="283"/>
              <w:jc w:val="left"/>
              <w:rPr/>
            </w:pPr>
            <w:r>
              <w:rPr/>
              <w:t> </w:t>
            </w:r>
          </w:p>
        </w:tc>
      </w:tr>
      <w:tr>
        <w:trPr/>
        <w:tc>
          <w:tcPr>
            <w:tcW w:w="6427" w:type="dxa"/>
            <w:tcBorders/>
            <w:shd w:fill="CCEEFF" w:val="clear"/>
            <w:vAlign w:val="bottom"/>
          </w:tcPr>
          <w:p>
            <w:pPr>
              <w:pStyle w:val="TableContents"/>
              <w:bidi w:val="0"/>
              <w:spacing w:before="0" w:after="0"/>
              <w:ind w:left="144" w:right="0" w:hanging="144"/>
              <w:jc w:val="left"/>
              <w:rPr>
                <w:b/>
              </w:rPr>
            </w:pPr>
            <w:r>
              <w:rPr>
                <w:b/>
              </w:rPr>
              <w:t>Cash and cash equivalents - end of period</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27" w:type="dxa"/>
            <w:tcBorders>
              <w:bottom w:val="double" w:sz="8" w:space="0" w:color="000000"/>
            </w:tcBorders>
            <w:shd w:fill="CCEEFF" w:val="clear"/>
            <w:tcMar>
              <w:bottom w:w="28" w:type="dxa"/>
            </w:tcMar>
            <w:vAlign w:val="bottom"/>
          </w:tcPr>
          <w:p>
            <w:pPr>
              <w:pStyle w:val="TableContents"/>
              <w:bidi w:val="0"/>
              <w:spacing w:before="0" w:after="0"/>
              <w:jc w:val="right"/>
              <w:rPr/>
            </w:pPr>
            <w:r>
              <w:rPr/>
              <w:t>69,204,163</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64" w:type="dxa"/>
            <w:tcBorders>
              <w:bottom w:val="double" w:sz="8" w:space="0" w:color="000000"/>
            </w:tcBorders>
            <w:shd w:fill="CCEEFF" w:val="clear"/>
            <w:tcMar>
              <w:bottom w:w="28" w:type="dxa"/>
            </w:tcMar>
            <w:vAlign w:val="bottom"/>
          </w:tcPr>
          <w:p>
            <w:pPr>
              <w:pStyle w:val="TableContents"/>
              <w:bidi w:val="0"/>
              <w:spacing w:before="0" w:after="0"/>
              <w:jc w:val="right"/>
              <w:rPr/>
            </w:pPr>
            <w:r>
              <w:rPr/>
              <w:t>69,504,946</w:t>
            </w:r>
          </w:p>
        </w:tc>
        <w:tc>
          <w:tcPr>
            <w:tcW w:w="43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 AND SUBSIDIARIES</w:t>
      </w:r>
    </w:p>
    <w:p>
      <w:pPr>
        <w:pStyle w:val="TextBody"/>
        <w:bidi w:val="0"/>
        <w:spacing w:before="0" w:after="0"/>
        <w:jc w:val="center"/>
        <w:rPr>
          <w:rFonts w:ascii="Times New Roman" w:hAnsi="Times New Roman"/>
          <w:b/>
          <w:color w:val="000000"/>
          <w:sz w:val="20"/>
        </w:rPr>
      </w:pPr>
      <w:bookmarkStart w:id="5" w:name="NOTES"/>
      <w:bookmarkEnd w:id="5"/>
      <w:r>
        <w:rPr>
          <w:rFonts w:ascii="Times New Roman" w:hAnsi="Times New Roman"/>
          <w:b/>
          <w:color w:val="000000"/>
          <w:sz w:val="20"/>
        </w:rPr>
        <w:t>NOTES TO (UNAUDITED) CONDENSED CONSOLIDATED FINANCIAL STATEMENTS</w:t>
      </w:r>
    </w:p>
    <w:p>
      <w:pPr>
        <w:pStyle w:val="TextBody"/>
        <w:bidi w:val="0"/>
        <w:spacing w:before="0" w:after="0"/>
        <w:jc w:val="center"/>
        <w:rPr>
          <w:rFonts w:ascii="Times New Roman" w:hAnsi="Times New Roman"/>
          <w:b/>
          <w:sz w:val="20"/>
        </w:rPr>
      </w:pPr>
      <w:r>
        <w:rPr>
          <w:rFonts w:ascii="Times New Roman" w:hAnsi="Times New Roman"/>
          <w:b/>
          <w:sz w:val="20"/>
        </w:rPr>
      </w:r>
    </w:p>
    <w:tbl>
      <w:tblPr>
        <w:tblW w:w="3190" w:type="dxa"/>
        <w:jc w:val="left"/>
        <w:tblInd w:w="0" w:type="dxa"/>
        <w:tblLayout w:type="fixed"/>
        <w:tblCellMar>
          <w:top w:w="0" w:type="dxa"/>
          <w:left w:w="0" w:type="dxa"/>
          <w:bottom w:w="0" w:type="dxa"/>
          <w:right w:w="0" w:type="dxa"/>
        </w:tblCellMar>
      </w:tblPr>
      <w:tblGrid>
        <w:gridCol w:w="185"/>
        <w:gridCol w:w="300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300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ORGANIZATION AND BUSINESS</w:t>
            </w:r>
          </w:p>
        </w:tc>
      </w:tr>
    </w:tbl>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shd w:fill="FFFFFF" w:val="clear"/>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of BTBU, including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w:t>
      </w:r>
      <w:r>
        <w:rPr>
          <w:rFonts w:ascii="Times New Roman" w:hAnsi="Times New Roman"/>
          <w:caps w:val="false"/>
          <w:smallCaps w:val="false"/>
          <w:color w:val="000000"/>
          <w:sz w:val="20"/>
        </w:rPr>
        <w:t xml:space="preserve"> ten plasma collection facilities located throughout the U.S., eight </w:t>
      </w:r>
      <w:r>
        <w:rPr>
          <w:rFonts w:ascii="Times New Roman" w:hAnsi="Times New Roman"/>
          <w:b w:val="false"/>
          <w:i w:val="false"/>
          <w:caps w:val="false"/>
          <w:smallCaps w:val="false"/>
          <w:color w:val="000000"/>
          <w:spacing w:val="0"/>
          <w:sz w:val="20"/>
          <w:shd w:fill="FFFFFF" w:val="clear"/>
        </w:rPr>
        <w:t>of which hold an approved license with the FDA.</w:t>
      </w:r>
      <w:r>
        <w:rPr>
          <w:rFonts w:ascii="Times New Roman" w:hAnsi="Times New Roman"/>
          <w:caps w:val="false"/>
          <w:smallCaps w:val="false"/>
          <w:color w:val="000000"/>
          <w:sz w:val="20"/>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shd w:fill="FFFFFF" w:val="clear"/>
        </w:rPr>
        <w:t xml:space="preserve">As of March 31, 2023, the Company had working capital of $227.4 million, including $69.2 </w:t>
      </w:r>
      <w:r>
        <w:rPr>
          <w:rFonts w:ascii="Times New Roman" w:hAnsi="Times New Roman"/>
          <w:caps w:val="false"/>
          <w:smallCaps w:val="false"/>
          <w:color w:val="000000"/>
          <w:sz w:val="20"/>
        </w:rPr>
        <w:t>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will be sufficient to fund ADMA’s operations, as currently conducted, through the end of the second quarter of 2024, by which time the Company believes it will have begun generating positive cash flow from operations. These estimates may change based upon several factors, including the success of the Company’s commercial efforts with respect to the sale of its products, whether or not the assumptions underlying the Company’s projected revenues and expenses are correct and the acceptability of ADMA’s immune globulin products by physicians, patients or payers. There can be no assurance that the Company’s approved products will be commercially viable, or that plant capacity expansion or other capital improvements will be successfully completed or that any product developed in the future will be approved. The Company is subject to risks common to companies in the biologics,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w:t>
      </w:r>
      <w:r>
        <w:rPr>
          <w:rFonts w:ascii="Times New Roman" w:hAnsi="Times New Roman"/>
          <w:b w:val="false"/>
          <w:i w:val="false"/>
          <w:caps w:val="false"/>
          <w:smallCaps w:val="false"/>
          <w:color w:val="000000"/>
          <w:spacing w:val="0"/>
          <w:sz w:val="20"/>
          <w:shd w:fill="FFFFFF" w:val="clear"/>
        </w:rPr>
        <w:t>he Company continues to evaluate a variety of strategic alternatives through its ongoing engagement with Morgan Stanley. The exploration of value-creating opportunities remains a top corporate priority for ADMA.</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501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SUMMARY OF SIGNIFICANT ACCOUNTING POLICIES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Basis of Presentation</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unaudited condensed consolidated financial statements should be read in conjunction with the annual audited consolidated financial statements and notes thereto as of and for the year ended December 31, 2022 included in the Company’s Annual Report on Form 10-K filed with the U.S. Securities and Exchange Commission (the “SEC”) on March 23, 2023.  The accompanying consolidated balance sheet as of December 31, 2022 was derived from the audited financial statements as of and for the year ended December 31, 2022.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2023 and its results of operations, changes in stockholders’ equity and cash flows for the three months ended March 31, 2023 and 2022.</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During the three months ended March 31, 2023 and 2022,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Use of Estimates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Fair Value of Financial Instruments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Accounts Receivable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Accounts receivable is reported at realizable value, net of allowances for contractual credits and doubtful accounts in the amount of $0.1 million at March </w:t>
      </w:r>
      <w:r>
        <w:rPr>
          <w:rFonts w:ascii="Times New Roman" w:hAnsi="Times New Roman"/>
          <w:b w:val="false"/>
          <w:i w:val="false"/>
          <w:caps w:val="false"/>
          <w:smallCaps w:val="false"/>
          <w:color w:val="000000"/>
          <w:sz w:val="20"/>
        </w:rPr>
        <w:t>31</w:t>
      </w:r>
      <w:r>
        <w:rPr>
          <w:rFonts w:ascii="Times New Roman" w:hAnsi="Times New Roman"/>
          <w:caps w:val="false"/>
          <w:smallCaps w:val="false"/>
          <w:color w:val="000000"/>
          <w:sz w:val="20"/>
        </w:rPr>
        <w:t xml:space="preserve">, 2023 and December 31, 2022, respectively, which are recognized in the period the related revenue is recorded. </w:t>
      </w:r>
      <w:r>
        <w:rPr>
          <w:rFonts w:ascii="Times New Roman" w:hAnsi="Times New Roman"/>
          <w:caps w:val="false"/>
          <w:smallCaps w:val="false"/>
          <w:color w:val="212529"/>
          <w:sz w:val="20"/>
        </w:rPr>
        <w:t>The Company extends credit to its customers based upon an evaluation of each customer’s financial condition and credit history. Evaluations of the financial condition, payment history and associated credit risk of customers are performed on an ongoing basis.</w:t>
      </w:r>
      <w:r>
        <w:rPr>
          <w:rFonts w:ascii="Times New Roman" w:hAnsi="Times New Roman"/>
          <w:caps w:val="false"/>
          <w:smallCaps w:val="false"/>
          <w:color w:val="000000"/>
          <w:sz w:val="20"/>
        </w:rPr>
        <w:t xml:space="preserve"> Based on these evaluations, the Company has concluded that its credit risk is minimal. At </w:t>
      </w:r>
      <w:r>
        <w:rPr>
          <w:rFonts w:ascii="Times New Roman" w:hAnsi="Times New Roman"/>
          <w:b w:val="false"/>
          <w:i w:val="false"/>
          <w:caps w:val="false"/>
          <w:smallCaps w:val="false"/>
          <w:color w:val="000000"/>
          <w:sz w:val="20"/>
        </w:rPr>
        <w:t>March 31</w:t>
      </w:r>
      <w:r>
        <w:rPr>
          <w:rFonts w:ascii="Times New Roman" w:hAnsi="Times New Roman"/>
          <w:caps w:val="false"/>
          <w:smallCaps w:val="false"/>
          <w:color w:val="000000"/>
          <w:sz w:val="20"/>
        </w:rPr>
        <w:t>, 2023, five customers accounted for an aggregate of 98% of the Company’s total accounts receivable, and at December 31, 2022, two customers accounted for approximately 92% of the Company’s total accounts receivable.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Inventories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Raw materials inventory consists of various materials purchased from suppliers, including normal source plasma and Respiratory Syncytial Virus (“RSV”)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pStyle w:val="TextBody"/>
        <w:bidi w:val="0"/>
        <w:spacing w:before="0" w:after="0"/>
        <w:jc w:val="left"/>
        <w:rPr/>
      </w:pPr>
      <w:r>
        <w:rPr/>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Goodwill</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Goodwill represents the excess of purchase price over the fair value of net assets acquired by the Company.  Goodwill at </w:t>
      </w:r>
      <w:r>
        <w:rPr>
          <w:rFonts w:ascii="Times New Roman" w:hAnsi="Times New Roman"/>
          <w:b w:val="false"/>
          <w:i w:val="false"/>
          <w:caps w:val="false"/>
          <w:smallCaps w:val="false"/>
          <w:color w:val="000000"/>
          <w:sz w:val="20"/>
        </w:rPr>
        <w:t>March 31</w:t>
      </w:r>
      <w:r>
        <w:rPr>
          <w:rFonts w:ascii="Times New Roman" w:hAnsi="Times New Roman"/>
          <w:caps w:val="false"/>
          <w:smallCaps w:val="false"/>
          <w:color w:val="000000"/>
          <w:sz w:val="20"/>
        </w:rPr>
        <w:t>, 2023 and December 31, 2022 was $3.5 million.  All of the Company’s goodwill is attributable to its ADMA BioManufacturing business segment and is related to the Biotest Transaction.</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2022 did not result in a goodwill impairment charge, and the Company did not </w:t>
      </w:r>
      <w:r>
        <w:rPr>
          <w:rFonts w:ascii="Times New Roman" w:hAnsi="Times New Roman"/>
          <w:b w:val="false"/>
          <w:i w:val="false"/>
          <w:caps w:val="false"/>
          <w:smallCaps w:val="false"/>
          <w:color w:val="000000"/>
          <w:spacing w:val="0"/>
          <w:sz w:val="20"/>
        </w:rPr>
        <w:t xml:space="preserve">record any impairment charges related to goodwill for the three months ended </w:t>
      </w:r>
      <w:r>
        <w:rPr>
          <w:rFonts w:ascii="Times New Roman" w:hAnsi="Times New Roman"/>
          <w:b w:val="false"/>
          <w:i w:val="false"/>
          <w:caps w:val="false"/>
          <w:smallCaps w:val="false"/>
          <w:color w:val="000000"/>
          <w:spacing w:val="0"/>
          <w:sz w:val="20"/>
        </w:rPr>
        <w:t>March 31</w:t>
      </w:r>
      <w:r>
        <w:rPr>
          <w:rFonts w:ascii="Times New Roman" w:hAnsi="Times New Roman"/>
          <w:b w:val="false"/>
          <w:i w:val="false"/>
          <w:caps w:val="false"/>
          <w:smallCaps w:val="false"/>
          <w:color w:val="000000"/>
          <w:spacing w:val="0"/>
          <w:sz w:val="20"/>
        </w:rPr>
        <w:t>, 2023 and 2022.</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Impairment of Long-Lived Assets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w:t>
      </w:r>
      <w:r>
        <w:rPr>
          <w:rFonts w:ascii="Times New Roman" w:hAnsi="Times New Roman"/>
          <w:b w:val="false"/>
          <w:i w:val="false"/>
          <w:caps w:val="false"/>
          <w:smallCaps w:val="false"/>
          <w:color w:val="000000"/>
          <w:sz w:val="20"/>
        </w:rPr>
        <w:t>March 31</w:t>
      </w:r>
      <w:r>
        <w:rPr>
          <w:rFonts w:ascii="Times New Roman" w:hAnsi="Times New Roman"/>
          <w:caps w:val="false"/>
          <w:smallCaps w:val="false"/>
          <w:color w:val="000000"/>
          <w:sz w:val="20"/>
        </w:rPr>
        <w:t>, 2023 and 2022, the Company determined that there was no impairment of its long-lived assets.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Revenue Recognition</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rPr>
        <w:t xml:space="preserve">Revenues for the three months ended March 31, 2023 and 2022 are comprised of (i) revenues from the sale of the Company’s immunoglobulin products, BIVIGAM, ASCENIV and Nabi-HB, </w:t>
      </w:r>
      <w:r>
        <w:rPr>
          <w:rFonts w:ascii="Times New Roman" w:hAnsi="Times New Roman"/>
          <w:caps w:val="false"/>
          <w:smallCaps w:val="false"/>
          <w:color w:val="000000"/>
          <w:sz w:val="20"/>
        </w:rPr>
        <w:t>(ii)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rPr>
        <w:t xml:space="preserve">For the three months ended </w:t>
      </w:r>
      <w:r>
        <w:rPr>
          <w:rFonts w:ascii="Times New Roman" w:hAnsi="Times New Roman"/>
          <w:b w:val="false"/>
          <w:i w:val="false"/>
          <w:caps w:val="false"/>
          <w:smallCaps w:val="false"/>
          <w:color w:val="000000"/>
          <w:sz w:val="20"/>
        </w:rPr>
        <w:t>March 31</w:t>
      </w:r>
      <w:r>
        <w:rPr>
          <w:rFonts w:ascii="Times New Roman" w:hAnsi="Times New Roman"/>
          <w:caps w:val="false"/>
          <w:smallCaps w:val="false"/>
          <w:color w:val="000000"/>
          <w:sz w:val="20"/>
        </w:rPr>
        <w:t>, 2023</w:t>
      </w:r>
      <w:r>
        <w:rPr>
          <w:rFonts w:ascii="Times New Roman" w:hAnsi="Times New Roman"/>
          <w:b w:val="false"/>
          <w:i w:val="false"/>
          <w:caps w:val="false"/>
          <w:smallCaps w:val="false"/>
          <w:color w:val="000000"/>
          <w:spacing w:val="0"/>
          <w:sz w:val="20"/>
        </w:rPr>
        <w:t>,</w:t>
      </w:r>
      <w:r>
        <w:rPr>
          <w:rFonts w:ascii="Times New Roman" w:hAnsi="Times New Roman"/>
          <w:caps w:val="false"/>
          <w:smallCaps w:val="false"/>
          <w:color w:val="000000"/>
          <w:sz w:val="20"/>
        </w:rPr>
        <w:t xml:space="preserve"> three customers represented an aggregate of 76% of the Company’s consolidated revenues. For the three months ended </w:t>
      </w:r>
      <w:r>
        <w:rPr>
          <w:rFonts w:ascii="Times New Roman" w:hAnsi="Times New Roman"/>
          <w:b w:val="false"/>
          <w:i w:val="false"/>
          <w:caps w:val="false"/>
          <w:smallCaps w:val="false"/>
          <w:color w:val="000000"/>
          <w:sz w:val="20"/>
        </w:rPr>
        <w:t>March 31</w:t>
      </w:r>
      <w:r>
        <w:rPr>
          <w:rFonts w:ascii="Times New Roman" w:hAnsi="Times New Roman"/>
          <w:caps w:val="false"/>
          <w:smallCaps w:val="false"/>
          <w:color w:val="000000"/>
          <w:sz w:val="20"/>
        </w:rPr>
        <w:t>, 2022, three customers represented an aggregate of 83% of the Company’s consolidated revenues.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Cost of Product Revenue</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Loss Per Common Share</w:t>
      </w:r>
    </w:p>
    <w:p>
      <w:pPr>
        <w:pStyle w:val="TextBody"/>
        <w:bidi w:val="0"/>
        <w:spacing w:before="0" w:after="0"/>
        <w:jc w:val="left"/>
        <w:rPr>
          <w:rFonts w:ascii="Times New Roman" w:hAnsi="Times New Roman"/>
          <w:i/>
          <w:caps w:val="false"/>
          <w:smallCaps w:val="false"/>
          <w:color w:val="000000"/>
          <w:sz w:val="20"/>
        </w:rPr>
      </w:pPr>
      <w:r>
        <w:rPr>
          <w:rFonts w:ascii="Times New Roman" w:hAnsi="Times New Roman"/>
          <w:i/>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aps w:val="false"/>
          <w:smallCaps w:val="false"/>
          <w:color w:val="000000"/>
          <w:sz w:val="20"/>
        </w:rPr>
        <w:t xml:space="preserve">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as well as Restricted Stock Units (“RSUs”).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w:t>
      </w:r>
      <w:r>
        <w:rPr>
          <w:rFonts w:ascii="Times New Roman" w:hAnsi="Times New Roman"/>
          <w:b w:val="false"/>
          <w:i w:val="false"/>
          <w:caps w:val="false"/>
          <w:smallCaps w:val="false"/>
          <w:color w:val="000000"/>
          <w:spacing w:val="0"/>
          <w:sz w:val="20"/>
        </w:rPr>
        <w:t>For the three months ended March 31, 2023 and 2022, the following securities were excluded from the calculation of diluted loss per common share because of their anti-dilutive effects: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5347" w:type="dxa"/>
        <w:jc w:val="left"/>
        <w:tblInd w:w="0" w:type="dxa"/>
        <w:tblLayout w:type="fixed"/>
        <w:tblCellMar>
          <w:top w:w="0" w:type="dxa"/>
          <w:left w:w="0" w:type="dxa"/>
          <w:bottom w:w="0" w:type="dxa"/>
          <w:right w:w="0" w:type="dxa"/>
        </w:tblCellMar>
      </w:tblPr>
      <w:tblGrid>
        <w:gridCol w:w="1850"/>
        <w:gridCol w:w="60"/>
        <w:gridCol w:w="94"/>
        <w:gridCol w:w="1493"/>
        <w:gridCol w:w="94"/>
        <w:gridCol w:w="94"/>
        <w:gridCol w:w="94"/>
        <w:gridCol w:w="1493"/>
        <w:gridCol w:w="75"/>
      </w:tblGrid>
      <w:tr>
        <w:trPr/>
        <w:tc>
          <w:tcPr>
            <w:tcW w:w="18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336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For the Three Months Ended March 31,</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2023 </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15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2022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Stock options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9,945,703</w:t>
            </w:r>
          </w:p>
        </w:tc>
        <w:tc>
          <w:tcPr>
            <w:tcW w:w="9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8,686,068</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Restricted Stock Units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1493"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4,875,464</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1493"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4,729,758</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Warrants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4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13,525,148</w:t>
            </w:r>
          </w:p>
        </w:tc>
        <w:tc>
          <w:tcPr>
            <w:tcW w:w="9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4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13,631,207</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bottom w:val="double" w:sz="8"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4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28,346,315</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vAlign w:val="bottom"/>
          </w:tcPr>
          <w:p>
            <w:pPr>
              <w:pStyle w:val="TableContents"/>
              <w:bidi w:val="0"/>
              <w:spacing w:before="0" w:after="283"/>
              <w:jc w:val="left"/>
              <w:rPr>
                <w:caps w:val="false"/>
                <w:smallCaps w:val="false"/>
              </w:rPr>
            </w:pPr>
            <w:r>
              <w:rPr>
                <w:caps w:val="false"/>
                <w:smallCaps w:val="false"/>
              </w:rPr>
              <w:t> </w:t>
            </w:r>
          </w:p>
        </w:tc>
        <w:tc>
          <w:tcPr>
            <w:tcW w:w="94" w:type="dxa"/>
            <w:tcBorders>
              <w:bottom w:val="double" w:sz="8"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4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27,047,033</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Stock-Based Compensation</w:t>
      </w:r>
    </w:p>
    <w:p>
      <w:pPr>
        <w:pStyle w:val="TextBody"/>
        <w:bidi w:val="0"/>
        <w:spacing w:before="0" w:after="0"/>
        <w:jc w:val="left"/>
        <w:rPr>
          <w:rFonts w:ascii="Times New Roman" w:hAnsi="Times New Roman"/>
          <w:i/>
          <w:caps w:val="false"/>
          <w:smallCaps w:val="false"/>
          <w:color w:val="000000"/>
          <w:sz w:val="20"/>
        </w:rPr>
      </w:pPr>
      <w:r>
        <w:rPr>
          <w:rFonts w:ascii="Times New Roman" w:hAnsi="Times New Roman"/>
          <w:i/>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generally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Times New Roman" w:hAnsi="Times New Roman"/>
          <w:i/>
          <w:caps w:val="false"/>
          <w:smallCaps w:val="false"/>
          <w:color w:val="000000"/>
          <w:sz w:val="20"/>
        </w:rPr>
        <w:t>Improvements to Employee Share-Based Payment Accounting (Topic 718)</w:t>
      </w:r>
      <w:r>
        <w:rPr>
          <w:rFonts w:ascii="Times New Roman" w:hAnsi="Times New Roman"/>
          <w:caps w:val="false"/>
          <w:smallCaps w:val="false"/>
          <w:color w:val="000000"/>
          <w:sz w:val="20"/>
        </w:rPr>
        <w:t>, the Company has elected not to establish a forfeiture rate, as stock-based compensation expense related to forfeitures of unvested stock options is fully reversed at the time of forfeiture.</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Income Taxes</w:t>
      </w:r>
    </w:p>
    <w:p>
      <w:pPr>
        <w:pStyle w:val="TextBody"/>
        <w:bidi w:val="0"/>
        <w:spacing w:before="0" w:after="0"/>
        <w:jc w:val="left"/>
        <w:rPr>
          <w:rFonts w:ascii="Times New Roman" w:hAnsi="Times New Roman"/>
          <w:i/>
          <w:caps w:val="false"/>
          <w:smallCaps w:val="false"/>
          <w:color w:val="000000"/>
          <w:sz w:val="20"/>
        </w:rPr>
      </w:pPr>
      <w:r>
        <w:rPr>
          <w:rFonts w:ascii="Times New Roman" w:hAnsi="Times New Roman"/>
          <w:i/>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2018 and for previous periods as it relates to the Company’s net operating loss carryforwards.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March 31, 2023 and December 31, 2022, and during the three months ended March 31, 2023 and 2022, the Company recognized</w:t>
      </w:r>
      <w:r>
        <w:rPr>
          <w:rFonts w:ascii="Times New Roman" w:hAnsi="Times New Roman"/>
          <w:caps w:val="false"/>
          <w:smallCaps w:val="false"/>
          <w:color w:val="000000"/>
          <w:sz w:val="20"/>
        </w:rPr>
        <w:t xml:space="preserve"> no adjustments for uncertain tax positions.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38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INVENTORIES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following table provides the components of inventories:</w:t>
      </w:r>
    </w:p>
    <w:p>
      <w:pPr>
        <w:pStyle w:val="TextBody"/>
        <w:bidi w:val="0"/>
        <w:spacing w:before="0" w:after="0"/>
        <w:ind w:left="270" w:right="0" w:hanging="0"/>
        <w:jc w:val="left"/>
        <w:rPr>
          <w:rFonts w:ascii="Times New Roman" w:hAnsi="Times New Roman"/>
          <w:caps w:val="false"/>
          <w:smallCaps w:val="false"/>
          <w:sz w:val="20"/>
        </w:rPr>
      </w:pPr>
      <w:r>
        <w:rPr>
          <w:rFonts w:ascii="Times New Roman" w:hAnsi="Times New Roman"/>
          <w:caps w:val="false"/>
          <w:smallCaps w:val="false"/>
          <w:sz w:val="20"/>
        </w:rPr>
      </w:r>
    </w:p>
    <w:tbl>
      <w:tblPr>
        <w:tblW w:w="4279" w:type="dxa"/>
        <w:jc w:val="left"/>
        <w:tblInd w:w="0" w:type="dxa"/>
        <w:tblLayout w:type="fixed"/>
        <w:tblCellMar>
          <w:top w:w="0" w:type="dxa"/>
          <w:left w:w="0" w:type="dxa"/>
          <w:bottom w:w="0" w:type="dxa"/>
          <w:right w:w="0" w:type="dxa"/>
        </w:tblCellMar>
      </w:tblPr>
      <w:tblGrid>
        <w:gridCol w:w="1430"/>
        <w:gridCol w:w="60"/>
        <w:gridCol w:w="125"/>
        <w:gridCol w:w="1055"/>
        <w:gridCol w:w="60"/>
        <w:gridCol w:w="60"/>
        <w:gridCol w:w="149"/>
        <w:gridCol w:w="1265"/>
        <w:gridCol w:w="75"/>
      </w:tblGrid>
      <w:tr>
        <w:trPr/>
        <w:tc>
          <w:tcPr>
            <w:tcW w:w="143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2023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2022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Raw materials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55,747,754</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6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48,644,527</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Work-in-process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105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62,087,760</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49" w:type="dxa"/>
            <w:tcBorders/>
            <w:vAlign w:val="bottom"/>
          </w:tcPr>
          <w:p>
            <w:pPr>
              <w:pStyle w:val="TableContents"/>
              <w:bidi w:val="0"/>
              <w:spacing w:before="0" w:after="283"/>
              <w:jc w:val="left"/>
              <w:rPr>
                <w:caps w:val="false"/>
                <w:smallCaps w:val="false"/>
              </w:rPr>
            </w:pPr>
            <w:r>
              <w:rPr>
                <w:caps w:val="false"/>
                <w:smallCaps w:val="false"/>
              </w:rPr>
              <w:t> </w:t>
            </w:r>
          </w:p>
        </w:tc>
        <w:tc>
          <w:tcPr>
            <w:tcW w:w="126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56,170,853</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Finished goods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46,149,359</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2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58,464,667</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inventories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163,984,873</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4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6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163,280,047</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Work-in-process inventory primarily consists of bulk drug substance and unlabeled filled vials of the Company’s immunoglobulin products.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204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INTANGIBLE ASSETS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Intangible assets at March 31, 2023 and December 31, 2022 consist of the following:</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10205" w:type="dxa"/>
        <w:jc w:val="left"/>
        <w:tblInd w:w="0" w:type="dxa"/>
        <w:tblLayout w:type="fixed"/>
        <w:tblCellMar>
          <w:top w:w="0" w:type="dxa"/>
          <w:left w:w="0" w:type="dxa"/>
          <w:bottom w:w="0" w:type="dxa"/>
          <w:right w:w="0" w:type="dxa"/>
        </w:tblCellMar>
      </w:tblPr>
      <w:tblGrid>
        <w:gridCol w:w="2895"/>
        <w:gridCol w:w="60"/>
        <w:gridCol w:w="125"/>
        <w:gridCol w:w="845"/>
        <w:gridCol w:w="60"/>
        <w:gridCol w:w="60"/>
        <w:gridCol w:w="184"/>
        <w:gridCol w:w="1246"/>
        <w:gridCol w:w="60"/>
        <w:gridCol w:w="60"/>
        <w:gridCol w:w="125"/>
        <w:gridCol w:w="695"/>
        <w:gridCol w:w="60"/>
        <w:gridCol w:w="60"/>
        <w:gridCol w:w="125"/>
        <w:gridCol w:w="845"/>
        <w:gridCol w:w="60"/>
        <w:gridCol w:w="60"/>
        <w:gridCol w:w="184"/>
        <w:gridCol w:w="1246"/>
        <w:gridCol w:w="60"/>
        <w:gridCol w:w="60"/>
        <w:gridCol w:w="125"/>
        <w:gridCol w:w="845"/>
        <w:gridCol w:w="60"/>
      </w:tblGrid>
      <w:tr>
        <w:trPr/>
        <w:tc>
          <w:tcPr>
            <w:tcW w:w="28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346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2022</w:t>
            </w:r>
          </w:p>
        </w:tc>
        <w:tc>
          <w:tcPr>
            <w:tcW w:w="60" w:type="dxa"/>
            <w:tcBorders/>
            <w:vAlign w:val="bottom"/>
          </w:tcPr>
          <w:p>
            <w:pPr>
              <w:pStyle w:val="TableContents"/>
              <w:bidi w:val="0"/>
              <w:spacing w:before="0" w:after="283"/>
              <w:jc w:val="left"/>
              <w:rPr/>
            </w:pPr>
            <w:r>
              <w:rPr/>
              <w:t> </w:t>
            </w:r>
          </w:p>
        </w:tc>
      </w:tr>
      <w:tr>
        <w:trPr/>
        <w:tc>
          <w:tcPr>
            <w:tcW w:w="28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283"/>
              <w:jc w:val="center"/>
              <w:rPr/>
            </w:pPr>
            <w:r>
              <w:rPr/>
              <w:t> </w:t>
            </w:r>
            <w:r>
              <w:rPr>
                <w:b/>
              </w:rPr>
              <w:t>Accumulated</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430" w:type="dxa"/>
            <w:gridSpan w:val="2"/>
            <w:tcBorders/>
            <w:vAlign w:val="bottom"/>
          </w:tcPr>
          <w:p>
            <w:pPr>
              <w:pStyle w:val="TableContents"/>
              <w:bidi w:val="0"/>
              <w:spacing w:before="0" w:after="283"/>
              <w:jc w:val="center"/>
              <w:rPr/>
            </w:pPr>
            <w:r>
              <w:rPr/>
              <w:t> </w:t>
            </w:r>
            <w:r>
              <w:rPr>
                <w:b/>
              </w:rPr>
              <w:t>Accumulated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Net</w:t>
            </w:r>
          </w:p>
        </w:tc>
        <w:tc>
          <w:tcPr>
            <w:tcW w:w="60" w:type="dxa"/>
            <w:tcBorders/>
            <w:vAlign w:val="bottom"/>
          </w:tcPr>
          <w:p>
            <w:pPr>
              <w:pStyle w:val="TableContents"/>
              <w:bidi w:val="0"/>
              <w:spacing w:before="0" w:after="283"/>
              <w:jc w:val="left"/>
              <w:rPr/>
            </w:pPr>
            <w:r>
              <w:rPr/>
              <w:t> </w:t>
            </w:r>
          </w:p>
        </w:tc>
      </w:tr>
      <w:tr>
        <w:trPr/>
        <w:tc>
          <w:tcPr>
            <w:tcW w:w="28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Trademark and other intangible rights related to Nabi-HB</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4,100,046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46"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3,416,706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683,340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4,100,046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46"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3,270,276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829,770</w:t>
            </w:r>
          </w:p>
        </w:tc>
        <w:tc>
          <w:tcPr>
            <w:tcW w:w="60" w:type="dxa"/>
            <w:tcBorders/>
            <w:shd w:fill="CCEEFF" w:val="clear"/>
            <w:vAlign w:val="bottom"/>
          </w:tcPr>
          <w:p>
            <w:pPr>
              <w:pStyle w:val="TableContents"/>
              <w:bidi w:val="0"/>
              <w:spacing w:before="0" w:after="283"/>
              <w:jc w:val="left"/>
              <w:rPr/>
            </w:pPr>
            <w:r>
              <w:rPr/>
              <w:t> </w:t>
            </w:r>
          </w:p>
        </w:tc>
      </w:tr>
      <w:tr>
        <w:trPr/>
        <w:tc>
          <w:tcPr>
            <w:tcW w:w="28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Rights to intermediates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907,421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756,184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151,237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907,421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723,776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183,645</w:t>
            </w:r>
          </w:p>
        </w:tc>
        <w:tc>
          <w:tcPr>
            <w:tcW w:w="60" w:type="dxa"/>
            <w:tcBorders/>
            <w:vAlign w:val="bottom"/>
          </w:tcPr>
          <w:p>
            <w:pPr>
              <w:pStyle w:val="TableContents"/>
              <w:bidi w:val="0"/>
              <w:spacing w:before="0" w:after="283"/>
              <w:jc w:val="left"/>
              <w:rPr/>
            </w:pPr>
            <w:r>
              <w:rPr/>
              <w:t> </w:t>
            </w:r>
          </w:p>
        </w:tc>
      </w:tr>
      <w:tr>
        <w:trPr/>
        <w:tc>
          <w:tcPr>
            <w:tcW w:w="28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5,007,467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4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4,172,890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834,577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5,007,467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4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3,994,052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1,013,415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All of the Company’s intangible assets were acquired in the Biotest Transaction. Amortization expense related to these intangible assets was $0.2 million for the three months ended March 31, 2023 and 2022. Estimated future aggregate amortization expense is expected to be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2520" w:type="dxa"/>
        <w:jc w:val="left"/>
        <w:tblInd w:w="0" w:type="dxa"/>
        <w:tblLayout w:type="fixed"/>
        <w:tblCellMar>
          <w:top w:w="0" w:type="dxa"/>
          <w:left w:w="0" w:type="dxa"/>
          <w:bottom w:w="0" w:type="dxa"/>
          <w:right w:w="0" w:type="dxa"/>
        </w:tblCellMar>
      </w:tblPr>
      <w:tblGrid>
        <w:gridCol w:w="1580"/>
        <w:gridCol w:w="60"/>
        <w:gridCol w:w="125"/>
        <w:gridCol w:w="695"/>
        <w:gridCol w:w="60"/>
      </w:tblGrid>
      <w:tr>
        <w:trPr/>
        <w:tc>
          <w:tcPr>
            <w:tcW w:w="158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Remainder of 2023</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536,514</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144"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2024</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298,063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2980" w:type="dxa"/>
        <w:jc w:val="left"/>
        <w:tblInd w:w="0" w:type="dxa"/>
        <w:tblLayout w:type="fixed"/>
        <w:tblCellMar>
          <w:top w:w="0" w:type="dxa"/>
          <w:left w:w="0" w:type="dxa"/>
          <w:bottom w:w="0" w:type="dxa"/>
          <w:right w:w="0" w:type="dxa"/>
        </w:tblCellMar>
      </w:tblPr>
      <w:tblGrid>
        <w:gridCol w:w="185"/>
        <w:gridCol w:w="279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79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PROPERTY AND EQUIPMENT</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Property and equipment and related accumulated depreciation are summarized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6713" w:type="dxa"/>
        <w:jc w:val="left"/>
        <w:tblInd w:w="0" w:type="dxa"/>
        <w:tblLayout w:type="fixed"/>
        <w:tblCellMar>
          <w:top w:w="0" w:type="dxa"/>
          <w:left w:w="0" w:type="dxa"/>
          <w:bottom w:w="0" w:type="dxa"/>
          <w:right w:w="0" w:type="dxa"/>
        </w:tblCellMar>
      </w:tblPr>
      <w:tblGrid>
        <w:gridCol w:w="3395"/>
        <w:gridCol w:w="60"/>
        <w:gridCol w:w="149"/>
        <w:gridCol w:w="1205"/>
        <w:gridCol w:w="95"/>
        <w:gridCol w:w="60"/>
        <w:gridCol w:w="180"/>
        <w:gridCol w:w="1459"/>
        <w:gridCol w:w="110"/>
      </w:tblGrid>
      <w:tr>
        <w:trPr/>
        <w:tc>
          <w:tcPr>
            <w:tcW w:w="3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2022</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Manufacturing and laboratory equipment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0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19,828,570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0"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59"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18,767,807</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Office equipment and computer software</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5,939,060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5,318,669</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Furniture and fixtures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5,662,407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5,109,898</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Construction in process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2,515,267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6,726,995</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Leasehold improvements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20,514,697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17,930,905</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Land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4,339,441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4,339,441</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Buildings and building improvements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19,856,505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19,544,307</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78,655,947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77,738,022</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Less: Accumulated depreciation</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(21,285,164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(19,476,541</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property, plant and equipment, net</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57,370,783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5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58,261,481</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recorded depreciation expense on property and equipment for the three months ended March 31, 2023 and 2022 of $1.9 million and $1.4 million, respectively.</w:t>
      </w:r>
    </w:p>
    <w:p>
      <w:pPr>
        <w:pStyle w:val="TextBody"/>
        <w:bidi w:val="0"/>
        <w:spacing w:before="0" w:after="0"/>
        <w:jc w:val="left"/>
        <w:rPr/>
      </w:pPr>
      <w:r>
        <w:rPr/>
      </w:r>
    </w:p>
    <w:tbl>
      <w:tblPr>
        <w:tblW w:w="5665" w:type="dxa"/>
        <w:jc w:val="left"/>
        <w:tblInd w:w="0" w:type="dxa"/>
        <w:tblLayout w:type="fixed"/>
        <w:tblCellMar>
          <w:top w:w="0" w:type="dxa"/>
          <w:left w:w="0" w:type="dxa"/>
          <w:bottom w:w="0" w:type="dxa"/>
          <w:right w:w="0" w:type="dxa"/>
        </w:tblCellMar>
      </w:tblPr>
      <w:tblGrid>
        <w:gridCol w:w="185"/>
        <w:gridCol w:w="5480"/>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548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ACCRUED EXPENSES AND OTHER CURRENT LIABILITIES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expenses and other current liabilities at March 31, 2023 and December 31, 2022 are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tbl>
      <w:tblPr>
        <w:tblW w:w="7423" w:type="dxa"/>
        <w:jc w:val="left"/>
        <w:tblInd w:w="0" w:type="dxa"/>
        <w:tblLayout w:type="fixed"/>
        <w:tblCellMar>
          <w:top w:w="0" w:type="dxa"/>
          <w:left w:w="0" w:type="dxa"/>
          <w:bottom w:w="0" w:type="dxa"/>
          <w:right w:w="0" w:type="dxa"/>
        </w:tblCellMar>
      </w:tblPr>
      <w:tblGrid>
        <w:gridCol w:w="4175"/>
        <w:gridCol w:w="60"/>
        <w:gridCol w:w="157"/>
        <w:gridCol w:w="1197"/>
        <w:gridCol w:w="60"/>
        <w:gridCol w:w="60"/>
        <w:gridCol w:w="190"/>
        <w:gridCol w:w="1449"/>
        <w:gridCol w:w="75"/>
      </w:tblGrid>
      <w:tr>
        <w:trPr/>
        <w:tc>
          <w:tcPr>
            <w:tcW w:w="417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2023</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2022</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rebates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97"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13,129,902</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49"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11,436,484</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distribution fees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7" w:type="dxa"/>
            <w:tcBorders/>
            <w:vAlign w:val="bottom"/>
          </w:tcPr>
          <w:p>
            <w:pPr>
              <w:pStyle w:val="TableContents"/>
              <w:bidi w:val="0"/>
              <w:spacing w:before="0" w:after="283"/>
              <w:jc w:val="left"/>
              <w:rPr>
                <w:caps w:val="false"/>
                <w:smallCaps w:val="false"/>
              </w:rPr>
            </w:pPr>
            <w:r>
              <w:rPr>
                <w:caps w:val="false"/>
                <w:smallCaps w:val="false"/>
              </w:rPr>
              <w:t> </w:t>
            </w:r>
          </w:p>
        </w:tc>
        <w:tc>
          <w:tcPr>
            <w:tcW w:w="1197"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4,406,033</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90" w:type="dxa"/>
            <w:tcBorders/>
            <w:vAlign w:val="bottom"/>
          </w:tcPr>
          <w:p>
            <w:pPr>
              <w:pStyle w:val="TableContents"/>
              <w:bidi w:val="0"/>
              <w:spacing w:before="0" w:after="283"/>
              <w:jc w:val="left"/>
              <w:rPr>
                <w:caps w:val="false"/>
                <w:smallCaps w:val="false"/>
              </w:rPr>
            </w:pPr>
            <w:r>
              <w:rPr>
                <w:caps w:val="false"/>
                <w:smallCaps w:val="false"/>
              </w:rPr>
              <w:t> </w:t>
            </w:r>
          </w:p>
        </w:tc>
        <w:tc>
          <w:tcPr>
            <w:tcW w:w="1449"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3,166,896</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incentives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1,179,600</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4,193,919</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testing</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7" w:type="dxa"/>
            <w:tcBorders/>
            <w:vAlign w:val="bottom"/>
          </w:tcPr>
          <w:p>
            <w:pPr>
              <w:pStyle w:val="TableContents"/>
              <w:bidi w:val="0"/>
              <w:spacing w:before="0" w:after="283"/>
              <w:jc w:val="left"/>
              <w:rPr>
                <w:caps w:val="false"/>
                <w:smallCaps w:val="false"/>
              </w:rPr>
            </w:pPr>
            <w:r>
              <w:rPr>
                <w:caps w:val="false"/>
                <w:smallCaps w:val="false"/>
              </w:rPr>
              <w:t> </w:t>
            </w:r>
          </w:p>
        </w:tc>
        <w:tc>
          <w:tcPr>
            <w:tcW w:w="1197"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169,825</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90" w:type="dxa"/>
            <w:tcBorders/>
            <w:vAlign w:val="bottom"/>
          </w:tcPr>
          <w:p>
            <w:pPr>
              <w:pStyle w:val="TableContents"/>
              <w:bidi w:val="0"/>
              <w:spacing w:before="0" w:after="283"/>
              <w:jc w:val="left"/>
              <w:rPr>
                <w:caps w:val="false"/>
                <w:smallCaps w:val="false"/>
              </w:rPr>
            </w:pPr>
            <w:r>
              <w:rPr>
                <w:caps w:val="false"/>
                <w:smallCaps w:val="false"/>
              </w:rPr>
              <w:t> </w:t>
            </w:r>
          </w:p>
        </w:tc>
        <w:tc>
          <w:tcPr>
            <w:tcW w:w="1449"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309,867</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payroll and other compensation</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1,745,245</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4,086,379</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Other</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7"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1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2,041,859</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4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1,795,804</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accrued expenses and other current liabilities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22,672,464</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24,989,349</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760" w:type="dxa"/>
        <w:jc w:val="left"/>
        <w:tblInd w:w="0" w:type="dxa"/>
        <w:tblLayout w:type="fixed"/>
        <w:tblCellMar>
          <w:top w:w="0" w:type="dxa"/>
          <w:left w:w="0" w:type="dxa"/>
          <w:bottom w:w="0" w:type="dxa"/>
          <w:right w:w="0" w:type="dxa"/>
        </w:tblCellMar>
      </w:tblPr>
      <w:tblGrid>
        <w:gridCol w:w="185"/>
        <w:gridCol w:w="57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57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DEBT</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 summary of outstanding senior notes payable is as follows:</w:t>
      </w:r>
    </w:p>
    <w:p>
      <w:pPr>
        <w:pStyle w:val="TextBody"/>
        <w:bidi w:val="0"/>
        <w:spacing w:before="0" w:after="0"/>
        <w:ind w:left="270" w:right="0" w:hanging="0"/>
        <w:jc w:val="left"/>
        <w:rPr>
          <w:rFonts w:ascii="Times New Roman" w:hAnsi="Times New Roman"/>
          <w:caps w:val="false"/>
          <w:smallCaps w:val="false"/>
          <w:sz w:val="20"/>
        </w:rPr>
      </w:pPr>
      <w:r>
        <w:rPr>
          <w:rFonts w:ascii="Times New Roman" w:hAnsi="Times New Roman"/>
          <w:caps w:val="false"/>
          <w:smallCaps w:val="false"/>
          <w:sz w:val="20"/>
        </w:rPr>
      </w:r>
    </w:p>
    <w:tbl>
      <w:tblPr>
        <w:tblW w:w="5048" w:type="dxa"/>
        <w:jc w:val="left"/>
        <w:tblInd w:w="0" w:type="dxa"/>
        <w:tblLayout w:type="fixed"/>
        <w:tblCellMar>
          <w:top w:w="0" w:type="dxa"/>
          <w:left w:w="0" w:type="dxa"/>
          <w:bottom w:w="0" w:type="dxa"/>
          <w:right w:w="0" w:type="dxa"/>
        </w:tblCellMar>
      </w:tblPr>
      <w:tblGrid>
        <w:gridCol w:w="1730"/>
        <w:gridCol w:w="60"/>
        <w:gridCol w:w="143"/>
        <w:gridCol w:w="1211"/>
        <w:gridCol w:w="95"/>
        <w:gridCol w:w="60"/>
        <w:gridCol w:w="173"/>
        <w:gridCol w:w="1466"/>
        <w:gridCol w:w="110"/>
      </w:tblGrid>
      <w:tr>
        <w:trPr/>
        <w:tc>
          <w:tcPr>
            <w:tcW w:w="173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2022</w:t>
            </w:r>
          </w:p>
        </w:tc>
        <w:tc>
          <w:tcPr>
            <w:tcW w:w="110"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Notes payable</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11"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155,727,724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66"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154,747,746</w:t>
            </w:r>
          </w:p>
        </w:tc>
        <w:tc>
          <w:tcPr>
            <w:tcW w:w="110"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Less:</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43" w:type="dxa"/>
            <w:tcBorders/>
            <w:vAlign w:val="bottom"/>
          </w:tcPr>
          <w:p>
            <w:pPr>
              <w:pStyle w:val="TableContents"/>
              <w:bidi w:val="0"/>
              <w:spacing w:before="0" w:after="283"/>
              <w:jc w:val="left"/>
              <w:rPr>
                <w:caps w:val="false"/>
                <w:smallCaps w:val="false"/>
              </w:rPr>
            </w:pPr>
            <w:r>
              <w:rPr>
                <w:caps w:val="false"/>
                <w:smallCaps w:val="false"/>
              </w:rPr>
              <w:t> </w:t>
            </w:r>
          </w:p>
        </w:tc>
        <w:tc>
          <w:tcPr>
            <w:tcW w:w="1211" w:type="dxa"/>
            <w:tcBorders/>
            <w:vAlign w:val="bottom"/>
          </w:tcPr>
          <w:p>
            <w:pPr>
              <w:pStyle w:val="TableContents"/>
              <w:bidi w:val="0"/>
              <w:spacing w:before="0" w:after="283"/>
              <w:jc w:val="right"/>
              <w:rPr>
                <w:caps w:val="false"/>
                <w:smallCaps w:val="false"/>
              </w:rPr>
            </w:pPr>
            <w:r>
              <w:rPr>
                <w:caps w:val="false"/>
                <w:smallCaps w:val="false"/>
              </w:rPr>
              <w:t> </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73" w:type="dxa"/>
            <w:tcBorders/>
            <w:vAlign w:val="bottom"/>
          </w:tcPr>
          <w:p>
            <w:pPr>
              <w:pStyle w:val="TableContents"/>
              <w:bidi w:val="0"/>
              <w:spacing w:before="0" w:after="283"/>
              <w:jc w:val="left"/>
              <w:rPr>
                <w:caps w:val="false"/>
                <w:smallCaps w:val="false"/>
              </w:rPr>
            </w:pPr>
            <w:r>
              <w:rPr>
                <w:caps w:val="false"/>
                <w:smallCaps w:val="false"/>
              </w:rPr>
              <w:t> </w:t>
            </w:r>
          </w:p>
        </w:tc>
        <w:tc>
          <w:tcPr>
            <w:tcW w:w="1466" w:type="dxa"/>
            <w:tcBorders/>
            <w:vAlign w:val="bottom"/>
          </w:tcPr>
          <w:p>
            <w:pPr>
              <w:pStyle w:val="TableContents"/>
              <w:bidi w:val="0"/>
              <w:spacing w:before="0" w:after="283"/>
              <w:jc w:val="right"/>
              <w:rPr>
                <w:caps w:val="false"/>
                <w:smallCaps w:val="false"/>
              </w:rPr>
            </w:pPr>
            <w:r>
              <w:rPr>
                <w:caps w:val="false"/>
                <w:smallCaps w:val="false"/>
              </w:rPr>
              <w:t> </w:t>
            </w:r>
          </w:p>
        </w:tc>
        <w:tc>
          <w:tcPr>
            <w:tcW w:w="11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Debt discount</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(11,426,794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(11,914,683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73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Senior notes payable</w:t>
            </w:r>
          </w:p>
        </w:tc>
        <w:tc>
          <w:tcPr>
            <w:tcW w:w="60" w:type="dxa"/>
            <w:tcBorders/>
            <w:vAlign w:val="bottom"/>
          </w:tcPr>
          <w:p>
            <w:pPr>
              <w:pStyle w:val="TableContents"/>
              <w:bidi w:val="0"/>
              <w:spacing w:before="0" w:after="283"/>
              <w:jc w:val="right"/>
              <w:rPr/>
            </w:pPr>
            <w:r>
              <w:rPr/>
              <w:t> </w:t>
            </w:r>
          </w:p>
        </w:tc>
        <w:tc>
          <w:tcPr>
            <w:tcW w:w="14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1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144,300,930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6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142,833,063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z w:val="20"/>
          <w:shd w:fill="FFFFFF" w:val="clear"/>
        </w:rPr>
        <w:t xml:space="preserve">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was to have expired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 </w:t>
      </w:r>
      <w:r>
        <w:rPr>
          <w:rFonts w:ascii="Times New Roman" w:hAnsi="Times New Roman"/>
          <w:b w:val="false"/>
          <w:i w:val="false"/>
          <w:caps w:val="false"/>
          <w:smallCaps w:val="false"/>
          <w:color w:val="000000"/>
          <w:spacing w:val="0"/>
          <w:sz w:val="20"/>
          <w:shd w:fill="FFFFFF" w:val="clear"/>
        </w:rPr>
        <w:t>On March 22, 2023, the Company and Hayfin entered into an amendment to the Hayfin Credit Agreement whereby the lenders’ obligation to make the Hayfin Delayed Draw Loan was extended to June 30, 2023.</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Borrowings under the Hayfin Credit Agreement bear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increases by an additional 3% per annum. On the last day of each calendar month or quarter during the term of the Hayfin Credit Facility, the Company will pay accrued interest to Hayfin. The rate of interest in effect as of March 31,2023 and December 31, 2022  was 14.4% and 13.9%, respectively. The Company is also permitted to pay “in kind” a portion of the interest on the Hayfin Loans for each monthly or quarterly interest period in an amount equal to 2.5% per annum, which is added to the principal amount of the outstanding debt under the Hayfin Credit Facility. For the three months ending March 31,2023, approximately $1.0 million of interest was paid in kind and added to the balance of the outstanding Hayfin Loans.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aps w:val="false"/>
            <w:smallCaps w:val="false"/>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the Hayfin Maturity Date, the Company will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consolidated balance sheets as of March 31,2023 and December 31,2022. Prior to the Hayfin Maturity Date, there are no scheduled principal payments on the Hayfin Loans. The Company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the Company is also required to pay the exit fee.</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certain other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 (ii) as of the last day of each fiscal quarter, report IVIG product and related revenues for the trailing 12-month period that exceed the amounts set forth in the Hayfin Credit Agreement, which range from $75.0 million for the fiscal quarter ended June 30, 2022 to $250.0 million for the fiscal quarter ended December 31, 2026. As of March 31, 2023, the Company was in compliance with all of the covenants contained in the Hayfin Credit Agreement.</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z w:val="20"/>
          <w:shd w:fill="FFFFFF" w:val="clear"/>
        </w:rPr>
        <w:t>As a result of the upfront fee and exit fee paid or payable to Hayfin, the expenses incurred by the Company  in connection with this transaction and the value of the Hayfin Warrants, the Company recognized an aggregate discount on the Hayfin Loans in the amount of $13.9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March 31,2023 and December 31, 2022 was approximately 16.6% and 16.1%, respectively.</w:t>
      </w:r>
      <w:r>
        <w:rPr>
          <w:rFonts w:ascii="Times New Roman" w:hAnsi="Times New Roman"/>
          <w:caps w:val="false"/>
          <w:smallCaps w:val="false"/>
          <w:color w:val="000000"/>
          <w:sz w:val="20"/>
        </w:rPr>
        <w:t xml:space="preserve"> </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540" w:right="0" w:firstLine="18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See Note 14 for discussion of an additional amendment to the Hayfin Credit Facility.</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252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STOCKHOLDERS’ EQUITY</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Preferred Stock</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is currently authorized to issue up to 10 million shares of preferred stock, $0.0001, par value per share. There were no shares of preferred stock outstanding at March 31, 2023 and December 31, 2022.</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Common Stock</w:t>
      </w:r>
    </w:p>
    <w:p>
      <w:pPr>
        <w:pStyle w:val="TextBody"/>
        <w:bidi w:val="0"/>
        <w:spacing w:before="0" w:after="0"/>
        <w:jc w:val="left"/>
        <w:rPr>
          <w:rFonts w:ascii="Times New Roman" w:hAnsi="Times New Roman"/>
          <w:i/>
          <w:caps w:val="false"/>
          <w:smallCaps w:val="false"/>
          <w:sz w:val="20"/>
          <w:u w:val="single"/>
        </w:rPr>
      </w:pPr>
      <w:r>
        <w:rPr>
          <w:rFonts w:ascii="Times New Roman" w:hAnsi="Times New Roman"/>
          <w:i/>
          <w:caps w:val="false"/>
          <w:smallCaps w:val="false"/>
          <w:sz w:val="20"/>
          <w:u w:val="single"/>
        </w:rPr>
      </w:r>
    </w:p>
    <w:p>
      <w:pPr>
        <w:pStyle w:val="TextBody"/>
        <w:bidi w:val="0"/>
        <w:spacing w:before="0" w:after="0"/>
        <w:jc w:val="left"/>
        <w:rPr/>
      </w:pPr>
      <w:r>
        <w:rPr/>
      </w:r>
    </w:p>
    <w:p>
      <w:pPr>
        <w:pStyle w:val="TextBody"/>
        <w:bidi w:val="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As of March 31, 2023 and December 31, 2022, the Company was authorized to issue 300,000,000 shares of its common stock, $0.0001 par value per share, and 222,262,588 and 221,816,930 shares of common stock were outstanding as of March 31, 2023 and December 31, 2022, respectively. After giving effect to the 48,356,592 shares reserved for outstanding warrants and awards issued or reserved for future issuance under the Company’s equity incentive plans, as of March 31, 2023 there were 29,380,820 shares of common stock available for issuance.</w:t>
      </w:r>
    </w:p>
    <w:p>
      <w:pPr>
        <w:pStyle w:val="TextBody"/>
        <w:bidi w:val="0"/>
        <w:spacing w:before="0" w:after="0"/>
        <w:jc w:val="left"/>
        <w:rPr>
          <w:rFonts w:ascii="Times New Roman" w:hAnsi="Times New Roman"/>
          <w:b w:val="false"/>
          <w:i/>
          <w:caps w:val="false"/>
          <w:smallCaps w:val="false"/>
          <w:color w:val="000000"/>
          <w:sz w:val="20"/>
          <w:u w:val="single"/>
          <w:shd w:fill="FFFFFF" w:val="clear"/>
        </w:rPr>
      </w:pPr>
      <w:r>
        <w:rPr>
          <w:rFonts w:ascii="Times New Roman" w:hAnsi="Times New Roman"/>
          <w:b w:val="false"/>
          <w:i/>
          <w:caps w:val="false"/>
          <w:smallCaps w:val="false"/>
          <w:color w:val="000000"/>
          <w:sz w:val="20"/>
          <w:u w:val="single"/>
          <w:shd w:fill="FFFFFF" w:val="clear"/>
        </w:rPr>
        <w:t>Warrants</w:t>
      </w:r>
    </w:p>
    <w:p>
      <w:pPr>
        <w:pStyle w:val="TextBody"/>
        <w:bidi w:val="0"/>
        <w:spacing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 connection with the Hayfin Credit Agreement that the Company entered into on March 23, 2022 (see Note 7), the Company issued the Hayfin Warrants to purchase 9,103,047 shares of the Company’s common stock. The Hayfin Warrants were valued at $9.6 million using the Black-Scholes option-pricing model assuming an expected term of seven years, a volatility of 68.1%, a dividend yield of 0% and a risk-free rate of interest of 2.36%. At March 31, 2023 and December 31,2022, the Company had outstanding warrants to purchase an aggregate of 13,525,148 shares of common stock, with a weighted-average exercise price of $1.99 per share with expiration dates ranging between May 2023 and December 2030 (see Note 14).</w:t>
      </w:r>
    </w:p>
    <w:p>
      <w:pPr>
        <w:pStyle w:val="TextBody"/>
        <w:bidi w:val="0"/>
        <w:spacing w:before="0" w:after="0"/>
        <w:jc w:val="left"/>
        <w:rPr>
          <w:color w:val="000000"/>
        </w:rPr>
      </w:pPr>
      <w:r>
        <w:rPr>
          <w:caps w:val="false"/>
          <w:smallCaps w:val="false"/>
          <w:color w:val="000000"/>
        </w:rPr>
        <w:t> </w:t>
      </w:r>
      <w:r>
        <w:rPr>
          <w:color w:val="000000"/>
        </w:rPr>
        <w:t xml:space="preserve">   </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Equity Incentive Plans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2023 and 2022:</w:t>
      </w:r>
    </w:p>
    <w:p>
      <w:pPr>
        <w:pStyle w:val="TextBody"/>
        <w:bidi w:val="0"/>
        <w:spacing w:before="0" w:after="0"/>
        <w:jc w:val="left"/>
        <w:rPr>
          <w:color w:val="000000"/>
        </w:rPr>
      </w:pPr>
      <w:r>
        <w:rPr>
          <w:caps w:val="false"/>
          <w:smallCaps w:val="false"/>
          <w:color w:val="000000"/>
        </w:rPr>
        <w:t> </w:t>
      </w:r>
      <w:r>
        <w:rPr>
          <w:color w:val="000000"/>
        </w:rPr>
        <w:t xml:space="preserve">   </w:t>
      </w:r>
    </w:p>
    <w:tbl>
      <w:tblPr>
        <w:tblW w:w="4722" w:type="dxa"/>
        <w:jc w:val="left"/>
        <w:tblInd w:w="0" w:type="dxa"/>
        <w:tblLayout w:type="fixed"/>
        <w:tblCellMar>
          <w:top w:w="0" w:type="dxa"/>
          <w:left w:w="0" w:type="dxa"/>
          <w:bottom w:w="0" w:type="dxa"/>
          <w:right w:w="0" w:type="dxa"/>
        </w:tblCellMar>
      </w:tblPr>
      <w:tblGrid>
        <w:gridCol w:w="1745"/>
        <w:gridCol w:w="60"/>
        <w:gridCol w:w="81"/>
        <w:gridCol w:w="1084"/>
        <w:gridCol w:w="291"/>
        <w:gridCol w:w="81"/>
        <w:gridCol w:w="81"/>
        <w:gridCol w:w="1084"/>
        <w:gridCol w:w="215"/>
      </w:tblGrid>
      <w:tr>
        <w:trPr/>
        <w:tc>
          <w:tcPr>
            <w:tcW w:w="174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270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Three Months Ended March 31,</w:t>
            </w:r>
          </w:p>
        </w:tc>
        <w:tc>
          <w:tcPr>
            <w:tcW w:w="215"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2023</w:t>
            </w:r>
          </w:p>
        </w:tc>
        <w:tc>
          <w:tcPr>
            <w:tcW w:w="29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2022</w:t>
            </w:r>
          </w:p>
        </w:tc>
        <w:tc>
          <w:tcPr>
            <w:tcW w:w="215"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Expected term</w:t>
            </w:r>
          </w:p>
        </w:tc>
        <w:tc>
          <w:tcPr>
            <w:tcW w:w="60"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0"/>
              <w:jc w:val="center"/>
              <w:rPr>
                <w:rFonts w:ascii="Times New Roman" w:hAnsi="Times New Roman"/>
                <w:caps w:val="false"/>
                <w:smallCaps w:val="false"/>
                <w:color w:val="000000"/>
                <w:sz w:val="20"/>
              </w:rPr>
            </w:pPr>
            <w:r>
              <w:rPr>
                <w:rFonts w:ascii="Times New Roman" w:hAnsi="Times New Roman"/>
                <w:caps w:val="false"/>
                <w:smallCaps w:val="false"/>
                <w:color w:val="000000"/>
                <w:sz w:val="20"/>
              </w:rPr>
              <w:t>5.5 - 6.3 years</w:t>
            </w:r>
          </w:p>
        </w:tc>
        <w:tc>
          <w:tcPr>
            <w:tcW w:w="29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0"/>
              <w:jc w:val="center"/>
              <w:rPr>
                <w:rFonts w:ascii="Times New Roman" w:hAnsi="Times New Roman"/>
                <w:caps w:val="false"/>
                <w:smallCaps w:val="false"/>
                <w:color w:val="000000"/>
                <w:sz w:val="20"/>
              </w:rPr>
            </w:pPr>
            <w:r>
              <w:rPr>
                <w:rFonts w:ascii="Times New Roman" w:hAnsi="Times New Roman"/>
                <w:caps w:val="false"/>
                <w:smallCaps w:val="false"/>
                <w:color w:val="000000"/>
                <w:sz w:val="20"/>
              </w:rPr>
              <w:t>5.5 - 6.3 years</w:t>
            </w:r>
          </w:p>
        </w:tc>
        <w:tc>
          <w:tcPr>
            <w:tcW w:w="215" w:type="dxa"/>
            <w:tcBorders/>
            <w:vAlign w:val="bottom"/>
          </w:tcPr>
          <w:p>
            <w:pPr>
              <w:pStyle w:val="TableContents"/>
              <w:bidi w:val="0"/>
              <w:spacing w:before="0" w:after="283"/>
              <w:jc w:val="left"/>
              <w:rPr/>
            </w:pPr>
            <w:r>
              <w:rPr/>
              <w:t> </w:t>
            </w:r>
          </w:p>
        </w:tc>
      </w:tr>
      <w:tr>
        <w:trPr/>
        <w:tc>
          <w:tcPr>
            <w:tcW w:w="174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Volatility</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68</w:t>
            </w:r>
          </w:p>
        </w:tc>
        <w:tc>
          <w:tcPr>
            <w:tcW w:w="291" w:type="dxa"/>
            <w:tcBorders/>
            <w:shd w:fill="CCEEFF" w:val="clear"/>
            <w:vAlign w:val="bottom"/>
          </w:tcPr>
          <w:p>
            <w:pPr>
              <w:pStyle w:val="TableContents"/>
              <w:bidi w:val="0"/>
              <w:spacing w:before="0" w:after="283"/>
              <w:jc w:val="left"/>
              <w:rPr/>
            </w:pPr>
            <w:r>
              <w:rPr/>
              <w:t>%</w:t>
            </w:r>
          </w:p>
        </w:tc>
        <w:tc>
          <w:tcPr>
            <w:tcW w:w="81"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68</w:t>
            </w:r>
          </w:p>
        </w:tc>
        <w:tc>
          <w:tcPr>
            <w:tcW w:w="215" w:type="dxa"/>
            <w:tcBorders/>
            <w:shd w:fill="CCEEFF" w:val="clear"/>
            <w:vAlign w:val="bottom"/>
          </w:tcPr>
          <w:p>
            <w:pPr>
              <w:pStyle w:val="TableContents"/>
              <w:bidi w:val="0"/>
              <w:spacing w:before="0" w:after="283"/>
              <w:jc w:val="left"/>
              <w:rPr/>
            </w:pPr>
            <w:r>
              <w:rPr/>
              <w:t>%</w:t>
            </w:r>
          </w:p>
        </w:tc>
      </w:tr>
      <w:tr>
        <w:trPr/>
        <w:tc>
          <w:tcPr>
            <w:tcW w:w="174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Dividend yield</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0.0</w:t>
            </w:r>
          </w:p>
        </w:tc>
        <w:tc>
          <w:tcPr>
            <w:tcW w:w="29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0.0</w:t>
            </w:r>
          </w:p>
        </w:tc>
        <w:tc>
          <w:tcPr>
            <w:tcW w:w="215" w:type="dxa"/>
            <w:tcBorders/>
            <w:vAlign w:val="bottom"/>
          </w:tcPr>
          <w:p>
            <w:pPr>
              <w:pStyle w:val="TableContents"/>
              <w:bidi w:val="0"/>
              <w:spacing w:before="0" w:after="283"/>
              <w:jc w:val="left"/>
              <w:rPr/>
            </w:pPr>
            <w:r>
              <w:rPr/>
              <w:t> </w:t>
            </w:r>
          </w:p>
        </w:tc>
      </w:tr>
      <w:tr>
        <w:trPr/>
        <w:tc>
          <w:tcPr>
            <w:tcW w:w="174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Risk-free interest rate</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4.20-4.24</w:t>
            </w:r>
          </w:p>
        </w:tc>
        <w:tc>
          <w:tcPr>
            <w:tcW w:w="291"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1"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1.72-1.73</w:t>
            </w:r>
          </w:p>
        </w:tc>
        <w:tc>
          <w:tcPr>
            <w:tcW w:w="21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bl>
    <w:p>
      <w:pPr>
        <w:pStyle w:val="TextBody"/>
        <w:bidi w:val="0"/>
        <w:spacing w:before="0" w:after="0"/>
        <w:jc w:val="left"/>
        <w:rPr>
          <w:color w:val="000000"/>
        </w:rPr>
      </w:pPr>
      <w:r>
        <w:rPr>
          <w:caps w:val="false"/>
          <w:smallCaps w:val="false"/>
          <w:color w:val="000000"/>
        </w:rPr>
        <w:t> </w:t>
      </w:r>
      <w:r>
        <w:rPr>
          <w:color w:val="000000"/>
        </w:rPr>
        <w:t xml:space="preserve">  </w:t>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rPr>
        <w:t xml:space="preserve">On June 21, 2022, the Company’s stockholders approved the ADMA Biologics, Inc. 2022 Compensation Plan (the “2022 Equity Plan”), which replaced the ADMA Biologics, Inc. 2014 Omnibus Incentive Compensation Plan.  Approval of the 2022 Equity Plan resulted in approximately 18 million additional shares of the Company’s common stock being reserved for future awards. </w:t>
      </w:r>
      <w:r>
        <w:rPr>
          <w:rFonts w:ascii="Times New Roman" w:hAnsi="Times New Roman"/>
          <w:caps w:val="false"/>
          <w:smallCaps w:val="false"/>
          <w:color w:val="000000"/>
          <w:sz w:val="20"/>
        </w:rPr>
        <w:t xml:space="preserve">During the three months ended March 31, 2023 and 2022, the Company granted options to purchase an aggregate of 1,727,510 and 1,194,032 shares of common stock, respectively, to its directors and employees.  The weighted average remaining contractual life of stock options outstanding and expected to vest at March 31, 2023 is 6.6 years. The weighted average remaining contractual life of stock options exercisable at March 31, 2023 is 5.3 years. </w:t>
      </w:r>
      <w:r>
        <w:rPr>
          <w:rFonts w:ascii="Times New Roman" w:hAnsi="Times New Roman"/>
          <w:b w:val="false"/>
          <w:i w:val="false"/>
          <w:caps w:val="false"/>
          <w:smallCaps w:val="false"/>
          <w:color w:val="000000"/>
          <w:spacing w:val="0"/>
          <w:sz w:val="20"/>
        </w:rPr>
        <w:t>During the three months ended March 31, 2023, options to purchase 5,416 shares of common stock were exercised in a cashless transaction resulting in the issuance of 2,443 shares of common stock.</w:t>
      </w:r>
    </w:p>
    <w:p>
      <w:pPr>
        <w:pStyle w:val="TextBody"/>
        <w:bidi w:val="0"/>
        <w:spacing w:before="0" w:after="0"/>
        <w:jc w:val="left"/>
        <w:rPr>
          <w:color w:val="000000"/>
        </w:rPr>
      </w:pPr>
      <w:r>
        <w:rPr>
          <w:caps w:val="false"/>
          <w:smallCaps w:val="false"/>
          <w:color w:val="000000"/>
        </w:rPr>
        <w:t> </w:t>
      </w:r>
      <w:r>
        <w:rPr>
          <w:color w:val="000000"/>
        </w:rPr>
        <w:t xml:space="preserve"> </w:t>
      </w:r>
      <w:r>
        <w:rPr>
          <w:caps w:val="false"/>
          <w:smallCaps w:val="false"/>
          <w:color w:val="000000"/>
        </w:rPr>
        <w:t>  </w:t>
      </w:r>
      <w:r>
        <w:rPr>
          <w:color w:val="00000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 summary of the Company’s option activity under the Company’s equity incentive plans and related information is as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tbl>
      <w:tblPr>
        <w:tblW w:w="8284" w:type="dxa"/>
        <w:jc w:val="left"/>
        <w:tblInd w:w="0" w:type="dxa"/>
        <w:tblLayout w:type="fixed"/>
        <w:tblCellMar>
          <w:top w:w="0" w:type="dxa"/>
          <w:left w:w="0" w:type="dxa"/>
          <w:bottom w:w="0" w:type="dxa"/>
          <w:right w:w="0" w:type="dxa"/>
        </w:tblCellMar>
      </w:tblPr>
      <w:tblGrid>
        <w:gridCol w:w="5840"/>
        <w:gridCol w:w="60"/>
        <w:gridCol w:w="60"/>
        <w:gridCol w:w="845"/>
        <w:gridCol w:w="95"/>
        <w:gridCol w:w="60"/>
        <w:gridCol w:w="301"/>
        <w:gridCol w:w="948"/>
        <w:gridCol w:w="75"/>
      </w:tblGrid>
      <w:tr>
        <w:trPr/>
        <w:tc>
          <w:tcPr>
            <w:tcW w:w="584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9" w:type="dxa"/>
            <w:gridSpan w:val="2"/>
            <w:tcBorders/>
            <w:vAlign w:val="bottom"/>
          </w:tcPr>
          <w:p>
            <w:pPr>
              <w:pStyle w:val="TableContents"/>
              <w:bidi w:val="0"/>
              <w:spacing w:before="0" w:after="283"/>
              <w:jc w:val="center"/>
              <w:rPr>
                <w:b/>
              </w:rPr>
            </w:pPr>
            <w:r>
              <w:rPr>
                <w:b/>
              </w:rPr>
              <w:t xml:space="preserve">Weighted </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9" w:type="dxa"/>
            <w:gridSpan w:val="2"/>
            <w:tcBorders/>
            <w:vAlign w:val="bottom"/>
          </w:tcPr>
          <w:p>
            <w:pPr>
              <w:pStyle w:val="TableContents"/>
              <w:bidi w:val="0"/>
              <w:spacing w:before="0" w:after="283"/>
              <w:jc w:val="center"/>
              <w:rPr>
                <w:b/>
              </w:rPr>
            </w:pPr>
            <w:r>
              <w:rPr>
                <w:b/>
              </w:rPr>
              <w:t xml:space="preserve">Average </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Exercise Price</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vested and expected to vest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8,256,211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3.37</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(15,555</w:t>
            </w:r>
          </w:p>
        </w:tc>
        <w:tc>
          <w:tcPr>
            <w:tcW w:w="95"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2.29</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Expired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(17,047</w:t>
            </w:r>
          </w:p>
        </w:tc>
        <w:tc>
          <w:tcPr>
            <w:tcW w:w="95"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7.06</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1,727,510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3.35</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ind w:left="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283"/>
              <w:jc w:val="right"/>
              <w:rPr/>
            </w:pPr>
            <w:r>
              <w:rPr/>
              <w:t>(5,416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xml:space="preserve">$ </w:t>
            </w:r>
          </w:p>
        </w:tc>
        <w:tc>
          <w:tcPr>
            <w:tcW w:w="948" w:type="dxa"/>
            <w:tcBorders/>
            <w:shd w:fill="CCEEFF" w:val="clear"/>
            <w:vAlign w:val="bottom"/>
          </w:tcPr>
          <w:p>
            <w:pPr>
              <w:pStyle w:val="TableContents"/>
              <w:bidi w:val="0"/>
              <w:spacing w:before="0" w:after="283"/>
              <w:jc w:val="right"/>
              <w:rPr/>
            </w:pPr>
            <w:r>
              <w:rPr/>
              <w:t>2.08</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vested and expected to vest at March 31, 2023</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9,945,703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3.36</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30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Options exercisable</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6,660,313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3.67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aps w:val="false"/>
          <w:smallCaps w:val="false"/>
          <w:color w:val="000000"/>
        </w:rPr>
        <w:t> </w:t>
      </w:r>
      <w:r>
        <w:rPr>
          <w:color w:val="000000"/>
        </w:rPr>
        <w:t xml:space="preserve"> </w:t>
      </w:r>
      <w:r>
        <w:rPr>
          <w:caps w:val="false"/>
          <w:smallCaps w:val="false"/>
          <w:color w:val="000000"/>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As of March 31, 2023, the Company had $5.6 million of unrecognized compensation expense related to options granted under the Company’s equity incentive plans, which is expected to be recognized over a weighted-average period of 3.0 years.</w:t>
      </w:r>
    </w:p>
    <w:p>
      <w:pPr>
        <w:pStyle w:val="TextBody"/>
        <w:bidi w:val="0"/>
        <w:spacing w:before="0" w:after="0"/>
        <w:jc w:val="left"/>
        <w:rPr/>
      </w:pPr>
      <w:r>
        <w:rPr/>
      </w:r>
    </w:p>
    <w:p>
      <w:pPr>
        <w:pStyle w:val="TextBody"/>
        <w:bidi w:val="0"/>
        <w:spacing w:before="0" w:after="0"/>
        <w:ind w:left="180" w:right="0" w:hanging="180"/>
        <w:jc w:val="left"/>
        <w:rPr>
          <w:color w:val="000000"/>
        </w:rPr>
      </w:pPr>
      <w:r>
        <w:rPr>
          <w:caps w:val="false"/>
          <w:smallCaps w:val="false"/>
          <w:color w:val="000000"/>
        </w:rPr>
        <w:t> </w:t>
      </w:r>
      <w:r>
        <w:rPr>
          <w:color w:val="00000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aps w:val="false"/>
          <w:smallCaps w:val="false"/>
          <w:color w:val="000000"/>
          <w:sz w:val="20"/>
        </w:rPr>
        <w:t>During the three months ended March 31, 2023 and 2022, the Company granted RSUs representing an aggregate of 2,666,260 and 1,059,266 shares, respectively, to certain employees of the Company and to members of its Board of Directors</w:t>
      </w:r>
      <w:r>
        <w:rPr>
          <w:rFonts w:ascii="Times New Roman" w:hAnsi="Times New Roman"/>
          <w:color w:val="000000"/>
          <w:sz w:val="20"/>
        </w:rPr>
        <w:t>. These RSUs generally vest annually over a period</w:t>
      </w:r>
      <w:r>
        <w:rPr>
          <w:rFonts w:ascii="Times New Roman" w:hAnsi="Times New Roman"/>
          <w:caps w:val="false"/>
          <w:smallCaps w:val="false"/>
          <w:color w:val="000000"/>
          <w:sz w:val="20"/>
        </w:rPr>
        <w:t xml:space="preserve"> of four years for employees and semi-annually over a period of one year for directors</w:t>
      </w:r>
      <w:r>
        <w:rPr>
          <w:rFonts w:ascii="Times New Roman" w:hAnsi="Times New Roman"/>
          <w:b w:val="false"/>
          <w:i w:val="false"/>
          <w:caps w:val="false"/>
          <w:smallCaps w:val="false"/>
          <w:color w:val="000000"/>
          <w:spacing w:val="0"/>
          <w:sz w:val="20"/>
          <w:shd w:fill="FFFFFF" w:val="clear"/>
        </w:rPr>
        <w:t>.</w:t>
      </w:r>
      <w:r>
        <w:rPr>
          <w:rFonts w:ascii="Times New Roman" w:hAnsi="Times New Roman"/>
          <w:caps w:val="false"/>
          <w:smallCaps w:val="false"/>
          <w:color w:val="000000"/>
          <w:sz w:val="20"/>
        </w:rPr>
        <w:t xml:space="preserve"> During the three months ended March 31, 2023, an aggregate of 628,283 shares of common stock vested in connection with grants of RSUs. With respect to these vested RSUs, 185,068 shares valued at approximately $0.6 million were withheld by the Company to cover employees’ tax liabilities. These shares were no longer outstanding as of March 31, 2023. A summary of the Company’s unvested RSU activity and related information is as follows:</w:t>
      </w:r>
      <w:r>
        <w:rPr>
          <w:rFonts w:ascii="Times New Roman" w:hAnsi="Times New Roman"/>
          <w:color w:val="000000"/>
          <w:sz w:val="20"/>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5299" w:type="dxa"/>
        <w:jc w:val="left"/>
        <w:tblInd w:w="0" w:type="dxa"/>
        <w:tblLayout w:type="fixed"/>
        <w:tblCellMar>
          <w:top w:w="0" w:type="dxa"/>
          <w:left w:w="0" w:type="dxa"/>
          <w:bottom w:w="0" w:type="dxa"/>
          <w:right w:w="0" w:type="dxa"/>
        </w:tblCellMar>
      </w:tblPr>
      <w:tblGrid>
        <w:gridCol w:w="2510"/>
        <w:gridCol w:w="60"/>
        <w:gridCol w:w="60"/>
        <w:gridCol w:w="845"/>
        <w:gridCol w:w="80"/>
        <w:gridCol w:w="60"/>
        <w:gridCol w:w="397"/>
        <w:gridCol w:w="1212"/>
        <w:gridCol w:w="75"/>
      </w:tblGrid>
      <w:tr>
        <w:trPr/>
        <w:tc>
          <w:tcPr>
            <w:tcW w:w="251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center"/>
              <w:rPr/>
            </w:pPr>
            <w:r>
              <w:rPr/>
              <w:t> </w:t>
            </w:r>
            <w:r>
              <w:rPr>
                <w:b/>
              </w:rPr>
              <w:t xml:space="preserve">Weighted </w:t>
            </w:r>
          </w:p>
        </w:tc>
        <w:tc>
          <w:tcPr>
            <w:tcW w:w="7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center"/>
              <w:rPr/>
            </w:pPr>
            <w:r>
              <w:rPr/>
              <w:t> </w:t>
            </w:r>
            <w:r>
              <w:rPr>
                <w:b/>
              </w:rPr>
              <w:t>Average Grant</w:t>
            </w:r>
          </w:p>
        </w:tc>
        <w:tc>
          <w:tcPr>
            <w:tcW w:w="7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Date Fair Value</w:t>
            </w:r>
          </w:p>
        </w:tc>
        <w:tc>
          <w:tcPr>
            <w:tcW w:w="7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2,866,987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1.59</w:t>
            </w:r>
          </w:p>
        </w:tc>
        <w:tc>
          <w:tcPr>
            <w:tcW w:w="7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2,666,260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3.35</w:t>
            </w:r>
          </w:p>
        </w:tc>
        <w:tc>
          <w:tcPr>
            <w:tcW w:w="7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(628,283</w:t>
            </w:r>
          </w:p>
        </w:tc>
        <w:tc>
          <w:tcPr>
            <w:tcW w:w="80"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1.76</w:t>
            </w:r>
          </w:p>
        </w:tc>
        <w:tc>
          <w:tcPr>
            <w:tcW w:w="7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(29,500</w:t>
            </w:r>
          </w:p>
        </w:tc>
        <w:tc>
          <w:tcPr>
            <w:tcW w:w="80"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1.25</w:t>
            </w:r>
          </w:p>
        </w:tc>
        <w:tc>
          <w:tcPr>
            <w:tcW w:w="7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4,875,464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2.53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aps w:val="false"/>
          <w:smallCaps w:val="false"/>
          <w:color w:val="000000"/>
        </w:rPr>
        <w:t> </w:t>
      </w:r>
      <w:r>
        <w:rPr>
          <w:color w:val="000000"/>
        </w:rPr>
        <w:t xml:space="preserve"> </w:t>
      </w:r>
      <w:r>
        <w:rPr>
          <w:caps w:val="false"/>
          <w:smallCaps w:val="false"/>
          <w:color w:val="000000"/>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As of March 31, 2023, the Company had $12.0 million of unrecognized compensation expense related to unvested RSUs granted under the Company’s equity incentive plans, which is expected to be recognized over a weighted-average period of 3.4 years.</w:t>
      </w:r>
    </w:p>
    <w:p>
      <w:pPr>
        <w:pStyle w:val="TextBody"/>
        <w:bidi w:val="0"/>
        <w:spacing w:before="0" w:after="0"/>
        <w:jc w:val="left"/>
        <w:rPr>
          <w:color w:val="000000"/>
        </w:rPr>
      </w:pPr>
      <w:r>
        <w:rPr>
          <w:caps w:val="false"/>
          <w:smallCaps w:val="false"/>
          <w:color w:val="000000"/>
        </w:rPr>
        <w:t> </w:t>
      </w:r>
      <w:r>
        <w:rPr>
          <w:color w:val="000000"/>
        </w:rPr>
        <w:t xml:space="preserve"> </w:t>
      </w:r>
      <w:r>
        <w:rPr>
          <w:caps w:val="false"/>
          <w:smallCaps w:val="false"/>
          <w:color w:val="000000"/>
        </w:rPr>
        <w:t>  </w:t>
      </w:r>
      <w:r>
        <w:rPr>
          <w:color w:val="00000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stock-based compensation expense for all awards granted under the Company’s equity incentive plans for the three months ended March 31, 2023 and 2022 is as follows:</w:t>
      </w:r>
    </w:p>
    <w:p>
      <w:pPr>
        <w:pStyle w:val="TextBody"/>
        <w:bidi w:val="0"/>
        <w:spacing w:before="0" w:after="0"/>
        <w:jc w:val="left"/>
        <w:rPr>
          <w:color w:val="000000"/>
        </w:rPr>
      </w:pPr>
      <w:r>
        <w:rPr>
          <w:caps w:val="false"/>
          <w:smallCaps w:val="false"/>
          <w:color w:val="000000"/>
        </w:rPr>
        <w:t> </w:t>
      </w:r>
      <w:r>
        <w:rPr>
          <w:color w:val="000000"/>
        </w:rPr>
        <w:t xml:space="preserve"> </w:t>
      </w:r>
      <w:r>
        <w:rPr>
          <w:caps w:val="false"/>
          <w:smallCaps w:val="false"/>
          <w:color w:val="000000"/>
        </w:rPr>
        <w:t> </w:t>
      </w:r>
    </w:p>
    <w:tbl>
      <w:tblPr>
        <w:tblW w:w="6172" w:type="dxa"/>
        <w:jc w:val="left"/>
        <w:tblInd w:w="0" w:type="dxa"/>
        <w:tblLayout w:type="fixed"/>
        <w:tblCellMar>
          <w:top w:w="0" w:type="dxa"/>
          <w:left w:w="0" w:type="dxa"/>
          <w:bottom w:w="0" w:type="dxa"/>
          <w:right w:w="0" w:type="dxa"/>
        </w:tblCellMar>
      </w:tblPr>
      <w:tblGrid>
        <w:gridCol w:w="3350"/>
        <w:gridCol w:w="60"/>
        <w:gridCol w:w="164"/>
        <w:gridCol w:w="1109"/>
        <w:gridCol w:w="78"/>
        <w:gridCol w:w="78"/>
        <w:gridCol w:w="164"/>
        <w:gridCol w:w="1109"/>
        <w:gridCol w:w="60"/>
      </w:tblGrid>
      <w:tr>
        <w:trPr/>
        <w:tc>
          <w:tcPr>
            <w:tcW w:w="33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2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8" w:type="dxa"/>
            <w:tcBorders/>
            <w:vAlign w:val="bottom"/>
          </w:tcPr>
          <w:p>
            <w:pPr>
              <w:pStyle w:val="TableContents"/>
              <w:bidi w:val="0"/>
              <w:spacing w:before="0" w:after="283"/>
              <w:jc w:val="left"/>
              <w:rPr>
                <w:caps w:val="false"/>
                <w:smallCaps w:val="false"/>
              </w:rPr>
            </w:pPr>
            <w:r>
              <w:rPr>
                <w:caps w:val="false"/>
                <w:smallCaps w:val="false"/>
              </w:rPr>
              <w:t> </w:t>
            </w:r>
          </w:p>
        </w:tc>
        <w:tc>
          <w:tcPr>
            <w:tcW w:w="78" w:type="dxa"/>
            <w:tcBorders/>
            <w:vAlign w:val="bottom"/>
          </w:tcPr>
          <w:p>
            <w:pPr>
              <w:pStyle w:val="TableContents"/>
              <w:bidi w:val="0"/>
              <w:spacing w:before="0" w:after="283"/>
              <w:jc w:val="left"/>
              <w:rPr>
                <w:caps w:val="false"/>
                <w:smallCaps w:val="false"/>
              </w:rPr>
            </w:pPr>
            <w:r>
              <w:rPr>
                <w:caps w:val="false"/>
                <w:smallCaps w:val="false"/>
              </w:rPr>
              <w:t> </w:t>
            </w:r>
          </w:p>
        </w:tc>
        <w:tc>
          <w:tcPr>
            <w:tcW w:w="12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0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5,385</w:t>
            </w:r>
          </w:p>
        </w:tc>
        <w:tc>
          <w:tcPr>
            <w:tcW w:w="78"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0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4,671</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Plasma center operating expenses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64" w:type="dxa"/>
            <w:tcBorders/>
            <w:vAlign w:val="bottom"/>
          </w:tcPr>
          <w:p>
            <w:pPr>
              <w:pStyle w:val="TableContents"/>
              <w:bidi w:val="0"/>
              <w:spacing w:before="0" w:after="283"/>
              <w:jc w:val="left"/>
              <w:rPr>
                <w:caps w:val="false"/>
                <w:smallCaps w:val="false"/>
              </w:rPr>
            </w:pPr>
            <w:r>
              <w:rPr>
                <w:caps w:val="false"/>
                <w:smallCaps w:val="false"/>
              </w:rPr>
              <w:t> </w:t>
            </w:r>
          </w:p>
        </w:tc>
        <w:tc>
          <w:tcPr>
            <w:tcW w:w="1109"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23,055</w:t>
            </w:r>
          </w:p>
        </w:tc>
        <w:tc>
          <w:tcPr>
            <w:tcW w:w="78" w:type="dxa"/>
            <w:tcBorders/>
            <w:vAlign w:val="bottom"/>
          </w:tcPr>
          <w:p>
            <w:pPr>
              <w:pStyle w:val="TableContents"/>
              <w:bidi w:val="0"/>
              <w:spacing w:before="0" w:after="283"/>
              <w:jc w:val="left"/>
              <w:rPr>
                <w:caps w:val="false"/>
                <w:smallCaps w:val="false"/>
              </w:rPr>
            </w:pPr>
            <w:r>
              <w:rPr>
                <w:caps w:val="false"/>
                <w:smallCaps w:val="false"/>
              </w:rPr>
              <w:t> </w:t>
            </w:r>
          </w:p>
        </w:tc>
        <w:tc>
          <w:tcPr>
            <w:tcW w:w="78" w:type="dxa"/>
            <w:tcBorders/>
            <w:vAlign w:val="bottom"/>
          </w:tcPr>
          <w:p>
            <w:pPr>
              <w:pStyle w:val="TableContents"/>
              <w:bidi w:val="0"/>
              <w:spacing w:before="0" w:after="283"/>
              <w:jc w:val="left"/>
              <w:rPr>
                <w:caps w:val="false"/>
                <w:smallCaps w:val="false"/>
              </w:rPr>
            </w:pPr>
            <w:r>
              <w:rPr>
                <w:caps w:val="false"/>
                <w:smallCaps w:val="false"/>
              </w:rPr>
              <w:t> </w:t>
            </w:r>
          </w:p>
        </w:tc>
        <w:tc>
          <w:tcPr>
            <w:tcW w:w="164" w:type="dxa"/>
            <w:tcBorders/>
            <w:vAlign w:val="bottom"/>
          </w:tcPr>
          <w:p>
            <w:pPr>
              <w:pStyle w:val="TableContents"/>
              <w:bidi w:val="0"/>
              <w:spacing w:before="0" w:after="283"/>
              <w:jc w:val="left"/>
              <w:rPr>
                <w:caps w:val="false"/>
                <w:smallCaps w:val="false"/>
              </w:rPr>
            </w:pPr>
            <w:r>
              <w:rPr>
                <w:caps w:val="false"/>
                <w:smallCaps w:val="false"/>
              </w:rPr>
              <w:t> </w:t>
            </w:r>
          </w:p>
        </w:tc>
        <w:tc>
          <w:tcPr>
            <w:tcW w:w="1109"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21,052</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978,124</w:t>
            </w:r>
          </w:p>
        </w:tc>
        <w:tc>
          <w:tcPr>
            <w:tcW w:w="78"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1,517,602</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Cost of product revenue</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64"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1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103,602</w:t>
            </w:r>
          </w:p>
        </w:tc>
        <w:tc>
          <w:tcPr>
            <w:tcW w:w="78" w:type="dxa"/>
            <w:tcBorders/>
            <w:vAlign w:val="bottom"/>
          </w:tcPr>
          <w:p>
            <w:pPr>
              <w:pStyle w:val="TableContents"/>
              <w:bidi w:val="0"/>
              <w:spacing w:before="0" w:after="283"/>
              <w:jc w:val="left"/>
              <w:rPr>
                <w:caps w:val="false"/>
                <w:smallCaps w:val="false"/>
              </w:rPr>
            </w:pPr>
            <w:r>
              <w:rPr>
                <w:caps w:val="false"/>
                <w:smallCaps w:val="false"/>
              </w:rPr>
              <w:t> </w:t>
            </w:r>
          </w:p>
        </w:tc>
        <w:tc>
          <w:tcPr>
            <w:tcW w:w="78" w:type="dxa"/>
            <w:tcBorders/>
            <w:vAlign w:val="bottom"/>
          </w:tcPr>
          <w:p>
            <w:pPr>
              <w:pStyle w:val="TableContents"/>
              <w:bidi w:val="0"/>
              <w:spacing w:before="0" w:after="283"/>
              <w:jc w:val="left"/>
              <w:rPr>
                <w:caps w:val="false"/>
                <w:smallCaps w:val="false"/>
              </w:rPr>
            </w:pPr>
            <w:r>
              <w:rPr>
                <w:caps w:val="false"/>
                <w:smallCaps w:val="false"/>
              </w:rPr>
              <w:t> </w:t>
            </w:r>
          </w:p>
        </w:tc>
        <w:tc>
          <w:tcPr>
            <w:tcW w:w="164"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1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98,063</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0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1,110,166</w:t>
            </w:r>
          </w:p>
        </w:tc>
        <w:tc>
          <w:tcPr>
            <w:tcW w:w="78"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0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1,641,388</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color w:val="000000"/>
        </w:rPr>
      </w:pPr>
      <w:r>
        <w:rPr>
          <w:caps w:val="false"/>
          <w:smallCaps w:val="false"/>
          <w:color w:val="000000"/>
        </w:rPr>
        <w:t>  </w:t>
      </w:r>
    </w:p>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283"/>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w:t>
            </w:r>
          </w:p>
        </w:tc>
        <w:tc>
          <w:tcPr>
            <w:tcW w:w="4160" w:type="dxa"/>
            <w:tcBorders/>
            <w:vAlign w:val="center"/>
          </w:tcPr>
          <w:p>
            <w:pPr>
              <w:pStyle w:val="TableContents"/>
              <w:bidi w:val="0"/>
              <w:spacing w:before="0" w:after="0"/>
              <w:jc w:val="left"/>
              <w:rPr>
                <w:b/>
                <w:u w:val="single"/>
              </w:rPr>
            </w:pPr>
            <w:r>
              <w:rPr>
                <w:b/>
                <w:u w:val="single"/>
              </w:rPr>
              <w:t>RELATED PARTY TRANSACTIONS</w:t>
            </w:r>
          </w:p>
        </w:tc>
      </w:tr>
    </w:tbl>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The Company leases an office building and equipment from Areth, LLC (“Areth”) pursuan</w:t>
      </w:r>
      <w:r>
        <w:rPr>
          <w:rFonts w:ascii="Times New Roman" w:hAnsi="Times New Roman"/>
          <w:b w:val="false"/>
          <w:i w:val="false"/>
          <w:caps w:val="false"/>
          <w:smallCaps w:val="false"/>
          <w:color w:val="000000"/>
          <w:sz w:val="20"/>
          <w:shd w:fill="FFFFFF" w:val="clear"/>
        </w:rPr>
        <w:t>t to an agreement for services effective as of January 1, 2016, as amended from time to time</w:t>
      </w:r>
      <w:r>
        <w:rPr>
          <w:rFonts w:ascii="Times New Roman" w:hAnsi="Times New Roman"/>
          <w:b w:val="false"/>
          <w:i w:val="false"/>
          <w:caps w:val="false"/>
          <w:smallCaps w:val="false"/>
          <w:color w:val="000000"/>
          <w:spacing w:val="0"/>
          <w:sz w:val="20"/>
          <w:shd w:fill="FFFFFF" w:val="clear"/>
        </w:rPr>
        <w:t>, and pays monthly rent on this facility in the amount of $10,000 through December 31, 2026</w:t>
      </w:r>
      <w:r>
        <w:rPr>
          <w:rFonts w:ascii="Times New Roman" w:hAnsi="Times New Roman"/>
          <w:b w:val="false"/>
          <w:i w:val="false"/>
          <w:caps w:val="false"/>
          <w:smallCaps w:val="false"/>
          <w:color w:val="000000"/>
          <w:sz w:val="20"/>
          <w:shd w:fill="FFFFFF" w:val="clear"/>
        </w:rPr>
        <w:t>. Rent expense for the three months ended March 31, 2023 and 2022 amounted to $30,000 (see</w:t>
      </w:r>
      <w:r>
        <w:rPr>
          <w:rFonts w:ascii="Times New Roman" w:hAnsi="Times New Roman"/>
          <w:i w:val="false"/>
          <w:caps w:val="false"/>
          <w:smallCaps w:val="false"/>
          <w:color w:val="000000"/>
          <w:sz w:val="20"/>
        </w:rPr>
        <w:t xml:space="preserve"> Note 12).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three months ended March 31, 2023 and 2022. </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 xml:space="preserve">During the </w:t>
      </w:r>
      <w:r>
        <w:rPr>
          <w:rFonts w:ascii="Times New Roman" w:hAnsi="Times New Roman"/>
          <w:b w:val="false"/>
          <w:i w:val="false"/>
          <w:caps w:val="false"/>
          <w:smallCaps w:val="false"/>
          <w:color w:val="000000"/>
          <w:sz w:val="20"/>
          <w:shd w:fill="FFFFFF" w:val="clear"/>
        </w:rPr>
        <w:t>three months ended March 31, 2023 and 2022, the Company purchased certain specialized medical equipment and services primarily related to the Company’s plasma collection centers, as well as personal protective equipment, from GenesisBPS and its affiliates (“Genesis”), aggregating to $0.1 million and $43,000, respectively. Genesis is owned by Dr. Grossman and Adam Grossman.</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See Note 7 for a discussion of the Company’s former credit facility and related transactions with Perceptive, a holder of more than 5% of the Company’s common stock during</w:t>
      </w:r>
      <w:r>
        <w:rPr>
          <w:rFonts w:ascii="Times New Roman" w:hAnsi="Times New Roman"/>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the three months ended March 31, 2022. There were no transactions with Perceptive during the three months ended March 31, 2023.</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371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COMMITMENTS AND CONTINGENCIES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General Legal Matters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COVID-19 Pandemic</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continues to monitor the ongoing developments related to the COVID-19 pandemic, including the emergence of the Delta, Omicron and BA.2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Due to a combination of previously mandated state and local “shelter-in-place” orders, as well as government stimulus packages, persisting social distancing measures and varying roll-outs of vaccinations by state, the Company at times experienced lower than normal donor collections at its FDA approved plasma collection centers </w:t>
      </w:r>
      <w:r>
        <w:rPr>
          <w:rFonts w:ascii="Times New Roman" w:hAnsi="Times New Roman"/>
          <w:b w:val="false"/>
          <w:i w:val="false"/>
          <w:caps w:val="false"/>
          <w:smallCaps w:val="false"/>
          <w:color w:val="000000"/>
          <w:spacing w:val="0"/>
          <w:sz w:val="20"/>
        </w:rPr>
        <w:t>during 2021 and part of 2022. From time to time during 2021 and 2022, t</w:t>
      </w:r>
      <w:r>
        <w:rPr>
          <w:rFonts w:ascii="Times New Roman" w:hAnsi="Times New Roman"/>
          <w:caps w:val="false"/>
          <w:smallCaps w:val="false"/>
          <w:color w:val="000000"/>
          <w:sz w:val="20"/>
        </w:rPr>
        <w: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has been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previously impacted, to a certain degree, the Company’s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the Company’s ability to communicate with potential customers.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pandemic could also impact the Company’s ability to interact with the FDA or other regulatory authorities and could result in delays in the conduct of inspections or review of pending applications or submissions. Although the Company has received FDA approvals for five of its plasma collection centers since January 1, 2022 and</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received several other FDA approvals while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three months ended March 31, 2023 and 2022, revenue attributable to international customers was approximately 7% and 6%, respectively, of the Company’s total revenues. As the Company seeks to grow this aspect of its business, it may also be subject to the impacts of the COVID-19 pandemic in locations outside the United States.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Although the COVID-19 pandemic has not, to date, materially adversely impacted the Company’s capital and financial resources, because the Company is unable to determine the ultimate severity or duration of the COVID-19 pandemic or other pandemics or their long-term effects on, among other things, the global, national or local economies, the capital and credit markets or the Company’s workforce, customers or our suppliers, at this time the Company is unable to predict whether COVID-19 or other pandemics will have a material adverse impact on the Company’s business, financial condition, liquidity or results of operations.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Vendor Commitments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On June 6, 2017, the Company and BPC entered into a Plasma Purchase Agreement (the “2017 Plasma Purchase Agreement”), pursuant to which ADMA BioManufacturing purchases normal source plasma (“NSP”) from BPC at agreed upon annual quantities and prices.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Effective as of May 12, 2021, the Company and Grifols amended the foregoing 2017 Plasma Purchase Agreement whereby, among other things, the term of the agreement was extended through December 31, 2022, however Grifols’ commitment to supply the Company with NSP under this agreement was not satisfied until March of 2023. In order to maintain a reliable supply of raw material plasma thereafter, the Company has executed additional agreements with multiple third-party suppliers of NSP to supplement the 2017 Plasma Purchase Agreement. The Company has also increased its number of planned plasma collection center buildouts such that the Company expects to have ten FDA-approved plasma collection centers in operation by the end of 2023, while also continuing to increase its plasma collection capabilities at its ADMA BioCenters plasma collection centers business segment.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b w:val="false"/>
          <w:i w:val="false"/>
          <w:caps w:val="false"/>
          <w:smallCaps w:val="false"/>
          <w:color w:val="000000"/>
          <w:spacing w:val="0"/>
          <w:sz w:val="20"/>
        </w:rPr>
        <w:t>Through December 31, 2022, the</w:t>
      </w:r>
      <w:r>
        <w:rPr>
          <w:rFonts w:ascii="Times New Roman" w:hAnsi="Times New Roman"/>
          <w:caps w:val="false"/>
          <w:smallCaps w:val="false"/>
          <w:color w:val="000000"/>
          <w:sz w:val="20"/>
        </w:rPr>
        <w:t xml:space="preserve"> Company purchased substantially all of its raw material plasma from Grifols. For the three months ended March 31, 2023, plasma purchases from Grifols totaled $11.6 million, or approximately 40% of the Company’s total inventory purchases. For the three months ended March 31, 2022, plasma purchases from Grifols totaled approximately $15.5 million, representing approximately 75% of the Company’s total inventory purchases.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Post-Marketing Commitments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w:t>
      </w:r>
      <w:r>
        <w:rPr>
          <w:rFonts w:ascii="Times New Roman" w:hAnsi="Times New Roman"/>
          <w:b w:val="false"/>
          <w:i w:val="false"/>
          <w:caps w:val="false"/>
          <w:smallCaps w:val="false"/>
          <w:color w:val="000000"/>
          <w:spacing w:val="0"/>
          <w:sz w:val="20"/>
          <w:shd w:fill="FFFFFF" w:val="clear"/>
        </w:rPr>
        <w:t>The pediatric study for BIVIGAM has been completed, and the safety study has been completed pending a clinical study report to the FDA</w:t>
      </w:r>
      <w:r>
        <w:rPr>
          <w:rFonts w:ascii="Times New Roman" w:hAnsi="Times New Roman"/>
          <w:b w:val="false"/>
          <w:i w:val="false"/>
          <w:caps w:val="false"/>
          <w:smallCaps w:val="false"/>
          <w:color w:val="000000"/>
          <w:sz w:val="20"/>
          <w:shd w:fill="FFFFFF" w:val="clear"/>
        </w:rPr>
        <w:t>. ADMA has assumed the remaining obligations, and the costs of the studies will be expensed as incurred as research and development expenses. For the three months ended March 31, 2023 and 2022, the Company incurred expenses related to these studies of $0.4 million. The Company currently expects to incur expenses of  approximately $1.5 million to $2.0 million to complete the safety study, which is required to be completed by June of 2023.</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connection with the FDA’s approval of ASCENIV on April 1, 2019, the Company is required to perform a pediatric study to evaluate the safety and efficacy of ASCENIV in children and adolescents. For the three months ended March 31, 2023 and 2022, the Company incurred expenses related to these studies in the amount of $0.2 million and $0.1 million, respectively. The Company expects to incur expenses of approximately $1.5 million to complete this study, which is currently required to be completed by June of 2023. </w:t>
      </w:r>
      <w:r>
        <w:rPr>
          <w:rFonts w:ascii="Times New Roman" w:hAnsi="Times New Roman"/>
          <w:b w:val="false"/>
          <w:i w:val="false"/>
          <w:caps w:val="false"/>
          <w:smallCaps w:val="false"/>
          <w:color w:val="000000"/>
          <w:spacing w:val="0"/>
          <w:sz w:val="20"/>
          <w:shd w:fill="FFFFFF" w:val="clear"/>
        </w:rPr>
        <w:t>The Company has submitted an extension request to the FDA.</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Employment Contracts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has entered into employment agreements with Mr. Grossman and with Brian Lenz, its Executive Vice President, Chief Financial Officer and General Manager, ADMA BioCenters.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rFonts w:ascii="Times New Roman" w:hAnsi="Times New Roman"/>
          <w:i/>
          <w:caps w:val="false"/>
          <w:smallCaps w:val="false"/>
          <w:color w:val="000000"/>
          <w:sz w:val="20"/>
          <w:u w:val="single"/>
        </w:rPr>
      </w:pPr>
      <w:r>
        <w:rPr>
          <w:rFonts w:ascii="Times New Roman" w:hAnsi="Times New Roman"/>
          <w:i/>
          <w:caps w:val="false"/>
          <w:smallCaps w:val="false"/>
          <w:color w:val="000000"/>
          <w:sz w:val="20"/>
          <w:u w:val="single"/>
        </w:rPr>
        <w:t>Other Commitments</w:t>
      </w:r>
    </w:p>
    <w:p>
      <w:pPr>
        <w:pStyle w:val="TextBody"/>
        <w:bidi w:val="0"/>
        <w:spacing w:before="0" w:after="0"/>
        <w:jc w:val="left"/>
        <w:rPr>
          <w:rFonts w:ascii="Times New Roman" w:hAnsi="Times New Roman"/>
          <w:i/>
          <w:caps w:val="false"/>
          <w:smallCaps w:val="false"/>
          <w:sz w:val="20"/>
          <w:u w:val="single"/>
        </w:rPr>
      </w:pPr>
      <w:r>
        <w:rPr>
          <w:rFonts w:ascii="Times New Roman" w:hAnsi="Times New Roman"/>
          <w:i/>
          <w:caps w:val="false"/>
          <w:smallCaps w:val="false"/>
          <w:sz w:val="20"/>
          <w:u w:val="single"/>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2023. The Company does not anticipate recognizing any significant losses relating to these arrangements.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111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SEGMENTS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aps w:val="false"/>
          <w:smallCaps w:val="false"/>
          <w:color w:val="000000"/>
          <w:sz w:val="20"/>
        </w:rPr>
        <w:t>The Company is engaged in the manufacture, marketing and development of specialty plasma-derived biologics. The Company’s ADMA BioManufacturing segment reflects the Company’s immunoglobulin manufacturing, commercial and development operations in Boca Raton, FL.  The Plasma Collection Centers segment consists of ten operational plasma collection facilities located throughout the U.S., eight of which currently hold FDA licenses.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r>
        <w:rPr>
          <w:rFonts w:ascii="Times New Roman" w:hAnsi="Times New Roman"/>
          <w:color w:val="000000"/>
          <w:sz w:val="20"/>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9534" w:type="dxa"/>
        <w:jc w:val="left"/>
        <w:tblInd w:w="0" w:type="dxa"/>
        <w:tblLayout w:type="fixed"/>
        <w:tblCellMar>
          <w:top w:w="0" w:type="dxa"/>
          <w:left w:w="0" w:type="dxa"/>
          <w:bottom w:w="28" w:type="dxa"/>
          <w:right w:w="0" w:type="dxa"/>
        </w:tblCellMar>
      </w:tblPr>
      <w:tblGrid>
        <w:gridCol w:w="3215"/>
        <w:gridCol w:w="60"/>
        <w:gridCol w:w="168"/>
        <w:gridCol w:w="1427"/>
        <w:gridCol w:w="80"/>
        <w:gridCol w:w="60"/>
        <w:gridCol w:w="207"/>
        <w:gridCol w:w="1627"/>
        <w:gridCol w:w="80"/>
        <w:gridCol w:w="60"/>
        <w:gridCol w:w="125"/>
        <w:gridCol w:w="1010"/>
        <w:gridCol w:w="80"/>
        <w:gridCol w:w="60"/>
        <w:gridCol w:w="125"/>
        <w:gridCol w:w="1055"/>
        <w:gridCol w:w="95"/>
      </w:tblGrid>
      <w:tr>
        <w:trPr/>
        <w:tc>
          <w:tcPr>
            <w:tcW w:w="9439" w:type="dxa"/>
            <w:gridSpan w:val="16"/>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Three Months Ended March 31, 2023</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center"/>
              <w:rPr/>
            </w:pPr>
            <w:r>
              <w:rPr/>
              <w:t> </w:t>
            </w:r>
          </w:p>
        </w:tc>
        <w:tc>
          <w:tcPr>
            <w:tcW w:w="1595" w:type="dxa"/>
            <w:gridSpan w:val="2"/>
            <w:tcBorders/>
            <w:tcMar>
              <w:bottom w:w="0" w:type="dxa"/>
            </w:tcMar>
            <w:vAlign w:val="bottom"/>
          </w:tcPr>
          <w:p>
            <w:pPr>
              <w:pStyle w:val="TableContents"/>
              <w:bidi w:val="0"/>
              <w:spacing w:before="0" w:after="283"/>
              <w:jc w:val="center"/>
              <w:rPr>
                <w:b/>
              </w:rPr>
            </w:pPr>
            <w:r>
              <w:rPr>
                <w:b/>
              </w:rPr>
              <w:t>ADMA</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center"/>
              <w:rPr/>
            </w:pPr>
            <w:r>
              <w:rPr/>
              <w:t> </w:t>
            </w:r>
          </w:p>
        </w:tc>
        <w:tc>
          <w:tcPr>
            <w:tcW w:w="1834" w:type="dxa"/>
            <w:gridSpan w:val="2"/>
            <w:tcBorders/>
            <w:tcMar>
              <w:bottom w:w="0" w:type="dxa"/>
            </w:tcMar>
            <w:vAlign w:val="bottom"/>
          </w:tcPr>
          <w:p>
            <w:pPr>
              <w:pStyle w:val="TableContents"/>
              <w:bidi w:val="0"/>
              <w:spacing w:before="0" w:after="283"/>
              <w:jc w:val="center"/>
              <w:rPr>
                <w:b/>
              </w:rPr>
            </w:pPr>
            <w:r>
              <w:rPr>
                <w:b/>
              </w:rPr>
              <w:t>Plasma Collection</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35" w:type="dxa"/>
            <w:gridSpan w:val="2"/>
            <w:tcBorders/>
            <w:tcMar>
              <w:bottom w:w="0" w:type="dxa"/>
            </w:tcMar>
            <w:vAlign w:val="bottom"/>
          </w:tcPr>
          <w:p>
            <w:pPr>
              <w:pStyle w:val="TableContents"/>
              <w:bidi w:val="0"/>
              <w:spacing w:before="0" w:after="283"/>
              <w:jc w:val="lef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pPr>
            <w:r>
              <w:rPr/>
              <w:t> </w:t>
            </w:r>
          </w:p>
        </w:tc>
        <w:tc>
          <w:tcPr>
            <w:tcW w:w="1595"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BioManufacturing</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34"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Centers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35"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Corporate</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Consolidated</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595"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834"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135"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180"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Revenues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49,576,935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6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7,300,891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35,708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56,913,534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07"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Cost of product revenue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33,933,782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6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6,466,762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40,400,544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07"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Income (loss) from operations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5,476,441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6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(946,334</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(5,343,425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(813,318</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07"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Interest and other expense, net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(23,779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6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(227</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(5,951,491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(5,975,497</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07"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Net income (loss)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5,452,662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6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(946,561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(11,294,916</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(6,788,815</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07"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283"/>
              <w:jc w:val="left"/>
              <w:rPr/>
            </w:pPr>
            <w:r>
              <w:rPr/>
              <w:t xml:space="preserve">Capital expenditures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283"/>
              <w:jc w:val="right"/>
              <w:rPr/>
            </w:pPr>
            <w:r>
              <w:rPr/>
              <w:t>452,032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627" w:type="dxa"/>
            <w:tcBorders/>
            <w:shd w:fill="CCEEFF" w:val="clear"/>
            <w:tcMar>
              <w:bottom w:w="0" w:type="dxa"/>
            </w:tcMar>
            <w:vAlign w:val="bottom"/>
          </w:tcPr>
          <w:p>
            <w:pPr>
              <w:pStyle w:val="TableContents"/>
              <w:bidi w:val="0"/>
              <w:spacing w:before="0" w:after="283"/>
              <w:jc w:val="right"/>
              <w:rPr/>
            </w:pPr>
            <w:r>
              <w:rPr/>
              <w:t>1,492,564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283"/>
              <w:jc w:val="right"/>
              <w:rPr/>
            </w:pPr>
            <w:r>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283"/>
              <w:jc w:val="right"/>
              <w:rPr/>
            </w:pPr>
            <w:r>
              <w:rPr/>
              <w:t>1,944,596</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Depreciation and amortization expense</w:t>
            </w:r>
          </w:p>
        </w:tc>
        <w:tc>
          <w:tcPr>
            <w:tcW w:w="60" w:type="dxa"/>
            <w:tcBorders/>
            <w:tcMar>
              <w:bottom w:w="0" w:type="dxa"/>
            </w:tcMar>
            <w:vAlign w:val="bottom"/>
          </w:tcPr>
          <w:p>
            <w:pPr>
              <w:pStyle w:val="TableContents"/>
              <w:bidi w:val="0"/>
              <w:spacing w:before="0" w:after="283"/>
              <w:jc w:val="right"/>
              <w:rPr/>
            </w:pPr>
            <w:r>
              <w:rPr/>
              <w:t> </w:t>
            </w:r>
          </w:p>
        </w:tc>
        <w:tc>
          <w:tcPr>
            <w:tcW w:w="168" w:type="dxa"/>
            <w:tcBorders/>
            <w:tcMar>
              <w:bottom w:w="0" w:type="dxa"/>
            </w:tcMar>
            <w:vAlign w:val="bottom"/>
          </w:tcPr>
          <w:p>
            <w:pPr>
              <w:pStyle w:val="TableContents"/>
              <w:bidi w:val="0"/>
              <w:spacing w:before="0" w:after="283"/>
              <w:jc w:val="left"/>
              <w:rPr/>
            </w:pPr>
            <w:r>
              <w:rPr/>
              <w:t> </w:t>
            </w:r>
          </w:p>
        </w:tc>
        <w:tc>
          <w:tcPr>
            <w:tcW w:w="1427"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1,292,608</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7" w:type="dxa"/>
            <w:tcBorders/>
            <w:tcMar>
              <w:bottom w:w="0" w:type="dxa"/>
            </w:tcMar>
            <w:vAlign w:val="bottom"/>
          </w:tcPr>
          <w:p>
            <w:pPr>
              <w:pStyle w:val="TableContents"/>
              <w:bidi w:val="0"/>
              <w:spacing w:before="0" w:after="283"/>
              <w:jc w:val="left"/>
              <w:rPr/>
            </w:pPr>
            <w:r>
              <w:rPr/>
              <w:t> </w:t>
            </w:r>
          </w:p>
        </w:tc>
        <w:tc>
          <w:tcPr>
            <w:tcW w:w="1627"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740,357</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2,032,965</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assets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234,894,891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6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38,853,662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67,038,989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340,787,542</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9594" w:type="dxa"/>
        <w:jc w:val="left"/>
        <w:tblInd w:w="0" w:type="dxa"/>
        <w:tblLayout w:type="fixed"/>
        <w:tblCellMar>
          <w:top w:w="0" w:type="dxa"/>
          <w:left w:w="0" w:type="dxa"/>
          <w:bottom w:w="28" w:type="dxa"/>
          <w:right w:w="0" w:type="dxa"/>
        </w:tblCellMar>
      </w:tblPr>
      <w:tblGrid>
        <w:gridCol w:w="3215"/>
        <w:gridCol w:w="60"/>
        <w:gridCol w:w="168"/>
        <w:gridCol w:w="1427"/>
        <w:gridCol w:w="80"/>
        <w:gridCol w:w="60"/>
        <w:gridCol w:w="214"/>
        <w:gridCol w:w="1680"/>
        <w:gridCol w:w="80"/>
        <w:gridCol w:w="60"/>
        <w:gridCol w:w="125"/>
        <w:gridCol w:w="1010"/>
        <w:gridCol w:w="80"/>
        <w:gridCol w:w="60"/>
        <w:gridCol w:w="125"/>
        <w:gridCol w:w="1055"/>
        <w:gridCol w:w="95"/>
      </w:tblGrid>
      <w:tr>
        <w:trPr/>
        <w:tc>
          <w:tcPr>
            <w:tcW w:w="9499" w:type="dxa"/>
            <w:gridSpan w:val="16"/>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Three Months Ended March 31, 2022</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center"/>
              <w:rPr/>
            </w:pPr>
            <w:r>
              <w:rPr/>
              <w:t> </w:t>
            </w:r>
          </w:p>
        </w:tc>
        <w:tc>
          <w:tcPr>
            <w:tcW w:w="1595" w:type="dxa"/>
            <w:gridSpan w:val="2"/>
            <w:tcBorders/>
            <w:tcMar>
              <w:bottom w:w="0" w:type="dxa"/>
            </w:tcMar>
            <w:vAlign w:val="bottom"/>
          </w:tcPr>
          <w:p>
            <w:pPr>
              <w:pStyle w:val="TableContents"/>
              <w:bidi w:val="0"/>
              <w:spacing w:before="0" w:after="283"/>
              <w:jc w:val="center"/>
              <w:rPr>
                <w:b/>
              </w:rPr>
            </w:pPr>
            <w:r>
              <w:rPr>
                <w:b/>
              </w:rPr>
              <w:t xml:space="preserve">ADMA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center"/>
              <w:rPr/>
            </w:pPr>
            <w:r>
              <w:rPr/>
              <w:t> </w:t>
            </w:r>
          </w:p>
        </w:tc>
        <w:tc>
          <w:tcPr>
            <w:tcW w:w="1894" w:type="dxa"/>
            <w:gridSpan w:val="2"/>
            <w:tcBorders/>
            <w:tcMar>
              <w:bottom w:w="0" w:type="dxa"/>
            </w:tcMar>
            <w:vAlign w:val="bottom"/>
          </w:tcPr>
          <w:p>
            <w:pPr>
              <w:pStyle w:val="TableContents"/>
              <w:bidi w:val="0"/>
              <w:spacing w:before="0" w:after="283"/>
              <w:jc w:val="center"/>
              <w:rPr>
                <w:b/>
              </w:rPr>
            </w:pPr>
            <w:r>
              <w:rPr>
                <w:b/>
              </w:rPr>
              <w:t xml:space="preserve">Plasma Collection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35" w:type="dxa"/>
            <w:gridSpan w:val="2"/>
            <w:tcBorders/>
            <w:tcMar>
              <w:bottom w:w="0" w:type="dxa"/>
            </w:tcMar>
            <w:vAlign w:val="bottom"/>
          </w:tcPr>
          <w:p>
            <w:pPr>
              <w:pStyle w:val="TableContents"/>
              <w:bidi w:val="0"/>
              <w:spacing w:before="0" w:after="283"/>
              <w:jc w:val="lef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pPr>
            <w:r>
              <w:rPr/>
              <w:t> </w:t>
            </w:r>
          </w:p>
        </w:tc>
        <w:tc>
          <w:tcPr>
            <w:tcW w:w="1595"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BioManufacturing</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94"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Centers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35"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Corporate</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Consolidated</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595"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894"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135"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180" w:type="dxa"/>
            <w:gridSpan w:val="2"/>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Revenues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25,728,625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68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3,338,760</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35,708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29,103,093</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14"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8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Cost of product revenue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22,213,781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283"/>
              <w:jc w:val="left"/>
              <w:rPr/>
            </w:pPr>
            <w:r>
              <w:rPr/>
              <w:t> </w:t>
            </w:r>
          </w:p>
        </w:tc>
        <w:tc>
          <w:tcPr>
            <w:tcW w:w="168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3,227,265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25,441,046</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14"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8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Loss from operations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(4,442,684</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283"/>
              <w:jc w:val="left"/>
              <w:rPr/>
            </w:pPr>
            <w:r>
              <w:rPr/>
              <w:t> </w:t>
            </w:r>
          </w:p>
        </w:tc>
        <w:tc>
          <w:tcPr>
            <w:tcW w:w="168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(3,863,094</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(6,509,288</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(14,815,066</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14"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8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Interest and other expense, net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(49,267</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283"/>
              <w:jc w:val="left"/>
              <w:rPr/>
            </w:pPr>
            <w:r>
              <w:rPr/>
              <w:t> </w:t>
            </w:r>
          </w:p>
        </w:tc>
        <w:tc>
          <w:tcPr>
            <w:tcW w:w="168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(729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(3,472,854</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(3,522,850</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8" w:type="dxa"/>
            <w:tcBorders/>
            <w:tcMar>
              <w:bottom w:w="0" w:type="dxa"/>
            </w:tcMar>
            <w:vAlign w:val="bottom"/>
          </w:tcPr>
          <w:p>
            <w:pPr>
              <w:pStyle w:val="TableContents"/>
              <w:bidi w:val="0"/>
              <w:spacing w:before="0" w:after="283"/>
              <w:jc w:val="left"/>
              <w:rPr/>
            </w:pPr>
            <w:r>
              <w:rPr/>
              <w:t> </w:t>
            </w:r>
          </w:p>
        </w:tc>
        <w:tc>
          <w:tcPr>
            <w:tcW w:w="1427"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14" w:type="dxa"/>
            <w:tcBorders/>
            <w:tcMar>
              <w:bottom w:w="0" w:type="dxa"/>
            </w:tcMar>
            <w:vAlign w:val="bottom"/>
          </w:tcPr>
          <w:p>
            <w:pPr>
              <w:pStyle w:val="TableContents"/>
              <w:bidi w:val="0"/>
              <w:spacing w:before="0" w:after="283"/>
              <w:jc w:val="left"/>
              <w:rPr/>
            </w:pPr>
            <w:r>
              <w:rPr/>
              <w:t> </w:t>
            </w:r>
          </w:p>
        </w:tc>
        <w:tc>
          <w:tcPr>
            <w:tcW w:w="1680"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shd w:fill="CCEEFF" w:val="clear"/>
            <w:tcMar>
              <w:bottom w:w="0" w:type="dxa"/>
            </w:tcMar>
            <w:vAlign w:val="bottom"/>
          </w:tcPr>
          <w:p>
            <w:pPr>
              <w:pStyle w:val="TableContents"/>
              <w:bidi w:val="0"/>
              <w:spacing w:before="0" w:after="283"/>
              <w:jc w:val="left"/>
              <w:rPr>
                <w:rFonts w:ascii="Times New Roman" w:hAnsi="Times New Roman"/>
                <w:caps w:val="false"/>
                <w:smallCaps w:val="false"/>
                <w:sz w:val="20"/>
              </w:rPr>
            </w:pPr>
            <w:r>
              <w:rPr>
                <w:rFonts w:ascii="Times New Roman" w:hAnsi="Times New Roman"/>
                <w:caps w:val="false"/>
                <w:smallCaps w:val="false"/>
                <w:sz w:val="20"/>
              </w:rPr>
              <w:t>Loss on extinguishment of debt</w:t>
            </w:r>
          </w:p>
        </w:tc>
        <w:tc>
          <w:tcPr>
            <w:tcW w:w="60" w:type="dxa"/>
            <w:tcBorders/>
            <w:shd w:fill="CCEEFF" w:val="clear"/>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shd w:fill="CCEEFF" w:val="clear"/>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shd w:fill="CCEEFF" w:val="clear"/>
            <w:tcMar>
              <w:bottom w:w="0" w:type="dxa"/>
            </w:tcMar>
            <w:vAlign w:val="bottom"/>
          </w:tcPr>
          <w:p>
            <w:pPr>
              <w:pStyle w:val="TableContents"/>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14" w:type="dxa"/>
            <w:tcBorders/>
            <w:shd w:fill="CCEEFF" w:val="clear"/>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tcMar>
              <w:bottom w:w="0" w:type="dxa"/>
            </w:tcMar>
            <w:vAlign w:val="bottom"/>
          </w:tcPr>
          <w:p>
            <w:pPr>
              <w:pStyle w:val="TableContents"/>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bottom"/>
          </w:tcPr>
          <w:p>
            <w:pPr>
              <w:pStyle w:val="TableContents"/>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(6,669,941</w:t>
            </w:r>
          </w:p>
        </w:tc>
        <w:tc>
          <w:tcPr>
            <w:tcW w:w="80" w:type="dxa"/>
            <w:tcBorders/>
            <w:shd w:fill="CCEEFF" w:val="clear"/>
            <w:tcMar>
              <w:bottom w:w="0" w:type="dxa"/>
            </w:tcMar>
            <w:vAlign w:val="bottom"/>
          </w:tcPr>
          <w:p>
            <w:pPr>
              <w:pStyle w:val="TableContents"/>
              <w:bidi w:val="0"/>
              <w:spacing w:before="0" w:after="283"/>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bottom"/>
          </w:tcPr>
          <w:p>
            <w:pPr>
              <w:pStyle w:val="TableContents"/>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(6,669,941</w:t>
            </w:r>
          </w:p>
        </w:tc>
        <w:tc>
          <w:tcPr>
            <w:tcW w:w="95" w:type="dxa"/>
            <w:tcBorders/>
            <w:shd w:fill="CCEEFF" w:val="clear"/>
            <w:tcMar>
              <w:bottom w:w="0" w:type="dxa"/>
            </w:tcMar>
            <w:vAlign w:val="bottom"/>
          </w:tcPr>
          <w:p>
            <w:pPr>
              <w:pStyle w:val="TableContents"/>
              <w:bidi w:val="0"/>
              <w:spacing w:before="0" w:after="283"/>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14"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8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Net loss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(4,491,951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283"/>
              <w:jc w:val="left"/>
              <w:rPr/>
            </w:pPr>
            <w:r>
              <w:rPr/>
              <w:t> </w:t>
            </w:r>
          </w:p>
        </w:tc>
        <w:tc>
          <w:tcPr>
            <w:tcW w:w="168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(3,863,823</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(16,652,083</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(25,007,857</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21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68"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427"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214"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68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1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80"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c>
          <w:tcPr>
            <w:tcW w:w="1055" w:type="dxa"/>
            <w:tcBorders/>
            <w:tcMar>
              <w:bottom w:w="0" w:type="dxa"/>
            </w:tcMar>
            <w:vAlign w:val="bottom"/>
          </w:tcPr>
          <w:p>
            <w:pPr>
              <w:pStyle w:val="TableContents"/>
              <w:bidi w:val="0"/>
              <w:spacing w:before="0" w:after="283"/>
              <w:jc w:val="right"/>
              <w:rPr>
                <w:caps w:val="false"/>
                <w:smallCaps w:val="false"/>
              </w:rPr>
            </w:pPr>
            <w:r>
              <w:rPr>
                <w:caps w:val="false"/>
                <w:smallCaps w:val="false"/>
              </w:rPr>
              <w:t> </w:t>
            </w:r>
          </w:p>
        </w:tc>
        <w:tc>
          <w:tcPr>
            <w:tcW w:w="95" w:type="dxa"/>
            <w:tcBorders/>
            <w:tcMar>
              <w:bottom w:w="0" w:type="dxa"/>
            </w:tcMar>
            <w:vAlign w:val="bottom"/>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bottom"/>
          </w:tcPr>
          <w:p>
            <w:pPr>
              <w:pStyle w:val="TableContents"/>
              <w:bidi w:val="0"/>
              <w:spacing w:before="0" w:after="283"/>
              <w:jc w:val="left"/>
              <w:rPr/>
            </w:pPr>
            <w:r>
              <w:rPr/>
              <w:t xml:space="preserve">Capital expenditures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283"/>
              <w:jc w:val="right"/>
              <w:rPr/>
            </w:pPr>
            <w:r>
              <w:rPr/>
              <w:t>1,310,379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283"/>
              <w:jc w:val="left"/>
              <w:rPr/>
            </w:pPr>
            <w:r>
              <w:rPr/>
              <w:t> </w:t>
            </w:r>
          </w:p>
        </w:tc>
        <w:tc>
          <w:tcPr>
            <w:tcW w:w="1680" w:type="dxa"/>
            <w:tcBorders/>
            <w:shd w:fill="CCEEFF" w:val="clear"/>
            <w:tcMar>
              <w:bottom w:w="0" w:type="dxa"/>
            </w:tcMar>
            <w:vAlign w:val="bottom"/>
          </w:tcPr>
          <w:p>
            <w:pPr>
              <w:pStyle w:val="TableContents"/>
              <w:bidi w:val="0"/>
              <w:spacing w:before="0" w:after="283"/>
              <w:jc w:val="right"/>
              <w:rPr/>
            </w:pPr>
            <w:r>
              <w:rPr/>
              <w:t>1,531,706</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283"/>
              <w:jc w:val="right"/>
              <w:rPr/>
            </w:pPr>
            <w:r>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283"/>
              <w:jc w:val="right"/>
              <w:rPr/>
            </w:pPr>
            <w:r>
              <w:rPr/>
              <w:t>2,842,085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215" w:type="dxa"/>
            <w:tcBorders/>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Depreciation and amortization expense</w:t>
            </w:r>
          </w:p>
        </w:tc>
        <w:tc>
          <w:tcPr>
            <w:tcW w:w="60" w:type="dxa"/>
            <w:tcBorders/>
            <w:tcMar>
              <w:bottom w:w="0" w:type="dxa"/>
            </w:tcMar>
            <w:vAlign w:val="bottom"/>
          </w:tcPr>
          <w:p>
            <w:pPr>
              <w:pStyle w:val="TableContents"/>
              <w:bidi w:val="0"/>
              <w:spacing w:before="0" w:after="283"/>
              <w:jc w:val="right"/>
              <w:rPr/>
            </w:pPr>
            <w:r>
              <w:rPr/>
              <w:t> </w:t>
            </w:r>
          </w:p>
        </w:tc>
        <w:tc>
          <w:tcPr>
            <w:tcW w:w="168" w:type="dxa"/>
            <w:tcBorders/>
            <w:tcMar>
              <w:bottom w:w="0" w:type="dxa"/>
            </w:tcMar>
            <w:vAlign w:val="bottom"/>
          </w:tcPr>
          <w:p>
            <w:pPr>
              <w:pStyle w:val="TableContents"/>
              <w:bidi w:val="0"/>
              <w:spacing w:before="0" w:after="283"/>
              <w:jc w:val="left"/>
              <w:rPr/>
            </w:pPr>
            <w:r>
              <w:rPr/>
              <w:t> </w:t>
            </w:r>
          </w:p>
        </w:tc>
        <w:tc>
          <w:tcPr>
            <w:tcW w:w="1427"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1,111,951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14" w:type="dxa"/>
            <w:tcBorders/>
            <w:tcMar>
              <w:bottom w:w="0" w:type="dxa"/>
            </w:tcMar>
            <w:vAlign w:val="bottom"/>
          </w:tcPr>
          <w:p>
            <w:pPr>
              <w:pStyle w:val="TableContents"/>
              <w:bidi w:val="0"/>
              <w:spacing w:before="0" w:after="283"/>
              <w:jc w:val="left"/>
              <w:rPr/>
            </w:pPr>
            <w:r>
              <w:rPr/>
              <w:t> </w:t>
            </w:r>
          </w:p>
        </w:tc>
        <w:tc>
          <w:tcPr>
            <w:tcW w:w="1680"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477,503</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763</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1,590,217</w:t>
            </w:r>
          </w:p>
        </w:tc>
        <w:tc>
          <w:tcPr>
            <w:tcW w:w="95" w:type="dxa"/>
            <w:tcBorders/>
            <w:tcMar>
              <w:bottom w:w="0" w:type="dxa"/>
            </w:tcMar>
            <w:vAlign w:val="bottom"/>
          </w:tcPr>
          <w:p>
            <w:pPr>
              <w:pStyle w:val="TableContents"/>
              <w:bidi w:val="0"/>
              <w:spacing w:before="0" w:after="283"/>
              <w:jc w:val="left"/>
              <w:rPr/>
            </w:pPr>
            <w:r>
              <w:rPr/>
              <w:t> </w:t>
            </w:r>
          </w:p>
        </w:tc>
      </w:tr>
      <w:tr>
        <w:trPr/>
        <w:tc>
          <w:tcPr>
            <w:tcW w:w="3215"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assets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8" w:type="dxa"/>
            <w:tcBorders/>
            <w:shd w:fill="CCEEFF" w:val="clear"/>
            <w:tcMar>
              <w:bottom w:w="0" w:type="dxa"/>
            </w:tcMar>
            <w:vAlign w:val="bottom"/>
          </w:tcPr>
          <w:p>
            <w:pPr>
              <w:pStyle w:val="TableContents"/>
              <w:bidi w:val="0"/>
              <w:spacing w:before="0" w:after="283"/>
              <w:jc w:val="left"/>
              <w:rPr/>
            </w:pPr>
            <w:r>
              <w:rPr/>
              <w:t> </w:t>
            </w:r>
          </w:p>
        </w:tc>
        <w:tc>
          <w:tcPr>
            <w:tcW w:w="1427"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214,150,322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4" w:type="dxa"/>
            <w:tcBorders/>
            <w:shd w:fill="CCEEFF" w:val="clear"/>
            <w:tcMar>
              <w:bottom w:w="0" w:type="dxa"/>
            </w:tcMar>
            <w:vAlign w:val="bottom"/>
          </w:tcPr>
          <w:p>
            <w:pPr>
              <w:pStyle w:val="TableContents"/>
              <w:bidi w:val="0"/>
              <w:spacing w:before="0" w:after="283"/>
              <w:jc w:val="left"/>
              <w:rPr/>
            </w:pPr>
            <w:r>
              <w:rPr/>
              <w:t> </w:t>
            </w:r>
          </w:p>
        </w:tc>
        <w:tc>
          <w:tcPr>
            <w:tcW w:w="168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32,568,911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61,313,259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308,032,492</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p>
      <w:pPr>
        <w:pStyle w:val="TextBody"/>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Net revenues according to geographic area, based on the location of where the product is shipped, is as follows:</w:t>
      </w:r>
    </w:p>
    <w:p>
      <w:pPr>
        <w:pStyle w:val="TextBody"/>
        <w:bidi w:val="0"/>
        <w:spacing w:before="0" w:after="0"/>
        <w:jc w:val="left"/>
        <w:rPr/>
      </w:pPr>
      <w:r>
        <w:rPr/>
      </w:r>
    </w:p>
    <w:tbl>
      <w:tblPr>
        <w:tblW w:w="4042" w:type="dxa"/>
        <w:jc w:val="left"/>
        <w:tblInd w:w="0" w:type="dxa"/>
        <w:tblLayout w:type="fixed"/>
        <w:tblCellMar>
          <w:top w:w="0" w:type="dxa"/>
          <w:left w:w="0" w:type="dxa"/>
          <w:bottom w:w="0" w:type="dxa"/>
          <w:right w:w="0" w:type="dxa"/>
        </w:tblCellMar>
      </w:tblPr>
      <w:tblGrid>
        <w:gridCol w:w="1220"/>
        <w:gridCol w:w="60"/>
        <w:gridCol w:w="148"/>
        <w:gridCol w:w="1132"/>
        <w:gridCol w:w="71"/>
        <w:gridCol w:w="71"/>
        <w:gridCol w:w="148"/>
        <w:gridCol w:w="1132"/>
        <w:gridCol w:w="60"/>
      </w:tblGrid>
      <w:tr>
        <w:trPr/>
        <w:tc>
          <w:tcPr>
            <w:tcW w:w="122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1" w:type="dxa"/>
            <w:tcBorders/>
            <w:vAlign w:val="bottom"/>
          </w:tcPr>
          <w:p>
            <w:pPr>
              <w:pStyle w:val="TableContents"/>
              <w:bidi w:val="0"/>
              <w:spacing w:before="0" w:after="283"/>
              <w:jc w:val="left"/>
              <w:rPr>
                <w:caps w:val="false"/>
                <w:smallCaps w:val="false"/>
              </w:rPr>
            </w:pPr>
            <w:r>
              <w:rPr>
                <w:caps w:val="false"/>
                <w:smallCaps w:val="false"/>
              </w:rPr>
              <w:t> </w:t>
            </w:r>
          </w:p>
        </w:tc>
        <w:tc>
          <w:tcPr>
            <w:tcW w:w="71" w:type="dxa"/>
            <w:tcBorders/>
            <w:vAlign w:val="bottom"/>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3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52,694,723</w:t>
            </w:r>
          </w:p>
        </w:tc>
        <w:tc>
          <w:tcPr>
            <w:tcW w:w="7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3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27,316,151</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48"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1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4,218,811</w:t>
            </w:r>
          </w:p>
        </w:tc>
        <w:tc>
          <w:tcPr>
            <w:tcW w:w="71" w:type="dxa"/>
            <w:tcBorders/>
            <w:vAlign w:val="bottom"/>
          </w:tcPr>
          <w:p>
            <w:pPr>
              <w:pStyle w:val="TableContents"/>
              <w:bidi w:val="0"/>
              <w:spacing w:before="0" w:after="283"/>
              <w:jc w:val="left"/>
              <w:rPr>
                <w:caps w:val="false"/>
                <w:smallCaps w:val="false"/>
              </w:rPr>
            </w:pPr>
            <w:r>
              <w:rPr>
                <w:caps w:val="false"/>
                <w:smallCaps w:val="false"/>
              </w:rPr>
              <w:t> </w:t>
            </w:r>
          </w:p>
        </w:tc>
        <w:tc>
          <w:tcPr>
            <w:tcW w:w="71" w:type="dxa"/>
            <w:tcBorders/>
            <w:vAlign w:val="bottom"/>
          </w:tcPr>
          <w:p>
            <w:pPr>
              <w:pStyle w:val="TableContents"/>
              <w:bidi w:val="0"/>
              <w:spacing w:before="0" w:after="283"/>
              <w:jc w:val="left"/>
              <w:rPr>
                <w:caps w:val="false"/>
                <w:smallCaps w:val="false"/>
              </w:rPr>
            </w:pPr>
            <w:r>
              <w:rPr>
                <w:caps w:val="false"/>
                <w:smallCaps w:val="false"/>
              </w:rPr>
              <w:t> </w:t>
            </w:r>
          </w:p>
        </w:tc>
        <w:tc>
          <w:tcPr>
            <w:tcW w:w="148"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1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1,786,942</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56,913,534</w:t>
            </w:r>
          </w:p>
        </w:tc>
        <w:tc>
          <w:tcPr>
            <w:tcW w:w="7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4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1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29,103,093</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color w:val="000000"/>
        </w:rPr>
      </w:pPr>
      <w:r>
        <w:rPr>
          <w:caps w:val="false"/>
          <w:smallCaps w:val="false"/>
          <w:color w:val="000000"/>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210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LEASE OBLIGATIONS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shd w:fill="FFFFFF" w:val="clear"/>
        </w:rPr>
        <w:t>For all of its leases, the Company has elected and applies the practical expedient available to lessees to combine non-lease components with their related lease components and account for them as a single combined lease component.</w:t>
      </w:r>
      <w:r>
        <w:rPr>
          <w:rFonts w:ascii="Times New Roman" w:hAnsi="Times New Roman"/>
          <w:caps w:val="false"/>
          <w:smallCaps w:val="false"/>
          <w:color w:val="000000"/>
          <w:sz w:val="20"/>
          <w:shd w:fill="FFFFFF" w:val="clear"/>
        </w:rPr>
        <w:t xml:space="preserve"> </w:t>
      </w:r>
      <w:r>
        <w:rPr>
          <w:rFonts w:ascii="Times New Roman" w:hAnsi="Times New Roman"/>
          <w:caps w:val="false"/>
          <w:smallCaps w:val="false"/>
          <w:color w:val="000000"/>
          <w:sz w:val="20"/>
        </w:rPr>
        <w:t xml:space="preserve">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March 31, 2023 and 2022 was approximately $0.6 million and $0.4 million, respectively. Cash paid for the Company’s leases for the three months ended March 31, 2023 and 2022 was approximately $0.6 million and $0.4 million, respectively.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Including a finance lease the Company entered into in June 2018, the Company has aggregate lease liabilities of $11.4 million and $11.6 million as of March 31, 2023 and December 31, 2022,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8.3 years. Scheduled payments under the Company’s lease obligations are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3845" w:type="dxa"/>
        <w:jc w:val="left"/>
        <w:tblInd w:w="0" w:type="dxa"/>
        <w:tblLayout w:type="fixed"/>
        <w:tblCellMar>
          <w:top w:w="0" w:type="dxa"/>
          <w:left w:w="0" w:type="dxa"/>
          <w:bottom w:w="0" w:type="dxa"/>
          <w:right w:w="0" w:type="dxa"/>
        </w:tblCellMar>
      </w:tblPr>
      <w:tblGrid>
        <w:gridCol w:w="2555"/>
        <w:gridCol w:w="60"/>
        <w:gridCol w:w="60"/>
        <w:gridCol w:w="125"/>
        <w:gridCol w:w="950"/>
        <w:gridCol w:w="95"/>
      </w:tblGrid>
      <w:tr>
        <w:trPr/>
        <w:tc>
          <w:tcPr>
            <w:tcW w:w="2555" w:type="dxa"/>
            <w:tcBorders/>
            <w:shd w:fill="CCEEFF" w:val="clear"/>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Remainder of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1,805,644</w:t>
            </w:r>
          </w:p>
        </w:tc>
        <w:tc>
          <w:tcPr>
            <w:tcW w:w="95" w:type="dxa"/>
            <w:tcBorders/>
            <w:shd w:fill="CCEEFF" w:val="clear"/>
            <w:vAlign w:val="bottom"/>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Year ended December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2,343,314</w:t>
            </w:r>
          </w:p>
        </w:tc>
        <w:tc>
          <w:tcPr>
            <w:tcW w:w="95" w:type="dxa"/>
            <w:tcBorders/>
            <w:vAlign w:val="bottom"/>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2,366,432</w:t>
            </w:r>
          </w:p>
        </w:tc>
        <w:tc>
          <w:tcPr>
            <w:tcW w:w="95" w:type="dxa"/>
            <w:tcBorders/>
            <w:shd w:fill="CCEEFF" w:val="clear"/>
            <w:vAlign w:val="bottom"/>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2,116,036</w:t>
            </w:r>
          </w:p>
        </w:tc>
        <w:tc>
          <w:tcPr>
            <w:tcW w:w="95" w:type="dxa"/>
            <w:tcBorders/>
            <w:vAlign w:val="bottom"/>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2,040,690</w:t>
            </w:r>
          </w:p>
        </w:tc>
        <w:tc>
          <w:tcPr>
            <w:tcW w:w="95" w:type="dxa"/>
            <w:tcBorders/>
            <w:shd w:fill="CCEEFF" w:val="clear"/>
            <w:vAlign w:val="bottom"/>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2,087,825</w:t>
            </w:r>
          </w:p>
        </w:tc>
        <w:tc>
          <w:tcPr>
            <w:tcW w:w="95" w:type="dxa"/>
            <w:tcBorders/>
            <w:vAlign w:val="bottom"/>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44" w:right="0" w:hanging="144"/>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Thereafter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6,150,746</w:t>
            </w:r>
          </w:p>
        </w:tc>
        <w:tc>
          <w:tcPr>
            <w:tcW w:w="95" w:type="dxa"/>
            <w:tcBorders/>
            <w:shd w:fill="CCEEFF" w:val="clear"/>
            <w:vAlign w:val="bottom"/>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144" w:right="0" w:hanging="144"/>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Total payments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18,910,687</w:t>
            </w:r>
          </w:p>
        </w:tc>
        <w:tc>
          <w:tcPr>
            <w:tcW w:w="95" w:type="dxa"/>
            <w:tcBorders/>
            <w:vAlign w:val="bottom"/>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44" w:right="0" w:hanging="144"/>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Less: imputed interest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(7,486,533</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555" w:type="dxa"/>
            <w:tcBorders/>
            <w:vAlign w:val="center"/>
          </w:tcPr>
          <w:p>
            <w:pPr>
              <w:pStyle w:val="TableContents"/>
              <w:bidi w:val="0"/>
              <w:spacing w:before="0" w:after="0"/>
              <w:ind w:left="144" w:right="0" w:hanging="144"/>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Current portion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(956,045</w:t>
            </w:r>
          </w:p>
        </w:tc>
        <w:tc>
          <w:tcPr>
            <w:tcW w:w="95" w:type="dxa"/>
            <w:tcBorders/>
            <w:vAlign w:val="bottom"/>
          </w:tcPr>
          <w:p>
            <w:pPr>
              <w:pStyle w:val="TableContents"/>
              <w:bidi w:val="0"/>
              <w:spacing w:before="0" w:after="0"/>
              <w:jc w:val="left"/>
              <w:rPr>
                <w:color w:val="000000"/>
              </w:rPr>
            </w:pPr>
            <w:r>
              <w:rPr>
                <w:color w:val="000000"/>
              </w:rPr>
              <w:t>)</w:t>
            </w:r>
          </w:p>
        </w:tc>
      </w:tr>
      <w:tr>
        <w:trPr/>
        <w:tc>
          <w:tcPr>
            <w:tcW w:w="2555" w:type="dxa"/>
            <w:tcBorders/>
            <w:shd w:fill="CCEEFF" w:val="clear"/>
            <w:vAlign w:val="center"/>
          </w:tcPr>
          <w:p>
            <w:pPr>
              <w:pStyle w:val="TableContents"/>
              <w:bidi w:val="0"/>
              <w:spacing w:before="0" w:after="0"/>
              <w:ind w:left="144"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Balance at March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10,468,109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220" w:type="dxa"/>
        <w:jc w:val="left"/>
        <w:tblInd w:w="0" w:type="dxa"/>
        <w:tblLayout w:type="fixed"/>
        <w:tblCellMar>
          <w:top w:w="0" w:type="dxa"/>
          <w:left w:w="0" w:type="dxa"/>
          <w:bottom w:w="0" w:type="dxa"/>
          <w:right w:w="0" w:type="dxa"/>
        </w:tblCellMar>
      </w:tblPr>
      <w:tblGrid>
        <w:gridCol w:w="290"/>
        <w:gridCol w:w="5930"/>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13.</w:t>
            </w:r>
          </w:p>
        </w:tc>
        <w:tc>
          <w:tcPr>
            <w:tcW w:w="593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SUPPLEMENTAL DISCLOSURE OF CASH FLOW INFORMATION</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Supplemental cash flow information for the three months ended March 31, 2023 and 2022 is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ADMA BIOLOGICS, INC. AND SUBSIDIARIES</w:t>
      </w:r>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(UNAUDITED) CONDENSED CONSOLIDATED FINANCIAL STATEMENTS</w:t>
      </w:r>
    </w:p>
    <w:tbl>
      <w:tblPr>
        <w:tblW w:w="8305" w:type="dxa"/>
        <w:jc w:val="left"/>
        <w:tblInd w:w="0" w:type="dxa"/>
        <w:tblLayout w:type="fixed"/>
        <w:tblCellMar>
          <w:top w:w="0" w:type="dxa"/>
          <w:left w:w="0" w:type="dxa"/>
          <w:bottom w:w="0" w:type="dxa"/>
          <w:right w:w="0" w:type="dxa"/>
        </w:tblCellMar>
      </w:tblPr>
      <w:tblGrid>
        <w:gridCol w:w="5945"/>
        <w:gridCol w:w="60"/>
        <w:gridCol w:w="140"/>
        <w:gridCol w:w="845"/>
        <w:gridCol w:w="60"/>
        <w:gridCol w:w="60"/>
        <w:gridCol w:w="140"/>
        <w:gridCol w:w="980"/>
        <w:gridCol w:w="75"/>
      </w:tblGrid>
      <w:tr>
        <w:trPr/>
        <w:tc>
          <w:tcPr>
            <w:tcW w:w="594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75" w:type="dxa"/>
            <w:tcBorders/>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144" w:right="0" w:hanging="144"/>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985" w:type="dxa"/>
            <w:gridSpan w:val="2"/>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120" w:type="dxa"/>
            <w:gridSpan w:val="2"/>
            <w:tcBorders/>
            <w:vAlign w:val="bottom"/>
          </w:tcPr>
          <w:p>
            <w:pPr>
              <w:pStyle w:val="TableContents"/>
              <w:bidi w:val="0"/>
              <w:spacing w:before="0" w:after="283"/>
              <w:jc w:val="left"/>
              <w:rPr>
                <w:caps w:val="false"/>
                <w:smallCaps w:val="false"/>
              </w:rPr>
            </w:pPr>
            <w:r>
              <w:rPr>
                <w:caps w:val="false"/>
                <w:smallCaps w:val="false"/>
              </w:rPr>
              <w:t>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4,639,283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2,525,987</w:t>
            </w:r>
          </w:p>
        </w:tc>
        <w:tc>
          <w:tcPr>
            <w:tcW w:w="7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144" w:right="0" w:hanging="144"/>
              <w:jc w:val="left"/>
              <w:rPr>
                <w:rFonts w:ascii="Times New Roman" w:hAnsi="Times New Roman"/>
                <w:b/>
                <w:caps w:val="false"/>
                <w:smallCaps w:val="false"/>
                <w:sz w:val="20"/>
              </w:rPr>
            </w:pPr>
            <w:r>
              <w:rPr>
                <w:rFonts w:ascii="Times New Roman" w:hAnsi="Times New Roman"/>
                <w:b/>
                <w:caps w:val="false"/>
                <w:smallCaps w:val="false"/>
                <w:sz w:val="20"/>
              </w:rPr>
              <w:t>Noncash Financing and Investing Activities:</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40" w:type="dxa"/>
            <w:tcBorders/>
            <w:vAlign w:val="bottom"/>
          </w:tcPr>
          <w:p>
            <w:pPr>
              <w:pStyle w:val="TableContents"/>
              <w:bidi w:val="0"/>
              <w:spacing w:before="0" w:after="283"/>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righ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40" w:type="dxa"/>
            <w:tcBorders/>
            <w:vAlign w:val="bottom"/>
          </w:tcPr>
          <w:p>
            <w:pPr>
              <w:pStyle w:val="TableContents"/>
              <w:bidi w:val="0"/>
              <w:spacing w:before="0" w:after="283"/>
              <w:jc w:val="left"/>
              <w:rPr>
                <w:caps w:val="false"/>
                <w:smallCaps w:val="false"/>
              </w:rPr>
            </w:pPr>
            <w:r>
              <w:rPr>
                <w:caps w:val="false"/>
                <w:smallCaps w:val="false"/>
              </w:rPr>
              <w:t> </w:t>
            </w:r>
          </w:p>
        </w:tc>
        <w:tc>
          <w:tcPr>
            <w:tcW w:w="980" w:type="dxa"/>
            <w:tcBorders/>
            <w:vAlign w:val="bottom"/>
          </w:tcPr>
          <w:p>
            <w:pPr>
              <w:pStyle w:val="TableContents"/>
              <w:bidi w:val="0"/>
              <w:spacing w:before="0" w:after="283"/>
              <w:jc w:val="right"/>
              <w:rPr>
                <w:caps w:val="false"/>
                <w:smallCaps w:val="false"/>
              </w:rPr>
            </w:pPr>
            <w:r>
              <w:rPr>
                <w:caps w:val="false"/>
                <w:smallCaps w:val="false"/>
              </w:rPr>
              <w:t>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sz w:val="20"/>
              </w:rPr>
            </w:pPr>
            <w:r>
              <w:rPr>
                <w:rFonts w:ascii="Times New Roman" w:hAnsi="Times New Roman"/>
                <w:caps w:val="false"/>
                <w:smallCaps w:val="false"/>
                <w:sz w:val="20"/>
              </w:rPr>
              <w:t>Equipment acquired reflected in accounts payable and accrued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530,434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1,940,425</w:t>
            </w:r>
          </w:p>
        </w:tc>
        <w:tc>
          <w:tcPr>
            <w:tcW w:w="7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180" w:right="0" w:hanging="0"/>
              <w:jc w:val="left"/>
              <w:rPr/>
            </w:pPr>
            <w:r>
              <w:rPr/>
              <w:t>Warrants issued in connection with notes payable</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845" w:type="dxa"/>
            <w:tcBorders>
              <w:bottom w:val="double" w:sz="8"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980" w:type="dxa"/>
            <w:tcBorders>
              <w:bottom w:val="double" w:sz="8" w:space="0" w:color="000000"/>
            </w:tcBorders>
            <w:tcMar>
              <w:bottom w:w="28" w:type="dxa"/>
            </w:tcMar>
            <w:vAlign w:val="bottom"/>
          </w:tcPr>
          <w:p>
            <w:pPr>
              <w:pStyle w:val="TableContents"/>
              <w:bidi w:val="0"/>
              <w:spacing w:before="0" w:after="283"/>
              <w:jc w:val="right"/>
              <w:rPr/>
            </w:pPr>
            <w:r>
              <w:rPr/>
              <w:t>9,569,604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2350" w:type="dxa"/>
        <w:jc w:val="left"/>
        <w:tblInd w:w="0" w:type="dxa"/>
        <w:tblLayout w:type="fixed"/>
        <w:tblCellMar>
          <w:top w:w="0" w:type="dxa"/>
          <w:left w:w="0" w:type="dxa"/>
          <w:bottom w:w="0" w:type="dxa"/>
          <w:right w:w="0" w:type="dxa"/>
        </w:tblCellMar>
      </w:tblPr>
      <w:tblGrid>
        <w:gridCol w:w="290"/>
        <w:gridCol w:w="2060"/>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206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SUBSEQUENT EVENT</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On May 1, 2023, the Company entered into a second amendment (the “Hayfin Second Amendment”) to the Hayfin Credit Agreement (see Note 7) whereby the Applicable Margin for adjusted Term SOFR Loans was reduced from 9.5% to 8.5%. The Hayfin Second Amendment also extended the obligation of the lenders to make the Hayfin Delayed Draw Loan from June 30, 2023 to December 31, 2023. </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Under the terms of the Hayfin Second Amendment, in the event the Company elects to prepay all or any portion of the outstanding principal on the Hayfin Loans, the Company will be subject to an early prepayment fee in the amount equal to (i) 7.0% of the prepaid principal amount, if prepaid on or prior to the first anniversary of the Hayfin Second Amendment, (ii) 3.0% of the prepaid principal amount, if prepaid after the first anniversary of the Hayfin Second Amendment and on or prior to the second anniversary of the Hayfin Second Amendment, or (iii) 1.0% of the prepaid principal amount, if prepaid after the second anniversary of the Hayfin Second Amendment and on or prior to the third anniversary of the Hayfin Second Amendment. In addition, the Hayfin Second Amendment provides for a 50% reduction to the foregoing early prepayment fees if the Hayfin Loans are prepaid in connection with a change in control of the Company or other strategic transactions as further described in the Hayfin Second Amendment.</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In connection with the Hayfin Second Amendment, the Company issued  additional warrants to the lenders to purchase 2,391,244 shares of the Company’s common stock at an exercise price of $3.2619 per share (“the Hayfin Second Amendment Warrants”). The Hayfin Second Amendment Warrants were valued at approximately $5.6 million and have an expiration date of May 1, 2030. </w:t>
      </w:r>
    </w:p>
    <w:p>
      <w:pPr>
        <w:pStyle w:val="TextBody"/>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Normal"/>
        <w:bidi w:val="0"/>
        <w:spacing w:before="0" w:after="0"/>
        <w:jc w:val="left"/>
        <w:rPr>
          <w:sz w:val="4"/>
          <w:szCs w:val="4"/>
        </w:rPr>
      </w:pPr>
      <w:r>
        <w:rPr>
          <w:sz w:val="4"/>
          <w:szCs w:val="4"/>
        </w:rPr>
      </w:r>
      <w:bookmarkStart w:id="6" w:name="ManagementsDiscussionandA"/>
      <w:bookmarkStart w:id="7" w:name="ManagementsDiscussionandA"/>
      <w:bookmarkEnd w:id="7"/>
    </w:p>
    <w:tbl>
      <w:tblPr>
        <w:tblW w:w="9850" w:type="dxa"/>
        <w:jc w:val="left"/>
        <w:tblInd w:w="0" w:type="dxa"/>
        <w:tblLayout w:type="fixed"/>
        <w:tblCellMar>
          <w:top w:w="0" w:type="dxa"/>
          <w:left w:w="0" w:type="dxa"/>
          <w:bottom w:w="0" w:type="dxa"/>
          <w:right w:w="0" w:type="dxa"/>
        </w:tblCellMar>
      </w:tblPr>
      <w:tblGrid>
        <w:gridCol w:w="740"/>
        <w:gridCol w:w="9110"/>
      </w:tblGrid>
      <w:tr>
        <w:trPr/>
        <w:tc>
          <w:tcPr>
            <w:tcW w:w="740" w:type="dxa"/>
            <w:tcBorders/>
            <w:vAlign w:val="center"/>
          </w:tcPr>
          <w:p>
            <w:pPr>
              <w:pStyle w:val="TableContents"/>
              <w:bidi w:val="0"/>
              <w:spacing w:before="0" w:after="283"/>
              <w:jc w:val="left"/>
              <w:rPr>
                <w:b/>
              </w:rPr>
            </w:pPr>
            <w:r>
              <w:rPr>
                <w:b/>
              </w:rPr>
              <w:t>Item 2.</w:t>
            </w:r>
          </w:p>
        </w:tc>
        <w:tc>
          <w:tcPr>
            <w:tcW w:w="911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2022, filed on March 23, 2023 (the “2022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0" w:after="0"/>
        <w:jc w:val="center"/>
        <w:rPr>
          <w:b/>
          <w:u w:val="single"/>
        </w:rPr>
      </w:pPr>
      <w:r>
        <w:rPr>
          <w:b/>
          <w:u w:val="single"/>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but not limited to, a product based on our most recently approved patent application under U.S. Patent No. 10,259,865 related to methods of treatment and prevention of </w:t>
      </w:r>
      <w:r>
        <w:rPr>
          <w:rFonts w:ascii="Times New Roman" w:hAnsi="Times New Roman"/>
          <w:i/>
          <w:color w:val="000000"/>
          <w:sz w:val="20"/>
        </w:rPr>
        <w:t>S. pneumonia</w:t>
      </w:r>
      <w:r>
        <w:rPr>
          <w:rFonts w:ascii="Times New Roman" w:hAnsi="Times New Roman"/>
          <w:color w:val="000000"/>
          <w:sz w:val="20"/>
        </w:rPr>
        <w:t xml:space="preserve"> infection for an immunoglobulin manufactured to contain standardized antibodies to numerous serotypes of </w:t>
      </w:r>
      <w:r>
        <w:rPr>
          <w:rFonts w:ascii="Times New Roman" w:hAnsi="Times New Roman"/>
          <w:i/>
          <w:color w:val="000000"/>
          <w:sz w:val="20"/>
        </w:rPr>
        <w:t>S. pneumoniae</w:t>
      </w:r>
      <w:r>
        <w:rPr>
          <w:rFonts w:ascii="Times New Roman" w:hAnsi="Times New Roman"/>
          <w:color w:val="000000"/>
          <w:sz w:val="20"/>
        </w:rPr>
        <w:t>. Our products and product candidates are intended to be used by physician specialists focused on caring for immune-compromised patients with or at risk for certain infectious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manufacture these products at our FDA-licensed, plasma fractionation and purification facility located in Boca Raton, Florida with a peak annual source plasma processing capability of up to 600,000 liters (the “Boca Facility”). Based on current production yields, our completed and ongoing supply chain enhancements and capacity expansion initiatives, we believe this facility has the potential to produce quantities of our immune globulin (“IG”) products representing annual revenues of $220 million or more in 2023, potentially more than $250 million in annual revenue in 2024 and potentially in excess of $300 million of annual revenue thereafter, as well as achieving profitability during the first quarter of 2024. At these revenue levels, we forecast achieving consolidated gross margins in the range of 40-50% and net income margins in the range of 20-30%. These assumptions translate to potential annual gross profit and net income in the range of $100-$150 million and $50-$100 million, respectively, during the 2024-2025 time period and beyond.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Through our ADMA BioCenters subsidiary, we currently operate ten source plasma collection facilities in the U.S. This business unit, which we refer to as our Plasma Collection Centers business segment, provides us with substantially all of our blood plasma for the manufacture of our products, and also allows us to sell certain quantities of source plasma and certain other plasma products to third-party customers for further manufacturing. With respect to our operational plasma collection centers, eight plasma collection centers currently hold FDA licenses, with the remaining plasma collection centers anticipated to receive FDA approvals throughout 2023. In addition, three of our FDA-approved plasma collection centers also have approvals from the Korean Ministry of Food and Drug Safety (“MFDS”), as well as FDA approval to operate a Hepatitis B immunization program. After giving effect to the supply chain robustness initiatives undertaken in 2021 and 2022 as it pertains to our plasma collection network expansion, we remain on track to achieve our goal of having 10 FDA-licensed plasma collection centers by the end of 2023.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packaging services in light of the FDA approval of our in-house fill-finish capabilities.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BIVIGAM</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and operating results.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ASCENIV</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ASCENIV is approved for the treatment of Primary Immune Deficiency Disorder (“PIDD”),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work with the FDA and the immunology and infectious disease community to design an appropriate clinical trial to evaluate the use of ASCENIV in this patient population. Commercial sales of ASCENIV commenced in October of 2019 and our commercial and medical education efforts are focused on the labeled indication of patients with PIDD. ASCENIV’s prescriber and patient base continued to expand during the fourth quarter of 2022, which drove record utilization and pull-through for the product. These elevated demand trends have sustained into 2023, and ADMA currently expects that this product’s rapid growth will continue throughout 2023 and beyond.</w:t>
      </w:r>
    </w:p>
    <w:p>
      <w:pPr>
        <w:pStyle w:val="TextBody"/>
        <w:bidi w:val="0"/>
        <w:ind w:left="0" w:right="0" w:firstLine="720"/>
        <w:jc w:val="left"/>
        <w:rPr>
          <w:sz w:val="20"/>
        </w:rPr>
      </w:pPr>
      <w:r>
        <w:rPr>
          <w:sz w:val="20"/>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The FDA granted approval for our expanded plasma pool production scale process, allowing for a 4,400-liter plasma pool for the manufacture of the ASCEINV IVIG product. This increased IVIG plasma pool scale, which allows us to produce ASCENIV at an expanded capacity utilizing the same equipment, release testing assays and labor force, is expected to have a favorable impact on our gross margins and operating results. During the second quarter of 2023, ADMA successfully commenced manufacturing of ASCENIV at the 4,400 Liter production scale for the first time in corporate history.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Nabi-HB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POTENTIAL IMPACT OF COVID-19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continue to monitor the ongoing developments related to the COVID-19 pandemic, including the emergence of the Delta, Omicron and BA.2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Due to a combination of previously mandated state and local “shelter-in-place” orders, as well as government stimulus packages, persisting social distancing measures and varying roll-outs of vaccinations by state, we experienced at times lower than normal donor collections at our FDA approved plasma collection centers during 2021 and part of 2022. From time to time during 2021 and 2022,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have been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previously impacted, to a certain degree, our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our ability to communicate with potential customers.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pandemic could also impact our ability to interact with the FDA or other regulatory authorities and could result in delays in the conduct of inspections or review of pending applications or submissions. Although we have received FDA approvals for five of our plasma collection centers since January 1, 2022 and received several other FDA approvals while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During the three months ended March 31, 2023 and 2022, our revenue attributable to international customers was approximately 7% and 6%, respectively, of our total revenues. As we seek to grow this aspect of our business, we may also be subject to the impacts of the COVID-19 pandemic in locations outside the United States.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or any known or future variant or government order, will have a material adverse impact on our business, financial condition, liquidity and results of operations. After the COVID-19 global pandemic has settled, we may continue to experience adverse impacts to our business as a result of evolving macroeconomic factors, including general economic uncertainty, unemployment rates, inflationary pressures and any actual economic recession that has occurred or may occur in the future.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2022 10-K. Estimates and assumptions used in projecting future liquidity and capital requirements are described in Note 1 to the condensed consolidated financial statements appearing elsewhere in this Quarterly Report on Form 10-Q.</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delay between when this obligation is initially recorded and ultimately settled could potentially materially impact our revenues and our results of operations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Stock-Based Compensation and Valuation of Warrants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if we were to elect to utilize an alternative method for valuing stock options granted to employees, directors and officers, could potentially impact our stock-based compensation expense and our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also use the Black-Scholes option valuation model for the purpose of estimating the fair value of warrants we issue from time to time in connection with the issuance of notes payable. Changes in our Black-Scholes assumptions, or if we were to utilize an alternative method for valuing warrants issued to our lenders, could impact our interest expense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2023 and 2022, we determined that there was no impairment of our long-lived assets. Examples of events or circumstances that may be indicative of impairment that would require the use of significant judgment by management include: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significant adverse change in legal factors or in the business climate that could affect the value of the asset.</w:t>
            </w:r>
          </w:p>
        </w:tc>
      </w:tr>
    </w:tbl>
    <w:tbl>
      <w:tblPr>
        <w:tblW w:w="4248" w:type="dxa"/>
        <w:jc w:val="left"/>
        <w:tblInd w:w="0" w:type="dxa"/>
        <w:tblLayout w:type="fixed"/>
        <w:tblCellMar>
          <w:top w:w="0" w:type="dxa"/>
          <w:left w:w="0" w:type="dxa"/>
          <w:bottom w:w="0" w:type="dxa"/>
          <w:right w:w="0" w:type="dxa"/>
        </w:tblCellMar>
      </w:tblPr>
      <w:tblGrid>
        <w:gridCol w:w="38"/>
        <w:gridCol w:w="110"/>
        <w:gridCol w:w="4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left"/>
              <w:rPr/>
            </w:pPr>
            <w:r>
              <w:rPr/>
              <w:t>Significant and continued cash flow losses.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significant adverse change in the extent or manner in which an asset is used, such as a restriction imposed by the FDA or other regulatory authorities that could affect our ability to manufacture our products using a particular asset.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three months ended March 31, 2023 and 2022.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Deferred Tax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maintain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at this time we have not included future projected taxable income as a source of income to recognize our deferred tax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Three Months Ended March 31, 2023 Compared to Three Months Ended March 31, 2022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presents a summary of the changes in our results of operations for the three months ended March 31, 2023, our first fiscal quarter, compared to the three months ended March 31, 2022:</w:t>
      </w:r>
    </w:p>
    <w:p>
      <w:pPr>
        <w:pStyle w:val="TextBody"/>
        <w:bidi w:val="0"/>
        <w:spacing w:before="0" w:after="0"/>
        <w:jc w:val="left"/>
        <w:rPr/>
      </w:pPr>
      <w:r>
        <w:rPr/>
      </w:r>
    </w:p>
    <w:tbl>
      <w:tblPr>
        <w:tblW w:w="9239" w:type="dxa"/>
        <w:jc w:val="left"/>
        <w:tblInd w:w="0" w:type="dxa"/>
        <w:tblLayout w:type="fixed"/>
        <w:tblCellMar>
          <w:top w:w="0" w:type="dxa"/>
          <w:left w:w="0" w:type="dxa"/>
          <w:bottom w:w="0" w:type="dxa"/>
          <w:right w:w="0" w:type="dxa"/>
        </w:tblCellMar>
      </w:tblPr>
      <w:tblGrid>
        <w:gridCol w:w="4205"/>
        <w:gridCol w:w="60"/>
        <w:gridCol w:w="140"/>
        <w:gridCol w:w="1100"/>
        <w:gridCol w:w="95"/>
        <w:gridCol w:w="60"/>
        <w:gridCol w:w="140"/>
        <w:gridCol w:w="1175"/>
        <w:gridCol w:w="95"/>
        <w:gridCol w:w="60"/>
        <w:gridCol w:w="225"/>
        <w:gridCol w:w="1774"/>
        <w:gridCol w:w="110"/>
      </w:tblGrid>
      <w:tr>
        <w:trPr/>
        <w:tc>
          <w:tcPr>
            <w:tcW w:w="4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6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110"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 (Decrease)</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56,913,534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75" w:type="dxa"/>
            <w:tcBorders/>
            <w:shd w:fill="CCEEFF" w:val="clear"/>
            <w:vAlign w:val="bottom"/>
          </w:tcPr>
          <w:p>
            <w:pPr>
              <w:pStyle w:val="TableContents"/>
              <w:bidi w:val="0"/>
              <w:spacing w:before="0" w:after="0"/>
              <w:jc w:val="right"/>
              <w:rPr>
                <w:color w:val="000000"/>
              </w:rPr>
            </w:pPr>
            <w:r>
              <w:rPr>
                <w:color w:val="000000"/>
              </w:rPr>
              <w:t>29,103,093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left"/>
              <w:rPr>
                <w:color w:val="000000"/>
              </w:rPr>
            </w:pPr>
            <w:r>
              <w:rPr>
                <w:color w:val="000000"/>
              </w:rPr>
              <w:t>$</w:t>
            </w:r>
          </w:p>
        </w:tc>
        <w:tc>
          <w:tcPr>
            <w:tcW w:w="1774" w:type="dxa"/>
            <w:tcBorders/>
            <w:shd w:fill="CCEEFF" w:val="clear"/>
            <w:vAlign w:val="bottom"/>
          </w:tcPr>
          <w:p>
            <w:pPr>
              <w:pStyle w:val="TableContents"/>
              <w:bidi w:val="0"/>
              <w:spacing w:before="0" w:after="0"/>
              <w:jc w:val="right"/>
              <w:rPr>
                <w:color w:val="000000"/>
              </w:rPr>
            </w:pPr>
            <w:r>
              <w:rPr>
                <w:color w:val="000000"/>
              </w:rPr>
              <w:t>27,810,441</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Cost of product revenue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40,400,544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25,441,046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77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14,959,498</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16,512,990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3,662,047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0"/>
              <w:jc w:val="right"/>
              <w:rPr>
                <w:color w:val="000000"/>
              </w:rPr>
            </w:pPr>
            <w:r>
              <w:rPr>
                <w:color w:val="000000"/>
              </w:rPr>
              <w:t>12,850,943</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Research and development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855,351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624,111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0"/>
              <w:jc w:val="right"/>
              <w:rPr>
                <w:color w:val="000000"/>
              </w:rPr>
            </w:pPr>
            <w:r>
              <w:rPr>
                <w:color w:val="000000"/>
              </w:rPr>
              <w:t>231,240</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Plasma center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1,780,463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3,974,589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0"/>
              <w:jc w:val="right"/>
              <w:rPr>
                <w:color w:val="000000"/>
              </w:rPr>
            </w:pPr>
            <w:r>
              <w:rPr>
                <w:color w:val="000000"/>
              </w:rPr>
              <w:t>(2,194,126</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ind w:left="144" w:right="0" w:hanging="144"/>
              <w:jc w:val="left"/>
              <w:rPr>
                <w:color w:val="000000"/>
              </w:rPr>
            </w:pPr>
            <w:r>
              <w:rPr>
                <w:color w:val="000000"/>
              </w:rPr>
              <w:t>Amortization of intangibles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178,838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178,838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14,511,656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13,699,575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7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812,081</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Loss from operations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(813,318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(14,815,066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0"/>
              <w:jc w:val="right"/>
              <w:rPr>
                <w:color w:val="000000"/>
              </w:rPr>
            </w:pPr>
            <w:r>
              <w:rPr>
                <w:color w:val="000000"/>
              </w:rPr>
              <w:t>14,001,748</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Interest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(6,115,484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(3,389,038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0"/>
              <w:jc w:val="right"/>
              <w:rPr>
                <w:color w:val="000000"/>
              </w:rPr>
            </w:pPr>
            <w:r>
              <w:rPr>
                <w:color w:val="000000"/>
              </w:rPr>
              <w:t>(2,726,446</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ind w:left="144" w:right="0" w:hanging="144"/>
              <w:jc w:val="left"/>
              <w:rPr>
                <w:color w:val="000000"/>
              </w:rPr>
            </w:pPr>
            <w:r>
              <w:rPr>
                <w:color w:val="000000"/>
              </w:rPr>
              <w:t>Loss on extinguishment of debt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(6,669,941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0"/>
              <w:jc w:val="right"/>
              <w:rPr>
                <w:color w:val="000000"/>
              </w:rPr>
            </w:pPr>
            <w:r>
              <w:rPr>
                <w:color w:val="000000"/>
              </w:rPr>
              <w:t>6,669,941</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Other income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139,987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(133,812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7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273,799</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Net loss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(6,788,815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(25,007,857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77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18,219,042</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Adjusted EBITDA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2,469,800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(11,717,273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77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14,187,073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 - See Non-GAAP Financial Measures appearing at the end of this discussion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recorded total revenues of $56.9 million during the three months ended March 31, 2023, as compared to $29.1 million during the three months ended March 31, 2022, an increase of $27.8 million, or approximately 96%. The increase is primarily related to increased sales of our immunoglobulin products, mainly ASCENIV and BIVIGAM, generated by our Boca Facility manufacturing operations in 2023 of $23.8 million, as we continue to experience increased physician, payer and patient acceptance and utilization of ASCENIV and expand our customer base for BIVIGAM. We also benefitted from a substantial increase in sales of normal source plasma through our Plasma Collection Centers business segment of $4.0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During the first quarter of 2023, we fulfilled our entire commitment to supply normal source plasma to our third-party customer for fiscal 2023. As a result, we do not expect to generate comparable revenues from our Plasma Collection Centers during the remainder of 2023, as we anticipate using all of the plasma collected during that period to support our IVIG production operations.</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Cost of Product Revenue and Gross Profit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Cost of product revenue was $40.4 million for the three months ended March 31, 2023, as compared to $25.4 million for the three months ended March 31, 2022. This increase is primarily attributable to volume-driven increases in product revenue costs related to the increased sales of our immunoglobulin products of $15.2 million and increased sales of normal source plasma by our Plasma Collection Centers business segment in the amount of $3.0 million. These increases were partially offset by a decrease in other manufacturing expenses of approximately $3.3 million in the first quarter of 2023 as compared to the same period of a year ago, mainly due to a shorter routine shutdown of the Boca Facility in 2023 as compared to 2022.</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the three months ended March 31, 2023, we had gross profit of $16.5 million, as compared to $3.7 million for the same period of a year ago. This gross profit improvement of approximately $12.9 million was primarily due to the revenue increases and the reduction in other manufacturing costs discussed above as we elected to extend our otherwise-routine plant shutdown in the first quarter of 2022 in order to complete certain projects. As a result, we achieved a gross margin of 29.0% in the first quarter of 2023 as compared to 12.6% in the first quarter of 2022.</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Research and development (“R&amp;D”) expenses totaled $0.9 million for the first quarter of 2023, as compared to $0.6 million for the first quarter of 2022. The increase is primarily due to higher expenditures related to the BIVIGAM and ASCENIV post-marketing commitments we have with the FDA, which are required to be completed by June of 2023 (see Note 10 to the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Plasma Center Operating Expenses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Plasma Center Operating Expenses decreased from $4.0 million in the first quarter of 2022 to $1.8 million in the first quarter of 2023. As a result of our plasma center expansion initiatives, including three additional plasma collection facilities that opened subsequent to March 31, 2022, we experienced a significant increase in the number of liters of plasma collected in the first quarter of 2023 as compared to the first quarter of 2022. In addition, as a result of changes in the market price of normal source plasma and the impact on the net realizable value of our plasma inventory, the amount of plasma center costs we capitalized into inventory increased by approximately $10.6 million in the first quarter of 2023 as compared to the same period of a year ago. This amount was largely offset by increases in donor fees of $3.4 million, compensation and benefits of $1.1 million, softgoods and supplies of $1.3 million, donor testing expenses of $1.1 million, depreciation of $0.3 million, temporary labor expenses of $0.3 million, software maintenance expense of $0.2 million, utilities and janitorial expense of $0.2 million, travel expenses of $0.1 million, transportation costs of $0.1 million, advertising expense of $0.1 million, repairs and maintenance expense of $0.1 million and rent of $0.1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Amortization of Intangibles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Amortization expense pertains to the amortization of intangible assets acquired in a 2017 acquisition transaction and was $0.2 million for the three months ended March 31, 2023 and 2022.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Selling, general and administrative (“SG&amp;A”) expenses were $14.5 million for the three months ended March 31, 2023, an increase of $0.8 million from the three months ended March 31, 2022. The increase reflects increases in data services and market intelligence fees in support of the continued ASCENIV and BIVIGAM commercialization efforts in the amount of $0.7 million, other professional services of $0.6 million, insurance expense of $0.2 million, employee recruiting of $0.2 million, software maintenance expense of  $0.2 million, utilities and janitorial expense of $0.1 million, marketing expenses of $0.1 million and travel and entertainment costs of $0.1 million, partially offset by the non-recurring professional fees incurred in connection with the Morgan Stanley strategic alternatives process during the first quarter of 2022 in the amount of $1.4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Loss from Operations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operating loss was $0.8 million for the first quarter of 2023, as compared to $14.8 million for the first quarter of 2022. The $14.0 million decrease in operating loss was mainly due to the improved gross profit of $12.9 million and the reduction in Plasma Center Operating expenses of $2.2 million, partially offset by the increases in R&amp;D and SG&amp;A.</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Interest expense for the three months ended March 31, 2023 was $6.1 million, as compared to $3.4 million for the three months ended March 31, 2022. The increase is mainly due to approximately $55.7 million of additional debt principal resulting from the refinancing of our senior credit facility on March 23, 2022 (see Note 7 to the consolidated financial statements and “Liquidity and Capital Resources”), including interest payments made “in kind” in the form of additional indebtedness of approximately $4.0 million, as well as an increase in the stated interest rate on our senior debt from 10.75% in 2022 to 14.1% in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Other income, net, for the three months ended March 31, 2023 was $0.1 million, as compared to other expense, net, of $0.1 million for the three months ended March 31, 2022. The increase is mainly due to an increase in interest and other income of approximately $0.2 million in 2023, and to several non-recurring non-operational charges in 2022 of approximately $0.2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net loss was $6.8 million for the first quarter of 2023, as compared to $25.0 million for the first quarter of 2022. The $18.2 million decrease in net loss was mainly due to the narrowed operating loss of $14.0 million attributable to the increased revenues and gross profit and the loss on extinguishment of debt of $6.7 million we recorded in the first quarter of 2022 in connection with the refinancing of our senior credit facility, partially offset by the increase in interest expense.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Earnings Before Interest, Taxes, Depreciation and Amortization (“EBITDA”) and Adjusted EBITDA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EBITDA and Adjusted EBITDA are important non-GAAP financial measures used by our management and board of directors to assess our operating performance. We use EBITDA and Adjusted EBITDA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non-recurring items. In addition, we believe that EBITDA and Adjusted EBITDA and similar measures are widely used by investors, securities analysts, ratings agencies and other parties in evaluating companies in our industry as a measure of financial performance and debt-service capabilities. See below for a reconciliation of our EBITDA and Adjusted EBITDA to net income/loss, the most directly comparable financial measure calculated and presented in accordance with U.S. GAAP.</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Because EBITDA and Adjusted EBITDA are measures not deemed to be in accordance with U.S. GAAP and are susceptible to varying calculations, our EBITDA and Adjusted EBITDA may not be comparable to similarly titled measures of other companies, including companies in our industry, because other companies may calculate EBITDA and Adjusted EBITDA in a different manner than we calculate these measurements. Although the Company uses Adjusted EBITDA as one of several financial measures to assess its operating performance, its use is limited as it excludes certain significant operating expenses. EBITDA and Adjusted EBITDA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loss to EBITDA and Adjusted EBITDA for the three months ended March 31, 2023 and 2022:</w:t>
      </w:r>
    </w:p>
    <w:p>
      <w:pPr>
        <w:pStyle w:val="TextBody"/>
        <w:bidi w:val="0"/>
        <w:spacing w:before="0" w:after="0"/>
        <w:jc w:val="left"/>
        <w:rPr/>
      </w:pPr>
      <w:r>
        <w:rPr/>
      </w:r>
    </w:p>
    <w:tbl>
      <w:tblPr>
        <w:tblW w:w="6492" w:type="dxa"/>
        <w:jc w:val="left"/>
        <w:tblInd w:w="0" w:type="dxa"/>
        <w:tblLayout w:type="fixed"/>
        <w:tblCellMar>
          <w:top w:w="0" w:type="dxa"/>
          <w:left w:w="0" w:type="dxa"/>
          <w:bottom w:w="0" w:type="dxa"/>
          <w:right w:w="0" w:type="dxa"/>
        </w:tblCellMar>
      </w:tblPr>
      <w:tblGrid>
        <w:gridCol w:w="3005"/>
        <w:gridCol w:w="60"/>
        <w:gridCol w:w="174"/>
        <w:gridCol w:w="1314"/>
        <w:gridCol w:w="118"/>
        <w:gridCol w:w="74"/>
        <w:gridCol w:w="174"/>
        <w:gridCol w:w="1463"/>
        <w:gridCol w:w="110"/>
      </w:tblGrid>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1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110"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3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144" w:right="0" w:hanging="144"/>
              <w:jc w:val="left"/>
              <w:rPr>
                <w:b/>
              </w:rPr>
            </w:pPr>
            <w:r>
              <w:rPr>
                <w:b/>
              </w:rPr>
              <w:t>Net loss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1314" w:type="dxa"/>
            <w:tcBorders/>
            <w:shd w:fill="CCEEFF" w:val="clear"/>
            <w:vAlign w:val="bottom"/>
          </w:tcPr>
          <w:p>
            <w:pPr>
              <w:pStyle w:val="TableContents"/>
              <w:bidi w:val="0"/>
              <w:spacing w:before="0" w:after="0"/>
              <w:jc w:val="right"/>
              <w:rPr/>
            </w:pPr>
            <w:r>
              <w:rPr/>
              <w:t>(6,788,815</w:t>
            </w:r>
          </w:p>
        </w:tc>
        <w:tc>
          <w:tcPr>
            <w:tcW w:w="118" w:type="dxa"/>
            <w:tcBorders/>
            <w:shd w:fill="CCEEFF" w:val="clear"/>
            <w:vAlign w:val="bottom"/>
          </w:tcPr>
          <w:p>
            <w:pPr>
              <w:pStyle w:val="TableContents"/>
              <w:bidi w:val="0"/>
              <w:spacing w:before="0" w:after="0"/>
              <w:jc w:val="left"/>
              <w:rPr/>
            </w:pPr>
            <w:r>
              <w:rPr/>
              <w:t>)</w:t>
            </w:r>
          </w:p>
        </w:tc>
        <w:tc>
          <w:tcPr>
            <w:tcW w:w="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1463" w:type="dxa"/>
            <w:tcBorders/>
            <w:shd w:fill="CCEEFF" w:val="clear"/>
            <w:vAlign w:val="bottom"/>
          </w:tcPr>
          <w:p>
            <w:pPr>
              <w:pStyle w:val="TableContents"/>
              <w:bidi w:val="0"/>
              <w:spacing w:before="0" w:after="0"/>
              <w:jc w:val="right"/>
              <w:rPr/>
            </w:pPr>
            <w:r>
              <w:rPr/>
              <w:t>(25,007,857</w:t>
            </w:r>
          </w:p>
        </w:tc>
        <w:tc>
          <w:tcPr>
            <w:tcW w:w="110"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before="0" w:after="0"/>
              <w:ind w:left="144" w:right="0" w:hanging="144"/>
              <w:jc w:val="left"/>
              <w:rPr>
                <w:color w:val="000000"/>
              </w:rPr>
            </w:pPr>
            <w:r>
              <w:rPr>
                <w:color w:val="000000"/>
              </w:rPr>
              <w:t>Depreciation</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0"/>
              <w:jc w:val="right"/>
              <w:rPr>
                <w:color w:val="000000"/>
              </w:rPr>
            </w:pPr>
            <w:r>
              <w:rPr>
                <w:color w:val="000000"/>
              </w:rPr>
              <w:t>1,854,127</w:t>
            </w:r>
          </w:p>
        </w:tc>
        <w:tc>
          <w:tcPr>
            <w:tcW w:w="11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0"/>
              <w:jc w:val="right"/>
              <w:rPr>
                <w:color w:val="000000"/>
              </w:rPr>
            </w:pPr>
            <w:r>
              <w:rPr>
                <w:color w:val="000000"/>
              </w:rPr>
              <w:t>1,411,378</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144" w:right="0" w:hanging="144"/>
              <w:jc w:val="left"/>
              <w:rPr>
                <w:color w:val="000000"/>
              </w:rPr>
            </w:pPr>
            <w:r>
              <w:rPr>
                <w:color w:val="000000"/>
              </w:rPr>
              <w:t>Amortization</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0"/>
              <w:jc w:val="right"/>
              <w:rPr>
                <w:color w:val="000000"/>
              </w:rPr>
            </w:pPr>
            <w:r>
              <w:rPr>
                <w:color w:val="000000"/>
              </w:rPr>
              <w:t>178,838</w:t>
            </w:r>
          </w:p>
        </w:tc>
        <w:tc>
          <w:tcPr>
            <w:tcW w:w="118"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0"/>
              <w:jc w:val="right"/>
              <w:rPr>
                <w:color w:val="000000"/>
              </w:rPr>
            </w:pPr>
            <w:r>
              <w:rPr>
                <w:color w:val="000000"/>
              </w:rPr>
              <w:t>178,839</w:t>
            </w:r>
          </w:p>
        </w:tc>
        <w:tc>
          <w:tcPr>
            <w:tcW w:w="11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144" w:right="0" w:hanging="144"/>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6,115,484</w:t>
            </w:r>
          </w:p>
        </w:tc>
        <w:tc>
          <w:tcPr>
            <w:tcW w:w="11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3,389,038</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144" w:right="0" w:hanging="144"/>
              <w:jc w:val="left"/>
              <w:rPr>
                <w:b/>
                <w:color w:val="000000"/>
              </w:rPr>
            </w:pPr>
            <w:r>
              <w:rPr>
                <w:b/>
                <w:color w:val="000000"/>
              </w:rPr>
              <w:t>EBITDA</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0"/>
              <w:jc w:val="right"/>
              <w:rPr>
                <w:color w:val="000000"/>
              </w:rPr>
            </w:pPr>
            <w:r>
              <w:rPr>
                <w:color w:val="000000"/>
              </w:rPr>
              <w:t>1,359,634</w:t>
            </w:r>
          </w:p>
        </w:tc>
        <w:tc>
          <w:tcPr>
            <w:tcW w:w="118"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0"/>
              <w:jc w:val="right"/>
              <w:rPr>
                <w:color w:val="000000"/>
              </w:rPr>
            </w:pPr>
            <w:r>
              <w:rPr>
                <w:color w:val="000000"/>
              </w:rPr>
              <w:t>(20,028,602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005" w:type="dxa"/>
            <w:tcBorders/>
            <w:vAlign w:val="bottom"/>
          </w:tcPr>
          <w:p>
            <w:pPr>
              <w:pStyle w:val="TableContents"/>
              <w:bidi w:val="0"/>
              <w:spacing w:before="0" w:after="0"/>
              <w:ind w:left="144" w:right="0" w:hanging="144"/>
              <w:jc w:val="left"/>
              <w:rPr>
                <w:color w:val="000000"/>
              </w:rPr>
            </w:pPr>
            <w:r>
              <w:rPr>
                <w:color w:val="000000"/>
              </w:rPr>
              <w:t>Stock-based compensation</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0"/>
              <w:jc w:val="right"/>
              <w:rPr>
                <w:color w:val="000000"/>
              </w:rPr>
            </w:pPr>
            <w:r>
              <w:rPr>
                <w:color w:val="000000"/>
              </w:rPr>
              <w:t>1,110,166</w:t>
            </w:r>
          </w:p>
        </w:tc>
        <w:tc>
          <w:tcPr>
            <w:tcW w:w="11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0"/>
              <w:jc w:val="right"/>
              <w:rPr>
                <w:color w:val="000000"/>
              </w:rPr>
            </w:pPr>
            <w:r>
              <w:rPr>
                <w:color w:val="000000"/>
              </w:rPr>
              <w:t>1,641,388</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144" w:right="0" w:hanging="144"/>
              <w:jc w:val="left"/>
              <w:rPr>
                <w:color w:val="000000"/>
              </w:rPr>
            </w:pPr>
            <w:r>
              <w:rPr>
                <w:color w:val="000000"/>
              </w:rPr>
              <w:t>Loss on extinguishment of debt</w:t>
            </w:r>
          </w:p>
        </w:tc>
        <w:tc>
          <w:tcPr>
            <w:tcW w:w="60"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8"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6,669,941</w:t>
            </w:r>
          </w:p>
        </w:tc>
        <w:tc>
          <w:tcPr>
            <w:tcW w:w="11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144" w:right="0" w:hanging="144"/>
              <w:jc w:val="left"/>
              <w:rPr>
                <w:b/>
                <w:color w:val="000000"/>
              </w:rPr>
            </w:pPr>
            <w:r>
              <w:rPr>
                <w:b/>
                <w:color w:val="000000"/>
              </w:rPr>
              <w:t>Adjusted EBITDA</w:t>
            </w:r>
          </w:p>
        </w:tc>
        <w:tc>
          <w:tcPr>
            <w:tcW w:w="60" w:type="dxa"/>
            <w:tcBorders/>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1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2,469,800</w:t>
            </w:r>
          </w:p>
        </w:tc>
        <w:tc>
          <w:tcPr>
            <w:tcW w:w="11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6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(11,717,273</w:t>
            </w:r>
          </w:p>
        </w:tc>
        <w:tc>
          <w:tcPr>
            <w:tcW w:w="11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Adjusted EBITDA increased by $14.2 million for the three months ended March 31, 2023 as compared to the same period of a year ago. The improvement is driven primarily by the lower net loss attributable to increased sales and gross profit and, to a lesser extent, lower total operating expenses in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LIQUIDITY AND CAPITAL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At March 31, 2023, we had working capital of $227.4 million, primarily consisting of $164.0 million of inventory, cash and cash equivalents of $69.2 million and $26.5 million of accounts receivable, partially offset by current liabilities of $36.7 million, as compared to working capital at December 31, 2022 of $231.1 million, primarily consisting of $163.3 million of inventory, cash and cash equivalents of $86.5 million and accounts receivable of $15.5 million, partially offset by current liabilities of $39.3 million. We have incurred an accumulated deficit of $484.8 million since inception and had negative cash flows from operations of $14.7 million and $26.0 million for the three months ended March 31, 2023 and 2022, respectively, and $59.5 million and $112.4 million for the years ended December 31, 2022 and 2021, respectively. We have funded our operations over the past few years primarily from the sale of our equity and debt securities. Our material cash requirements are primarily comprised 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procurement of raw material plasma and other raw materials necessary to maintain and scale up our manufacturing operations;</w:t>
            </w:r>
          </w:p>
        </w:tc>
      </w:tr>
    </w:tbl>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left"/>
              <w:rPr/>
            </w:pPr>
            <w:r>
              <w:rPr/>
              <w:t>Employee compensation and benefits;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Capital expenditures to complete the buildout for and maintain our plasma collection facilities and for equipment upgrades and capacity expansion at the Boca Facility;</w:t>
            </w:r>
          </w:p>
        </w:tc>
      </w:tr>
    </w:tbl>
    <w:tbl>
      <w:tblPr>
        <w:tblW w:w="4548" w:type="dxa"/>
        <w:jc w:val="left"/>
        <w:tblInd w:w="0" w:type="dxa"/>
        <w:tblLayout w:type="fixed"/>
        <w:tblCellMar>
          <w:top w:w="0" w:type="dxa"/>
          <w:left w:w="0" w:type="dxa"/>
          <w:bottom w:w="0" w:type="dxa"/>
          <w:right w:w="0" w:type="dxa"/>
        </w:tblCellMar>
      </w:tblPr>
      <w:tblGrid>
        <w:gridCol w:w="38"/>
        <w:gridCol w:w="110"/>
        <w:gridCol w:w="44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0"/>
              <w:jc w:val="left"/>
              <w:rPr/>
            </w:pPr>
            <w:r>
              <w:rPr/>
              <w:t>Plasma donor fees and plasma center supplies;</w:t>
            </w:r>
          </w:p>
        </w:tc>
      </w:tr>
    </w:tbl>
    <w:tbl>
      <w:tblPr>
        <w:tblW w:w="2073" w:type="dxa"/>
        <w:jc w:val="left"/>
        <w:tblInd w:w="0" w:type="dxa"/>
        <w:tblLayout w:type="fixed"/>
        <w:tblCellMar>
          <w:top w:w="0" w:type="dxa"/>
          <w:left w:w="0" w:type="dxa"/>
          <w:bottom w:w="0" w:type="dxa"/>
          <w:right w:w="0" w:type="dxa"/>
        </w:tblCellMar>
      </w:tblPr>
      <w:tblGrid>
        <w:gridCol w:w="38"/>
        <w:gridCol w:w="110"/>
        <w:gridCol w:w="1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0"/>
              <w:jc w:val="left"/>
              <w:rPr/>
            </w:pPr>
            <w:r>
              <w:rPr/>
              <w:t>Interest on our debt;</w:t>
            </w:r>
          </w:p>
        </w:tc>
      </w:tr>
    </w:tbl>
    <w:tbl>
      <w:tblPr>
        <w:tblW w:w="6003" w:type="dxa"/>
        <w:jc w:val="left"/>
        <w:tblInd w:w="0" w:type="dxa"/>
        <w:tblLayout w:type="fixed"/>
        <w:tblCellMar>
          <w:top w:w="0" w:type="dxa"/>
          <w:left w:w="0" w:type="dxa"/>
          <w:bottom w:w="0" w:type="dxa"/>
          <w:right w:w="0" w:type="dxa"/>
        </w:tblCellMar>
      </w:tblPr>
      <w:tblGrid>
        <w:gridCol w:w="38"/>
        <w:gridCol w:w="110"/>
        <w:gridCol w:w="5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0"/>
              <w:jc w:val="left"/>
              <w:rPr/>
            </w:pPr>
            <w:r>
              <w:rPr/>
              <w:t>Marketing programs and continued commercialization efforts;</w:t>
            </w:r>
          </w:p>
        </w:tc>
      </w:tr>
    </w:tbl>
    <w:tbl>
      <w:tblPr>
        <w:tblW w:w="5133" w:type="dxa"/>
        <w:jc w:val="left"/>
        <w:tblInd w:w="0" w:type="dxa"/>
        <w:tblLayout w:type="fixed"/>
        <w:tblCellMar>
          <w:top w:w="0" w:type="dxa"/>
          <w:left w:w="0" w:type="dxa"/>
          <w:bottom w:w="0" w:type="dxa"/>
          <w:right w:w="0" w:type="dxa"/>
        </w:tblCellMar>
      </w:tblPr>
      <w:tblGrid>
        <w:gridCol w:w="38"/>
        <w:gridCol w:w="110"/>
        <w:gridCol w:w="4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0"/>
              <w:jc w:val="left"/>
              <w:rPr/>
            </w:pPr>
            <w:r>
              <w:rPr/>
              <w:t>Boca Facility maintenance, repairs and supplies; and</w:t>
            </w:r>
          </w:p>
        </w:tc>
      </w:tr>
    </w:tbl>
    <w:tbl>
      <w:tblPr>
        <w:tblW w:w="7998" w:type="dxa"/>
        <w:jc w:val="left"/>
        <w:tblInd w:w="0" w:type="dxa"/>
        <w:tblLayout w:type="fixed"/>
        <w:tblCellMar>
          <w:top w:w="0" w:type="dxa"/>
          <w:left w:w="0" w:type="dxa"/>
          <w:bottom w:w="0" w:type="dxa"/>
          <w:right w:w="0" w:type="dxa"/>
        </w:tblCellMar>
      </w:tblPr>
      <w:tblGrid>
        <w:gridCol w:w="38"/>
        <w:gridCol w:w="110"/>
        <w:gridCol w:w="78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0"/>
              <w:jc w:val="left"/>
              <w:rPr/>
            </w:pPr>
            <w:r>
              <w:rPr/>
              <w:t>Conducting required post-marketing clinical trials for our FDA-approved products.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our end-to-end production cycle time from procurement of raw materials to commercial release of finished product can take between seven and 12 months or potentially longer, requiring substantial inventories of raw material plasma and other manufacturing materials and single use disposables.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will be sufficient to fund our operations, as currently conducted, through the end of the second quarter of 2024, by which time we believe we will begin to generate positive cash flow from operations. This time frame may change based on several factors, including the success of our commercial efforts with respect to the sale of our products and the acceptability of our immune globulin products by physicians, patients or payers, and whether or not the assumptions underlying our projected revenues and expenses are correct. If we are unable to achieve positive cash flow by the beginning of 2024, we may need to raise additional capital and if such capital is not available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If we are unable to generate sufficient revenue to achieve positive cash flow by the beginning of 2024 and need to raise additional capital, we may decide to do so through public or private equity offerings or debt financings, or we may enter into a corporate collaboration or licensing arrangement.  The sale of additional equity or debt securities, if convertible, could result in dilution to our stockholders and, in such event, the value and potential future market price of our common stock may decline.</w:t>
      </w:r>
    </w:p>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  </w:t>
      </w:r>
      <w:r>
        <w:rPr>
          <w:rFonts w:ascii="Times New Roman" w:hAnsi="Times New Roman"/>
          <w:color w:val="000000"/>
          <w:sz w:val="20"/>
        </w:rPr>
        <w:t>ADMA continues to evaluate a variety of strategic alternatives through its ongoing engagement with Morgan Stanley. The exploration of value-creating opportunities remains a top corporate priority for ADMA.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Pursuant to an amendment to the Hayfin Credit Agreement dated May 1, 2023 (the “Hayfin Second Amendment”), the obligation of the lenders to make the Hayfin Delayed Draw Loan expires on December 31, 2023, and was subject to the satisfaction of certain conditions, including, but not limited to, our meeting certain 12-month revenue targets as set forth in the Hayfin Credit Agreement which have been met. The Hayfin Credit Facility has a maturity date of March 23, 2027 (the “Hayfin Maturity Date”), subject to acceleration pursuant to the Hayfin Credit Agreement, including upon an Event of Default (as defined in the Hayfin Credit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The remainder of the proceeds received or to be received from the Hayfin Loans are being used for working capital and other general corporate purposes.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After giving effect to the Hayfin Second Amendment, borrowings under the Hayfin Credit Agreement currently bear interest at the adjusted Term SOFR for either a one-month or three-month tenor, as elected by us, and subject to a floor of 1.25%, plus an applicable margin of 8.5% (the “Applicable Margin”); provided, however, that upon, and during the continuance of, an Event of Default, the Applicable Margin shall increase by an additional 3% per annum. We will also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As a result, our outstanding debt principal on the Hayfin Loans will increase each month as long as we elect to continue to pay a portion of our interest obligation “in kind.” On the Hayfin Closing Date and as of March 31, 2023, the stated interest rate on the Hayfin Loans was 10.75% and 14.4%, respectively. On the last day of each calendar month or quarter during the term of the Hayfin Credit Facility, we are required to pay accrued interest to Hayfin of approximately $1.5 million per month or approximately $4.4 million per quarter based on current interest rates, after giving effect to the “in kind” interest of 2.5% per annum, but without giving effect to the Hayfin Delayed Draw Loan, which we have yet to draw upon.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 prepayment fee in the amount equal to (i) 7.0% of the prepaid principal amount, if prepaid on or prior to the first anniversary of the Hayfin Second Amendment, (ii) 3.0% of the prepaid principal amount, if prepaid after the first anniversary of the Hayfin Second Amendment and on or prior to the second anniversary of the Hayfin Second Amendment, or (iii) 1.0% of the prepaid principal amount, if prepaid after the second anniversary of the Hayfin Second Amendment and on or prior to the third anniversary of the Hayfin Second Amendment. The Hayfin Second Amendment also provides for a 50% reduction to the foregoing early prepayment fees if the Hayfin Loans are prepaid under certain circumstances as defined in the Hayfin Second Amendment. In addition, for any prepayments of principal, we are required to pay the 1.0% exit fee for the amount of principal being paid.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 As of March 31, 2023, we were in compliance with all of the financial covenants contained in the Hayfin Credit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December 9, 2022, we completed an underwritten public offering whereby we issued 24,125,873 shares of our common stock. Net proceeds after underwriting discounts and expenses associated with the offering were approximately $64.6 million and are being used to accelerate commercialization and production activities, complete plasma center buildouts and obtain FDA approvals, to conclude post</w:t>
        <w:noBreakHyphen/>
        <w:t>FDA marketing approval research and development projects, and for working capital, capital expenditures and general corporate purposes.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We currently have approximately $42.8 million of shares available to sell under the Distribution Agreement.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sets forth a summary of our cash flows for the periods indicated: </w:t>
      </w:r>
    </w:p>
    <w:p>
      <w:pPr>
        <w:pStyle w:val="TextBody"/>
        <w:bidi w:val="0"/>
        <w:spacing w:before="0" w:after="0"/>
        <w:jc w:val="left"/>
        <w:rPr/>
      </w:pPr>
      <w:r>
        <w:rPr/>
      </w:r>
    </w:p>
    <w:tbl>
      <w:tblPr>
        <w:tblW w:w="8261" w:type="dxa"/>
        <w:jc w:val="left"/>
        <w:tblInd w:w="0" w:type="dxa"/>
        <w:tblLayout w:type="fixed"/>
        <w:tblCellMar>
          <w:top w:w="0" w:type="dxa"/>
          <w:left w:w="0" w:type="dxa"/>
          <w:bottom w:w="0" w:type="dxa"/>
          <w:right w:w="0" w:type="dxa"/>
        </w:tblCellMar>
      </w:tblPr>
      <w:tblGrid>
        <w:gridCol w:w="4775"/>
        <w:gridCol w:w="60"/>
        <w:gridCol w:w="166"/>
        <w:gridCol w:w="1400"/>
        <w:gridCol w:w="113"/>
        <w:gridCol w:w="71"/>
        <w:gridCol w:w="166"/>
        <w:gridCol w:w="1400"/>
        <w:gridCol w:w="110"/>
      </w:tblGrid>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110"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pPr>
            <w:r>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400" w:type="dxa"/>
            <w:tcBorders/>
            <w:shd w:fill="CCEEFF" w:val="clear"/>
            <w:vAlign w:val="bottom"/>
          </w:tcPr>
          <w:p>
            <w:pPr>
              <w:pStyle w:val="TableContents"/>
              <w:bidi w:val="0"/>
              <w:spacing w:before="0" w:after="0"/>
              <w:jc w:val="right"/>
              <w:rPr/>
            </w:pPr>
            <w:r>
              <w:rPr/>
              <w:t>(14,722,274</w:t>
            </w:r>
          </w:p>
        </w:tc>
        <w:tc>
          <w:tcPr>
            <w:tcW w:w="113"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400" w:type="dxa"/>
            <w:tcBorders/>
            <w:shd w:fill="CCEEFF" w:val="clear"/>
            <w:vAlign w:val="bottom"/>
          </w:tcPr>
          <w:p>
            <w:pPr>
              <w:pStyle w:val="TableContents"/>
              <w:bidi w:val="0"/>
              <w:spacing w:before="0" w:after="0"/>
              <w:jc w:val="right"/>
              <w:rPr/>
            </w:pPr>
            <w:r>
              <w:rPr/>
              <w:t>(26,013,413</w:t>
            </w:r>
          </w:p>
        </w:tc>
        <w:tc>
          <w:tcPr>
            <w:tcW w:w="110" w:type="dxa"/>
            <w:tcBorders/>
            <w:shd w:fill="CCEEFF" w:val="clear"/>
            <w:vAlign w:val="bottom"/>
          </w:tcPr>
          <w:p>
            <w:pPr>
              <w:pStyle w:val="TableContents"/>
              <w:bidi w:val="0"/>
              <w:spacing w:before="0" w:after="0"/>
              <w:jc w:val="left"/>
              <w:rPr/>
            </w:pPr>
            <w:r>
              <w:rPr/>
              <w:t>)</w:t>
            </w:r>
          </w:p>
        </w:tc>
      </w:tr>
      <w:tr>
        <w:trPr/>
        <w:tc>
          <w:tcPr>
            <w:tcW w:w="4775" w:type="dxa"/>
            <w:tcBorders/>
            <w:vAlign w:val="bottom"/>
          </w:tcPr>
          <w:p>
            <w:pPr>
              <w:pStyle w:val="TableContents"/>
              <w:bidi w:val="0"/>
              <w:spacing w:before="0" w:after="0"/>
              <w:ind w:left="144" w:right="0" w:hanging="144"/>
              <w:jc w:val="left"/>
              <w:rPr/>
            </w:pPr>
            <w:r>
              <w:rPr/>
              <w:t>Net cash used in investing activities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(1,944,596</w:t>
            </w:r>
          </w:p>
        </w:tc>
        <w:tc>
          <w:tcPr>
            <w:tcW w:w="113"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(2,842,085</w:t>
            </w:r>
          </w:p>
        </w:tc>
        <w:tc>
          <w:tcPr>
            <w:tcW w:w="110" w:type="dxa"/>
            <w:tcBorders/>
            <w:vAlign w:val="bottom"/>
          </w:tcPr>
          <w:p>
            <w:pPr>
              <w:pStyle w:val="TableContents"/>
              <w:bidi w:val="0"/>
              <w:spacing w:before="0" w:after="0"/>
              <w:jc w:val="left"/>
              <w:rPr/>
            </w:pPr>
            <w:r>
              <w:rPr/>
              <w:t>)</w:t>
            </w:r>
          </w:p>
        </w:tc>
      </w:tr>
      <w:tr>
        <w:trPr/>
        <w:tc>
          <w:tcPr>
            <w:tcW w:w="4775" w:type="dxa"/>
            <w:tcBorders/>
            <w:shd w:fill="CCEEFF" w:val="clear"/>
            <w:vAlign w:val="bottom"/>
          </w:tcPr>
          <w:p>
            <w:pPr>
              <w:pStyle w:val="TableContents"/>
              <w:bidi w:val="0"/>
              <w:spacing w:before="0" w:after="0"/>
              <w:ind w:left="144" w:right="0" w:hanging="144"/>
              <w:jc w:val="left"/>
              <w:rPr/>
            </w:pPr>
            <w:r>
              <w:rPr/>
              <w:t>Net cash (used in) provided by financing activities</w:t>
            </w:r>
          </w:p>
        </w:tc>
        <w:tc>
          <w:tcPr>
            <w:tcW w:w="60"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bottom"/>
          </w:tcPr>
          <w:p>
            <w:pPr>
              <w:pStyle w:val="TableContents"/>
              <w:bidi w:val="0"/>
              <w:spacing w:before="0" w:after="0"/>
              <w:jc w:val="right"/>
              <w:rPr/>
            </w:pPr>
            <w:r>
              <w:rPr/>
              <w:t>(650,509</w:t>
            </w:r>
          </w:p>
        </w:tc>
        <w:tc>
          <w:tcPr>
            <w:tcW w:w="113"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bottom"/>
          </w:tcPr>
          <w:p>
            <w:pPr>
              <w:pStyle w:val="TableContents"/>
              <w:bidi w:val="0"/>
              <w:spacing w:before="0" w:after="0"/>
              <w:jc w:val="right"/>
              <w:rPr/>
            </w:pPr>
            <w:r>
              <w:rPr/>
              <w:t>47,271,326</w:t>
            </w:r>
          </w:p>
        </w:tc>
        <w:tc>
          <w:tcPr>
            <w:tcW w:w="110"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pPr>
            <w:r>
              <w:rPr/>
              <w:t>Net change in cash and cash equivalents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(17,317,379</w:t>
            </w:r>
          </w:p>
        </w:tc>
        <w:tc>
          <w:tcPr>
            <w:tcW w:w="113"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18,415,828</w:t>
            </w:r>
          </w:p>
        </w:tc>
        <w:tc>
          <w:tcPr>
            <w:tcW w:w="110"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pPr>
            <w:r>
              <w:rPr/>
              <w:t>Cash and cash equivalents - beginning of period</w:t>
            </w:r>
          </w:p>
        </w:tc>
        <w:tc>
          <w:tcPr>
            <w:tcW w:w="60"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0" w:type="dxa"/>
            <w:tcBorders>
              <w:bottom w:val="single" w:sz="12" w:space="0" w:color="000000"/>
            </w:tcBorders>
            <w:tcMar>
              <w:bottom w:w="28" w:type="dxa"/>
            </w:tcMar>
            <w:vAlign w:val="bottom"/>
          </w:tcPr>
          <w:p>
            <w:pPr>
              <w:pStyle w:val="TableContents"/>
              <w:bidi w:val="0"/>
              <w:spacing w:before="0" w:after="0"/>
              <w:jc w:val="right"/>
              <w:rPr/>
            </w:pPr>
            <w:r>
              <w:rPr/>
              <w:t>86,521,542</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0" w:type="dxa"/>
            <w:tcBorders>
              <w:bottom w:val="single" w:sz="12" w:space="0" w:color="000000"/>
            </w:tcBorders>
            <w:tcMar>
              <w:bottom w:w="28" w:type="dxa"/>
            </w:tcMar>
            <w:vAlign w:val="bottom"/>
          </w:tcPr>
          <w:p>
            <w:pPr>
              <w:pStyle w:val="TableContents"/>
              <w:bidi w:val="0"/>
              <w:spacing w:before="0" w:after="0"/>
              <w:jc w:val="right"/>
              <w:rPr/>
            </w:pPr>
            <w:r>
              <w:rPr/>
              <w:t>51,089,118</w:t>
            </w:r>
          </w:p>
        </w:tc>
        <w:tc>
          <w:tcPr>
            <w:tcW w:w="110"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pPr>
            <w:r>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00" w:type="dxa"/>
            <w:tcBorders>
              <w:bottom w:val="double" w:sz="8" w:space="0" w:color="000000"/>
            </w:tcBorders>
            <w:shd w:fill="CCEEFF" w:val="clear"/>
            <w:tcMar>
              <w:bottom w:w="28" w:type="dxa"/>
            </w:tcMar>
            <w:vAlign w:val="bottom"/>
          </w:tcPr>
          <w:p>
            <w:pPr>
              <w:pStyle w:val="TableContents"/>
              <w:bidi w:val="0"/>
              <w:spacing w:before="0" w:after="0"/>
              <w:jc w:val="right"/>
              <w:rPr/>
            </w:pPr>
            <w:r>
              <w:rPr/>
              <w:t>69,204,163</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00" w:type="dxa"/>
            <w:tcBorders>
              <w:bottom w:val="double" w:sz="8" w:space="0" w:color="000000"/>
            </w:tcBorders>
            <w:shd w:fill="CCEEFF" w:val="clear"/>
            <w:tcMar>
              <w:bottom w:w="28" w:type="dxa"/>
            </w:tcMar>
            <w:vAlign w:val="bottom"/>
          </w:tcPr>
          <w:p>
            <w:pPr>
              <w:pStyle w:val="TableContents"/>
              <w:bidi w:val="0"/>
              <w:spacing w:before="0" w:after="0"/>
              <w:jc w:val="right"/>
              <w:rPr/>
            </w:pPr>
            <w:r>
              <w:rPr/>
              <w:t>69,504,946</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0" w:after="0"/>
        <w:jc w:val="left"/>
        <w:rPr>
          <w:b/>
          <w:i/>
        </w:rPr>
      </w:pPr>
      <w:r>
        <w:rPr>
          <w:b/>
          <w:i/>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Cash used in operations for the three months ended March 31, 2023 was $14.7 million, a decrease of $11.3 million from the same period of a year ago, mainly due to a lower net loss after non-cash items. The following table illustrates the primary components of and changes to our cash flows from operations:</w:t>
      </w:r>
    </w:p>
    <w:p>
      <w:pPr>
        <w:pStyle w:val="TextBody"/>
        <w:bidi w:val="0"/>
        <w:spacing w:before="0" w:after="0"/>
        <w:jc w:val="left"/>
        <w:rPr/>
      </w:pPr>
      <w:r>
        <w:rPr/>
      </w:r>
    </w:p>
    <w:tbl>
      <w:tblPr>
        <w:tblW w:w="8531" w:type="dxa"/>
        <w:jc w:val="left"/>
        <w:tblInd w:w="0" w:type="dxa"/>
        <w:tblLayout w:type="fixed"/>
        <w:tblCellMar>
          <w:top w:w="0" w:type="dxa"/>
          <w:left w:w="0" w:type="dxa"/>
          <w:bottom w:w="0" w:type="dxa"/>
          <w:right w:w="0" w:type="dxa"/>
        </w:tblCellMar>
      </w:tblPr>
      <w:tblGrid>
        <w:gridCol w:w="5045"/>
        <w:gridCol w:w="60"/>
        <w:gridCol w:w="166"/>
        <w:gridCol w:w="1400"/>
        <w:gridCol w:w="113"/>
        <w:gridCol w:w="71"/>
        <w:gridCol w:w="166"/>
        <w:gridCol w:w="1400"/>
        <w:gridCol w:w="110"/>
      </w:tblGrid>
      <w:tr>
        <w:trPr/>
        <w:tc>
          <w:tcPr>
            <w:tcW w:w="5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110" w:type="dxa"/>
            <w:tcBorders/>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pPr>
            <w:r>
              <w:rPr/>
              <w:t>Net loss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400" w:type="dxa"/>
            <w:tcBorders/>
            <w:shd w:fill="CCEEFF" w:val="clear"/>
            <w:vAlign w:val="bottom"/>
          </w:tcPr>
          <w:p>
            <w:pPr>
              <w:pStyle w:val="TableContents"/>
              <w:bidi w:val="0"/>
              <w:spacing w:before="0" w:after="0"/>
              <w:jc w:val="right"/>
              <w:rPr/>
            </w:pPr>
            <w:r>
              <w:rPr/>
              <w:t>(6,788,815</w:t>
            </w:r>
          </w:p>
        </w:tc>
        <w:tc>
          <w:tcPr>
            <w:tcW w:w="113"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400" w:type="dxa"/>
            <w:tcBorders/>
            <w:shd w:fill="CCEEFF" w:val="clear"/>
            <w:vAlign w:val="bottom"/>
          </w:tcPr>
          <w:p>
            <w:pPr>
              <w:pStyle w:val="TableContents"/>
              <w:bidi w:val="0"/>
              <w:spacing w:before="0" w:after="0"/>
              <w:jc w:val="right"/>
              <w:rPr/>
            </w:pPr>
            <w:r>
              <w:rPr/>
              <w:t>(25,007,857</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Non-cash expenses, gains and losses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4,593,386</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10,452,680</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pPr>
            <w:r>
              <w:rPr/>
              <w:t>Changes in accounts receivable</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0"/>
              <w:jc w:val="right"/>
              <w:rPr/>
            </w:pPr>
            <w:r>
              <w:rPr/>
              <w:t>(11,013,446</w:t>
            </w:r>
          </w:p>
        </w:tc>
        <w:tc>
          <w:tcPr>
            <w:tcW w:w="113"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0"/>
              <w:jc w:val="right"/>
              <w:rPr/>
            </w:pPr>
            <w:r>
              <w:rPr/>
              <w:t>2,947,233</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pPr>
            <w:r>
              <w:rPr/>
              <w:t>Changes in inventories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(704,826</w:t>
            </w:r>
          </w:p>
        </w:tc>
        <w:tc>
          <w:tcPr>
            <w:tcW w:w="113"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(14,422,219</w:t>
            </w:r>
          </w:p>
        </w:tc>
        <w:tc>
          <w:tcPr>
            <w:tcW w:w="110" w:type="dxa"/>
            <w:tcBorders/>
            <w:vAlign w:val="bottom"/>
          </w:tcPr>
          <w:p>
            <w:pPr>
              <w:pStyle w:val="TableContents"/>
              <w:bidi w:val="0"/>
              <w:spacing w:before="0" w:after="0"/>
              <w:jc w:val="left"/>
              <w:rPr/>
            </w:pPr>
            <w:r>
              <w:rPr/>
              <w:t>)</w:t>
            </w:r>
          </w:p>
        </w:tc>
      </w:tr>
      <w:tr>
        <w:trPr/>
        <w:tc>
          <w:tcPr>
            <w:tcW w:w="5045" w:type="dxa"/>
            <w:tcBorders/>
            <w:shd w:fill="CCEEFF" w:val="clear"/>
            <w:vAlign w:val="bottom"/>
          </w:tcPr>
          <w:p>
            <w:pPr>
              <w:pStyle w:val="TableContents"/>
              <w:bidi w:val="0"/>
              <w:spacing w:before="0" w:after="0"/>
              <w:ind w:left="144" w:right="0" w:hanging="144"/>
              <w:jc w:val="left"/>
              <w:rPr/>
            </w:pPr>
            <w:r>
              <w:rPr/>
              <w:t>Changes in 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0"/>
              <w:jc w:val="right"/>
              <w:rPr/>
            </w:pPr>
            <w:r>
              <w:rPr/>
              <w:t>716,465</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0"/>
              <w:jc w:val="right"/>
              <w:rPr/>
            </w:pPr>
            <w:r>
              <w:rPr/>
              <w:t>(1,180,056</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Changes in accounts payable and accrued expenses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(1,626,719</w:t>
            </w:r>
          </w:p>
        </w:tc>
        <w:tc>
          <w:tcPr>
            <w:tcW w:w="113"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right"/>
              <w:rPr/>
            </w:pPr>
            <w:r>
              <w:rPr/>
              <w:t>(89,802</w:t>
            </w:r>
          </w:p>
        </w:tc>
        <w:tc>
          <w:tcPr>
            <w:tcW w:w="110" w:type="dxa"/>
            <w:tcBorders/>
            <w:vAlign w:val="bottom"/>
          </w:tcPr>
          <w:p>
            <w:pPr>
              <w:pStyle w:val="TableContents"/>
              <w:bidi w:val="0"/>
              <w:spacing w:before="0" w:after="0"/>
              <w:jc w:val="left"/>
              <w:rPr/>
            </w:pPr>
            <w:r>
              <w:rPr/>
              <w:t>)</w:t>
            </w:r>
          </w:p>
        </w:tc>
      </w:tr>
      <w:tr>
        <w:trPr/>
        <w:tc>
          <w:tcPr>
            <w:tcW w:w="5045" w:type="dxa"/>
            <w:tcBorders/>
            <w:shd w:fill="CCEEFF" w:val="clear"/>
            <w:vAlign w:val="bottom"/>
          </w:tcPr>
          <w:p>
            <w:pPr>
              <w:pStyle w:val="TableContents"/>
              <w:bidi w:val="0"/>
              <w:spacing w:before="0" w:after="0"/>
              <w:ind w:left="144" w:right="0" w:hanging="144"/>
              <w:jc w:val="left"/>
              <w:rPr/>
            </w:pPr>
            <w:r>
              <w:rPr/>
              <w:t>Other</w:t>
            </w:r>
          </w:p>
        </w:tc>
        <w:tc>
          <w:tcPr>
            <w:tcW w:w="60"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bottom"/>
          </w:tcPr>
          <w:p>
            <w:pPr>
              <w:pStyle w:val="TableContents"/>
              <w:bidi w:val="0"/>
              <w:spacing w:before="0" w:after="0"/>
              <w:jc w:val="right"/>
              <w:rPr/>
            </w:pPr>
            <w:r>
              <w:rPr/>
              <w:t>101,681</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bottom"/>
          </w:tcPr>
          <w:p>
            <w:pPr>
              <w:pStyle w:val="TableContents"/>
              <w:bidi w:val="0"/>
              <w:spacing w:before="0" w:after="0"/>
              <w:jc w:val="right"/>
              <w:rPr/>
            </w:pPr>
            <w:r>
              <w:rPr/>
              <w:t>1,286,608</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pPr>
            <w:r>
              <w:rPr/>
              <w:t>Cash used in operations</w:t>
            </w:r>
          </w:p>
        </w:tc>
        <w:tc>
          <w:tcPr>
            <w:tcW w:w="60"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pPr>
            <w:r>
              <w:rPr/>
              <w:t>$</w:t>
            </w:r>
          </w:p>
        </w:tc>
        <w:tc>
          <w:tcPr>
            <w:tcW w:w="1400" w:type="dxa"/>
            <w:tcBorders>
              <w:bottom w:val="double" w:sz="8" w:space="0" w:color="000000"/>
            </w:tcBorders>
            <w:tcMar>
              <w:bottom w:w="28" w:type="dxa"/>
            </w:tcMar>
            <w:vAlign w:val="bottom"/>
          </w:tcPr>
          <w:p>
            <w:pPr>
              <w:pStyle w:val="TableContents"/>
              <w:bidi w:val="0"/>
              <w:spacing w:before="0" w:after="0"/>
              <w:jc w:val="right"/>
              <w:rPr/>
            </w:pPr>
            <w:r>
              <w:rPr/>
              <w:t>(14,722,274</w:t>
            </w:r>
          </w:p>
        </w:tc>
        <w:tc>
          <w:tcPr>
            <w:tcW w:w="113"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pPr>
            <w:r>
              <w:rPr/>
              <w:t>$</w:t>
            </w:r>
          </w:p>
        </w:tc>
        <w:tc>
          <w:tcPr>
            <w:tcW w:w="1400" w:type="dxa"/>
            <w:tcBorders>
              <w:bottom w:val="double" w:sz="8" w:space="0" w:color="000000"/>
            </w:tcBorders>
            <w:tcMar>
              <w:bottom w:w="28" w:type="dxa"/>
            </w:tcMar>
            <w:vAlign w:val="bottom"/>
          </w:tcPr>
          <w:p>
            <w:pPr>
              <w:pStyle w:val="TableContents"/>
              <w:bidi w:val="0"/>
              <w:spacing w:before="0" w:after="0"/>
              <w:jc w:val="right"/>
              <w:rPr/>
            </w:pPr>
            <w:r>
              <w:rPr/>
              <w:t>(26,013,413</w:t>
            </w:r>
          </w:p>
        </w:tc>
        <w:tc>
          <w:tcPr>
            <w:tcW w:w="11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2023 and 2022 was $1.9 million and $2.8 million, respectively, consisting of capital expenditures for the construction and buildout of new plasma collection centers and related equipment and capital expenditures at the Boca Facility. While we currently have no firm commitments for capital expenditures, we expect our total capital expenditures will be between $7.0 million and $9.0 million for the remainder of fiscal 2023, mainly for additional upgrades to the Boca Facility manufacturing operations and related systems.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Cash used in financing activities was $0.7 million for the three months ended March 31, 2023, as compared to cash provided by financing activities was $47.3 million for the three months ended March 31, 2022 which mainly consisted of proceeds received from the Hayfin Credit Facility, net of payments to retire our previously existing credit facility with Perceptive (see Note 7 to the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Effect of Inflation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Inflation impacted a number of facets of our business during the three months ended March 31, 2023 and 2022 at both of our business segments. We experienced price increases for, among other items, certain raw materials, consumable supplies, services for repairs and maintenance of our facilities, utilities, shipping and freight charges, fuel surcharges and labor costs. We expect this trend to continue through 2023 and potentially longer, which could have a significant impact on our future results of operations. In addition, some of our plasma purchase agreements provide for annual price increases that are tied to various consumer price indices, which have resulted in higher than historical percentage price increases and has resulted in and is expected to continue to result in higher source plasma and other raw material and supplies costs in the remainder of 2023 and future periods.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0"/>
        <w:ind w:left="1440" w:right="0" w:hanging="1440"/>
        <w:jc w:val="left"/>
        <w:rPr/>
      </w:pPr>
      <w:r>
        <w:rPr/>
      </w:r>
    </w:p>
    <w:p>
      <w:pPr>
        <w:pStyle w:val="Normal"/>
        <w:bidi w:val="0"/>
        <w:spacing w:before="0" w:after="0"/>
        <w:jc w:val="left"/>
        <w:rPr>
          <w:sz w:val="4"/>
          <w:szCs w:val="4"/>
        </w:rPr>
      </w:pPr>
      <w:r>
        <w:rPr>
          <w:sz w:val="4"/>
          <w:szCs w:val="4"/>
        </w:rPr>
      </w:r>
      <w:bookmarkStart w:id="8" w:name="QuantitativeandQualitativ"/>
      <w:bookmarkStart w:id="9" w:name="QuantitativeandQualitativ"/>
      <w:bookmarkEnd w:id="9"/>
    </w:p>
    <w:tbl>
      <w:tblPr>
        <w:tblW w:w="6970" w:type="dxa"/>
        <w:jc w:val="left"/>
        <w:tblInd w:w="0" w:type="dxa"/>
        <w:tblLayout w:type="fixed"/>
        <w:tblCellMar>
          <w:top w:w="0" w:type="dxa"/>
          <w:left w:w="0" w:type="dxa"/>
          <w:bottom w:w="0" w:type="dxa"/>
          <w:right w:w="0" w:type="dxa"/>
        </w:tblCellMar>
      </w:tblPr>
      <w:tblGrid>
        <w:gridCol w:w="740"/>
        <w:gridCol w:w="6230"/>
      </w:tblGrid>
      <w:tr>
        <w:trPr/>
        <w:tc>
          <w:tcPr>
            <w:tcW w:w="740" w:type="dxa"/>
            <w:tcBorders/>
            <w:vAlign w:val="center"/>
          </w:tcPr>
          <w:p>
            <w:pPr>
              <w:pStyle w:val="TableContents"/>
              <w:bidi w:val="0"/>
              <w:spacing w:before="0" w:after="283"/>
              <w:jc w:val="left"/>
              <w:rPr>
                <w:b/>
              </w:rPr>
            </w:pPr>
            <w:r>
              <w:rPr>
                <w:b/>
              </w:rPr>
              <w:t>Item 3.</w:t>
            </w:r>
          </w:p>
        </w:tc>
        <w:tc>
          <w:tcPr>
            <w:tcW w:w="62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ControlsandProcedures."/>
      <w:bookmarkStart w:id="11" w:name="ControlsandProcedures."/>
      <w:bookmarkEnd w:id="11"/>
    </w:p>
    <w:tbl>
      <w:tblPr>
        <w:tblW w:w="3385" w:type="dxa"/>
        <w:jc w:val="left"/>
        <w:tblInd w:w="0" w:type="dxa"/>
        <w:tblLayout w:type="fixed"/>
        <w:tblCellMar>
          <w:top w:w="0" w:type="dxa"/>
          <w:left w:w="0" w:type="dxa"/>
          <w:bottom w:w="0" w:type="dxa"/>
          <w:right w:w="0" w:type="dxa"/>
        </w:tblCellMar>
      </w:tblPr>
      <w:tblGrid>
        <w:gridCol w:w="740"/>
        <w:gridCol w:w="2645"/>
      </w:tblGrid>
      <w:tr>
        <w:trPr/>
        <w:tc>
          <w:tcPr>
            <w:tcW w:w="740" w:type="dxa"/>
            <w:tcBorders/>
            <w:vAlign w:val="center"/>
          </w:tcPr>
          <w:p>
            <w:pPr>
              <w:pStyle w:val="TableContents"/>
              <w:bidi w:val="0"/>
              <w:spacing w:before="0" w:after="283"/>
              <w:jc w:val="left"/>
              <w:rPr>
                <w:b/>
              </w:rPr>
            </w:pPr>
            <w:r>
              <w:rPr>
                <w:b/>
              </w:rPr>
              <w:t>Item 4.</w:t>
            </w:r>
          </w:p>
        </w:tc>
        <w:tc>
          <w:tcPr>
            <w:tcW w:w="264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Under the supervision of and with the participation of our management, including our principal executive officer and principal financial officer, we conducted an evaluation of our disclosure controls and procedures as of March 31, 2023. Based on this evaluation, our principal executive officer and our principal financial officer concluded that our disclosure controls and procedures as of March 31, 2023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quarter ended March 31, 2023 that have materially affected, or are reasonably likely to materially affect, our internal control over financial reporting.</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bookmarkStart w:id="12" w:name="PARTII"/>
      <w:bookmarkEnd w:id="12"/>
      <w:r>
        <w:rPr>
          <w:rFonts w:ascii="Times New Roman" w:hAnsi="Times New Roman"/>
          <w:b/>
          <w:color w:val="000000"/>
          <w:sz w:val="20"/>
        </w:rPr>
        <w:t>PART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 w:name="LegalProceedings."/>
      <w:bookmarkStart w:id="14" w:name="LegalProceedings."/>
      <w:bookmarkEnd w:id="14"/>
    </w:p>
    <w:tbl>
      <w:tblPr>
        <w:tblW w:w="2695" w:type="dxa"/>
        <w:jc w:val="left"/>
        <w:tblInd w:w="0" w:type="dxa"/>
        <w:tblLayout w:type="fixed"/>
        <w:tblCellMar>
          <w:top w:w="0" w:type="dxa"/>
          <w:left w:w="0" w:type="dxa"/>
          <w:bottom w:w="0" w:type="dxa"/>
          <w:right w:w="0" w:type="dxa"/>
        </w:tblCellMar>
      </w:tblPr>
      <w:tblGrid>
        <w:gridCol w:w="740"/>
        <w:gridCol w:w="1955"/>
      </w:tblGrid>
      <w:tr>
        <w:trPr/>
        <w:tc>
          <w:tcPr>
            <w:tcW w:w="740" w:type="dxa"/>
            <w:tcBorders/>
            <w:vAlign w:val="center"/>
          </w:tcPr>
          <w:p>
            <w:pPr>
              <w:pStyle w:val="TableContents"/>
              <w:bidi w:val="0"/>
              <w:spacing w:before="0" w:after="283"/>
              <w:jc w:val="left"/>
              <w:rPr>
                <w:b/>
              </w:rPr>
            </w:pPr>
            <w:r>
              <w:rPr>
                <w:b/>
              </w:rPr>
              <w:t>Item 1.</w:t>
            </w:r>
          </w:p>
        </w:tc>
        <w:tc>
          <w:tcPr>
            <w:tcW w:w="195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RiskFactors"/>
      <w:bookmarkStart w:id="16" w:name="RiskFactors"/>
      <w:bookmarkEnd w:id="16"/>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rPr>
            </w:pPr>
            <w:r>
              <w:rPr>
                <w:b/>
              </w:rPr>
              <w:t>Item 1A.</w:t>
            </w:r>
          </w:p>
        </w:tc>
        <w:tc>
          <w:tcPr>
            <w:tcW w:w="132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the 2022 10-K and our other filings with the SEC, before making an investment decision regarding our common stock.</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a history of losses and we may, in the future, need to raise additional capital to operate our business, which may not be available on favorable terms, if at all.</w:t>
            </w:r>
          </w:p>
        </w:tc>
      </w:tr>
    </w:tbl>
    <w:p>
      <w:pPr>
        <w:pStyle w:val="TextBody"/>
        <w:bidi w:val="0"/>
        <w:spacing w:before="0" w:after="0"/>
        <w:jc w:val="left"/>
        <w:rPr>
          <w:color w:val="000000"/>
        </w:rPr>
      </w:pPr>
      <w:r>
        <w:rPr>
          <w:color w:val="000000"/>
        </w:rPr>
        <w:t> </w:t>
      </w:r>
    </w:p>
    <w:tbl>
      <w:tblPr>
        <w:tblW w:w="6348" w:type="dxa"/>
        <w:jc w:val="left"/>
        <w:tblInd w:w="0" w:type="dxa"/>
        <w:tblLayout w:type="fixed"/>
        <w:tblCellMar>
          <w:top w:w="0" w:type="dxa"/>
          <w:left w:w="0" w:type="dxa"/>
          <w:bottom w:w="0" w:type="dxa"/>
          <w:right w:w="0" w:type="dxa"/>
        </w:tblCellMar>
      </w:tblPr>
      <w:tblGrid>
        <w:gridCol w:w="38"/>
        <w:gridCol w:w="110"/>
        <w:gridCol w:w="6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0"/>
              <w:jc w:val="left"/>
              <w:rPr/>
            </w:pPr>
            <w:r>
              <w:rPr/>
              <w:t>We are currently not profitable and may never become profitable.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COVID-19 pandemic or other pandemics and efforts to reduce their spread has significantly affected worldwide economic conditions and could have a material adverse impact on our business, liquidity, financial condition and results of operations, as well as a change to the overall market size and potential for our products.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Both of our business segments and our facilities are subject to periodic inspections by the FDA, which, depending on the outcome of such inspections, could result in certain FDA actions, including the issuance of observations, notices, citations or warning letters.</w:t>
            </w:r>
          </w:p>
        </w:tc>
      </w:tr>
    </w:tbl>
    <w:p>
      <w:pPr>
        <w:pStyle w:val="TextBody"/>
        <w:bidi w:val="0"/>
        <w:spacing w:before="0" w:after="0"/>
        <w:jc w:val="left"/>
        <w:rPr>
          <w:color w:val="000000"/>
        </w:rPr>
      </w:pPr>
      <w:r>
        <w:rPr>
          <w:color w:val="000000"/>
        </w:rPr>
        <w:t> </w:t>
      </w:r>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left"/>
              <w:rPr/>
            </w:pPr>
            <w:r>
              <w:rPr/>
              <w:t>Business interruptions could adversely affect our business.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With the approval to market ASCENIV, BIVIGAM and Nabi-HB, there can be no assurance that we will be successful in further developing and expanding commercial operations or balancing our research and development activities with our commercialization activities.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depend on third-party researchers, developers and vendors to develop, manufacture, supply materials for or test our products and product candidates, and such parties are outside of our control.</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unable to successfully expand our manufacturing processes to fulfill demand for our products or increase our production capabilities through the addition of new equipment, including if we do not obtain requisite approval from the FDA.</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Historically, a few customers have accounted for a significant amount of our total revenue and accounts receivable and the loss of any of these customers could have a material adverse effect on our business, results of operations and financial condition.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Issues with product quality and compliance could have a material adverse effect upon our business, subject us to regulatory actions and cause a loss of customer confidence in us or our products.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physicians, payers and patients do not accept and use our current products or our future product candidates, our ability to generate revenue from these products will be materially impaired.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ADMA BioCenters operations collect information from donors in the U.S. that subjects us to consumer and health privacy laws, which could create enforcement and litigation exposure if we fail to meet their requirements.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senior credit facility with Hayfin Services LLP (“Hayfin”) is subject to acceleration in specified circumstances, which may result in Hayfin taking possession and disposing of any collateral.</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are unable to protect our patents, trade secrets or other proprietary rights, if our patents are challenged or if our provisional patent applications do not get approved, our competitiveness and business prospects may be materially damaged.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Cyberattacks and other security breaches could compromise our proprietary and confidential information, which could harm our business and reputation.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continue to produce safe and effective products depends on the safety of our plasma supply, testing by third parties and the timing of receiving the testing results, and manufacturing processes against transmittable diseases.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could become supply-constrained and our financial performance would suffer if we cannot obtain adequate quantities of FDA-approved source plasma with proper specifications or other necessary raw materials.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market price of our common stock may be volatile and may fluctuate in a way that is disproportionate to our operating performance.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Risks Relating to our Business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To date, we have a history of losses and have historically needed to raise, and in the future may be required to raise, additional capital to operate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currently anticipate, based upon our projected revenue and expenditures, that our current cash, cash equivalents and accounts receivable will be sufficient to fund our operations, as currently conducted, through the end of the second quarter of 2024, by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anticipate that we will not be able to generate a sufficient amount of product revenue to achieve profitability until the beginning of 2024. If we are unable to generate sufficient positive cash flow in the first quarter of 2024 and cannot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also continue to evaluate a variety of strategic alternatives through our ongoing engagement with Morgan Stanley. The exploration of value-creating opportunities remains a top corporate priority for ADMA.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Historically, the major source of our cash has been from proceeds from various public offerings of our common stock and the issuance of debt securities. The actual amount of additional cash that we may need, if any,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are currently not profitable and may never become profitable.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a history of losses and expect to incur substantial losses and negative operating cash flows in  fiscal 2023, and we may never achieve or maintain profitability. For the years ended December 31, 2022 and 2021, we incurred net losses of $65.9 million and $71.6 million, respectively, and for the three months ended March 31, 2023 and 2022 we incurred net losses of $6.8 million and $25.0 million, respectively. From our inception in 2004 through March 31, 2023, we have incurred an accumulated deficit of $484.8 million. We expect that we will not be able to generate a sufficient amount of product revenue to achieve profitability until the beginning of 2024 and if we are unable to achieve positive cash flow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pStyle w:val="TextBody"/>
        <w:bidi w:val="0"/>
        <w:spacing w:before="0" w:after="0"/>
        <w:jc w:val="left"/>
        <w:rPr/>
      </w:pPr>
      <w:r>
        <w:rPr/>
      </w:r>
    </w:p>
    <w:tbl>
      <w:tblPr>
        <w:tblW w:w="4788" w:type="dxa"/>
        <w:jc w:val="left"/>
        <w:tblInd w:w="0" w:type="dxa"/>
        <w:tblLayout w:type="fixed"/>
        <w:tblCellMar>
          <w:top w:w="0" w:type="dxa"/>
          <w:left w:w="0" w:type="dxa"/>
          <w:bottom w:w="0" w:type="dxa"/>
          <w:right w:w="0" w:type="dxa"/>
        </w:tblCellMar>
      </w:tblPr>
      <w:tblGrid>
        <w:gridCol w:w="38"/>
        <w:gridCol w:w="110"/>
        <w:gridCol w:w="46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0"/>
              <w:jc w:val="left"/>
              <w:rPr/>
            </w:pPr>
            <w:r>
              <w:rPr/>
              <w:t>expand commercialization and marketing efforts;</w:t>
            </w:r>
          </w:p>
        </w:tc>
      </w:tr>
    </w:tbl>
    <w:p>
      <w:pPr>
        <w:pStyle w:val="TextBody"/>
        <w:bidi w:val="0"/>
        <w:spacing w:before="0" w:after="0"/>
        <w:jc w:val="left"/>
        <w:rPr/>
      </w:pPr>
      <w:r>
        <w:rPr/>
      </w:r>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0"/>
              <w:jc w:val="left"/>
              <w:rPr/>
            </w:pPr>
            <w:r>
              <w:rPr/>
              <w:t>implement additional internal systems, controls and infrastructure;</w:t>
            </w:r>
          </w:p>
        </w:tc>
      </w:tr>
    </w:tbl>
    <w:p>
      <w:pPr>
        <w:pStyle w:val="TextBody"/>
        <w:bidi w:val="0"/>
        <w:spacing w:before="0" w:after="0"/>
        <w:jc w:val="left"/>
        <w:rPr/>
      </w:pPr>
      <w:r>
        <w:rPr/>
      </w:r>
    </w:p>
    <w:tbl>
      <w:tblPr>
        <w:tblW w:w="2568" w:type="dxa"/>
        <w:jc w:val="left"/>
        <w:tblInd w:w="0" w:type="dxa"/>
        <w:tblLayout w:type="fixed"/>
        <w:tblCellMar>
          <w:top w:w="0" w:type="dxa"/>
          <w:left w:w="0" w:type="dxa"/>
          <w:bottom w:w="0" w:type="dxa"/>
          <w:right w:w="0" w:type="dxa"/>
        </w:tblCellMar>
      </w:tblPr>
      <w:tblGrid>
        <w:gridCol w:w="38"/>
        <w:gridCol w:w="110"/>
        <w:gridCol w:w="2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0"/>
              <w:jc w:val="left"/>
              <w:rPr/>
            </w:pPr>
            <w:r>
              <w:rPr/>
              <w:t>hire additional personnel;</w:t>
            </w:r>
          </w:p>
        </w:tc>
      </w:tr>
    </w:tbl>
    <w:p>
      <w:pPr>
        <w:pStyle w:val="TextBody"/>
        <w:bidi w:val="0"/>
        <w:spacing w:before="0" w:after="0"/>
        <w:jc w:val="left"/>
        <w:rPr/>
      </w:pPr>
      <w:r>
        <w:rPr/>
      </w:r>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0"/>
              <w:jc w:val="left"/>
              <w:rPr/>
            </w:pPr>
            <w:r>
              <w:rPr/>
              <w:t>expand and build out our plasma center network; and</w:t>
            </w:r>
          </w:p>
        </w:tc>
      </w:tr>
    </w:tbl>
    <w:p>
      <w:pPr>
        <w:pStyle w:val="TextBody"/>
        <w:bidi w:val="0"/>
        <w:spacing w:before="0" w:after="0"/>
        <w:jc w:val="left"/>
        <w:rPr/>
      </w:pPr>
      <w:r>
        <w:rPr/>
      </w:r>
    </w:p>
    <w:tbl>
      <w:tblPr>
        <w:tblW w:w="4743" w:type="dxa"/>
        <w:jc w:val="left"/>
        <w:tblInd w:w="0" w:type="dxa"/>
        <w:tblLayout w:type="fixed"/>
        <w:tblCellMar>
          <w:top w:w="0" w:type="dxa"/>
          <w:left w:w="0" w:type="dxa"/>
          <w:bottom w:w="0" w:type="dxa"/>
          <w:right w:w="0" w:type="dxa"/>
        </w:tblCellMar>
      </w:tblPr>
      <w:tblGrid>
        <w:gridCol w:w="38"/>
        <w:gridCol w:w="110"/>
        <w:gridCol w:w="4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left"/>
              <w:rPr/>
            </w:pPr>
            <w:r>
              <w:rPr/>
              <w:t>expand production capacity at the Boca Facility.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a result, we will need to generate significant revenues in order to achieve and maintain profitability. We may not be able to generate these revenues or achieve profitability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COVID-19 pandemic, including the Delta, Omicron and BA.2 variants and other resistant, mutating and emerging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from the COVID-19 pandemic or future pandemics.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or the continuation of no in-person meetings) could impact our results of operations. In addition, travel and other restrictions that were implemented in the United States or could be implemented in the future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were subject to limitations, rescheduling, virtual attendance or outright cancellation in response to the pandemic. Also, due to a combination of previous state and local “shelter-in-place” orders, as well as government stimulus packages, amongst other initiatives, we were experiencing, and may experience in the future, lower than expected donor collections at our FDA-licensed plasma collection centers. We are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 After the COVID-19 global pandemic has settled, we may continue to experience adverse impacts to our business as a result of evolving macroeconomic factors, including general economic uncertainty, unemployment rates, high inflation, recessionary pressures and any actual economic recession that has occurred or may occur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pandemics or the restrictions resulting from outbreaks,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pandemics that may otherwise adversely impact our supply chains or the quality of the resulting products or supplies. Depending on the change, we may need to obtain FDA pre-approval or otherwise provide the FDA with a notification of the change.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To the extent that we or our partners are conducting clinical trials, pandemics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could require that we consult with relevant review and ethics committees, IRBs, and the FDA. The foregoing could also impact the integrity of study data. The effects of  pandemics may also increase the need for clinical trial patient monitoring and regulatory reporting of adverse effects.  Pandemics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or other circumstances unknown to us presently or that are out of our direct control. Due to the potential impact of the COVID-19 outbreak on clinical trials, drug development, and manufacturing, the FDA issued a number of guidances specifically concerning COVID-19, including guidance with respect to blood and blood components. The FDA’s guidance is continually evolving.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COVID-19 pandemic resulted in and future pandemics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meeting the necessary quality standards or at all could have a material and adverse effect on our products, business, financial condition and results from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Although we are utilizing our FDA-approved fill/finish suite that we built at the Boca Facility for a portion of our finished drug product, we also intend to continue to utilize third parties to supplement our fill/finish process for final drug product. Any failure by us, our contract fill/finishers, or other third parties involved in the process for producing our products or product candidates to comply with the applicable manufacturing, including manufacturing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anticipated reliance on a limited number of third-party manufacturers exposes us to the following risks:</w:t>
      </w:r>
    </w:p>
    <w:p>
      <w:pPr>
        <w:pStyle w:val="TextBody"/>
        <w:bidi w:val="0"/>
        <w:spacing w:before="0" w:after="0"/>
        <w:ind w:left="0" w:right="0" w:firstLine="720"/>
        <w:jc w:val="left"/>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a new fill/finisher would have to be educated in, or develop substantially equivalent processes for, the production of our products and product candidates;</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the COVID-19 pandemic could adversely affect our contracted fill/finishers’ operations, supply chain or workforce;</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third-party fill/finishers might be unable to timely provide finished drug product in sufficient quantity   to meet our commercial needs;</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 manufacturers may not be able to execute our inspection procedures and required tests appropriately;</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tc>
      </w:tr>
    </w:tbl>
    <w:p>
      <w:pPr>
        <w:pStyle w:val="TextBody"/>
        <w:bidi w:val="0"/>
        <w:spacing w:before="0" w:after="0"/>
        <w:ind w:left="0" w:right="0" w:firstLine="720"/>
        <w:jc w:val="left"/>
        <w:rPr/>
      </w:pPr>
      <w:r>
        <w:rPr/>
      </w:r>
    </w:p>
    <w:tbl>
      <w:tblPr>
        <w:tblW w:w="7975" w:type="dxa"/>
        <w:jc w:val="left"/>
        <w:tblInd w:w="0" w:type="dxa"/>
        <w:tblLayout w:type="fixed"/>
        <w:tblCellMar>
          <w:top w:w="0" w:type="dxa"/>
          <w:left w:w="0" w:type="dxa"/>
          <w:bottom w:w="0" w:type="dxa"/>
          <w:right w:w="0" w:type="dxa"/>
        </w:tblCellMar>
      </w:tblPr>
      <w:tblGrid>
        <w:gridCol w:w="125"/>
        <w:gridCol w:w="7850"/>
      </w:tblGrid>
      <w:tr>
        <w:trPr/>
        <w:tc>
          <w:tcPr>
            <w:tcW w:w="125"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0"/>
              <w:jc w:val="left"/>
              <w:rPr/>
            </w:pPr>
            <w:r>
              <w:rPr/>
              <w:t>our third-party fill/finishers could breach or terminate their agreements with us; and</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contract fill/finishers may have unacceptable or inconsistent drug product quality success rates and yields, and we have no direct control over our contract fill/finishers’ ability to maintain adequate quality control, quality assurance and qualified personnel.</w:t>
            </w:r>
          </w:p>
        </w:tc>
      </w:tr>
    </w:tbl>
    <w:p>
      <w:pPr>
        <w:pStyle w:val="TextBody"/>
        <w:bidi w:val="0"/>
        <w:spacing w:before="0" w:after="0"/>
        <w:ind w:left="0" w:right="0" w:firstLine="72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and our suppliers and contractors may be unable to comply with our specifications, cGMP requirements and with other FDA, state, and foreign regulatory requirements for commercial and clinical supply. The FDA is authorized to perform inspections and remote regulatory assessments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event of any FDA enforcement actions, we and our third-party contractors would need to implement remedial actions which may be time-intensive or costly. 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color w:val="000000"/>
          <w:sz w:val="20"/>
        </w:rPr>
      </w:pPr>
      <w:r>
        <w:rPr>
          <w:rFonts w:ascii="Times New Roman" w:hAnsi="Times New Roman"/>
          <w:b/>
          <w:i/>
          <w:color w:val="000000"/>
          <w:sz w:val="20"/>
        </w:rPr>
        <w:t>Business interruptions could adversely affect our business</w:t>
      </w:r>
      <w:r>
        <w:rPr>
          <w:rFonts w:ascii="Times New Roman" w:hAnsi="Times New Roman"/>
          <w:b/>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or ultimate product approval for any current or future development product candidate may be delayed by several factors, including:</w:t>
      </w:r>
    </w:p>
    <w:p>
      <w:pPr>
        <w:pStyle w:val="TextBody"/>
        <w:bidi w:val="0"/>
        <w:spacing w:before="0" w:after="0"/>
        <w:jc w:val="left"/>
        <w:rPr/>
      </w:pPr>
      <w:r>
        <w:rPr/>
      </w:r>
    </w:p>
    <w:tbl>
      <w:tblPr>
        <w:tblW w:w="2508" w:type="dxa"/>
        <w:jc w:val="left"/>
        <w:tblInd w:w="0" w:type="dxa"/>
        <w:tblLayout w:type="fixed"/>
        <w:tblCellMar>
          <w:top w:w="0" w:type="dxa"/>
          <w:left w:w="0" w:type="dxa"/>
          <w:bottom w:w="0" w:type="dxa"/>
          <w:right w:w="0" w:type="dxa"/>
        </w:tblCellMar>
      </w:tblPr>
      <w:tblGrid>
        <w:gridCol w:w="38"/>
        <w:gridCol w:w="110"/>
        <w:gridCol w:w="2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0"/>
              <w:jc w:val="left"/>
              <w:rPr/>
            </w:pPr>
            <w:r>
              <w:rPr/>
              <w:t>unforeseen safety issues;</w:t>
            </w:r>
          </w:p>
        </w:tc>
      </w:tr>
    </w:tbl>
    <w:p>
      <w:pPr>
        <w:pStyle w:val="TextBody"/>
        <w:bidi w:val="0"/>
        <w:spacing w:before="0" w:after="0"/>
        <w:ind w:left="720" w:right="0" w:hanging="360"/>
        <w:jc w:val="left"/>
        <w:rPr/>
      </w:pPr>
      <w:r>
        <w:rPr/>
      </w:r>
    </w:p>
    <w:tbl>
      <w:tblPr>
        <w:tblW w:w="3093" w:type="dxa"/>
        <w:jc w:val="left"/>
        <w:tblInd w:w="0" w:type="dxa"/>
        <w:tblLayout w:type="fixed"/>
        <w:tblCellMar>
          <w:top w:w="0" w:type="dxa"/>
          <w:left w:w="0" w:type="dxa"/>
          <w:bottom w:w="0" w:type="dxa"/>
          <w:right w:w="0" w:type="dxa"/>
        </w:tblCellMar>
      </w:tblPr>
      <w:tblGrid>
        <w:gridCol w:w="38"/>
        <w:gridCol w:w="110"/>
        <w:gridCol w:w="2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0"/>
              <w:jc w:val="left"/>
              <w:rPr/>
            </w:pPr>
            <w:r>
              <w:rPr/>
              <w:t>determination of dosing issues;</w:t>
            </w:r>
          </w:p>
        </w:tc>
      </w:tr>
    </w:tbl>
    <w:p>
      <w:pPr>
        <w:pStyle w:val="TextBody"/>
        <w:bidi w:val="0"/>
        <w:spacing w:before="0" w:after="0"/>
        <w:ind w:left="720" w:right="0" w:hanging="360"/>
        <w:jc w:val="left"/>
        <w:rPr/>
      </w:pPr>
      <w:r>
        <w:rPr/>
      </w:r>
    </w:p>
    <w:tbl>
      <w:tblPr>
        <w:tblW w:w="4953" w:type="dxa"/>
        <w:jc w:val="left"/>
        <w:tblInd w:w="0" w:type="dxa"/>
        <w:tblLayout w:type="fixed"/>
        <w:tblCellMar>
          <w:top w:w="0" w:type="dxa"/>
          <w:left w:w="0" w:type="dxa"/>
          <w:bottom w:w="0" w:type="dxa"/>
          <w:right w:w="0" w:type="dxa"/>
        </w:tblCellMar>
      </w:tblPr>
      <w:tblGrid>
        <w:gridCol w:w="38"/>
        <w:gridCol w:w="110"/>
        <w:gridCol w:w="4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left"/>
              <w:rPr/>
            </w:pPr>
            <w:r>
              <w:rPr/>
              <w:t>lack of safety or effectiveness during clinical trials;</w:t>
            </w:r>
          </w:p>
        </w:tc>
      </w:tr>
    </w:tbl>
    <w:p>
      <w:pPr>
        <w:pStyle w:val="TextBody"/>
        <w:bidi w:val="0"/>
        <w:spacing w:before="0" w:after="0"/>
        <w:ind w:left="720" w:right="0" w:hanging="360"/>
        <w:jc w:val="left"/>
        <w:rPr/>
      </w:pPr>
      <w:r>
        <w:rPr/>
      </w:r>
    </w:p>
    <w:tbl>
      <w:tblPr>
        <w:tblW w:w="4803" w:type="dxa"/>
        <w:jc w:val="left"/>
        <w:tblInd w:w="0" w:type="dxa"/>
        <w:tblLayout w:type="fixed"/>
        <w:tblCellMar>
          <w:top w:w="0" w:type="dxa"/>
          <w:left w:w="0" w:type="dxa"/>
          <w:bottom w:w="0" w:type="dxa"/>
          <w:right w:w="0" w:type="dxa"/>
        </w:tblCellMar>
      </w:tblPr>
      <w:tblGrid>
        <w:gridCol w:w="38"/>
        <w:gridCol w:w="110"/>
        <w:gridCol w:w="46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0"/>
              <w:jc w:val="left"/>
              <w:rPr/>
            </w:pPr>
            <w:r>
              <w:rPr/>
              <w:t>slower than expected rates of patient recruitment;</w:t>
            </w:r>
          </w:p>
        </w:tc>
      </w:tr>
    </w:tbl>
    <w:p>
      <w:pPr>
        <w:pStyle w:val="TextBody"/>
        <w:bidi w:val="0"/>
        <w:spacing w:before="0" w:after="0"/>
        <w:ind w:left="720" w:right="0" w:hanging="360"/>
        <w:jc w:val="left"/>
        <w:rPr/>
      </w:pPr>
      <w:r>
        <w:rPr/>
      </w:r>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left"/>
              <w:rPr/>
            </w:pPr>
            <w:r>
              <w:rPr/>
              <w:t>inability to monitor patients adequately during or after treatment; and</w:t>
            </w:r>
          </w:p>
        </w:tc>
      </w:tr>
    </w:tbl>
    <w:p>
      <w:pPr>
        <w:pStyle w:val="TextBody"/>
        <w:bidi w:val="0"/>
        <w:spacing w:before="0" w:after="0"/>
        <w:ind w:left="720" w:right="0" w:hanging="360"/>
        <w:jc w:val="left"/>
        <w:rPr/>
      </w:pPr>
      <w:r>
        <w:rPr/>
      </w:r>
    </w:p>
    <w:tbl>
      <w:tblPr>
        <w:tblW w:w="7878" w:type="dxa"/>
        <w:jc w:val="left"/>
        <w:tblInd w:w="0" w:type="dxa"/>
        <w:tblLayout w:type="fixed"/>
        <w:tblCellMar>
          <w:top w:w="0" w:type="dxa"/>
          <w:left w:w="0" w:type="dxa"/>
          <w:bottom w:w="0" w:type="dxa"/>
          <w:right w:w="0" w:type="dxa"/>
        </w:tblCellMar>
      </w:tblPr>
      <w:tblGrid>
        <w:gridCol w:w="38"/>
        <w:gridCol w:w="110"/>
        <w:gridCol w:w="7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pPr>
            <w:r>
              <w:rPr/>
              <w:t>inability or unwillingness of medical investigators to follow our clinical protocols.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the results of our clinical trials do not support our product candidate claims, completing the development of such product candidate may be significantly delayed or we may be forced to abandon development of such product candidate altogether.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Other issues that may impact our clinical trials and that could delay or prevent our ability to receive marketing approval or commercialize our product candidates,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Delays in reaching, or failure to reach, agreement on acceptable clinical trial contracts or clinical trial protocols with prospective trial sites and our CROs;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Regulators requiring us to perform additional or unanticipated clinical trials to obtain approval or becoming subject to additional post-marketing testing, surveillance, or REMS requirements to maintain regulatory approval;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Failure by our third-party contractors to comply with regulatory requirements or the clinical trial protocol, or meet their contractual obligations to us in a timely manner, or at all, or our being required to engage in additional clinical trial site monitoring;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cost of clinical trials of our product candidates being greater than we anticipate or our having insufficient funds for a clinical trial or to pay the substantial user fees required by FDA upon the filing of a marketing application;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Insufficient supply or inadequate quality of our product candidates or other materials necessary to conduct clinical trials;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Inability to achieve sufficient study enrollment, subjects dropping out or withdrawing from our studies, delays in adding new investigators or clinical trial sites or a withdrawal of clinical trial sites;</w:t>
            </w:r>
          </w:p>
        </w:tc>
      </w:tr>
    </w:tbl>
    <w:p>
      <w:pPr>
        <w:pStyle w:val="TextBody"/>
        <w:bidi w:val="0"/>
        <w:spacing w:before="0" w:after="0"/>
        <w:jc w:val="left"/>
        <w:rPr/>
      </w:pPr>
      <w:r>
        <w:rPr/>
      </w:r>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pPr>
            <w:r>
              <w:rPr/>
              <w:t>Flaws in our clinical trial design that are not discoverable until the clinical trial has progressed;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need to make changes to our product candidates that require additional testing or that cause our product candidates to perform differently than expected;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Global trade policies that may impact our ability to obtain raw materials and/or finished product for commercialization;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FDA or comparable regulatory authorities taking longer than we anticipate to make decisions on our products or product candidates;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Potential inability to demonstrate that a product or product candidate provides an advantage over current standards of care or current or future competitive therapies in development.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pStyle w:val="TextBody"/>
        <w:bidi w:val="0"/>
        <w:spacing w:before="0" w:after="0"/>
        <w:jc w:val="left"/>
        <w:rPr/>
      </w:pPr>
      <w:r>
        <w:rPr/>
      </w:r>
    </w:p>
    <w:tbl>
      <w:tblPr>
        <w:tblW w:w="8838" w:type="dxa"/>
        <w:jc w:val="left"/>
        <w:tblInd w:w="0" w:type="dxa"/>
        <w:tblLayout w:type="fixed"/>
        <w:tblCellMar>
          <w:top w:w="0" w:type="dxa"/>
          <w:left w:w="0" w:type="dxa"/>
          <w:bottom w:w="0" w:type="dxa"/>
          <w:right w:w="0" w:type="dxa"/>
        </w:tblCellMar>
      </w:tblPr>
      <w:tblGrid>
        <w:gridCol w:w="38"/>
        <w:gridCol w:w="110"/>
        <w:gridCol w:w="86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0"/>
              <w:jc w:val="left"/>
              <w:rPr/>
            </w:pPr>
            <w:r>
              <w:rPr/>
              <w:t>delay commercialization of, and our ability to derive revenues from, our product candidates;</w:t>
            </w:r>
          </w:p>
        </w:tc>
      </w:tr>
    </w:tbl>
    <w:p>
      <w:pPr>
        <w:pStyle w:val="TextBody"/>
        <w:bidi w:val="0"/>
        <w:spacing w:before="0" w:after="0"/>
        <w:ind w:left="720" w:right="0" w:hanging="360"/>
        <w:jc w:val="left"/>
        <w:rPr/>
      </w:pPr>
      <w:r>
        <w:rPr/>
      </w:r>
    </w:p>
    <w:tbl>
      <w:tblPr>
        <w:tblW w:w="3603" w:type="dxa"/>
        <w:jc w:val="left"/>
        <w:tblInd w:w="0" w:type="dxa"/>
        <w:tblLayout w:type="fixed"/>
        <w:tblCellMar>
          <w:top w:w="0" w:type="dxa"/>
          <w:left w:w="0" w:type="dxa"/>
          <w:bottom w:w="0" w:type="dxa"/>
          <w:right w:w="0" w:type="dxa"/>
        </w:tblCellMar>
      </w:tblPr>
      <w:tblGrid>
        <w:gridCol w:w="38"/>
        <w:gridCol w:w="110"/>
        <w:gridCol w:w="3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left"/>
              <w:rPr/>
            </w:pPr>
            <w:r>
              <w:rPr/>
              <w:t>impose costly procedures on us; and</w:t>
            </w:r>
          </w:p>
        </w:tc>
      </w:tr>
    </w:tbl>
    <w:p>
      <w:pPr>
        <w:pStyle w:val="TextBody"/>
        <w:bidi w:val="0"/>
        <w:spacing w:before="0" w:after="0"/>
        <w:ind w:left="720" w:right="0" w:hanging="360"/>
        <w:jc w:val="left"/>
        <w:rPr/>
      </w:pPr>
      <w:r>
        <w:rPr/>
      </w:r>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left"/>
              <w:rPr/>
            </w:pPr>
            <w:r>
              <w:rPr/>
              <w:t>diminish any competitive advantages that we may otherwise enjoy.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With the approval of ASCENIV, there can be no assurance that we will be successful in further developing and expanding commercial operations or balancing our research and development activities with our commercialization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depend on third-party researchers, developers and vendors to develop, manufacture or test products and product candidates, as well as for other pre-and-post approval services, and such parties are, to some extent, outside of our control.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may be unable to successfully expand our manufacturing processes to fulfill demand for our products or</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increase our production capabilities through the addition of new equipment, including if we do not obtain requisite approval from the FDA.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make the necessary submissions to FDA, obtain any FDA required approvals and have it inspected by the FDA. Given the significant delays that may result during the validation process, we may experience a significant supply shortage of our products or our production capabilities may be limited until completion of and validation of our facility expansion and new manufacturing equipment.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as well as the FDA’s approval of our BLA for ASCENIV, require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pPr>
            <w:r>
              <w:rPr/>
              <w:t>restrictions on such products or manufacturing processes;</w:t>
            </w:r>
          </w:p>
        </w:tc>
      </w:tr>
    </w:tbl>
    <w:p>
      <w:pPr>
        <w:pStyle w:val="TextBody"/>
        <w:bidi w:val="0"/>
        <w:spacing w:before="0" w:after="0"/>
        <w:ind w:left="1080" w:right="0" w:hanging="360"/>
        <w:jc w:val="left"/>
        <w:rPr/>
      </w:pPr>
      <w:r>
        <w:rPr/>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pPr>
            <w:r>
              <w:rPr/>
              <w:t>restrictions on the labeling or marketing of a product;</w:t>
            </w:r>
          </w:p>
        </w:tc>
      </w:tr>
    </w:tbl>
    <w:p>
      <w:pPr>
        <w:pStyle w:val="TextBody"/>
        <w:bidi w:val="0"/>
        <w:spacing w:before="0" w:after="0"/>
        <w:ind w:left="1080" w:right="0" w:hanging="360"/>
        <w:jc w:val="left"/>
        <w:rPr/>
      </w:pPr>
      <w:r>
        <w:rPr/>
      </w:r>
    </w:p>
    <w:tbl>
      <w:tblPr>
        <w:tblW w:w="4098" w:type="dxa"/>
        <w:jc w:val="left"/>
        <w:tblInd w:w="0" w:type="dxa"/>
        <w:tblLayout w:type="fixed"/>
        <w:tblCellMar>
          <w:top w:w="0" w:type="dxa"/>
          <w:left w:w="0" w:type="dxa"/>
          <w:bottom w:w="0" w:type="dxa"/>
          <w:right w:w="0" w:type="dxa"/>
        </w:tblCellMar>
      </w:tblPr>
      <w:tblGrid>
        <w:gridCol w:w="38"/>
        <w:gridCol w:w="110"/>
        <w:gridCol w:w="3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pPr>
            <w:r>
              <w:rPr/>
              <w:t>restrictions on product distribution or use;</w:t>
            </w:r>
          </w:p>
        </w:tc>
      </w:tr>
    </w:tbl>
    <w:p>
      <w:pPr>
        <w:pStyle w:val="TextBody"/>
        <w:bidi w:val="0"/>
        <w:spacing w:before="0" w:after="0"/>
        <w:jc w:val="left"/>
        <w:rPr/>
      </w:pPr>
      <w:r>
        <w:rPr/>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pPr>
            <w:r>
              <w:rPr/>
              <w:t>clinical holds or termination of clinical trials;</w:t>
            </w:r>
          </w:p>
        </w:tc>
      </w:tr>
    </w:tbl>
    <w:p>
      <w:pPr>
        <w:pStyle w:val="TextBody"/>
        <w:bidi w:val="0"/>
        <w:spacing w:before="0" w:after="0"/>
        <w:ind w:left="108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0"/>
              <w:jc w:val="both"/>
              <w:rPr/>
            </w:pPr>
            <w:r>
              <w:rPr/>
              <w:t>requirements to conduct further post-marketing studies or clinical trials, implement risk mitigation strategies,or to issue corrective information;</w:t>
            </w:r>
          </w:p>
        </w:tc>
      </w:tr>
    </w:tbl>
    <w:p>
      <w:pPr>
        <w:pStyle w:val="TextBody"/>
        <w:bidi w:val="0"/>
        <w:spacing w:before="0" w:after="0"/>
        <w:ind w:left="1080" w:right="0" w:hanging="360"/>
        <w:jc w:val="left"/>
        <w:rPr/>
      </w:pPr>
      <w:r>
        <w:rPr/>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pPr>
            <w:r>
              <w:rPr/>
              <w:t>warning letters or untitled letters;</w:t>
            </w:r>
          </w:p>
        </w:tc>
      </w:tr>
    </w:tbl>
    <w:p>
      <w:pPr>
        <w:pStyle w:val="TextBody"/>
        <w:bidi w:val="0"/>
        <w:spacing w:before="0" w:after="0"/>
        <w:ind w:left="1080" w:right="0" w:hanging="360"/>
        <w:jc w:val="left"/>
        <w:rPr/>
      </w:pPr>
      <w:r>
        <w:rPr/>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pPr>
            <w:r>
              <w:rPr/>
              <w:t>withdrawal of the products from the market;</w:t>
            </w:r>
          </w:p>
        </w:tc>
      </w:tr>
    </w:tbl>
    <w:p>
      <w:pPr>
        <w:pStyle w:val="TextBody"/>
        <w:bidi w:val="0"/>
        <w:spacing w:before="0" w:after="0"/>
        <w:ind w:left="1080" w:right="0" w:hanging="360"/>
        <w:jc w:val="left"/>
        <w:rPr/>
      </w:pPr>
      <w:r>
        <w:rPr/>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refusal to approve pending applications or supplements to approved applications that we submit;</w:t>
            </w:r>
          </w:p>
        </w:tc>
      </w:tr>
    </w:tbl>
    <w:p>
      <w:pPr>
        <w:pStyle w:val="TextBody"/>
        <w:bidi w:val="0"/>
        <w:spacing w:before="0" w:after="0"/>
        <w:ind w:left="1080" w:right="0" w:hanging="360"/>
        <w:jc w:val="left"/>
        <w:rPr/>
      </w:pPr>
      <w:r>
        <w:rPr/>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left"/>
              <w:rPr/>
            </w:pPr>
            <w:r>
              <w:rPr/>
              <w:t>recall of products;</w:t>
            </w:r>
          </w:p>
        </w:tc>
      </w:tr>
    </w:tbl>
    <w:p>
      <w:pPr>
        <w:pStyle w:val="TextBody"/>
        <w:bidi w:val="0"/>
        <w:spacing w:before="0" w:after="0"/>
        <w:ind w:left="1080" w:right="0" w:hanging="360"/>
        <w:jc w:val="left"/>
        <w:rPr/>
      </w:pPr>
      <w:r>
        <w:rPr/>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pPr>
            <w:r>
              <w:rPr/>
              <w:t>restrictions on coverage by third-party payers;</w:t>
            </w:r>
          </w:p>
        </w:tc>
      </w:tr>
    </w:tbl>
    <w:p>
      <w:pPr>
        <w:pStyle w:val="TextBody"/>
        <w:bidi w:val="0"/>
        <w:spacing w:before="0" w:after="0"/>
        <w:ind w:left="1080" w:right="0" w:hanging="360"/>
        <w:jc w:val="left"/>
        <w:rPr/>
      </w:pPr>
      <w:r>
        <w:rPr/>
      </w:r>
    </w:p>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pPr>
            <w:r>
              <w:rPr/>
              <w:t>fines, restitution or disgorgement of profits or revenues;</w:t>
            </w:r>
          </w:p>
        </w:tc>
      </w:tr>
    </w:tbl>
    <w:p>
      <w:pPr>
        <w:pStyle w:val="TextBody"/>
        <w:bidi w:val="0"/>
        <w:spacing w:before="0" w:after="0"/>
        <w:ind w:left="1080" w:right="0" w:hanging="360"/>
        <w:jc w:val="left"/>
        <w:rPr/>
      </w:pPr>
      <w:r>
        <w:rPr/>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pPr>
            <w:r>
              <w:rPr/>
              <w:t>suspension or withdrawal of marketing approvals;</w:t>
            </w:r>
          </w:p>
        </w:tc>
      </w:tr>
    </w:tbl>
    <w:p>
      <w:pPr>
        <w:pStyle w:val="TextBody"/>
        <w:bidi w:val="0"/>
        <w:spacing w:before="0" w:after="0"/>
        <w:ind w:left="1080" w:right="0" w:hanging="360"/>
        <w:jc w:val="left"/>
        <w:rPr/>
      </w:pPr>
      <w:r>
        <w:rPr/>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pPr>
            <w:r>
              <w:rPr/>
              <w:t>refusal to permit the import or export of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0"/>
              <w:jc w:val="left"/>
              <w:rPr/>
            </w:pPr>
            <w:r>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tc>
      </w:tr>
    </w:tbl>
    <w:p>
      <w:pPr>
        <w:pStyle w:val="TextBody"/>
        <w:bidi w:val="0"/>
        <w:spacing w:before="0" w:after="0"/>
        <w:ind w:left="1080" w:right="0" w:hanging="360"/>
        <w:jc w:val="left"/>
        <w:rPr/>
      </w:pPr>
      <w:r>
        <w:rPr/>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pPr>
            <w:r>
              <w:rPr/>
              <w:t>product seizure or detention; or</w:t>
            </w:r>
          </w:p>
        </w:tc>
      </w:tr>
    </w:tbl>
    <w:p>
      <w:pPr>
        <w:pStyle w:val="TextBody"/>
        <w:bidi w:val="0"/>
        <w:spacing w:before="0" w:after="0"/>
        <w:ind w:left="1080" w:right="0" w:hanging="360"/>
        <w:jc w:val="left"/>
        <w:rPr/>
      </w:pPr>
      <w:r>
        <w:rPr/>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pPr>
            <w:r>
              <w:rPr/>
              <w:t>injunctions or the imposition of civil penalties or criminal fines.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Historically, a few customers have accounted for a significant amount of our total revenue and accounts receivable and the loss of any of these customers could have a material adverse effect on our business, results of operations and financial condition.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the three months ended March 31, 2023, three customers, BioCARE, Inc. (“BioCare”), Biolife Plasma Services, L.P., and Priority Healthcare Distribution, Inc. (“Curascript”), represented an aggregate of 76% of our consolidated revenues. For the year ended December 31, 2022, two customers BioCare and Curascript, represented an aggregate of 74% of our consolidated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March 31, 2023, five customers, BioCare, Biolife, Healix Infusion Therapy, LLC (“Healix”), AmerisourceBergen Corporation and Reliance Life Sciences Pvt. Ltd. (“Reliance”), represented an aggregate of 98% of our consolidated accounts receivable. As of December 31, 2022, two customers, BioCare and Healix, represented an aggregate of 92% of our consolidated accounts receivable.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tbl>
      <w:tblPr>
        <w:tblW w:w="5058" w:type="dxa"/>
        <w:jc w:val="left"/>
        <w:tblInd w:w="0" w:type="dxa"/>
        <w:tblLayout w:type="fixed"/>
        <w:tblCellMar>
          <w:top w:w="0" w:type="dxa"/>
          <w:left w:w="0" w:type="dxa"/>
          <w:bottom w:w="0" w:type="dxa"/>
          <w:right w:w="0" w:type="dxa"/>
        </w:tblCellMar>
      </w:tblPr>
      <w:tblGrid>
        <w:gridCol w:w="38"/>
        <w:gridCol w:w="110"/>
        <w:gridCol w:w="4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left"/>
              <w:rPr/>
            </w:pPr>
            <w:r>
              <w:rPr/>
              <w:t>our ability to sell our products at competitive prices;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maintain features and quality standards for our products sufficient to meet the expectations of our customers;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produce and deliver a sufficient quantity of our products in a timely manner to meet our customers’ requirements; and</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impact of the ongoing COVID-19 pandemic and government responses thereto on our customers and their businesses, operations and financial condition.</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Additionally, an adverse change in the financial condition of any of our key customers could negatively affect revenue derived from such customer, which in turn could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Issues with product quality and compliance could have a material adverse effect upon our business, subject us to regulatory actions and cause a loss of customer confidence in us or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physicians, payers and patients do not accept and use our current products or our future product candidates, our ability to generate revenue from these products will be materially impaired.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Even if the FDA approves a product made by us, physicians, payers and patients may not accept and use it. Acceptance and use of our products depends on a number of factors including, but not limited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perceptions by members of the healthcare community, including physicians, about the safety and effectiveness of our products;</w:t>
            </w:r>
          </w:p>
        </w:tc>
      </w:tr>
    </w:tbl>
    <w:p>
      <w:pPr>
        <w:pStyle w:val="TextBody"/>
        <w:bidi w:val="0"/>
        <w:spacing w:before="0" w:after="0"/>
        <w:ind w:left="720" w:right="0" w:hanging="360"/>
        <w:jc w:val="left"/>
        <w:rPr/>
      </w:pPr>
      <w:r>
        <w:rPr/>
      </w:r>
    </w:p>
    <w:tbl>
      <w:tblPr>
        <w:tblW w:w="6318" w:type="dxa"/>
        <w:jc w:val="left"/>
        <w:tblInd w:w="0" w:type="dxa"/>
        <w:tblLayout w:type="fixed"/>
        <w:tblCellMar>
          <w:top w:w="0" w:type="dxa"/>
          <w:left w:w="0" w:type="dxa"/>
          <w:bottom w:w="0" w:type="dxa"/>
          <w:right w:w="0" w:type="dxa"/>
        </w:tblCellMar>
      </w:tblPr>
      <w:tblGrid>
        <w:gridCol w:w="38"/>
        <w:gridCol w:w="110"/>
        <w:gridCol w:w="6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0"/>
              <w:jc w:val="left"/>
              <w:rPr/>
            </w:pPr>
            <w:r>
              <w:rPr/>
              <w:t>cost-effectiveness of our products relative to competing products;</w:t>
            </w:r>
          </w:p>
        </w:tc>
      </w:tr>
    </w:tbl>
    <w:p>
      <w:pPr>
        <w:pStyle w:val="TextBody"/>
        <w:bidi w:val="0"/>
        <w:spacing w:before="0" w:after="0"/>
        <w:ind w:left="720" w:right="0" w:hanging="360"/>
        <w:jc w:val="left"/>
        <w:rPr/>
      </w:pPr>
      <w:r>
        <w:rPr/>
      </w:r>
    </w:p>
    <w:tbl>
      <w:tblPr>
        <w:tblW w:w="9153" w:type="dxa"/>
        <w:jc w:val="left"/>
        <w:tblInd w:w="0" w:type="dxa"/>
        <w:tblLayout w:type="fixed"/>
        <w:tblCellMar>
          <w:top w:w="0" w:type="dxa"/>
          <w:left w:w="0" w:type="dxa"/>
          <w:bottom w:w="0" w:type="dxa"/>
          <w:right w:w="0" w:type="dxa"/>
        </w:tblCellMar>
      </w:tblPr>
      <w:tblGrid>
        <w:gridCol w:w="38"/>
        <w:gridCol w:w="110"/>
        <w:gridCol w:w="9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pPr>
            <w:r>
              <w:rPr/>
              <w:t>availability of reimbursement for our products from government or other healthcare payers; and</w:t>
            </w:r>
          </w:p>
        </w:tc>
      </w:tr>
    </w:tbl>
    <w:p>
      <w:pPr>
        <w:pStyle w:val="TextBody"/>
        <w:bidi w:val="0"/>
        <w:spacing w:before="0" w:after="0"/>
        <w:ind w:left="720" w:right="0" w:hanging="360"/>
        <w:jc w:val="left"/>
        <w:rPr/>
      </w:pPr>
      <w:r>
        <w:rPr/>
      </w:r>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left"/>
              <w:rPr/>
            </w:pPr>
            <w:r>
              <w:rPr/>
              <w:t>the effectiveness of marketing and distribution efforts by us and our licensees and distributors, if any.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failure of our current or future products to find market acceptance would harm our business and could require us to seek additional financing or make such financing difficult to obtain on favorable terms, if at all.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Our current product development portfolio consists primarily of label expansion activities for Nabi-HB, BIVIGAM and ASCENIV, as well as expanding our IP estate with patents issued for </w:t>
      </w:r>
      <w:r>
        <w:rPr>
          <w:rFonts w:ascii="Times New Roman" w:hAnsi="Times New Roman"/>
          <w:i/>
          <w:color w:val="000000"/>
          <w:sz w:val="20"/>
        </w:rPr>
        <w:t>S. Pneumoniae</w:t>
      </w:r>
      <w:r>
        <w:rPr>
          <w:rFonts w:ascii="Times New Roman" w:hAnsi="Times New Roman"/>
          <w:color w:val="000000"/>
          <w:sz w:val="20"/>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ADMA BioCenters operations collect information from donors in the U.S. that subjects us to consumer and health privacy laws, which could create enforcement and litigation exposure if we fail to meet their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protected health information (“PHI”) held by covered entities and business associates. A “covered entity” is the primary type of HIPAA-regulated entity.  Health plans/insurers, healthcare providers engaging in standard transactions (i.e., insurance/health plan claims and encounters, payment and remittance advice, claims status, eligibility, enrollment/disenrollment, referrals and authorizations, coordination of benefits and premium payments), and healthcare clearinghouses (i.e., switches that convert data between standard and non-standard data sets) are covered entities.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may violate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the California Consumer Privacy Act (“CCPA”) was amended by the California Privacy Rights Act,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through implementing regulations or how it will be interpreted and enforced. We could be subject to enforcement action and litigation exposure if we fail to adhere to these data privacy and security laws. Virginia, Colorado, Connecticut and Utah have also enacted privacy laws that become effective in 2023 and are similar in many respects to the CCPA.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Hayfin Credit Facility is subject to acceleration in specified circumstances, which may result in Hayfin taking possession and disposing of any collateral.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December 31, 2023 and is subject to the satisfaction of certain conditions, including but not limited to, our meeting certain 12-month revenue targets as set forth in the Hayfin Credit Agreement which have been met.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Developments by competitors may render our products or technologies obsolete or non-competitive.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are unable to protect our patents, trade secrets or other proprietary rights, if our patents are challenged or if our provisional patent applications do not get approved, our competitiveness and business prospects may be materially damaged.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could lose market exclusivity of a product earlier than expected.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is no assurance that ASCENIV, or any other of our products for which we are issued a patent, will enjoy market exclusivity for the full time period of the respective patent.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Third parties could obtain patents that may require us to negotiate licenses to conduct our business, and there can be no assurance that the required licenses would be available on reasonable terms or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are unable to successfully manage our growth, our business may be harmed.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objectives may be negatively impacted as a consequence of the COVID-19 pandemic. If we are unable to manage our growth effectively, our business could be harmed.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loss of one or more key members of our management team could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Cyberattacks and other security breaches could compromise our proprietary and confidential information, which could harm our business and reputation.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are unable to hire and retain a substantial number of qualified personnel, our ability to sustain and grow our business may be harmed.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currently collect human blood plasma at our ADMA BioCenters facilities, and if we cannot maintain FDA approval for these facilities or obtain FDA approval for additional facilities that we construct or acquire rights to, we may be adversely affected and may not be able to sell or use this human blood plasma for future commercial purposes.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intend to maintain FDA approval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may incur substantial liabilities and may be required to limit commercialization of our products in response to product liability lawsuits.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laws governing our conduct in the U.S.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federal and state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delayed implementation of this portion of the rule until January 1, 2026, and previously proposed legislation would permanently prohibit implementation of the rule beginning in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are subject to extensive and rigorous governmental regulation, including the requirement of FDA and other federal, state and local business regulatory</w:t>
      </w:r>
      <w:r>
        <w:rPr>
          <w:rFonts w:ascii="Times New Roman" w:hAnsi="Times New Roman"/>
          <w:b/>
          <w:i/>
          <w:color w:val="0000FF"/>
          <w:sz w:val="20"/>
        </w:rPr>
        <w:t> </w:t>
      </w:r>
      <w:r>
        <w:rPr>
          <w:rFonts w:ascii="Times New Roman" w:hAnsi="Times New Roman"/>
          <w:b/>
          <w:i/>
          <w:color w:val="000000"/>
          <w:sz w:val="20"/>
        </w:rPr>
        <w:t>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products or product candidates could harm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manufacturing processes for plasma-based biologics are complex and involve biological intermediates that are susceptible to contamination and impurities.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ability to continue to produce safe and effective products depends on the safety of our plasma supply, testing by third parties and the timing of receiving the testing results, and manufacturing processes against transmittable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could become supply-constrained and our financial performance would suffer if we cannot obtain adequate quantities of FDA-approved source plasma with proper specifications or other necessary raw materials.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and the collection of plasma from our FDA-approved plasma collection centers to manufacture our products. We can give no assurances that appropriate plasma will be available to us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Additionally, our supply contract with Grifols for the purchase of normal source plasma (“NSP”) expired  on December 31, 2022.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biosimilar pathway established as part of healthcare reform may make it easier for competitors to market biosimilar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implementation of the Healthcare Reform Law in the U.S. may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Corporate responsibility, specifically related to Environmental, Social and Governance (“ESG”) matters, may impose additional costs and expose us to new risks.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w:t>
      </w:r>
      <w:r>
        <w:rPr>
          <w:rFonts w:ascii="Times New Roman" w:hAnsi="Times New Roman"/>
          <w:color w:val="FF0000"/>
          <w:sz w:val="20"/>
        </w:rPr>
        <w:t> </w:t>
      </w:r>
      <w:r>
        <w:rPr>
          <w:rFonts w:ascii="Times New Roman" w:hAnsi="Times New Roman"/>
          <w:color w:val="000000"/>
          <w:sz w:val="20"/>
        </w:rPr>
        <w:t>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Risks Relating to our Finances, Capital Requirements and Other Financial Matters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operations have consumed substantial amounts of cash since inception. For the three months ended March 31, 2023 and 2022, we had negative cash flows from operations of $14.7 million and $26.0 million, respectively, and for the years ended December 31, 2022 and 2021, we had negative cash flows from operations of approximately $59.5 million and $112.4 million, respectively. We expect to continue to spend substantial amounts for collecting plasma at our plasma collection centers, plasma center expansion, maintaining our plasma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if we do not achieve positive cash flow by the beginning of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will be sufficient to fund our operations, as currently conducted, through the end of the second quarter of 2024, by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generate sufficient revenue to achieve positive cash flow by the beginning of 2024, we may need to raise additional capital and if such capital is not available due to widespread liquidity constraints or significant market instability that could result from the COVID-19 pandemic, we will have to delay, curtail or eliminate our commercialization efforts or our product development activities.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may not have cash available to us in amounts sufficient to enable us to make interest or principal payments on our indebtedness when due.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Hayfin Credit Facility provides for a senior secured term loan facility in an aggregate principal amount of up to $175.0 million, of which $150.0 million has been drawn down and is currently outstanding. Borrowings under the Hayfin Credit Facility currently bear interest at a rate per annum equal to 8.5% plus the greater of (i) one or three-month SOFR as we elect and (ii) 1.25%, as more fully described in “Liquidity and Capital Resources”; provided, however, that upon, and during the continuance of, an Event of Default, the interest rate will automatically increase by an additional 300 basis points. We are currently required to make monthly payments of interest during the term of the Hayfin Credit Facility of approximately $1.5 million, with all principal and unpaid interest due at maturity. In addition, our monthly interest rate obligation is subject to rising interest rates. The Hayfin Credit Facility has a maturity date of March 23, 2027, subject to acceleration pursuant to the Hayfin Credit Agreement, including upon an Event of Default. All of our obligations under the Hayfin Credit Facility are secured by a first-priority lien and security interest in substantially all of our and our subsidiaries’ tangible and intangible assets, including intellectual property, and all of the equity interests in our subsidiaries.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current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achieve positive cash flow sufficient to repay our outstanding debt obligations when they mature,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Raising additional funds by issuing securities or through licensing or lending arrangements may cause dilution to our existing stockholders, restrict our operations or require us to relinquish proprietary rights.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cash and cash equivalents could be adversely affected if the financial institutions in which we hold our cash and cash equivalents fail.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ability to use our net operating loss carryforwards (“NOLs”) may be limited.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incurred substantial losses during our history. As of December 31, 2022, we had federal and state NOLs of $334.5 million and $211.7 million, respectively. Federal and State NOLs of approximately $55.2 million and $91.8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Risks Associated with our Common Stock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market price of our common stock may be volatile and may fluctuate in a way that is disproportionate to our operating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stock price may experience substantial volatility as a result of a number of factors, including:</w:t>
      </w:r>
    </w:p>
    <w:p>
      <w:pPr>
        <w:pStyle w:val="TextBody"/>
        <w:bidi w:val="0"/>
        <w:spacing w:before="0" w:after="0"/>
        <w:jc w:val="left"/>
        <w:rPr/>
      </w:pPr>
      <w:r>
        <w:rPr/>
      </w:r>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jc w:val="left"/>
              <w:rPr/>
            </w:pPr>
            <w:r>
              <w:rPr/>
              <w:t>sales or potential sales of substantial amounts of our common stock;</w:t>
            </w:r>
          </w:p>
        </w:tc>
      </w:tr>
    </w:tbl>
    <w:p>
      <w:pPr>
        <w:pStyle w:val="TextBody"/>
        <w:bidi w:val="0"/>
        <w:spacing w:before="0" w:after="0"/>
        <w:ind w:left="720" w:right="0" w:hanging="360"/>
        <w:jc w:val="left"/>
        <w:rPr/>
      </w:pPr>
      <w:r>
        <w:rPr/>
      </w:r>
    </w:p>
    <w:tbl>
      <w:tblPr>
        <w:tblW w:w="8133" w:type="dxa"/>
        <w:jc w:val="left"/>
        <w:tblInd w:w="0" w:type="dxa"/>
        <w:tblLayout w:type="fixed"/>
        <w:tblCellMar>
          <w:top w:w="0" w:type="dxa"/>
          <w:left w:w="0" w:type="dxa"/>
          <w:bottom w:w="0" w:type="dxa"/>
          <w:right w:w="0" w:type="dxa"/>
        </w:tblCellMar>
      </w:tblPr>
      <w:tblGrid>
        <w:gridCol w:w="38"/>
        <w:gridCol w:w="110"/>
        <w:gridCol w:w="7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jc w:val="left"/>
              <w:rPr/>
            </w:pPr>
            <w:r>
              <w:rPr/>
              <w:t>uncertainties in the equity markets related to the effects of the COVID-19 pandemic;</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 or failure in initiating or completing preclinical or clinical trials or unsatisfactory results of these trials;</w:t>
            </w:r>
          </w:p>
        </w:tc>
      </w:tr>
    </w:tbl>
    <w:p>
      <w:pPr>
        <w:pStyle w:val="TextBody"/>
        <w:bidi w:val="0"/>
        <w:spacing w:before="0" w:after="0"/>
        <w:ind w:left="720" w:right="0" w:hanging="360"/>
        <w:jc w:val="left"/>
        <w:rPr/>
      </w:pPr>
      <w:r>
        <w:rPr/>
      </w:r>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left"/>
              <w:rPr/>
            </w:pPr>
            <w:r>
              <w:rPr/>
              <w:t>delay in a decision by federal, state or local business regulatory authority;</w:t>
            </w:r>
          </w:p>
        </w:tc>
      </w:tr>
    </w:tbl>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the timing of acceptance, third-party reimbursement and sales of BIVIGAM and ASCENIV;</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announcements about us or about our competitors, including clinical trial results, regulatory approvals or new product introductions;</w:t>
            </w:r>
          </w:p>
        </w:tc>
      </w:tr>
    </w:tbl>
    <w:p>
      <w:pPr>
        <w:pStyle w:val="TextBody"/>
        <w:bidi w:val="0"/>
        <w:spacing w:before="0" w:after="0"/>
        <w:ind w:left="720" w:right="0" w:hanging="360"/>
        <w:jc w:val="left"/>
        <w:rPr/>
      </w:pPr>
      <w:r>
        <w:rPr/>
      </w:r>
    </w:p>
    <w:tbl>
      <w:tblPr>
        <w:tblW w:w="6033" w:type="dxa"/>
        <w:jc w:val="left"/>
        <w:tblInd w:w="0" w:type="dxa"/>
        <w:tblLayout w:type="fixed"/>
        <w:tblCellMar>
          <w:top w:w="0" w:type="dxa"/>
          <w:left w:w="0" w:type="dxa"/>
          <w:bottom w:w="0" w:type="dxa"/>
          <w:right w:w="0" w:type="dxa"/>
        </w:tblCellMar>
      </w:tblPr>
      <w:tblGrid>
        <w:gridCol w:w="38"/>
        <w:gridCol w:w="110"/>
        <w:gridCol w:w="5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left"/>
              <w:rPr/>
            </w:pPr>
            <w:r>
              <w:rPr/>
              <w:t>developments concerning our licensors or third-party vendors;</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litigation and other developments relating to our patents or other proprietary rights or those of our competitors;</w:t>
            </w:r>
          </w:p>
        </w:tc>
      </w:tr>
    </w:tbl>
    <w:p>
      <w:pPr>
        <w:pStyle w:val="TextBody"/>
        <w:bidi w:val="0"/>
        <w:spacing w:before="0" w:after="0"/>
        <w:ind w:left="720" w:right="0" w:hanging="360"/>
        <w:jc w:val="left"/>
        <w:rPr/>
      </w:pPr>
      <w:r>
        <w:rPr/>
      </w:r>
    </w:p>
    <w:tbl>
      <w:tblPr>
        <w:tblW w:w="5913" w:type="dxa"/>
        <w:jc w:val="left"/>
        <w:tblInd w:w="0" w:type="dxa"/>
        <w:tblLayout w:type="fixed"/>
        <w:tblCellMar>
          <w:top w:w="0" w:type="dxa"/>
          <w:left w:w="0" w:type="dxa"/>
          <w:bottom w:w="0" w:type="dxa"/>
          <w:right w:w="0" w:type="dxa"/>
        </w:tblCellMar>
      </w:tblPr>
      <w:tblGrid>
        <w:gridCol w:w="38"/>
        <w:gridCol w:w="110"/>
        <w:gridCol w:w="5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jc w:val="left"/>
              <w:rPr/>
            </w:pPr>
            <w:r>
              <w:rPr/>
              <w:t>conditions in the pharmaceutical or biotechnology industries;</w:t>
            </w:r>
          </w:p>
        </w:tc>
      </w:tr>
    </w:tbl>
    <w:p>
      <w:pPr>
        <w:pStyle w:val="TextBody"/>
        <w:bidi w:val="0"/>
        <w:spacing w:before="0" w:after="0"/>
        <w:ind w:left="720" w:right="0" w:hanging="360"/>
        <w:jc w:val="left"/>
        <w:rPr/>
      </w:pPr>
      <w:r>
        <w:rPr/>
      </w:r>
    </w:p>
    <w:tbl>
      <w:tblPr>
        <w:tblW w:w="3963" w:type="dxa"/>
        <w:jc w:val="left"/>
        <w:tblInd w:w="0" w:type="dxa"/>
        <w:tblLayout w:type="fixed"/>
        <w:tblCellMar>
          <w:top w:w="0" w:type="dxa"/>
          <w:left w:w="0" w:type="dxa"/>
          <w:bottom w:w="0" w:type="dxa"/>
          <w:right w:w="0" w:type="dxa"/>
        </w:tblCellMar>
      </w:tblPr>
      <w:tblGrid>
        <w:gridCol w:w="38"/>
        <w:gridCol w:w="110"/>
        <w:gridCol w:w="38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0"/>
              <w:jc w:val="left"/>
              <w:rPr/>
            </w:pPr>
            <w:r>
              <w:rPr/>
              <w:t>governmental regulation and legislation;</w:t>
            </w:r>
          </w:p>
        </w:tc>
      </w:tr>
    </w:tbl>
    <w:p>
      <w:pPr>
        <w:pStyle w:val="TextBody"/>
        <w:bidi w:val="0"/>
        <w:spacing w:before="0" w:after="0"/>
        <w:jc w:val="left"/>
        <w:rPr/>
      </w:pPr>
      <w:r>
        <w:rPr/>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0"/>
              <w:jc w:val="left"/>
              <w:rPr/>
            </w:pPr>
            <w:r>
              <w:rPr/>
              <w:t>overall market volatility;</w:t>
            </w:r>
          </w:p>
        </w:tc>
      </w:tr>
    </w:tbl>
    <w:p>
      <w:pPr>
        <w:pStyle w:val="TextBody"/>
        <w:bidi w:val="0"/>
        <w:spacing w:before="0" w:after="0"/>
        <w:ind w:left="720" w:right="0" w:hanging="360"/>
        <w:jc w:val="left"/>
        <w:rPr/>
      </w:pPr>
      <w:r>
        <w:rPr/>
      </w:r>
    </w:p>
    <w:tbl>
      <w:tblPr>
        <w:tblW w:w="5733" w:type="dxa"/>
        <w:jc w:val="left"/>
        <w:tblInd w:w="0" w:type="dxa"/>
        <w:tblLayout w:type="fixed"/>
        <w:tblCellMar>
          <w:top w:w="0" w:type="dxa"/>
          <w:left w:w="0" w:type="dxa"/>
          <w:bottom w:w="0" w:type="dxa"/>
          <w:right w:w="0" w:type="dxa"/>
        </w:tblCellMar>
      </w:tblPr>
      <w:tblGrid>
        <w:gridCol w:w="38"/>
        <w:gridCol w:w="110"/>
        <w:gridCol w:w="5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left"/>
              <w:rPr/>
            </w:pPr>
            <w:r>
              <w:rPr/>
              <w:t>variations in our anticipated or actual operating results; and</w:t>
            </w:r>
          </w:p>
        </w:tc>
      </w:tr>
    </w:tbl>
    <w:p>
      <w:pPr>
        <w:pStyle w:val="TextBody"/>
        <w:bidi w:val="0"/>
        <w:spacing w:before="0" w:after="0"/>
        <w:ind w:left="720" w:right="0" w:hanging="360"/>
        <w:jc w:val="left"/>
        <w:rPr/>
      </w:pPr>
      <w:r>
        <w:rPr/>
      </w:r>
    </w:p>
    <w:tbl>
      <w:tblPr>
        <w:tblW w:w="9978" w:type="dxa"/>
        <w:jc w:val="left"/>
        <w:tblInd w:w="0" w:type="dxa"/>
        <w:tblLayout w:type="fixed"/>
        <w:tblCellMar>
          <w:top w:w="0" w:type="dxa"/>
          <w:left w:w="0" w:type="dxa"/>
          <w:bottom w:w="0" w:type="dxa"/>
          <w:right w:w="0" w:type="dxa"/>
        </w:tblCellMar>
      </w:tblPr>
      <w:tblGrid>
        <w:gridCol w:w="38"/>
        <w:gridCol w:w="110"/>
        <w:gridCol w:w="9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0"/>
              <w:jc w:val="left"/>
              <w:rPr/>
            </w:pPr>
            <w:r>
              <w:rPr/>
              <w:t>change in securities analysts’ estimates of our performance, or our failure to meet analysts’ expectations.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Sales of a substantial number of shares of our common stock, or the perception that such sales may occur, may adversely affect the market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May 5, 2023, most of our 222,272,962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March 31, 2023, BlackRock Inc., Perceptive Advisors, LLC, State Street Corp., Vanguard Group Inc., NWQ Investment Management Co. LLC, Caligan LP and our directors and executive officers and their affiliates owned approximately 36%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pStyle w:val="TextBody"/>
        <w:bidi w:val="0"/>
        <w:spacing w:before="0" w:after="0"/>
        <w:jc w:val="left"/>
        <w:rPr/>
      </w:pPr>
      <w:r>
        <w:rPr/>
      </w:r>
    </w:p>
    <w:tbl>
      <w:tblPr>
        <w:tblW w:w="5088" w:type="dxa"/>
        <w:jc w:val="left"/>
        <w:tblInd w:w="0" w:type="dxa"/>
        <w:tblLayout w:type="fixed"/>
        <w:tblCellMar>
          <w:top w:w="0" w:type="dxa"/>
          <w:left w:w="0" w:type="dxa"/>
          <w:bottom w:w="0" w:type="dxa"/>
          <w:right w:w="0" w:type="dxa"/>
        </w:tblCellMar>
      </w:tblPr>
      <w:tblGrid>
        <w:gridCol w:w="38"/>
        <w:gridCol w:w="110"/>
        <w:gridCol w:w="4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left"/>
              <w:rPr/>
            </w:pPr>
            <w:r>
              <w:rPr/>
              <w:t>the inability of stockholders to call special meetings;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classification of our Board and limitation on filling of vacancies could make it more difficult for a third party to acquire, or discourage a third party from seeking to acquire, control of our Company; and</w:t>
            </w:r>
          </w:p>
        </w:tc>
      </w:tr>
    </w:tbl>
    <w:p>
      <w:pPr>
        <w:pStyle w:val="TextBody"/>
        <w:bidi w:val="0"/>
        <w:spacing w:before="0" w:after="0"/>
        <w:ind w:left="720" w:right="0" w:hanging="36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authorization of the issuance of “blank check” preferred stock, with such designation rights and preferences as may be determined from time to time by the Board, without any need for action by stockholders.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We have never paid and do not intend to pay cash dividends in the foreseeable future. As a result, capital appreciation, if any, will be your sole source of gain.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Penny stock regulations may affect your ability to sell our common stock.</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Our Board may, without stockholder approval, issue and fix the terms of shares of preferred stock and issue additional shares of common stock adversely affecting the rights of holders of our common stock.</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March 31, 2023, there were 29,380,820 shares remaining available for issuance, after giving effect to 28,346,315 shares of our common stock that were subject to outstanding stock options, RSUs and warrants as of March 31, 2023 that may be issued by us without stockholder approval, as well as an additional 20,010,277 shares reserved for the future issuance of awards under our equity compensation plans.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UnregisteredSalesofEquity"/>
      <w:bookmarkStart w:id="18" w:name="UnregisteredSalesofEquity"/>
      <w:bookmarkEnd w:id="18"/>
    </w:p>
    <w:tbl>
      <w:tblPr>
        <w:tblW w:w="6880" w:type="dxa"/>
        <w:jc w:val="left"/>
        <w:tblInd w:w="0" w:type="dxa"/>
        <w:tblLayout w:type="fixed"/>
        <w:tblCellMar>
          <w:top w:w="0" w:type="dxa"/>
          <w:left w:w="0" w:type="dxa"/>
          <w:bottom w:w="0" w:type="dxa"/>
          <w:right w:w="0" w:type="dxa"/>
        </w:tblCellMar>
      </w:tblPr>
      <w:tblGrid>
        <w:gridCol w:w="740"/>
        <w:gridCol w:w="6140"/>
      </w:tblGrid>
      <w:tr>
        <w:trPr/>
        <w:tc>
          <w:tcPr>
            <w:tcW w:w="740" w:type="dxa"/>
            <w:tcBorders/>
            <w:vAlign w:val="center"/>
          </w:tcPr>
          <w:p>
            <w:pPr>
              <w:pStyle w:val="TableContents"/>
              <w:bidi w:val="0"/>
              <w:spacing w:before="0" w:after="283"/>
              <w:jc w:val="left"/>
              <w:rPr>
                <w:b/>
              </w:rPr>
            </w:pPr>
            <w:r>
              <w:rPr>
                <w:b/>
              </w:rPr>
              <w:t>Item 2.</w:t>
            </w:r>
          </w:p>
        </w:tc>
        <w:tc>
          <w:tcPr>
            <w:tcW w:w="6140" w:type="dxa"/>
            <w:tcBorders/>
            <w:vAlign w:val="center"/>
          </w:tcPr>
          <w:p>
            <w:pPr>
              <w:pStyle w:val="TableContents"/>
              <w:bidi w:val="0"/>
              <w:spacing w:before="0" w:after="0"/>
              <w:jc w:val="left"/>
              <w:rPr>
                <w:b/>
              </w:rPr>
            </w:pPr>
            <w:r>
              <w:rPr>
                <w:b/>
              </w:rPr>
              <w:t>Unregistered Sales of Equity Securities and Use of Proceeds.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DefaultsUponSeniorSecurit"/>
      <w:bookmarkStart w:id="20" w:name="DefaultsUponSeniorSecurit"/>
      <w:bookmarkEnd w:id="20"/>
    </w:p>
    <w:tbl>
      <w:tblPr>
        <w:tblW w:w="4060" w:type="dxa"/>
        <w:jc w:val="left"/>
        <w:tblInd w:w="0" w:type="dxa"/>
        <w:tblLayout w:type="fixed"/>
        <w:tblCellMar>
          <w:top w:w="0" w:type="dxa"/>
          <w:left w:w="0" w:type="dxa"/>
          <w:bottom w:w="0" w:type="dxa"/>
          <w:right w:w="0" w:type="dxa"/>
        </w:tblCellMar>
      </w:tblPr>
      <w:tblGrid>
        <w:gridCol w:w="740"/>
        <w:gridCol w:w="3320"/>
      </w:tblGrid>
      <w:tr>
        <w:trPr/>
        <w:tc>
          <w:tcPr>
            <w:tcW w:w="740" w:type="dxa"/>
            <w:tcBorders/>
            <w:vAlign w:val="center"/>
          </w:tcPr>
          <w:p>
            <w:pPr>
              <w:pStyle w:val="TableContents"/>
              <w:bidi w:val="0"/>
              <w:spacing w:before="0" w:after="283"/>
              <w:jc w:val="left"/>
              <w:rPr>
                <w:b/>
              </w:rPr>
            </w:pPr>
            <w:r>
              <w:rPr>
                <w:b/>
              </w:rPr>
              <w:t>Item 3.</w:t>
            </w:r>
          </w:p>
        </w:tc>
        <w:tc>
          <w:tcPr>
            <w:tcW w:w="3320" w:type="dxa"/>
            <w:tcBorders/>
            <w:vAlign w:val="center"/>
          </w:tcPr>
          <w:p>
            <w:pPr>
              <w:pStyle w:val="TableContents"/>
              <w:bidi w:val="0"/>
              <w:spacing w:before="0" w:after="0"/>
              <w:jc w:val="left"/>
              <w:rPr>
                <w:b/>
              </w:rPr>
            </w:pPr>
            <w:r>
              <w:rPr>
                <w:b/>
              </w:rPr>
              <w:t>Defaults Upon Senior Securities.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MineSafetyDisclosures."/>
      <w:bookmarkStart w:id="22" w:name="MineSafetyDisclosures."/>
      <w:bookmarkEnd w:id="22"/>
    </w:p>
    <w:tbl>
      <w:tblPr>
        <w:tblW w:w="3250" w:type="dxa"/>
        <w:jc w:val="left"/>
        <w:tblInd w:w="0" w:type="dxa"/>
        <w:tblLayout w:type="fixed"/>
        <w:tblCellMar>
          <w:top w:w="0" w:type="dxa"/>
          <w:left w:w="0" w:type="dxa"/>
          <w:bottom w:w="0" w:type="dxa"/>
          <w:right w:w="0" w:type="dxa"/>
        </w:tblCellMar>
      </w:tblPr>
      <w:tblGrid>
        <w:gridCol w:w="740"/>
        <w:gridCol w:w="2510"/>
      </w:tblGrid>
      <w:tr>
        <w:trPr/>
        <w:tc>
          <w:tcPr>
            <w:tcW w:w="740" w:type="dxa"/>
            <w:tcBorders/>
            <w:vAlign w:val="center"/>
          </w:tcPr>
          <w:p>
            <w:pPr>
              <w:pStyle w:val="TableContents"/>
              <w:bidi w:val="0"/>
              <w:spacing w:before="0" w:after="283"/>
              <w:jc w:val="left"/>
              <w:rPr>
                <w:b/>
              </w:rPr>
            </w:pPr>
            <w:r>
              <w:rPr>
                <w:b/>
              </w:rPr>
              <w:t>Item 4.</w:t>
            </w:r>
          </w:p>
        </w:tc>
        <w:tc>
          <w:tcPr>
            <w:tcW w:w="251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OtherInformation."/>
      <w:bookmarkStart w:id="24" w:name="OtherInformation."/>
      <w:bookmarkEnd w:id="24"/>
    </w:p>
    <w:tbl>
      <w:tblPr>
        <w:tblW w:w="2725" w:type="dxa"/>
        <w:jc w:val="left"/>
        <w:tblInd w:w="0" w:type="dxa"/>
        <w:tblLayout w:type="fixed"/>
        <w:tblCellMar>
          <w:top w:w="0" w:type="dxa"/>
          <w:left w:w="0" w:type="dxa"/>
          <w:bottom w:w="0" w:type="dxa"/>
          <w:right w:w="0" w:type="dxa"/>
        </w:tblCellMar>
      </w:tblPr>
      <w:tblGrid>
        <w:gridCol w:w="740"/>
        <w:gridCol w:w="1985"/>
      </w:tblGrid>
      <w:tr>
        <w:trPr/>
        <w:tc>
          <w:tcPr>
            <w:tcW w:w="740" w:type="dxa"/>
            <w:tcBorders/>
            <w:vAlign w:val="center"/>
          </w:tcPr>
          <w:p>
            <w:pPr>
              <w:pStyle w:val="TableContents"/>
              <w:bidi w:val="0"/>
              <w:spacing w:before="0" w:after="283"/>
              <w:jc w:val="left"/>
              <w:rPr>
                <w:b/>
              </w:rPr>
            </w:pPr>
            <w:r>
              <w:rPr>
                <w:b/>
              </w:rPr>
              <w:t>Item 5.</w:t>
            </w:r>
          </w:p>
        </w:tc>
        <w:tc>
          <w:tcPr>
            <w:tcW w:w="1985" w:type="dxa"/>
            <w:tcBorders/>
            <w:vAlign w:val="center"/>
          </w:tcPr>
          <w:p>
            <w:pPr>
              <w:pStyle w:val="TableContents"/>
              <w:bidi w:val="0"/>
              <w:spacing w:before="0" w:after="0"/>
              <w:jc w:val="left"/>
              <w:rPr>
                <w:b/>
              </w:rPr>
            </w:pPr>
            <w:r>
              <w:rPr>
                <w:b/>
              </w:rPr>
              <w:t>Other Information.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25" w:name="Exhibits"/>
      <w:bookmarkStart w:id="26" w:name="Exhibits"/>
      <w:bookmarkEnd w:id="26"/>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6.</w:t>
            </w:r>
          </w:p>
        </w:tc>
        <w:tc>
          <w:tcPr>
            <w:tcW w:w="87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See the Exhibit Index immediately following the signature page of this Quarterly Report on Form 10-Q.</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rPr>
      </w:pPr>
      <w:r>
        <w:rPr>
          <w:color w:val="000000"/>
        </w:rPr>
        <w:t> </w:t>
      </w:r>
    </w:p>
    <w:tbl>
      <w:tblPr>
        <w:tblW w:w="7960" w:type="dxa"/>
        <w:jc w:val="left"/>
        <w:tblInd w:w="0" w:type="dxa"/>
        <w:tblLayout w:type="fixed"/>
        <w:tblCellMar>
          <w:top w:w="0" w:type="dxa"/>
          <w:left w:w="0" w:type="dxa"/>
          <w:bottom w:w="0" w:type="dxa"/>
          <w:right w:w="0" w:type="dxa"/>
        </w:tblCellMar>
      </w:tblPr>
      <w:tblGrid>
        <w:gridCol w:w="530"/>
        <w:gridCol w:w="1355"/>
        <w:gridCol w:w="365"/>
        <w:gridCol w:w="650"/>
        <w:gridCol w:w="5060"/>
      </w:tblGrid>
      <w:tr>
        <w:trPr/>
        <w:tc>
          <w:tcPr>
            <w:tcW w:w="1885" w:type="dxa"/>
            <w:gridSpan w:val="2"/>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0"/>
              <w:jc w:val="both"/>
              <w:rPr>
                <w:b/>
              </w:rPr>
            </w:pPr>
            <w:r>
              <w:rPr>
                <w:b/>
              </w:rPr>
              <w:t>ADMA Biologics, Inc.</w:t>
            </w:r>
          </w:p>
        </w:tc>
      </w:tr>
      <w:tr>
        <w:trPr/>
        <w:tc>
          <w:tcPr>
            <w:tcW w:w="1885" w:type="dxa"/>
            <w:gridSpan w:val="2"/>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both"/>
              <w:rPr/>
            </w:pPr>
            <w:r>
              <w:rPr/>
              <w:t>Date:</w:t>
            </w:r>
          </w:p>
        </w:tc>
        <w:tc>
          <w:tcPr>
            <w:tcW w:w="1355" w:type="dxa"/>
            <w:tcBorders/>
            <w:vAlign w:val="center"/>
          </w:tcPr>
          <w:p>
            <w:pPr>
              <w:pStyle w:val="TableContents"/>
              <w:bidi w:val="0"/>
              <w:spacing w:before="0" w:after="283"/>
              <w:jc w:val="left"/>
              <w:rPr/>
            </w:pPr>
            <w:r>
              <w:rPr/>
              <w:t>May 10, 2023</w:t>
            </w:r>
          </w:p>
        </w:tc>
        <w:tc>
          <w:tcPr>
            <w:tcW w:w="365" w:type="dxa"/>
            <w:tcBorders/>
            <w:vAlign w:val="center"/>
          </w:tcPr>
          <w:p>
            <w:pPr>
              <w:pStyle w:val="TableContents"/>
              <w:bidi w:val="0"/>
              <w:spacing w:before="0" w:after="0"/>
              <w:jc w:val="both"/>
              <w:rPr/>
            </w:pPr>
            <w:r>
              <w:rPr/>
              <w:t>By:</w:t>
            </w:r>
          </w:p>
        </w:tc>
        <w:tc>
          <w:tcPr>
            <w:tcW w:w="5710" w:type="dxa"/>
            <w:gridSpan w:val="2"/>
            <w:tcBorders>
              <w:bottom w:val="single" w:sz="12" w:space="0" w:color="000000"/>
            </w:tcBorders>
            <w:tcMar>
              <w:bottom w:w="28" w:type="dxa"/>
            </w:tcMar>
            <w:vAlign w:val="center"/>
          </w:tcPr>
          <w:p>
            <w:pPr>
              <w:pStyle w:val="TableContents"/>
              <w:bidi w:val="0"/>
              <w:spacing w:before="0" w:after="0"/>
              <w:jc w:val="both"/>
              <w:rPr/>
            </w:pPr>
            <w:r>
              <w:rPr/>
              <w:t>/s/ Adam S. Grossman</w:t>
            </w:r>
          </w:p>
        </w:tc>
      </w:tr>
      <w:tr>
        <w:trPr/>
        <w:tc>
          <w:tcPr>
            <w:tcW w:w="188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5060" w:type="dxa"/>
            <w:tcBorders/>
            <w:vAlign w:val="center"/>
          </w:tcPr>
          <w:p>
            <w:pPr>
              <w:pStyle w:val="TableContents"/>
              <w:bidi w:val="0"/>
              <w:spacing w:before="0" w:after="0"/>
              <w:jc w:val="both"/>
              <w:rPr/>
            </w:pPr>
            <w:r>
              <w:rPr/>
              <w:t>Adam S. Grossman</w:t>
            </w:r>
          </w:p>
        </w:tc>
      </w:tr>
      <w:tr>
        <w:trPr/>
        <w:tc>
          <w:tcPr>
            <w:tcW w:w="188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5060" w:type="dxa"/>
            <w:tcBorders/>
            <w:vAlign w:val="center"/>
          </w:tcPr>
          <w:p>
            <w:pPr>
              <w:pStyle w:val="TableContents"/>
              <w:bidi w:val="0"/>
              <w:spacing w:before="0" w:after="0"/>
              <w:jc w:val="both"/>
              <w:rPr/>
            </w:pPr>
            <w:r>
              <w:rPr/>
              <w:t>President and Chief Executive Officer</w:t>
            </w:r>
          </w:p>
        </w:tc>
      </w:tr>
      <w:tr>
        <w:trPr/>
        <w:tc>
          <w:tcPr>
            <w:tcW w:w="188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both"/>
              <w:rPr/>
            </w:pPr>
            <w:r>
              <w:rPr/>
              <w:t>Date:</w:t>
            </w:r>
          </w:p>
        </w:tc>
        <w:tc>
          <w:tcPr>
            <w:tcW w:w="1355" w:type="dxa"/>
            <w:tcBorders/>
            <w:vAlign w:val="center"/>
          </w:tcPr>
          <w:p>
            <w:pPr>
              <w:pStyle w:val="TableContents"/>
              <w:bidi w:val="0"/>
              <w:spacing w:before="0" w:after="283"/>
              <w:jc w:val="left"/>
              <w:rPr/>
            </w:pPr>
            <w:r>
              <w:rPr/>
              <w:t>May 10, 2023</w:t>
            </w:r>
          </w:p>
        </w:tc>
        <w:tc>
          <w:tcPr>
            <w:tcW w:w="365" w:type="dxa"/>
            <w:tcBorders/>
            <w:vAlign w:val="center"/>
          </w:tcPr>
          <w:p>
            <w:pPr>
              <w:pStyle w:val="TableContents"/>
              <w:bidi w:val="0"/>
              <w:spacing w:before="0" w:after="0"/>
              <w:jc w:val="both"/>
              <w:rPr/>
            </w:pPr>
            <w:r>
              <w:rPr/>
              <w:t>By:</w:t>
            </w:r>
          </w:p>
        </w:tc>
        <w:tc>
          <w:tcPr>
            <w:tcW w:w="5710" w:type="dxa"/>
            <w:gridSpan w:val="2"/>
            <w:tcBorders>
              <w:bottom w:val="single" w:sz="12" w:space="0" w:color="000000"/>
            </w:tcBorders>
            <w:tcMar>
              <w:bottom w:w="28" w:type="dxa"/>
            </w:tcMar>
            <w:vAlign w:val="center"/>
          </w:tcPr>
          <w:p>
            <w:pPr>
              <w:pStyle w:val="TableContents"/>
              <w:bidi w:val="0"/>
              <w:spacing w:before="0" w:after="0"/>
              <w:jc w:val="both"/>
              <w:rPr/>
            </w:pPr>
            <w:r>
              <w:rPr/>
              <w:t>/s/ Brian Lenz</w:t>
            </w:r>
          </w:p>
        </w:tc>
      </w:tr>
      <w:tr>
        <w:trPr/>
        <w:tc>
          <w:tcPr>
            <w:tcW w:w="188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5060" w:type="dxa"/>
            <w:tcBorders/>
            <w:vAlign w:val="center"/>
          </w:tcPr>
          <w:p>
            <w:pPr>
              <w:pStyle w:val="TableContents"/>
              <w:bidi w:val="0"/>
              <w:spacing w:before="0" w:after="0"/>
              <w:jc w:val="both"/>
              <w:rPr/>
            </w:pPr>
            <w:r>
              <w:rPr/>
              <w:t>Brian Lenz</w:t>
            </w:r>
          </w:p>
        </w:tc>
      </w:tr>
      <w:tr>
        <w:trPr/>
        <w:tc>
          <w:tcPr>
            <w:tcW w:w="188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5060" w:type="dxa"/>
            <w:tcBorders/>
            <w:vAlign w:val="center"/>
          </w:tcPr>
          <w:p>
            <w:pPr>
              <w:pStyle w:val="TableContents"/>
              <w:bidi w:val="0"/>
              <w:spacing w:before="0" w:after="0"/>
              <w:jc w:val="both"/>
              <w:rPr/>
            </w:pPr>
            <w:r>
              <w:rPr/>
              <w:t>Executive Vice President and 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885"/>
        <w:gridCol w:w="9320"/>
      </w:tblGrid>
      <w:tr>
        <w:trPr/>
        <w:tc>
          <w:tcPr>
            <w:tcW w:w="885" w:type="dxa"/>
            <w:tcBorders/>
            <w:vAlign w:val="center"/>
          </w:tcPr>
          <w:p>
            <w:pPr>
              <w:pStyle w:val="TableContents"/>
              <w:bidi w:val="0"/>
              <w:spacing w:before="0" w:after="0"/>
              <w:jc w:val="left"/>
              <w:rPr>
                <w:u w:val="single"/>
              </w:rPr>
            </w:pPr>
            <w:r>
              <w:rPr>
                <w:u w:val="single"/>
              </w:rPr>
              <w:t>Exhibit Number</w:t>
            </w:r>
          </w:p>
        </w:tc>
        <w:tc>
          <w:tcPr>
            <w:tcW w:w="9320" w:type="dxa"/>
            <w:tcBorders/>
            <w:vAlign w:val="center"/>
          </w:tcPr>
          <w:p>
            <w:pPr>
              <w:pStyle w:val="TableContents"/>
              <w:bidi w:val="0"/>
              <w:spacing w:before="0" w:after="0"/>
              <w:jc w:val="left"/>
              <w:rPr>
                <w:u w:val="single"/>
              </w:rPr>
            </w:pPr>
            <w:r>
              <w:rPr>
                <w:u w:val="single"/>
              </w:rPr>
              <w:t>Description</w:t>
            </w:r>
          </w:p>
        </w:tc>
      </w:tr>
      <w:tr>
        <w:trPr/>
        <w:tc>
          <w:tcPr>
            <w:tcW w:w="885"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283"/>
              <w:jc w:val="left"/>
              <w:rPr/>
            </w:pPr>
            <w:r>
              <w:rPr/>
              <w:t> </w:t>
            </w:r>
          </w:p>
        </w:tc>
      </w:tr>
      <w:tr>
        <w:trPr/>
        <w:tc>
          <w:tcPr>
            <w:tcW w:w="885" w:type="dxa"/>
            <w:tcBorders/>
            <w:shd w:fill="CCEEFF" w:val="clear"/>
            <w:vAlign w:val="center"/>
          </w:tcPr>
          <w:p>
            <w:pPr>
              <w:pStyle w:val="TableContents"/>
              <w:bidi w:val="0"/>
              <w:spacing w:before="0" w:after="0"/>
              <w:jc w:val="left"/>
              <w:rPr/>
            </w:pPr>
            <w:hyperlink r:id="rId2">
              <w:r>
                <w:rPr>
                  <w:rStyle w:val="InternetLink"/>
                </w:rPr>
                <w:t>4.1</w:t>
              </w:r>
            </w:hyperlink>
          </w:p>
        </w:tc>
        <w:tc>
          <w:tcPr>
            <w:tcW w:w="9320" w:type="dxa"/>
            <w:tcBorders/>
            <w:shd w:fill="CCEEFF" w:val="clear"/>
            <w:vAlign w:val="center"/>
          </w:tcPr>
          <w:p>
            <w:pPr>
              <w:pStyle w:val="TableContents"/>
              <w:bidi w:val="0"/>
              <w:spacing w:before="0" w:after="0"/>
              <w:jc w:val="left"/>
              <w:rPr>
                <w:color w:val="000000"/>
              </w:rPr>
            </w:pPr>
            <w:r>
              <w:rPr>
                <w:color w:val="000000"/>
              </w:rPr>
              <w:t>Form of Warrant (incorporated by reference to Exhibit 4.1 of the Company’s Current Report on Form 8-K filed with the SEC on May 2, 2023).</w:t>
            </w:r>
          </w:p>
        </w:tc>
      </w:tr>
      <w:tr>
        <w:trPr/>
        <w:tc>
          <w:tcPr>
            <w:tcW w:w="885" w:type="dxa"/>
            <w:tcBorders/>
            <w:vAlign w:val="center"/>
          </w:tcPr>
          <w:p>
            <w:pPr>
              <w:pStyle w:val="TableContents"/>
              <w:bidi w:val="0"/>
              <w:spacing w:before="0" w:after="0"/>
              <w:jc w:val="left"/>
              <w:rPr/>
            </w:pPr>
            <w:hyperlink r:id="rId3">
              <w:r>
                <w:rPr>
                  <w:rStyle w:val="InternetLink"/>
                </w:rPr>
                <w:t>10.1</w:t>
              </w:r>
            </w:hyperlink>
          </w:p>
        </w:tc>
        <w:tc>
          <w:tcPr>
            <w:tcW w:w="9320" w:type="dxa"/>
            <w:tcBorders/>
            <w:vAlign w:val="center"/>
          </w:tcPr>
          <w:p>
            <w:pPr>
              <w:pStyle w:val="TableContents"/>
              <w:bidi w:val="0"/>
              <w:spacing w:before="0" w:after="0"/>
              <w:jc w:val="left"/>
              <w:rPr>
                <w:color w:val="000000"/>
              </w:rPr>
            </w:pPr>
            <w:r>
              <w:rPr>
                <w:color w:val="000000"/>
              </w:rPr>
              <w:t>Amendment No. 1 to Credit Agreement and Guaranty, dated March 22, 2023, by and among the Company, Hayfin Services LLP and the lenders party thereto (incorporated by reference to Exhibit 10.25.1 of the Company’s Annual Report on Form 10-K filed with the SEC on March 23, 2023).</w:t>
            </w:r>
          </w:p>
        </w:tc>
      </w:tr>
      <w:tr>
        <w:trPr/>
        <w:tc>
          <w:tcPr>
            <w:tcW w:w="885" w:type="dxa"/>
            <w:tcBorders/>
            <w:shd w:fill="CCEEFF" w:val="clear"/>
            <w:vAlign w:val="center"/>
          </w:tcPr>
          <w:p>
            <w:pPr>
              <w:pStyle w:val="TableContents"/>
              <w:bidi w:val="0"/>
              <w:spacing w:before="0" w:after="0"/>
              <w:jc w:val="left"/>
              <w:rPr/>
            </w:pPr>
            <w:hyperlink r:id="rId4">
              <w:r>
                <w:rPr>
                  <w:rStyle w:val="InternetLink"/>
                </w:rPr>
                <w:t>10.2</w:t>
              </w:r>
            </w:hyperlink>
          </w:p>
        </w:tc>
        <w:tc>
          <w:tcPr>
            <w:tcW w:w="9320" w:type="dxa"/>
            <w:tcBorders/>
            <w:shd w:fill="CCEEFF" w:val="clear"/>
            <w:vAlign w:val="center"/>
          </w:tcPr>
          <w:p>
            <w:pPr>
              <w:pStyle w:val="TableContents"/>
              <w:bidi w:val="0"/>
              <w:spacing w:before="0" w:after="0"/>
              <w:jc w:val="left"/>
              <w:rPr>
                <w:color w:val="000000"/>
              </w:rPr>
            </w:pPr>
            <w:r>
              <w:rPr>
                <w:color w:val="000000"/>
              </w:rPr>
              <w:t>Amendment No. 2 to the Credit and Guaranty Agreement, dated as of May 1, 2023, by and among the Company, Hayfin Services LLP and the lenders party thereto (incorporated by reference to Exhibit 10.1 of the Company’s Current Report on Form 8-K filed with the SEC on May 2, 2023).</w:t>
            </w:r>
          </w:p>
        </w:tc>
      </w:tr>
      <w:tr>
        <w:trPr/>
        <w:tc>
          <w:tcPr>
            <w:tcW w:w="885" w:type="dxa"/>
            <w:tcBorders/>
            <w:vAlign w:val="center"/>
          </w:tcPr>
          <w:p>
            <w:pPr>
              <w:pStyle w:val="TableContents"/>
              <w:bidi w:val="0"/>
              <w:spacing w:before="0" w:after="0"/>
              <w:jc w:val="left"/>
              <w:rPr/>
            </w:pPr>
            <w:hyperlink w:anchor="brhc20052583_ex31-1.htm">
              <w:r>
                <w:rPr>
                  <w:rStyle w:val="InternetLink"/>
                </w:rPr>
                <w:t>31.1*</w:t>
              </w:r>
            </w:hyperlink>
          </w:p>
        </w:tc>
        <w:tc>
          <w:tcPr>
            <w:tcW w:w="9320" w:type="dxa"/>
            <w:tcBorders/>
            <w:vAlign w:val="center"/>
          </w:tcPr>
          <w:p>
            <w:pPr>
              <w:pStyle w:val="TableContents"/>
              <w:bidi w:val="0"/>
              <w:spacing w:before="0" w:after="0"/>
              <w:jc w:val="left"/>
              <w:rPr>
                <w:color w:val="000000"/>
              </w:rPr>
            </w:pPr>
            <w:r>
              <w:rPr>
                <w:color w:val="000000"/>
              </w:rPr>
              <w:t>Certification of Principal Executive Officer pursuant to Rules 13a-14(a) and 15d-14(a), as adopted pursuant to Section 302 of the Sarbanes-Oxley Act of 2002.</w:t>
            </w:r>
          </w:p>
        </w:tc>
      </w:tr>
      <w:tr>
        <w:trPr/>
        <w:tc>
          <w:tcPr>
            <w:tcW w:w="885" w:type="dxa"/>
            <w:tcBorders/>
            <w:shd w:fill="CCEEFF" w:val="clear"/>
            <w:vAlign w:val="center"/>
          </w:tcPr>
          <w:p>
            <w:pPr>
              <w:pStyle w:val="TableContents"/>
              <w:bidi w:val="0"/>
              <w:spacing w:before="0" w:after="0"/>
              <w:jc w:val="left"/>
              <w:rPr/>
            </w:pPr>
            <w:hyperlink w:anchor="brhc20052583_ex31-2.htm">
              <w:r>
                <w:rPr>
                  <w:rStyle w:val="InternetLink"/>
                </w:rPr>
                <w:t>31.2*</w:t>
              </w:r>
            </w:hyperlink>
          </w:p>
        </w:tc>
        <w:tc>
          <w:tcPr>
            <w:tcW w:w="9320" w:type="dxa"/>
            <w:tcBorders/>
            <w:shd w:fill="CCEEFF" w:val="clear"/>
            <w:vAlign w:val="center"/>
          </w:tcPr>
          <w:p>
            <w:pPr>
              <w:pStyle w:val="TableContents"/>
              <w:bidi w:val="0"/>
              <w:spacing w:before="0" w:after="0"/>
              <w:jc w:val="left"/>
              <w:rPr>
                <w:color w:val="000000"/>
              </w:rPr>
            </w:pPr>
            <w:r>
              <w:rPr>
                <w:color w:val="000000"/>
              </w:rPr>
              <w:t>Certification of Principal Financial Officer pursuant to Rules 13a-14(a) and 15d-14(a), as adopted pursuant to Section 302 of the Sarbanes-Oxley Act of 2002.</w:t>
            </w:r>
          </w:p>
        </w:tc>
      </w:tr>
      <w:tr>
        <w:trPr/>
        <w:tc>
          <w:tcPr>
            <w:tcW w:w="885" w:type="dxa"/>
            <w:tcBorders/>
            <w:vAlign w:val="center"/>
          </w:tcPr>
          <w:p>
            <w:pPr>
              <w:pStyle w:val="TableContents"/>
              <w:bidi w:val="0"/>
              <w:spacing w:before="0" w:after="0"/>
              <w:jc w:val="left"/>
              <w:rPr/>
            </w:pPr>
            <w:hyperlink w:anchor="brhc20052583_ex32-1.htm">
              <w:r>
                <w:rPr>
                  <w:rStyle w:val="InternetLink"/>
                </w:rPr>
                <w:t>32.1**</w:t>
              </w:r>
            </w:hyperlink>
          </w:p>
        </w:tc>
        <w:tc>
          <w:tcPr>
            <w:tcW w:w="9320" w:type="dxa"/>
            <w:tcBorders/>
            <w:vAlign w:val="center"/>
          </w:tcPr>
          <w:p>
            <w:pPr>
              <w:pStyle w:val="TableContents"/>
              <w:bidi w:val="0"/>
              <w:spacing w:before="0" w:after="0"/>
              <w:jc w:val="left"/>
              <w:rPr>
                <w:color w:val="000000"/>
              </w:rPr>
            </w:pPr>
            <w:r>
              <w:rPr>
                <w:color w:val="000000"/>
              </w:rPr>
              <w:t>Certification of Principal Executive Officer pursuant to 18 U.S.C Section 1350, as adopted pursuant to Section 906 of the Sarbanes-Oxley Act of 2002.</w:t>
            </w:r>
          </w:p>
        </w:tc>
      </w:tr>
      <w:tr>
        <w:trPr/>
        <w:tc>
          <w:tcPr>
            <w:tcW w:w="885" w:type="dxa"/>
            <w:tcBorders/>
            <w:shd w:fill="CCEEFF" w:val="clear"/>
            <w:vAlign w:val="center"/>
          </w:tcPr>
          <w:p>
            <w:pPr>
              <w:pStyle w:val="TableContents"/>
              <w:bidi w:val="0"/>
              <w:spacing w:before="0" w:after="0"/>
              <w:jc w:val="left"/>
              <w:rPr/>
            </w:pPr>
            <w:hyperlink w:anchor="brhc20052583_ex32-2.htm">
              <w:r>
                <w:rPr>
                  <w:rStyle w:val="InternetLink"/>
                </w:rPr>
                <w:t>32.2**</w:t>
              </w:r>
            </w:hyperlink>
          </w:p>
        </w:tc>
        <w:tc>
          <w:tcPr>
            <w:tcW w:w="9320" w:type="dxa"/>
            <w:tcBorders/>
            <w:shd w:fill="CCEEFF" w:val="clear"/>
            <w:vAlign w:val="center"/>
          </w:tcPr>
          <w:p>
            <w:pPr>
              <w:pStyle w:val="TableContents"/>
              <w:bidi w:val="0"/>
              <w:spacing w:before="0" w:after="0"/>
              <w:jc w:val="left"/>
              <w:rPr>
                <w:color w:val="000000"/>
              </w:rPr>
            </w:pPr>
            <w:r>
              <w:rPr>
                <w:color w:val="000000"/>
              </w:rPr>
              <w:t>Certification of Principal Financial Officer pursuant to 18 U.S.C Section 1350, as adopted pursuant to Section 906 of the Sarbanes-Oxley Act of 2002.</w:t>
            </w:r>
          </w:p>
        </w:tc>
      </w:tr>
      <w:tr>
        <w:trPr/>
        <w:tc>
          <w:tcPr>
            <w:tcW w:w="885" w:type="dxa"/>
            <w:tcBorders/>
            <w:vAlign w:val="center"/>
          </w:tcPr>
          <w:p>
            <w:pPr>
              <w:pStyle w:val="TableContents"/>
              <w:bidi w:val="0"/>
              <w:spacing w:before="0" w:after="0"/>
              <w:jc w:val="left"/>
              <w:rPr/>
            </w:pPr>
            <w:r>
              <w:rPr/>
              <w:t>101*</w:t>
            </w:r>
          </w:p>
        </w:tc>
        <w:tc>
          <w:tcPr>
            <w:tcW w:w="9320" w:type="dxa"/>
            <w:tcBorders/>
            <w:vAlign w:val="center"/>
          </w:tcPr>
          <w:p>
            <w:pPr>
              <w:pStyle w:val="TableContents"/>
              <w:bidi w:val="0"/>
              <w:spacing w:before="0" w:after="0"/>
              <w:jc w:val="left"/>
              <w:rPr>
                <w:color w:val="000000"/>
              </w:rPr>
            </w:pPr>
            <w:r>
              <w:rPr>
                <w:color w:val="000000"/>
              </w:rPr>
              <w:t>The following materials from ADMA Biologics, Inc.’s Form 10-Q for the quarter ended March 31 2023, formatted in Extensible Business Reporting Language (XBRL): (i) Condensed Consolidated Balance Sheets as of March 31, 2023 (Unaudited) and December 31, 2022, (ii) Condensed Consolidated Statements of Operations (Unaudited) for the three months ended March 31, 2023 and 2022, (iii) Condensed Consolidated Statements of Changes in Stockholders’ Equity (Unaudited) for the three months ended March 31, 2023 and 2022, (iv) Condensed Consolidated Statements of Cash Flows (Unaudited) for the three months ended March 31, 2023 and 2022, and (v) Notes to (Unaudited) Condensed Consolidated Financial Statements.</w:t>
            </w:r>
          </w:p>
        </w:tc>
      </w:tr>
      <w:tr>
        <w:trPr/>
        <w:tc>
          <w:tcPr>
            <w:tcW w:w="885" w:type="dxa"/>
            <w:tcBorders/>
            <w:shd w:fill="CCEEFF" w:val="clear"/>
            <w:vAlign w:val="center"/>
          </w:tcPr>
          <w:p>
            <w:pPr>
              <w:pStyle w:val="TableContents"/>
              <w:bidi w:val="0"/>
              <w:spacing w:before="0" w:after="0"/>
              <w:jc w:val="left"/>
              <w:rPr/>
            </w:pPr>
            <w:r>
              <w:rPr/>
              <w:t>104</w:t>
            </w:r>
          </w:p>
        </w:tc>
        <w:tc>
          <w:tcPr>
            <w:tcW w:w="9320" w:type="dxa"/>
            <w:tcBorders/>
            <w:shd w:fill="CCEEFF" w:val="cle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In accordance with SEC Release 33-8238, Exhibit 32.1 and 32.2 are being furnished and not filed.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bidi w:val="0"/>
        <w:jc w:val="left"/>
        <w:rPr/>
      </w:pPr>
      <w:r>
        <w:rPr/>
      </w:r>
    </w:p>
    <w:p>
      <w:pPr>
        <w:pStyle w:val="HorizontalLine"/>
        <w:pBdr>
          <w:bottom w:val="single" w:sz="12" w:space="0" w:color="808080"/>
        </w:pBdr>
        <w:bidi w:val="0"/>
        <w:jc w:val="left"/>
        <w:rPr/>
      </w:pPr>
      <w:r>
        <w:rPr/>
      </w:r>
      <w:bookmarkStart w:id="28" w:name="brhc20052583_ex31-1.htm"/>
      <w:bookmarkStart w:id="29" w:name="ksbrhc20052583_ex311"/>
      <w:bookmarkStart w:id="30" w:name="brhc20052583_ex31-1.htm"/>
      <w:bookmarkStart w:id="31" w:name="ksbrhc20052583_ex311"/>
      <w:bookmarkEnd w:id="30"/>
      <w:bookmarkEnd w:id="31"/>
      <w:r>
        <w:br w:type="page"/>
      </w:r>
    </w:p>
    <w:p>
      <w:pPr>
        <w:pStyle w:val="TextBody"/>
        <w:bidi w:val="0"/>
        <w:spacing w:before="0" w:after="0"/>
        <w:ind w:left="0" w:right="0" w:firstLine="720"/>
        <w:jc w:val="right"/>
        <w:rPr>
          <w:b/>
        </w:rPr>
      </w:pPr>
      <w:r>
        <w:rPr>
          <w:b/>
        </w:rPr>
        <w:t>Exhibit 31.1</w:t>
      </w:r>
    </w:p>
    <w:p>
      <w:pPr>
        <w:pStyle w:val="TextBody"/>
        <w:bidi w:val="0"/>
        <w:spacing w:before="0" w:after="0"/>
        <w:jc w:val="left"/>
        <w:rPr/>
      </w:pPr>
      <w:r>
        <w:rPr/>
        <w:t> </w:t>
      </w:r>
    </w:p>
    <w:p>
      <w:pPr>
        <w:pStyle w:val="TextBody"/>
        <w:bidi w:val="0"/>
        <w:spacing w:before="0" w:after="0"/>
        <w:jc w:val="center"/>
        <w:rPr>
          <w:b/>
        </w:rPr>
      </w:pPr>
      <w:r>
        <w:rPr>
          <w:b/>
        </w:rPr>
        <w:t>CERTIFICATION OF THE PRINCIPAL EXECUTIVE OFFICER</w:t>
      </w:r>
    </w:p>
    <w:p>
      <w:pPr>
        <w:pStyle w:val="TextBody"/>
        <w:bidi w:val="0"/>
        <w:spacing w:before="0" w:after="0"/>
        <w:jc w:val="center"/>
        <w:rPr>
          <w:b/>
        </w:rPr>
      </w:pPr>
      <w:r>
        <w:rPr>
          <w:b/>
        </w:rPr>
        <w:t>PURSUANT TO SECTION 302 OF THE SARBANES-OXLEY ACT OF 2002</w:t>
      </w:r>
    </w:p>
    <w:p>
      <w:pPr>
        <w:pStyle w:val="TextBody"/>
        <w:bidi w:val="0"/>
        <w:spacing w:before="0" w:after="0"/>
        <w:jc w:val="left"/>
        <w:rPr/>
      </w:pPr>
      <w:r>
        <w:rPr/>
        <w:t> </w:t>
      </w:r>
    </w:p>
    <w:p>
      <w:pPr>
        <w:pStyle w:val="TextBody"/>
        <w:bidi w:val="0"/>
        <w:spacing w:before="0" w:after="0"/>
        <w:jc w:val="both"/>
        <w:rPr/>
      </w:pPr>
      <w:r>
        <w:rPr/>
        <w:t>I, Adam S. Grossman, certify that: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2" w:name="z397afac25d7c42c88b10ea193ffffc83"/>
      <w:bookmarkStart w:id="33" w:name="z397afac25d7c42c88b10ea193ffffc83"/>
      <w:bookmarkEnd w:id="33"/>
    </w:p>
    <w:tbl>
      <w:tblPr>
        <w:tblW w:w="7833" w:type="dxa"/>
        <w:jc w:val="left"/>
        <w:tblInd w:w="0" w:type="dxa"/>
        <w:tblLayout w:type="fixed"/>
        <w:tblCellMar>
          <w:top w:w="0" w:type="dxa"/>
          <w:left w:w="0" w:type="dxa"/>
          <w:bottom w:w="0" w:type="dxa"/>
          <w:right w:w="0" w:type="dxa"/>
        </w:tblCellMar>
      </w:tblPr>
      <w:tblGrid>
        <w:gridCol w:w="38"/>
        <w:gridCol w:w="200"/>
        <w:gridCol w:w="75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7595" w:type="dxa"/>
            <w:tcBorders/>
            <w:vAlign w:val="center"/>
          </w:tcPr>
          <w:p>
            <w:pPr>
              <w:pStyle w:val="TableContents"/>
              <w:bidi w:val="0"/>
              <w:spacing w:before="0" w:after="0"/>
              <w:jc w:val="both"/>
              <w:rPr/>
            </w:pPr>
            <w:r>
              <w:rPr/>
              <w:t>I have reviewed this Quarterly Report on Form 10-Q of ADMA Biologics, Inc.;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4" w:name="zc6cc93c7e1894b4095601a08e3bc47c1"/>
      <w:bookmarkStart w:id="35" w:name="zc6cc93c7e1894b4095601a08e3bc47c1"/>
      <w:bookmarkEnd w:id="35"/>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6" w:name="z9f9ffd4abee04f82ae60ac4bc01a806c"/>
      <w:bookmarkStart w:id="37" w:name="z9f9ffd4abee04f82ae60ac4bc01a806c"/>
      <w:bookmarkEnd w:id="37"/>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8" w:name="z125dc2c67a394442b7a801881e9c31a2"/>
      <w:bookmarkStart w:id="39" w:name="z125dc2c67a394442b7a801881e9c31a2"/>
      <w:bookmarkEnd w:id="39"/>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0" w:name="zdfd9572bc5d344dc901ac57ed00e2c74"/>
      <w:bookmarkStart w:id="41" w:name="zdfd9572bc5d344dc901ac57ed00e2c74"/>
      <w:bookmarkEnd w:id="41"/>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2" w:name="z505b7c033eb34267a37f072267b9017c"/>
      <w:bookmarkStart w:id="43" w:name="z505b7c033eb34267a37f072267b9017c"/>
      <w:bookmarkEnd w:id="43"/>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4" w:name="z9ea03585b9e845c49a92e9f9618589b6"/>
      <w:bookmarkStart w:id="45" w:name="z9ea03585b9e845c49a92e9f9618589b6"/>
      <w:bookmarkEnd w:id="45"/>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6" w:name="zb136b39a73b4486bb0c5a0004de6adef"/>
      <w:bookmarkStart w:id="47" w:name="zb136b39a73b4486bb0c5a0004de6adef"/>
      <w:bookmarkEnd w:id="47"/>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8" w:name="z995e505d0b284264889263db347f39ec"/>
      <w:bookmarkStart w:id="49" w:name="z995e505d0b284264889263db347f39ec"/>
      <w:bookmarkEnd w:id="49"/>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0" w:name="za9edba9dc8674cad855c343c382453ea"/>
      <w:bookmarkStart w:id="51" w:name="za9edba9dc8674cad855c343c382453ea"/>
      <w:bookmarkEnd w:id="51"/>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2" w:name="za1648d3fcf4a4bb1b5fd5fec90ef8285"/>
      <w:bookmarkStart w:id="53" w:name="za1648d3fcf4a4bb1b5fd5fec90ef8285"/>
      <w:bookmarkEnd w:id="53"/>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pPr>
            <w:r>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4" w:name="z90829374b5e140d7ad384e95d7134e05"/>
      <w:bookmarkStart w:id="55" w:name="z90829374b5e140d7ad384e95d7134e05"/>
      <w:bookmarkEnd w:id="55"/>
    </w:p>
    <w:tbl>
      <w:tblPr>
        <w:tblW w:w="6195" w:type="dxa"/>
        <w:jc w:val="left"/>
        <w:tblInd w:w="0" w:type="dxa"/>
        <w:tblLayout w:type="fixed"/>
        <w:tblCellMar>
          <w:top w:w="0" w:type="dxa"/>
          <w:left w:w="0" w:type="dxa"/>
          <w:bottom w:w="0" w:type="dxa"/>
          <w:right w:w="0" w:type="dxa"/>
        </w:tblCellMar>
      </w:tblPr>
      <w:tblGrid>
        <w:gridCol w:w="1925"/>
        <w:gridCol w:w="650"/>
        <w:gridCol w:w="3620"/>
      </w:tblGrid>
      <w:tr>
        <w:trPr/>
        <w:tc>
          <w:tcPr>
            <w:tcW w:w="1925" w:type="dxa"/>
            <w:tcBorders/>
            <w:vAlign w:val="center"/>
          </w:tcPr>
          <w:p>
            <w:pPr>
              <w:pStyle w:val="TableContents"/>
              <w:bidi w:val="0"/>
              <w:spacing w:before="0" w:after="0"/>
              <w:jc w:val="left"/>
              <w:rPr/>
            </w:pPr>
            <w:r>
              <w:rPr/>
              <w:t>Date: May 10, 2023</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0"/>
              <w:jc w:val="left"/>
              <w:rPr/>
            </w:pPr>
            <w:r>
              <w:rPr/>
              <w:t>/s/ Adam S. Grossman</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vAlign w:val="center"/>
          </w:tcPr>
          <w:p>
            <w:pPr>
              <w:pStyle w:val="TableContents"/>
              <w:bidi w:val="0"/>
              <w:spacing w:before="0" w:after="0"/>
              <w:jc w:val="left"/>
              <w:rPr/>
            </w:pPr>
            <w:r>
              <w:rPr/>
              <w:t>Adam S. Grossman</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vAlign w:val="center"/>
          </w:tcPr>
          <w:p>
            <w:pPr>
              <w:pStyle w:val="TableContents"/>
              <w:bidi w:val="0"/>
              <w:spacing w:before="0" w:after="0"/>
              <w:jc w:val="left"/>
              <w:rPr/>
            </w:pPr>
            <w:r>
              <w:rPr/>
              <w:t>President and Chief Executive Officer</w:t>
            </w:r>
          </w:p>
          <w:p>
            <w:pPr>
              <w:pStyle w:val="TableContents"/>
              <w:bidi w:val="0"/>
              <w:spacing w:before="0" w:after="0"/>
              <w:jc w:val="left"/>
              <w:rPr/>
            </w:pPr>
            <w:r>
              <w:rPr/>
              <w:t>(Principal Executive Officer)</w:t>
            </w:r>
          </w:p>
        </w:tc>
      </w:tr>
    </w:tbl>
    <w:p>
      <w:pPr>
        <w:pStyle w:val="TextBody"/>
        <w:bidi w:val="0"/>
        <w:spacing w:before="0" w:after="0"/>
        <w:jc w:val="left"/>
        <w:rPr/>
      </w:pPr>
      <w:r>
        <w:rPr/>
      </w:r>
    </w:p>
    <w:p>
      <w:pPr>
        <w:pStyle w:val="TextBody"/>
        <w:bidi w:val="0"/>
        <w:spacing w:before="0" w:after="0"/>
        <w:jc w:val="left"/>
        <w:rPr/>
      </w:pPr>
      <w:r>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6" w:name="brhc20052583_ex31-2.htm"/>
      <w:bookmarkStart w:id="57" w:name="ksbrhc20052583_ex312"/>
      <w:bookmarkStart w:id="58" w:name="brhc20052583_ex31-2.htm"/>
      <w:bookmarkStart w:id="59" w:name="ksbrhc20052583_ex312"/>
      <w:bookmarkEnd w:id="58"/>
      <w:bookmarkEnd w:id="59"/>
      <w:r>
        <w:br w:type="page"/>
      </w:r>
    </w:p>
    <w:p>
      <w:pPr>
        <w:pStyle w:val="TextBody"/>
        <w:bidi w:val="0"/>
        <w:spacing w:before="0" w:after="0"/>
        <w:ind w:left="0" w:right="0" w:firstLine="720"/>
        <w:jc w:val="right"/>
        <w:rPr>
          <w:b/>
        </w:rPr>
      </w:pPr>
      <w:r>
        <w:rPr>
          <w:b/>
        </w:rPr>
        <w:t>Exhibit 31.2</w:t>
      </w:r>
    </w:p>
    <w:p>
      <w:pPr>
        <w:pStyle w:val="TextBody"/>
        <w:bidi w:val="0"/>
        <w:spacing w:before="0" w:after="0"/>
        <w:jc w:val="left"/>
        <w:rPr/>
      </w:pPr>
      <w:r>
        <w:rPr/>
        <w:t> </w:t>
      </w:r>
    </w:p>
    <w:p>
      <w:pPr>
        <w:pStyle w:val="TextBody"/>
        <w:bidi w:val="0"/>
        <w:spacing w:before="0" w:after="0"/>
        <w:jc w:val="center"/>
        <w:rPr>
          <w:b/>
        </w:rPr>
      </w:pPr>
      <w:r>
        <w:rPr>
          <w:b/>
        </w:rPr>
        <w:t>CERTIFICATION OF THE PRINCIPAL FINANCIAL OFFICER</w:t>
      </w:r>
    </w:p>
    <w:p>
      <w:pPr>
        <w:pStyle w:val="TextBody"/>
        <w:bidi w:val="0"/>
        <w:spacing w:before="0" w:after="0"/>
        <w:jc w:val="center"/>
        <w:rPr>
          <w:b/>
        </w:rPr>
      </w:pPr>
      <w:r>
        <w:rPr>
          <w:b/>
        </w:rPr>
        <w:t>PURSUANT TO SECTION 302 OF THE SARBANES-OXLEY ACT OF 2002</w:t>
      </w:r>
    </w:p>
    <w:p>
      <w:pPr>
        <w:pStyle w:val="TextBody"/>
        <w:bidi w:val="0"/>
        <w:spacing w:before="0" w:after="0"/>
        <w:jc w:val="left"/>
        <w:rPr/>
      </w:pPr>
      <w:r>
        <w:rPr/>
        <w:t> </w:t>
      </w:r>
    </w:p>
    <w:p>
      <w:pPr>
        <w:pStyle w:val="TextBody"/>
        <w:bidi w:val="0"/>
        <w:spacing w:before="0" w:after="0"/>
        <w:jc w:val="both"/>
        <w:rPr/>
      </w:pPr>
      <w:r>
        <w:rPr/>
        <w:t>I, Brian Lenz, certify that: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0" w:name="z90207c04e0794a0c9c06e3e23e92423f"/>
      <w:bookmarkStart w:id="61" w:name="z90207c04e0794a0c9c06e3e23e92423f"/>
      <w:bookmarkEnd w:id="61"/>
    </w:p>
    <w:tbl>
      <w:tblPr>
        <w:tblW w:w="7833" w:type="dxa"/>
        <w:jc w:val="left"/>
        <w:tblInd w:w="0" w:type="dxa"/>
        <w:tblLayout w:type="fixed"/>
        <w:tblCellMar>
          <w:top w:w="0" w:type="dxa"/>
          <w:left w:w="0" w:type="dxa"/>
          <w:bottom w:w="0" w:type="dxa"/>
          <w:right w:w="0" w:type="dxa"/>
        </w:tblCellMar>
      </w:tblPr>
      <w:tblGrid>
        <w:gridCol w:w="38"/>
        <w:gridCol w:w="200"/>
        <w:gridCol w:w="75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7595" w:type="dxa"/>
            <w:tcBorders/>
            <w:vAlign w:val="center"/>
          </w:tcPr>
          <w:p>
            <w:pPr>
              <w:pStyle w:val="TableContents"/>
              <w:bidi w:val="0"/>
              <w:spacing w:before="0" w:after="0"/>
              <w:jc w:val="left"/>
              <w:rPr/>
            </w:pPr>
            <w:r>
              <w:rPr/>
              <w:t>I have reviewed this Quarterly Report on Form 10-Q of ADMA Biologics, Inc.;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2" w:name="ze52a8fdfeb7f4d4e8b744245b43ed23c"/>
      <w:bookmarkStart w:id="63" w:name="ze52a8fdfeb7f4d4e8b744245b43ed23c"/>
      <w:bookmarkEnd w:id="63"/>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4" w:name="z5235349cf2a643428e7db67507e4e3c2"/>
      <w:bookmarkStart w:id="65" w:name="z5235349cf2a643428e7db67507e4e3c2"/>
      <w:bookmarkEnd w:id="65"/>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6" w:name="z00cf7269972a41468d50f6b9c5ebaf93"/>
      <w:bookmarkStart w:id="67" w:name="z00cf7269972a41468d50f6b9c5ebaf93"/>
      <w:bookmarkEnd w:id="67"/>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8" w:name="z8201a1ebcd6e462c921f22b7374164e8"/>
      <w:bookmarkStart w:id="69" w:name="z8201a1ebcd6e462c921f22b7374164e8"/>
      <w:bookmarkEnd w:id="69"/>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0" w:name="z6665e40dfbe74ff293e3d3c135387435"/>
      <w:bookmarkStart w:id="71" w:name="z6665e40dfbe74ff293e3d3c135387435"/>
      <w:bookmarkEnd w:id="71"/>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2" w:name="zde1d84cb2cea404c817d8af1148c1a4b"/>
      <w:bookmarkStart w:id="73" w:name="zde1d84cb2cea404c817d8af1148c1a4b"/>
      <w:bookmarkEnd w:id="73"/>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4" w:name="z3759688cd1a1412b86f3ffb089285965"/>
      <w:bookmarkStart w:id="75" w:name="z3759688cd1a1412b86f3ffb089285965"/>
      <w:bookmarkEnd w:id="75"/>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6" w:name="zb13ace669c3241b99d5ad5dd0e118aa0"/>
      <w:bookmarkStart w:id="77" w:name="zb13ace669c3241b99d5ad5dd0e118aa0"/>
      <w:bookmarkEnd w:id="77"/>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8" w:name="zfa4f07124c41475ebc3ab1f229e221a2"/>
      <w:bookmarkStart w:id="79" w:name="zfa4f07124c41475ebc3ab1f229e221a2"/>
      <w:bookmarkEnd w:id="79"/>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0" w:name="z778b68ceb73e4f6daec4891192e9fc03"/>
      <w:bookmarkStart w:id="81" w:name="z778b68ceb73e4f6daec4891192e9fc03"/>
      <w:bookmarkEnd w:id="81"/>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pPr>
            <w:r>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2" w:name="z51c38245bc804ce69dcccdf21e3c1f7d"/>
      <w:bookmarkStart w:id="83" w:name="z51c38245bc804ce69dcccdf21e3c1f7d"/>
      <w:bookmarkEnd w:id="83"/>
    </w:p>
    <w:tbl>
      <w:tblPr>
        <w:tblW w:w="10205" w:type="dxa"/>
        <w:jc w:val="left"/>
        <w:tblInd w:w="0" w:type="dxa"/>
        <w:tblLayout w:type="fixed"/>
        <w:tblCellMar>
          <w:top w:w="0" w:type="dxa"/>
          <w:left w:w="0" w:type="dxa"/>
          <w:bottom w:w="0" w:type="dxa"/>
          <w:right w:w="0" w:type="dxa"/>
        </w:tblCellMar>
      </w:tblPr>
      <w:tblGrid>
        <w:gridCol w:w="1677"/>
        <w:gridCol w:w="639"/>
        <w:gridCol w:w="7889"/>
      </w:tblGrid>
      <w:tr>
        <w:trPr/>
        <w:tc>
          <w:tcPr>
            <w:tcW w:w="1677" w:type="dxa"/>
            <w:tcBorders/>
            <w:vAlign w:val="center"/>
          </w:tcPr>
          <w:p>
            <w:pPr>
              <w:pStyle w:val="TableContents"/>
              <w:bidi w:val="0"/>
              <w:spacing w:before="0" w:after="0"/>
              <w:jc w:val="left"/>
              <w:rPr/>
            </w:pPr>
            <w:r>
              <w:rPr/>
              <w:t>Date: May 10, 2023</w:t>
            </w:r>
          </w:p>
        </w:tc>
        <w:tc>
          <w:tcPr>
            <w:tcW w:w="639" w:type="dxa"/>
            <w:tcBorders/>
            <w:vAlign w:val="center"/>
          </w:tcPr>
          <w:p>
            <w:pPr>
              <w:pStyle w:val="TableContents"/>
              <w:bidi w:val="0"/>
              <w:spacing w:before="0" w:after="0"/>
              <w:jc w:val="left"/>
              <w:rPr/>
            </w:pPr>
            <w:r>
              <w:rPr/>
              <w:t>By:</w:t>
            </w:r>
          </w:p>
        </w:tc>
        <w:tc>
          <w:tcPr>
            <w:tcW w:w="7889" w:type="dxa"/>
            <w:tcBorders>
              <w:bottom w:val="single" w:sz="12" w:space="0" w:color="000000"/>
            </w:tcBorders>
            <w:tcMar>
              <w:bottom w:w="28" w:type="dxa"/>
            </w:tcMar>
            <w:vAlign w:val="center"/>
          </w:tcPr>
          <w:p>
            <w:pPr>
              <w:pStyle w:val="TableContents"/>
              <w:bidi w:val="0"/>
              <w:spacing w:before="0" w:after="0"/>
              <w:jc w:val="left"/>
              <w:rPr/>
            </w:pPr>
            <w:r>
              <w:rPr/>
              <w:t>/s/ Brian Lenz</w:t>
            </w:r>
          </w:p>
        </w:tc>
      </w:tr>
      <w:tr>
        <w:trPr/>
        <w:tc>
          <w:tcPr>
            <w:tcW w:w="1677" w:type="dxa"/>
            <w:tcBorders/>
            <w:vAlign w:val="center"/>
          </w:tcPr>
          <w:p>
            <w:pPr>
              <w:pStyle w:val="TableContents"/>
              <w:bidi w:val="0"/>
              <w:spacing w:before="0" w:after="283"/>
              <w:jc w:val="left"/>
              <w:rPr/>
            </w:pPr>
            <w:r>
              <w:rPr/>
            </w:r>
          </w:p>
        </w:tc>
        <w:tc>
          <w:tcPr>
            <w:tcW w:w="639" w:type="dxa"/>
            <w:tcBorders/>
            <w:vAlign w:val="center"/>
          </w:tcPr>
          <w:p>
            <w:pPr>
              <w:pStyle w:val="TableContents"/>
              <w:bidi w:val="0"/>
              <w:spacing w:before="0" w:after="0"/>
              <w:jc w:val="left"/>
              <w:rPr/>
            </w:pPr>
            <w:r>
              <w:rPr/>
              <w:t>Name:</w:t>
            </w:r>
          </w:p>
        </w:tc>
        <w:tc>
          <w:tcPr>
            <w:tcW w:w="7889" w:type="dxa"/>
            <w:tcBorders/>
            <w:vAlign w:val="center"/>
          </w:tcPr>
          <w:p>
            <w:pPr>
              <w:pStyle w:val="TableContents"/>
              <w:bidi w:val="0"/>
              <w:spacing w:before="0" w:after="0"/>
              <w:jc w:val="left"/>
              <w:rPr/>
            </w:pPr>
            <w:r>
              <w:rPr/>
              <w:t>Brian Lenz</w:t>
            </w:r>
          </w:p>
        </w:tc>
      </w:tr>
      <w:tr>
        <w:trPr/>
        <w:tc>
          <w:tcPr>
            <w:tcW w:w="1677" w:type="dxa"/>
            <w:tcBorders/>
            <w:vAlign w:val="center"/>
          </w:tcPr>
          <w:p>
            <w:pPr>
              <w:pStyle w:val="TableContents"/>
              <w:bidi w:val="0"/>
              <w:spacing w:before="0" w:after="283"/>
              <w:jc w:val="left"/>
              <w:rPr/>
            </w:pPr>
            <w:r>
              <w:rPr/>
            </w:r>
          </w:p>
        </w:tc>
        <w:tc>
          <w:tcPr>
            <w:tcW w:w="639" w:type="dxa"/>
            <w:tcBorders/>
            <w:vAlign w:val="center"/>
          </w:tcPr>
          <w:p>
            <w:pPr>
              <w:pStyle w:val="TableContents"/>
              <w:bidi w:val="0"/>
              <w:spacing w:before="0" w:after="0"/>
              <w:jc w:val="left"/>
              <w:rPr/>
            </w:pPr>
            <w:r>
              <w:rPr/>
              <w:t>Title:</w:t>
            </w:r>
          </w:p>
        </w:tc>
        <w:tc>
          <w:tcPr>
            <w:tcW w:w="7889" w:type="dxa"/>
            <w:tcBorders/>
            <w:vAlign w:val="center"/>
          </w:tcPr>
          <w:p>
            <w:pPr>
              <w:pStyle w:val="TableContents"/>
              <w:bidi w:val="0"/>
              <w:spacing w:before="0" w:after="0"/>
              <w:jc w:val="left"/>
              <w:rPr/>
            </w:pPr>
            <w:r>
              <w:rPr/>
              <w:t>Executive Vice President and Chief Financial Officer (Principal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4" w:name="brhc20052583_ex32-1.htm"/>
      <w:bookmarkStart w:id="85" w:name="ksbrhc20052583_ex321"/>
      <w:bookmarkStart w:id="86" w:name="brhc20052583_ex32-1.htm"/>
      <w:bookmarkStart w:id="87" w:name="ksbrhc20052583_ex321"/>
      <w:bookmarkEnd w:id="86"/>
      <w:bookmarkEnd w:id="87"/>
      <w:r>
        <w:br w:type="page"/>
      </w:r>
    </w:p>
    <w:p>
      <w:pPr>
        <w:pStyle w:val="TextBody"/>
        <w:bidi w:val="0"/>
        <w:spacing w:before="0" w:after="0"/>
        <w:ind w:left="0" w:right="0" w:firstLine="720"/>
        <w:jc w:val="right"/>
        <w:rPr>
          <w:b/>
        </w:rPr>
      </w:pPr>
      <w:r>
        <w:rPr>
          <w:b/>
        </w:rPr>
        <w:t>Exhibit 32.1</w:t>
      </w:r>
    </w:p>
    <w:p>
      <w:pPr>
        <w:pStyle w:val="TextBody"/>
        <w:bidi w:val="0"/>
        <w:spacing w:before="0" w:after="0"/>
        <w:jc w:val="left"/>
        <w:rPr/>
      </w:pPr>
      <w:r>
        <w:rPr/>
        <w:t> </w:t>
      </w:r>
    </w:p>
    <w:p>
      <w:pPr>
        <w:pStyle w:val="TextBody"/>
        <w:bidi w:val="0"/>
        <w:spacing w:before="0" w:after="0"/>
        <w:jc w:val="center"/>
        <w:rPr>
          <w:b/>
        </w:rPr>
      </w:pPr>
      <w:r>
        <w:rPr>
          <w:b/>
        </w:rPr>
        <w:t>CERTIFICATION OF THE PRINCIPAL EXECUTIVE OFFICER</w:t>
      </w:r>
    </w:p>
    <w:p>
      <w:pPr>
        <w:pStyle w:val="TextBody"/>
        <w:bidi w:val="0"/>
        <w:spacing w:before="0" w:after="0"/>
        <w:jc w:val="center"/>
        <w:rPr>
          <w:b/>
        </w:rPr>
      </w:pPr>
      <w:r>
        <w:rPr>
          <w:b/>
        </w:rPr>
        <w:t>PURSUANT TO SECTION 906 OF THE SARBANES-OXLEY ACT OF 2002</w:t>
      </w:r>
    </w:p>
    <w:p>
      <w:pPr>
        <w:pStyle w:val="TextBody"/>
        <w:bidi w:val="0"/>
        <w:spacing w:before="0" w:after="0"/>
        <w:jc w:val="left"/>
        <w:rPr/>
      </w:pPr>
      <w:r>
        <w:rPr/>
      </w:r>
    </w:p>
    <w:p>
      <w:pPr>
        <w:pStyle w:val="TextBody"/>
        <w:bidi w:val="0"/>
        <w:spacing w:before="0" w:after="0"/>
        <w:jc w:val="left"/>
        <w:rPr/>
      </w:pPr>
      <w:r>
        <w:rPr/>
        <w:t>In connection with the Quarterly Report of ADMA Biologics, Inc., a Delaware corporation (the “Company”), on Form 10-Q for the quarter ended March 31, 2023,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0bdb4f96228740a5944208569dcf712b"/>
      <w:bookmarkStart w:id="89" w:name="z0bdb4f96228740a5944208569dcf712b"/>
      <w:bookmarkEnd w:id="89"/>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pPr>
            <w:r>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0"/>
              <w:jc w:val="left"/>
              <w:rPr/>
            </w:pPr>
            <w:r>
              <w:rPr/>
              <w:t>The Report fully complies with the requirements of Section 13(a) or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69bbe6f5da054537b56e73eeafcb58b3"/>
      <w:bookmarkStart w:id="91" w:name="z69bbe6f5da054537b56e73eeafcb58b3"/>
      <w:bookmarkEnd w:id="91"/>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df87f766eac745f8b8ff3505796c12c1"/>
      <w:bookmarkStart w:id="93" w:name="zdf87f766eac745f8b8ff3505796c12c1"/>
      <w:bookmarkEnd w:id="93"/>
    </w:p>
    <w:tbl>
      <w:tblPr>
        <w:tblW w:w="6195" w:type="dxa"/>
        <w:jc w:val="left"/>
        <w:tblInd w:w="0" w:type="dxa"/>
        <w:tblLayout w:type="fixed"/>
        <w:tblCellMar>
          <w:top w:w="0" w:type="dxa"/>
          <w:left w:w="0" w:type="dxa"/>
          <w:bottom w:w="0" w:type="dxa"/>
          <w:right w:w="0" w:type="dxa"/>
        </w:tblCellMar>
      </w:tblPr>
      <w:tblGrid>
        <w:gridCol w:w="1925"/>
        <w:gridCol w:w="650"/>
        <w:gridCol w:w="3620"/>
      </w:tblGrid>
      <w:tr>
        <w:trPr/>
        <w:tc>
          <w:tcPr>
            <w:tcW w:w="1925" w:type="dxa"/>
            <w:tcBorders/>
            <w:vAlign w:val="center"/>
          </w:tcPr>
          <w:p>
            <w:pPr>
              <w:pStyle w:val="TableContents"/>
              <w:bidi w:val="0"/>
              <w:spacing w:before="0" w:after="0"/>
              <w:jc w:val="left"/>
              <w:rPr/>
            </w:pPr>
            <w:r>
              <w:rPr/>
              <w:t>Date: May 10, 2023</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0"/>
              <w:jc w:val="left"/>
              <w:rPr/>
            </w:pPr>
            <w:r>
              <w:rPr/>
              <w:t>/s/ Adam S. Grossman</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vAlign w:val="center"/>
          </w:tcPr>
          <w:p>
            <w:pPr>
              <w:pStyle w:val="TableContents"/>
              <w:bidi w:val="0"/>
              <w:spacing w:before="0" w:after="0"/>
              <w:jc w:val="left"/>
              <w:rPr/>
            </w:pPr>
            <w:r>
              <w:rPr/>
              <w:t>Adam S. Grossman</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vAlign w:val="center"/>
          </w:tcPr>
          <w:p>
            <w:pPr>
              <w:pStyle w:val="TableContents"/>
              <w:bidi w:val="0"/>
              <w:spacing w:before="0" w:after="0"/>
              <w:jc w:val="left"/>
              <w:rPr/>
            </w:pPr>
            <w:r>
              <w:rPr/>
              <w:t>President and Chief Executive Officer</w:t>
            </w:r>
          </w:p>
          <w:p>
            <w:pPr>
              <w:pStyle w:val="TableContents"/>
              <w:bidi w:val="0"/>
              <w:spacing w:before="0" w:after="0"/>
              <w:jc w:val="left"/>
              <w:rPr/>
            </w:pPr>
            <w:r>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4" w:name="brhc20052583_ex32-2.htm"/>
      <w:bookmarkStart w:id="95" w:name="ksbrhc20052583_ex322"/>
      <w:bookmarkStart w:id="96" w:name="brhc20052583_ex32-2.htm"/>
      <w:bookmarkStart w:id="97" w:name="ksbrhc20052583_ex322"/>
      <w:bookmarkEnd w:id="96"/>
      <w:bookmarkEnd w:id="97"/>
      <w:r>
        <w:br w:type="page"/>
      </w:r>
    </w:p>
    <w:p>
      <w:pPr>
        <w:pStyle w:val="TextBody"/>
        <w:bidi w:val="0"/>
        <w:spacing w:before="0" w:after="0"/>
        <w:ind w:left="0" w:right="0" w:firstLine="720"/>
        <w:jc w:val="right"/>
        <w:rPr>
          <w:b/>
        </w:rPr>
      </w:pPr>
      <w:r>
        <w:rPr>
          <w:b/>
        </w:rPr>
        <w:t>Exhibit 32.2</w:t>
      </w:r>
    </w:p>
    <w:p>
      <w:pPr>
        <w:pStyle w:val="TextBody"/>
        <w:bidi w:val="0"/>
        <w:spacing w:before="0" w:after="0"/>
        <w:jc w:val="left"/>
        <w:rPr/>
      </w:pPr>
      <w:r>
        <w:rPr/>
        <w:t> </w:t>
      </w:r>
    </w:p>
    <w:p>
      <w:pPr>
        <w:pStyle w:val="TextBody"/>
        <w:bidi w:val="0"/>
        <w:spacing w:before="0" w:after="0"/>
        <w:jc w:val="center"/>
        <w:rPr>
          <w:b/>
        </w:rPr>
      </w:pPr>
      <w:r>
        <w:rPr>
          <w:b/>
        </w:rPr>
        <w:t>CERTIFICATION OF THE PRINCIPAL FINANCIAL OFFICER</w:t>
      </w:r>
    </w:p>
    <w:p>
      <w:pPr>
        <w:pStyle w:val="TextBody"/>
        <w:bidi w:val="0"/>
        <w:spacing w:before="0" w:after="0"/>
        <w:jc w:val="center"/>
        <w:rPr>
          <w:b/>
        </w:rPr>
      </w:pPr>
      <w:r>
        <w:rPr>
          <w:b/>
        </w:rPr>
        <w:t>PURSUANT TO SECTION 906 OF THE SARBANES-OXLEY ACT OF 2002</w:t>
      </w:r>
    </w:p>
    <w:p>
      <w:pPr>
        <w:pStyle w:val="TextBody"/>
        <w:bidi w:val="0"/>
        <w:spacing w:before="0" w:after="0"/>
        <w:jc w:val="left"/>
        <w:rPr/>
      </w:pPr>
      <w:r>
        <w:rPr/>
      </w:r>
    </w:p>
    <w:p>
      <w:pPr>
        <w:pStyle w:val="TextBody"/>
        <w:bidi w:val="0"/>
        <w:spacing w:before="0" w:after="0"/>
        <w:jc w:val="left"/>
        <w:rPr/>
      </w:pPr>
      <w:r>
        <w:rPr/>
        <w:t>In connection with the Quarterly Report of ADMA Biologics, Inc., a Delaware corporation (the “Company”), on Form 10-Q for the quarter ended March 31, 2023,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3d9a21c58ba94e78ac339b558af87a1e"/>
      <w:bookmarkStart w:id="99" w:name="z3d9a21c58ba94e78ac339b558af87a1e"/>
      <w:bookmarkEnd w:id="99"/>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pPr>
            <w:r>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0"/>
              <w:jc w:val="left"/>
              <w:rPr/>
            </w:pPr>
            <w:r>
              <w:rPr/>
              <w:t>The Report fully complies with the requirements of Section 13(a) or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201a4afdbcae4dcc99feb7b5e0c5b7a0"/>
      <w:bookmarkStart w:id="101" w:name="z201a4afdbcae4dcc99feb7b5e0c5b7a0"/>
      <w:bookmarkEnd w:id="101"/>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0d1d5e11346f42c1ba996ac274b739b2"/>
      <w:bookmarkStart w:id="103" w:name="z0d1d5e11346f42c1ba996ac274b739b2"/>
      <w:bookmarkEnd w:id="103"/>
    </w:p>
    <w:tbl>
      <w:tblPr>
        <w:tblW w:w="10205" w:type="dxa"/>
        <w:jc w:val="left"/>
        <w:tblInd w:w="0" w:type="dxa"/>
        <w:tblLayout w:type="fixed"/>
        <w:tblCellMar>
          <w:top w:w="0" w:type="dxa"/>
          <w:left w:w="0" w:type="dxa"/>
          <w:bottom w:w="0" w:type="dxa"/>
          <w:right w:w="0" w:type="dxa"/>
        </w:tblCellMar>
      </w:tblPr>
      <w:tblGrid>
        <w:gridCol w:w="1677"/>
        <w:gridCol w:w="639"/>
        <w:gridCol w:w="7889"/>
      </w:tblGrid>
      <w:tr>
        <w:trPr/>
        <w:tc>
          <w:tcPr>
            <w:tcW w:w="1677" w:type="dxa"/>
            <w:tcBorders/>
            <w:vAlign w:val="center"/>
          </w:tcPr>
          <w:p>
            <w:pPr>
              <w:pStyle w:val="TableContents"/>
              <w:bidi w:val="0"/>
              <w:spacing w:before="0" w:after="0"/>
              <w:jc w:val="left"/>
              <w:rPr/>
            </w:pPr>
            <w:r>
              <w:rPr/>
              <w:t>Date: May 10, 2023</w:t>
            </w:r>
          </w:p>
        </w:tc>
        <w:tc>
          <w:tcPr>
            <w:tcW w:w="639" w:type="dxa"/>
            <w:tcBorders/>
            <w:vAlign w:val="center"/>
          </w:tcPr>
          <w:p>
            <w:pPr>
              <w:pStyle w:val="TableContents"/>
              <w:bidi w:val="0"/>
              <w:spacing w:before="0" w:after="0"/>
              <w:jc w:val="left"/>
              <w:rPr/>
            </w:pPr>
            <w:r>
              <w:rPr/>
              <w:t>By:</w:t>
            </w:r>
          </w:p>
        </w:tc>
        <w:tc>
          <w:tcPr>
            <w:tcW w:w="7889" w:type="dxa"/>
            <w:tcBorders>
              <w:bottom w:val="single" w:sz="12" w:space="0" w:color="000000"/>
            </w:tcBorders>
            <w:tcMar>
              <w:bottom w:w="28" w:type="dxa"/>
            </w:tcMar>
            <w:vAlign w:val="center"/>
          </w:tcPr>
          <w:p>
            <w:pPr>
              <w:pStyle w:val="TableContents"/>
              <w:bidi w:val="0"/>
              <w:spacing w:before="0" w:after="0"/>
              <w:jc w:val="left"/>
              <w:rPr/>
            </w:pPr>
            <w:r>
              <w:rPr/>
              <w:t>/s/ Brian Lenz</w:t>
            </w:r>
          </w:p>
        </w:tc>
      </w:tr>
      <w:tr>
        <w:trPr/>
        <w:tc>
          <w:tcPr>
            <w:tcW w:w="1677"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0"/>
              <w:jc w:val="left"/>
              <w:rPr/>
            </w:pPr>
            <w:r>
              <w:rPr/>
              <w:t>Name:</w:t>
            </w:r>
          </w:p>
        </w:tc>
        <w:tc>
          <w:tcPr>
            <w:tcW w:w="7889" w:type="dxa"/>
            <w:tcBorders/>
            <w:vAlign w:val="center"/>
          </w:tcPr>
          <w:p>
            <w:pPr>
              <w:pStyle w:val="TableContents"/>
              <w:bidi w:val="0"/>
              <w:spacing w:before="0" w:after="0"/>
              <w:jc w:val="left"/>
              <w:rPr/>
            </w:pPr>
            <w:r>
              <w:rPr/>
              <w:t>Brian Lenz</w:t>
            </w:r>
          </w:p>
        </w:tc>
      </w:tr>
      <w:tr>
        <w:trPr/>
        <w:tc>
          <w:tcPr>
            <w:tcW w:w="1677"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0"/>
              <w:jc w:val="left"/>
              <w:rPr/>
            </w:pPr>
            <w:r>
              <w:rPr/>
              <w:t>Title:</w:t>
            </w:r>
          </w:p>
        </w:tc>
        <w:tc>
          <w:tcPr>
            <w:tcW w:w="7889" w:type="dxa"/>
            <w:tcBorders/>
            <w:vAlign w:val="center"/>
          </w:tcPr>
          <w:p>
            <w:pPr>
              <w:pStyle w:val="TableContents"/>
              <w:bidi w:val="0"/>
              <w:spacing w:before="0" w:after="0"/>
              <w:jc w:val="left"/>
              <w:rPr/>
            </w:pPr>
            <w:r>
              <w:rPr/>
              <w:t>Executive Vice President and Chief Financial Officer (Principal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514/000114036123022312/brhc20052223_ex4-1.htm" TargetMode="External"/><Relationship Id="rId3" Type="http://schemas.openxmlformats.org/officeDocument/2006/relationships/hyperlink" Target="https://www.sec.gov/Archives/edgar/data/1368514/000114036123013467/brhc10049985_ex10-251.htm" TargetMode="External"/><Relationship Id="rId4" Type="http://schemas.openxmlformats.org/officeDocument/2006/relationships/hyperlink" Target="https://www.sec.gov/Archives/edgar/data/1368514/000114036123022312/brhc20052223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45245</Words>
  <Characters>252977</Characters>
  <CharactersWithSpaces>298473</CharactersWithSpaces>
  <Paragraphs>4438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