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ny20007545x2_def14a_100-regocv_pg1"/>
        <w:bookmarkStart w:id="1" w:name="ny20007545x2_def14a.htm"/>
        <w:bookmarkStart w:id="2" w:name="ksny20007545x2_def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Washington, DC 90549</w:t>
      </w:r>
    </w:p>
    <w:p>
      <w:pPr>
        <w:pStyle w:val="TextBody"/>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(RULE 14a-101)</w:t>
      </w:r>
    </w:p>
    <w:p>
      <w:pPr>
        <w:pStyle w:val="TextBody"/>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INFORMATION REQUIRED IN PROXY STATEMENT</w:t>
      </w:r>
    </w:p>
    <w:p>
      <w:pPr>
        <w:pStyle w:val="TextBody"/>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SCHEDULE 14A INFORMATION</w:t>
      </w:r>
    </w:p>
    <w:p>
      <w:pPr>
        <w:pStyle w:val="TextBody"/>
        <w:spacing w:before="130" w:after="283"/>
        <w:jc w:val="center"/>
        <w:rPr>
          <w:rFonts w:ascii="Times New Roman;Times;serif" w:hAnsi="Times New Roman;Times;serif"/>
          <w:b/>
          <w:color w:val="000000"/>
          <w:sz w:val="22"/>
        </w:rPr>
      </w:pPr>
      <w:r>
        <w:rPr>
          <w:rFonts w:ascii="Times New Roman;Times;serif" w:hAnsi="Times New Roman;Times;serif"/>
          <w:b/>
          <w:color w:val="000000"/>
          <w:sz w:val="22"/>
        </w:rPr>
        <w:t>Proxy Statement Pursuant to Section 14(a) of the</w:t>
      </w:r>
    </w:p>
    <w:p>
      <w:pPr>
        <w:pStyle w:val="TextBody"/>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Securities Exchange Act of 1934</w:t>
      </w:r>
    </w:p>
    <w:p>
      <w:pPr>
        <w:pStyle w:val="TextBody"/>
        <w:spacing w:before="2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tbl>
      <w:tblPr>
        <w:tblW w:w="2620" w:type="dxa"/>
        <w:jc w:val="left"/>
        <w:tblInd w:w="0" w:type="dxa"/>
        <w:tblCellMar>
          <w:top w:w="0" w:type="dxa"/>
          <w:left w:w="0" w:type="dxa"/>
          <w:bottom w:w="0" w:type="dxa"/>
          <w:right w:w="0" w:type="dxa"/>
        </w:tblCellMar>
      </w:tblPr>
      <w:tblGrid>
        <w:gridCol w:w="275"/>
        <w:gridCol w:w="234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3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7075" w:type="dxa"/>
        <w:jc w:val="left"/>
        <w:tblInd w:w="0" w:type="dxa"/>
        <w:tblCellMar>
          <w:top w:w="0" w:type="dxa"/>
          <w:left w:w="0" w:type="dxa"/>
          <w:bottom w:w="0" w:type="dxa"/>
          <w:right w:w="0" w:type="dxa"/>
        </w:tblCellMar>
      </w:tblPr>
      <w:tblGrid>
        <w:gridCol w:w="275"/>
        <w:gridCol w:w="6800"/>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680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Confidential, For Use of the Commission Only (as permitted by Rule 14a–6(e)(2))</w:t>
            </w:r>
          </w:p>
        </w:tc>
      </w:tr>
    </w:tbl>
    <w:tbl>
      <w:tblPr>
        <w:tblW w:w="2455" w:type="dxa"/>
        <w:jc w:val="left"/>
        <w:tblInd w:w="0" w:type="dxa"/>
        <w:tblCellMar>
          <w:top w:w="0" w:type="dxa"/>
          <w:left w:w="0" w:type="dxa"/>
          <w:bottom w:w="0" w:type="dxa"/>
          <w:right w:w="0" w:type="dxa"/>
        </w:tblCellMar>
      </w:tblPr>
      <w:tblGrid>
        <w:gridCol w:w="230"/>
        <w:gridCol w:w="2225"/>
      </w:tblGrid>
      <w:tr>
        <w:trPr/>
        <w:tc>
          <w:tcPr>
            <w:tcW w:w="230" w:type="dxa"/>
            <w:tcBorders/>
            <w:shd w:fill="auto" w:val="clear"/>
            <w:vAlign w:val="center"/>
          </w:tcPr>
          <w:p>
            <w:pPr>
              <w:pStyle w:val="TableContents"/>
              <w:spacing w:before="0" w:after="0"/>
              <w:jc w:val="left"/>
              <w:rPr>
                <w:color w:val="000000"/>
              </w:rPr>
            </w:pPr>
            <w:r>
              <w:rPr>
                <w:color w:val="000000"/>
              </w:rPr>
              <w:t>☒</w:t>
            </w:r>
          </w:p>
        </w:tc>
        <w:tc>
          <w:tcPr>
            <w:tcW w:w="22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860" w:type="dxa"/>
        <w:jc w:val="left"/>
        <w:tblInd w:w="0" w:type="dxa"/>
        <w:tblCellMar>
          <w:top w:w="0" w:type="dxa"/>
          <w:left w:w="0" w:type="dxa"/>
          <w:bottom w:w="0" w:type="dxa"/>
          <w:right w:w="0" w:type="dxa"/>
        </w:tblCellMar>
      </w:tblPr>
      <w:tblGrid>
        <w:gridCol w:w="275"/>
        <w:gridCol w:w="258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5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bl>
    <w:tbl>
      <w:tblPr>
        <w:tblW w:w="3400" w:type="dxa"/>
        <w:jc w:val="left"/>
        <w:tblInd w:w="0" w:type="dxa"/>
        <w:tblCellMar>
          <w:top w:w="0" w:type="dxa"/>
          <w:left w:w="0" w:type="dxa"/>
          <w:bottom w:w="0" w:type="dxa"/>
          <w:right w:w="0" w:type="dxa"/>
        </w:tblCellMar>
      </w:tblPr>
      <w:tblGrid>
        <w:gridCol w:w="275"/>
        <w:gridCol w:w="312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31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Rule 14a-12</w:t>
            </w:r>
          </w:p>
        </w:tc>
      </w:tr>
    </w:tbl>
    <w:p>
      <w:pPr>
        <w:pStyle w:val="TextBody"/>
        <w:spacing w:before="410" w:after="283"/>
        <w:jc w:val="center"/>
        <w:rPr>
          <w:rFonts w:ascii="Times New Roman;Times;serif" w:hAnsi="Times New Roman;Times;serif"/>
          <w:b/>
          <w:color w:val="000000"/>
          <w:sz w:val="40"/>
        </w:rPr>
      </w:pPr>
      <w:r>
        <w:rPr>
          <w:rFonts w:ascii="Times New Roman;Times;serif" w:hAnsi="Times New Roman;Times;serif"/>
          <w:b/>
          <w:color w:val="000000"/>
          <w:sz w:val="40"/>
        </w:rPr>
        <w:t>ADMA BIOLOGICS,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585" w:type="dxa"/>
        <w:jc w:val="left"/>
        <w:tblInd w:w="0" w:type="dxa"/>
        <w:tblCellMar>
          <w:top w:w="0" w:type="dxa"/>
          <w:left w:w="0" w:type="dxa"/>
          <w:bottom w:w="0" w:type="dxa"/>
          <w:right w:w="0" w:type="dxa"/>
        </w:tblCellMar>
      </w:tblPr>
      <w:tblGrid>
        <w:gridCol w:w="230"/>
        <w:gridCol w:w="1355"/>
      </w:tblGrid>
      <w:tr>
        <w:trPr/>
        <w:tc>
          <w:tcPr>
            <w:tcW w:w="230" w:type="dxa"/>
            <w:tcBorders/>
            <w:shd w:fill="auto" w:val="clear"/>
            <w:vAlign w:val="center"/>
          </w:tcPr>
          <w:p>
            <w:pPr>
              <w:pStyle w:val="TableContents"/>
              <w:spacing w:before="0" w:after="0"/>
              <w:jc w:val="left"/>
              <w:rPr>
                <w:color w:val="000000"/>
              </w:rPr>
            </w:pPr>
            <w:r>
              <w:rPr>
                <w:color w:val="000000"/>
              </w:rPr>
              <w:t>☒</w:t>
            </w:r>
          </w:p>
        </w:tc>
        <w:tc>
          <w:tcPr>
            <w:tcW w:w="13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CellMar>
          <w:top w:w="0" w:type="dxa"/>
          <w:left w:w="0" w:type="dxa"/>
          <w:bottom w:w="0" w:type="dxa"/>
          <w:right w:w="0" w:type="dxa"/>
        </w:tblCellMar>
      </w:tblPr>
      <w:tblGrid>
        <w:gridCol w:w="275"/>
        <w:gridCol w:w="3890"/>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38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60" w:type="dxa"/>
        <w:jc w:val="left"/>
        <w:tblInd w:w="0" w:type="dxa"/>
        <w:tblCellMar>
          <w:top w:w="0" w:type="dxa"/>
          <w:left w:w="0" w:type="dxa"/>
          <w:bottom w:w="0" w:type="dxa"/>
          <w:right w:w="0" w:type="dxa"/>
        </w:tblCellMar>
      </w:tblPr>
      <w:tblGrid>
        <w:gridCol w:w="275"/>
        <w:gridCol w:w="828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82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 w:name="ny20007545x2_def14a_101-letter_pg1"/>
        <w:bookmarkEnd w:id="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DATED APRIL 13, 2023</w:t>
      </w:r>
    </w:p>
    <w:p>
      <w:pPr>
        <w:pStyle w:val="TextBody"/>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ADMA BIOLOGICS,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465 State Route 17</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Ramsey, New Jersey 07446</w:t>
      </w:r>
    </w:p>
    <w:p>
      <w:pPr>
        <w:pStyle w:val="TextBody"/>
        <w:spacing w:before="3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Dear Stockholder: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cordially invited to the annual meeting of stockholders (the “</w:t>
      </w:r>
      <w:r>
        <w:rPr>
          <w:rFonts w:ascii="Times New Roman;Times;serif" w:hAnsi="Times New Roman;Times;serif"/>
          <w:b/>
          <w:color w:val="000000"/>
          <w:sz w:val="20"/>
          <w:u w:val="single"/>
        </w:rPr>
        <w:t>Annual Meeting</w:t>
      </w:r>
      <w:r>
        <w:rPr>
          <w:rFonts w:ascii="Times New Roman;Times;serif" w:hAnsi="Times New Roman;Times;serif"/>
          <w:color w:val="000000"/>
          <w:sz w:val="20"/>
        </w:rPr>
        <w:t>”) of ADMA Biologics, Inc. (the “</w:t>
      </w:r>
      <w:r>
        <w:rPr>
          <w:rFonts w:ascii="Times New Roman;Times;serif" w:hAnsi="Times New Roman;Times;serif"/>
          <w:b/>
          <w:color w:val="000000"/>
          <w:sz w:val="20"/>
          <w:u w:val="single"/>
        </w:rPr>
        <w:t>Company</w:t>
      </w:r>
      <w:r>
        <w:rPr>
          <w:rFonts w:ascii="Times New Roman;Times;serif" w:hAnsi="Times New Roman;Times;serif"/>
          <w:color w:val="000000"/>
          <w:sz w:val="20"/>
        </w:rPr>
        <w:t>”), which will be held virtually at 10:00 a.m. Eastern Time on June 6, 2023. We have adopted a virtual format for our Annual Meeting to provide a consistent experience to all stockholders regardless of location. You will be able to attend the Annual Meeting and vote during the Annual Meeting via live webcast through the link www.virtualshareholdermeeting.com/ADMA2023.</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the Annual Meeting, you will be asked to consider and vote on certain proposals that are more fully described in the accompanying proxy statement. Whether or not you plan to attend the Annual Meeting, we urge you to read the proxy statement and consider such information carefully before voting.</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that our stockholders vote “FOR” all of the proposals presented in the proxy statement.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Your vote is very important. Even if you plan to attend the Annual Meeting, if you are a stockholder of record of common stock, please submit your proxy by Internet, mail or telephone as soon as possible to make sure that your shares are represented at the Annual Meeting, or you may submit your proxy at the Annual Meeting. If you hold your shares of common stock in “street name” through a bank, broker or other nominee, you must vote in accordance with the voting instructions provided to you by such bank, broker or other nominee, which include instructions for voting by Internet or telephone.</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behalf of the Board of Directors, I thank you for your continued support of ADMA Biologics, Inc.</w:t>
      </w:r>
    </w:p>
    <w:tbl>
      <w:tblPr>
        <w:tblW w:w="3966" w:type="dxa"/>
        <w:jc w:val="left"/>
        <w:tblInd w:w="0" w:type="dxa"/>
        <w:tblCellMar>
          <w:top w:w="0" w:type="dxa"/>
          <w:left w:w="0" w:type="dxa"/>
          <w:bottom w:w="0" w:type="dxa"/>
          <w:right w:w="0" w:type="dxa"/>
        </w:tblCellMar>
      </w:tblPr>
      <w:tblGrid>
        <w:gridCol w:w="75"/>
        <w:gridCol w:w="23"/>
        <w:gridCol w:w="23"/>
        <w:gridCol w:w="384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Yours sincerely,</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color w:val="000000"/>
              </w:rPr>
            </w:pPr>
            <w:r>
              <w:rPr>
                <w:color w:val="000000"/>
              </w:rPr>
              <w:drawing>
                <wp:inline distT="0" distB="0" distL="0" distR="0">
                  <wp:extent cx="1419225"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276225"/>
                          </a:xfrm>
                          <a:prstGeom prst="rect">
                            <a:avLst/>
                          </a:prstGeom>
                        </pic:spPr>
                      </pic:pic>
                    </a:graphicData>
                  </a:graphic>
                </wp:inline>
              </w:drawing>
            </w:r>
          </w:p>
          <w:p>
            <w:pPr>
              <w:pStyle w:val="TableContents"/>
              <w:spacing w:before="0" w:after="283"/>
              <w:ind w:left="0" w:right="0" w:hanging="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Adam S. Grossman</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Director</w:t>
            </w:r>
          </w:p>
        </w:tc>
      </w:tr>
    </w:tbl>
    <w:p>
      <w:pPr>
        <w:pStyle w:val="TextBody"/>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This proxy statement is dated April 13, 2023. Holders of record of the Company’s common stock at the close of business on April 10, 2023 are entitled to receive notice of, and to vote at, the Annual Meeting. Instructions on how to vote your shares are contained on the “Important Notice Regarding the Availability of Proxy Materials,” which is expected to be mailed on or about April 13,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 w:name="DSPFPageBreakArea"/>
      <w:bookmarkStart w:id="5" w:name="DSPFPageBreakArea"/>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 w:name="DSPFPageBreak"/>
      <w:bookmarkStart w:id="7" w:name="DSPFPageBrea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 w:name="ny20007545x2_def14a_102-notice_pg1"/>
        <w:bookmarkEnd w:id="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ADMA BIOLOGICS, INC.</w:t>
      </w:r>
    </w:p>
    <w:p>
      <w:pPr>
        <w:pStyle w:val="TextBody"/>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465 State Route 17</w:t>
      </w:r>
    </w:p>
    <w:p>
      <w:pPr>
        <w:pStyle w:val="TextBody"/>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Ramsey, New Jersey 07446</w:t>
      </w:r>
    </w:p>
    <w:p>
      <w:pPr>
        <w:pStyle w:val="TextBody"/>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MEETING OF STOCKHOLDERS OF ADMA BIOLOGICS,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On June 6, 2023</w:t>
      </w:r>
    </w:p>
    <w:p>
      <w:pPr>
        <w:pStyle w:val="TextBody"/>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the Stockholders of ADMA Biologics, Inc. (“</w:t>
      </w:r>
      <w:r>
        <w:rPr>
          <w:rFonts w:ascii="Times New Roman;Times;serif" w:hAnsi="Times New Roman;Times;serif"/>
          <w:b/>
          <w:color w:val="000000"/>
          <w:sz w:val="20"/>
          <w:u w:val="single"/>
        </w:rPr>
        <w:t>we</w:t>
      </w:r>
      <w:r>
        <w:rPr>
          <w:rFonts w:ascii="Times New Roman;Times;serif" w:hAnsi="Times New Roman;Times;serif"/>
          <w:color w:val="000000"/>
          <w:sz w:val="20"/>
        </w:rPr>
        <w:t>,” “</w:t>
      </w:r>
      <w:r>
        <w:rPr>
          <w:rFonts w:ascii="Times New Roman;Times;serif" w:hAnsi="Times New Roman;Times;serif"/>
          <w:b/>
          <w:color w:val="000000"/>
          <w:sz w:val="20"/>
          <w:u w:val="single"/>
        </w:rPr>
        <w:t>our</w:t>
      </w:r>
      <w:r>
        <w:rPr>
          <w:rFonts w:ascii="Times New Roman;Times;serif" w:hAnsi="Times New Roman;Times;serif"/>
          <w:color w:val="000000"/>
          <w:sz w:val="20"/>
        </w:rPr>
        <w:t>” or the “</w:t>
      </w:r>
      <w:r>
        <w:rPr>
          <w:rFonts w:ascii="Times New Roman;Times;serif" w:hAnsi="Times New Roman;Times;serif"/>
          <w:b/>
          <w:color w:val="000000"/>
          <w:sz w:val="20"/>
          <w:u w:val="single"/>
        </w:rPr>
        <w:t>Company</w:t>
      </w:r>
      <w:r>
        <w:rPr>
          <w:rFonts w:ascii="Times New Roman;Times;serif" w:hAnsi="Times New Roman;Times;serif"/>
          <w:color w:val="000000"/>
          <w:sz w:val="20"/>
        </w:rPr>
        <w: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NOTICE IS HEREBY GIVEN that the 2023 annual meeting of stockholders of the Company (the “</w:t>
      </w:r>
      <w:r>
        <w:rPr>
          <w:rFonts w:ascii="Times New Roman;Times;serif" w:hAnsi="Times New Roman;Times;serif"/>
          <w:b/>
          <w:color w:val="000000"/>
          <w:sz w:val="20"/>
          <w:u w:val="single"/>
        </w:rPr>
        <w:t>Annual Meeting</w:t>
      </w:r>
      <w:r>
        <w:rPr>
          <w:rFonts w:ascii="Times New Roman;Times;serif" w:hAnsi="Times New Roman;Times;serif"/>
          <w:color w:val="000000"/>
          <w:sz w:val="20"/>
        </w:rPr>
        <w:t>”) will be held virtually at 10:00 a.m. Eastern Time on June 6, 2023.</w:t>
      </w:r>
    </w:p>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Virtual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Company’s Board of Directors (the “</w:t>
      </w:r>
      <w:r>
        <w:rPr>
          <w:rFonts w:ascii="Times New Roman;Times;serif" w:hAnsi="Times New Roman;Times;serif"/>
          <w:b/>
          <w:color w:val="000000"/>
          <w:sz w:val="20"/>
          <w:u w:val="single"/>
        </w:rPr>
        <w:t>Board</w:t>
      </w:r>
      <w:r>
        <w:rPr>
          <w:rFonts w:ascii="Times New Roman;Times;serif" w:hAnsi="Times New Roman;Times;serif"/>
          <w:color w:val="000000"/>
          <w:sz w:val="20"/>
        </w:rPr>
        <w:t>”) has determined to hold a virtual annual meeting in order to facilitate stockholder attendance and participation by enabling stockholders to participate from any location and at no cost. We believe this is the right choice for the Company at this time, as it enables engagement with our stockholders, regardless of size, resources, or physical location. We are committed to ensuring that stockholders will be afforded the same rights and opportunities to participate as they would at an in-person meeting. You will be able to attend the Annual Meeting online and vote your shares electronically during the Annual Meeting by visiting www.virtualshareholdermeeting.com/ADMA2023. To participate in the virtual Annual Meeting, you will need the 16-digit control number included on your “Important Notice Regarding the Availability of Proxy Materials” proxy card or voting instruction form. The Annual Meeting webcast will begin promptly at 10:00 a.m. Eastern Time. We encourage you to access the Annual Meeting prior to the start time and you should allow ample time for the check-in procedures. We will have technicians ready to assist you with any technical difficulties you may have accessing the virtual Annual Meeting. A phone number where you can obtain technical assistance will be made available on the day of the Annual Meeting.</w:t>
      </w:r>
    </w:p>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Items of Business</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Annual Meeting, you will be asked to consider and vote upon the following proposals:</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proposal to elect Bryant E. Fong to serve on the Company’s Board of Directors as a Class I director for a term expiring at the 2026 annual meeting of stockholders and until his successor is duly elected and qualified, or until his earlier resignation, removal or death.</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proposal to ratify the appointment of CohnReznick LLP as the Company’s independent registered public accounting firm for the fiscal year ending December 31, 2023.</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proposal to transact such other business as may properly come before the Annual Meeting or any adjournment, adjournments or postponement thereof.</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foregoing items of business are more fully described in the accompanying proxy statement, which you should read in its entirety and carefully consider prior to casting any votes in connection with such proposals. The Board has set the close of business on April 10, 2023 as the record date (the “</w:t>
      </w:r>
      <w:r>
        <w:rPr>
          <w:rFonts w:ascii="Times New Roman;Times;serif" w:hAnsi="Times New Roman;Times;serif"/>
          <w:b/>
          <w:color w:val="000000"/>
          <w:sz w:val="20"/>
          <w:u w:val="single"/>
        </w:rPr>
        <w:t>Record Date</w:t>
      </w:r>
      <w:r>
        <w:rPr>
          <w:rFonts w:ascii="Times New Roman;Times;serif" w:hAnsi="Times New Roman;Times;serif"/>
          <w:color w:val="000000"/>
          <w:sz w:val="20"/>
        </w:rPr>
        <w:t>”) for determining stockholders entitled to notice of, and to vote at, the Annual Meeting. A list of the stockholders as of the Record Date will be available for inspection by stockholders, for any purpose germane to the Annual Meeting, at the Company’s offices and at the offices of Continental Stock Transfer &amp; Trust Company, the Company’s independent stock transfer agent, during normal business hours for a period of 10 days prior to the Annual Meeting. The list will also be made available electronically upon request for inspection by stockholders in attendance at the virtual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stockholders are cordially invited to attend the Annual Meeting virtually. Regardless of whether you plan to attend the Annual Meeting, we hope you will vote as soon as possible. Instructions on how to vote your shares via the Internet are contained on the “Important Notice Regarding the Availability of Proxy Materials,” which is expected to be mailed on or about April 13, 2023. Instructions on how to obtain a paper copy of our proxy statement and annual report to stockholders for the fiscal year ended December 31, 2022 are listed on the “Important Notice Regarding the Availability of Proxy Materials.” These materials can also be viewed online by following the instructions listed on our proxy card. If you choose to receive a paper copy of our proxy statement and annual report, you may vote your shares by completing and returning the proxy card that will be enclosed.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 w:name="DSPFPageBreakArea1"/>
      <w:bookmarkStart w:id="10" w:name="DSPFPageBreakArea1"/>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 w:name="DSPFPageBreak1"/>
      <w:bookmarkStart w:id="12" w:name="DSPFPageBrea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 w:name="ny20007545x2_def14a_102-notice_pg2"/>
        <w:bookmarkEnd w:id="1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IMPORTANT NOTICE REGARDING THE AVAILABILITY OF PROXY MATERIALS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2023 ANNUAL MEETING OF STOCKHOLDERS TO BE HELD ON JUNE 6, 2023.</w:t>
      </w:r>
    </w:p>
    <w:p>
      <w:pPr>
        <w:pStyle w:val="TextBody"/>
        <w:spacing w:before="17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OUR PROXY STATEMENT AND ANNUAL REPORT FOR THE FISCAL YEAR ENDED DECEMBER 31,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2022 ARE AVAILABLE AT </w:t>
      </w:r>
      <w:r>
        <w:rPr>
          <w:rFonts w:ascii="Times New Roman;Times;serif" w:hAnsi="Times New Roman;Times;serif"/>
          <w:b/>
          <w:i/>
          <w:color w:val="000000"/>
          <w:sz w:val="20"/>
        </w:rPr>
        <w:t>WWW.PROXYVOTE.COM</w:t>
      </w:r>
      <w:r>
        <w:rPr>
          <w:rFonts w:ascii="Times New Roman;Times;serif" w:hAnsi="Times New Roman;Times;serif"/>
          <w:b w:val="false"/>
          <w:color w:val="000000"/>
          <w:sz w:val="20"/>
        </w:rPr>
        <w:t>.</w:t>
      </w:r>
    </w:p>
    <w:tbl>
      <w:tblPr>
        <w:tblW w:w="3966" w:type="dxa"/>
        <w:jc w:val="left"/>
        <w:tblInd w:w="0" w:type="dxa"/>
        <w:tblCellMar>
          <w:top w:w="0" w:type="dxa"/>
          <w:left w:w="0" w:type="dxa"/>
          <w:bottom w:w="0" w:type="dxa"/>
          <w:right w:w="0" w:type="dxa"/>
        </w:tblCellMar>
      </w:tblPr>
      <w:tblGrid>
        <w:gridCol w:w="75"/>
        <w:gridCol w:w="23"/>
        <w:gridCol w:w="23"/>
        <w:gridCol w:w="384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color w:val="000000"/>
              </w:rPr>
            </w:pPr>
            <w:r>
              <w:rPr>
                <w:color w:val="000000"/>
              </w:rPr>
              <w:drawing>
                <wp:inline distT="0" distB="0" distL="0" distR="0">
                  <wp:extent cx="1571625"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71625" cy="304800"/>
                          </a:xfrm>
                          <a:prstGeom prst="rect">
                            <a:avLst/>
                          </a:prstGeom>
                        </pic:spPr>
                      </pic:pic>
                    </a:graphicData>
                  </a:graphic>
                </wp:inline>
              </w:drawing>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Adam S. Grossman</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Director</w:t>
            </w:r>
          </w:p>
        </w:tc>
      </w:tr>
    </w:tbl>
    <w:p>
      <w:pPr>
        <w:pStyle w:val="TextBody"/>
        <w:spacing w:before="130" w:after="283"/>
        <w:jc w:val="right"/>
        <w:rPr>
          <w:rFonts w:ascii="Times New Roman;Times;serif" w:hAnsi="Times New Roman;Times;serif"/>
          <w:color w:val="000000"/>
          <w:sz w:val="20"/>
        </w:rPr>
      </w:pPr>
      <w:r>
        <w:rPr>
          <w:rFonts w:ascii="Times New Roman;Times;serif" w:hAnsi="Times New Roman;Times;serif"/>
          <w:color w:val="000000"/>
          <w:sz w:val="20"/>
        </w:rPr>
        <w:t>April 13, 2023</w:t>
      </w:r>
    </w:p>
    <w:p>
      <w:pPr>
        <w:pStyle w:val="TextBody"/>
        <w:spacing w:before="0" w:after="283"/>
        <w:jc w:val="right"/>
        <w:rPr>
          <w:rFonts w:ascii="Times New Roman;Times;serif" w:hAnsi="Times New Roman;Times;serif"/>
          <w:color w:val="000000"/>
          <w:sz w:val="20"/>
        </w:rPr>
      </w:pPr>
      <w:r>
        <w:rPr>
          <w:rFonts w:ascii="Times New Roman;Times;serif" w:hAnsi="Times New Roman;Times;serif"/>
          <w:color w:val="000000"/>
          <w:sz w:val="20"/>
        </w:rPr>
        <w:t>Ramsey, New Jersey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 w:name="DSPFPageBreakArea2"/>
      <w:bookmarkStart w:id="15" w:name="DSPFPageBreakArea2"/>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 w:name="DSPFPageBreak2"/>
      <w:bookmarkStart w:id="17" w:name="DSPFPageBreak2"/>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 w:name="ny20007545x2_def14a_103-toc_pg1"/>
        <w:bookmarkEnd w:id="1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spacing w:before="0" w:after="0"/>
        <w:jc w:val="left"/>
        <w:rPr>
          <w:sz w:val="4"/>
          <w:szCs w:val="4"/>
        </w:rPr>
      </w:pPr>
      <w:r>
        <w:rPr>
          <w:sz w:val="4"/>
          <w:szCs w:val="4"/>
        </w:rPr>
      </w:r>
      <w:bookmarkStart w:id="19" w:name="TOC"/>
      <w:bookmarkStart w:id="20" w:name="TOC"/>
      <w:bookmarkEnd w:id="20"/>
    </w:p>
    <w:tbl>
      <w:tblPr>
        <w:tblW w:w="10205" w:type="dxa"/>
        <w:jc w:val="left"/>
        <w:tblInd w:w="0" w:type="dxa"/>
        <w:tblCellMar>
          <w:top w:w="0" w:type="dxa"/>
          <w:left w:w="0" w:type="dxa"/>
          <w:bottom w:w="0" w:type="dxa"/>
          <w:right w:w="0" w:type="dxa"/>
        </w:tblCellMar>
      </w:tblPr>
      <w:tblGrid>
        <w:gridCol w:w="9914"/>
        <w:gridCol w:w="23"/>
        <w:gridCol w:w="23"/>
        <w:gridCol w:w="245"/>
      </w:tblGrid>
      <w:tr>
        <w:trPr/>
        <w:tc>
          <w:tcPr>
            <w:tcW w:w="9914" w:type="dxa"/>
            <w:tcBorders/>
            <w:shd w:fill="CCEEFF" w:val="clear"/>
            <w:vAlign w:val="center"/>
          </w:tcPr>
          <w:p>
            <w:pPr>
              <w:pStyle w:val="TableContents"/>
              <w:spacing w:before="0" w:after="283"/>
              <w:ind w:left="0" w:right="0" w:hanging="0"/>
              <w:jc w:val="left"/>
              <w:rPr/>
            </w:pPr>
            <w:hyperlink w:anchor="tQAA">
              <w:r>
                <w:rPr>
                  <w:rStyle w:val="InternetLink"/>
                  <w:rFonts w:ascii="Times New Roman;Times;serif" w:hAnsi="Times New Roman;Times;serif"/>
                  <w:color w:val="000000"/>
                  <w:sz w:val="20"/>
                </w:rPr>
                <w:t>QUESTIONS AND ANSWERS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QAA">
              <w:r>
                <w:rPr>
                  <w:rStyle w:val="InternetLink"/>
                  <w:rFonts w:ascii="Times New Roman;Times;serif" w:hAnsi="Times New Roman;Times;serif"/>
                  <w:color w:val="000000"/>
                  <w:sz w:val="20"/>
                </w:rPr>
                <w:t>2</w:t>
              </w:r>
            </w:hyperlink>
          </w:p>
        </w:tc>
      </w:tr>
      <w:tr>
        <w:trPr/>
        <w:tc>
          <w:tcPr>
            <w:tcW w:w="9914" w:type="dxa"/>
            <w:tcBorders/>
            <w:shd w:fill="auto" w:val="clear"/>
            <w:vAlign w:val="center"/>
          </w:tcPr>
          <w:p>
            <w:pPr>
              <w:pStyle w:val="TableContents"/>
              <w:spacing w:before="0" w:after="283"/>
              <w:ind w:left="0" w:right="0" w:hanging="0"/>
              <w:jc w:val="left"/>
              <w:rPr/>
            </w:pPr>
            <w:hyperlink w:anchor="tDEP">
              <w:r>
                <w:rPr>
                  <w:rStyle w:val="InternetLink"/>
                  <w:rFonts w:ascii="Times New Roman;Times;serif" w:hAnsi="Times New Roman;Times;serif"/>
                  <w:color w:val="000000"/>
                  <w:sz w:val="20"/>
                </w:rPr>
                <w:t>THE DIRECTOR ELECTION PROPOSAL</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DEP">
              <w:r>
                <w:rPr>
                  <w:rStyle w:val="InternetLink"/>
                  <w:rFonts w:ascii="Times New Roman;Times;serif" w:hAnsi="Times New Roman;Times;serif"/>
                  <w:color w:val="000000"/>
                  <w:sz w:val="20"/>
                </w:rPr>
                <w:t>7</w:t>
              </w:r>
            </w:hyperlink>
          </w:p>
        </w:tc>
      </w:tr>
      <w:tr>
        <w:trPr/>
        <w:tc>
          <w:tcPr>
            <w:tcW w:w="9914" w:type="dxa"/>
            <w:tcBorders/>
            <w:shd w:fill="CCEEFF" w:val="clear"/>
            <w:vAlign w:val="center"/>
          </w:tcPr>
          <w:p>
            <w:pPr>
              <w:pStyle w:val="TableContents"/>
              <w:spacing w:before="0" w:after="283"/>
              <w:ind w:left="0" w:right="0" w:hanging="0"/>
              <w:jc w:val="left"/>
              <w:rPr/>
            </w:pPr>
            <w:hyperlink w:anchor="tACG">
              <w:r>
                <w:rPr>
                  <w:rStyle w:val="InternetLink"/>
                  <w:rFonts w:ascii="Times New Roman;Times;serif" w:hAnsi="Times New Roman;Times;serif"/>
                  <w:color w:val="000000"/>
                  <w:sz w:val="20"/>
                </w:rPr>
                <w:t>ADMA CORPORATE GOVERNANCE</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ACG">
              <w:r>
                <w:rPr>
                  <w:rStyle w:val="InternetLink"/>
                  <w:rFonts w:ascii="Times New Roman;Times;serif" w:hAnsi="Times New Roman;Times;serif"/>
                  <w:color w:val="000000"/>
                  <w:sz w:val="20"/>
                </w:rPr>
                <w:t>11</w:t>
              </w:r>
            </w:hyperlink>
          </w:p>
        </w:tc>
      </w:tr>
      <w:tr>
        <w:trPr/>
        <w:tc>
          <w:tcPr>
            <w:tcW w:w="9914" w:type="dxa"/>
            <w:tcBorders/>
            <w:shd w:fill="auto" w:val="clear"/>
            <w:vAlign w:val="center"/>
          </w:tcPr>
          <w:p>
            <w:pPr>
              <w:pStyle w:val="TableContents"/>
              <w:spacing w:before="0" w:after="283"/>
              <w:ind w:left="200" w:right="0" w:hanging="200"/>
              <w:jc w:val="left"/>
              <w:rPr/>
            </w:pPr>
            <w:hyperlink w:anchor="tASO">
              <w:r>
                <w:rPr>
                  <w:rStyle w:val="InternetLink"/>
                  <w:rFonts w:ascii="Times New Roman;Times;serif" w:hAnsi="Times New Roman;Times;serif"/>
                  <w:color w:val="000000"/>
                  <w:sz w:val="20"/>
                </w:rPr>
                <w:t>ADMA SECURITY OWNERSHIP OF CERTAIN BENEFICIAL OWNERS AND MANAGEMENT AND RELATED STOCKHOLDER MATTERS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ASO">
              <w:r>
                <w:rPr>
                  <w:rStyle w:val="InternetLink"/>
                  <w:rFonts w:ascii="Times New Roman;Times;serif" w:hAnsi="Times New Roman;Times;serif"/>
                  <w:color w:val="000000"/>
                  <w:sz w:val="20"/>
                </w:rPr>
                <w:t>17</w:t>
              </w:r>
            </w:hyperlink>
          </w:p>
        </w:tc>
      </w:tr>
      <w:tr>
        <w:trPr/>
        <w:tc>
          <w:tcPr>
            <w:tcW w:w="9914" w:type="dxa"/>
            <w:tcBorders/>
            <w:shd w:fill="CCEEFF" w:val="clear"/>
            <w:vAlign w:val="center"/>
          </w:tcPr>
          <w:p>
            <w:pPr>
              <w:pStyle w:val="TableContents"/>
              <w:spacing w:before="0" w:after="283"/>
              <w:ind w:left="0" w:right="0" w:hanging="0"/>
              <w:jc w:val="left"/>
              <w:rPr/>
            </w:pPr>
            <w:hyperlink w:anchor="tAEO">
              <w:r>
                <w:rPr>
                  <w:rStyle w:val="InternetLink"/>
                  <w:rFonts w:ascii="Times New Roman;Times;serif" w:hAnsi="Times New Roman;Times;serif"/>
                  <w:color w:val="000000"/>
                  <w:sz w:val="20"/>
                </w:rPr>
                <w:t>ADMA EXECUTIVE OFFICERS AND DIRECTOR AND OFFICER COMPENSATION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AEO">
              <w:r>
                <w:rPr>
                  <w:rStyle w:val="InternetLink"/>
                  <w:rFonts w:ascii="Times New Roman;Times;serif" w:hAnsi="Times New Roman;Times;serif"/>
                  <w:color w:val="000000"/>
                  <w:sz w:val="20"/>
                </w:rPr>
                <w:t>19</w:t>
              </w:r>
            </w:hyperlink>
          </w:p>
        </w:tc>
      </w:tr>
      <w:tr>
        <w:trPr/>
        <w:tc>
          <w:tcPr>
            <w:tcW w:w="9914" w:type="dxa"/>
            <w:tcBorders/>
            <w:shd w:fill="auto" w:val="clear"/>
            <w:vAlign w:val="center"/>
          </w:tcPr>
          <w:p>
            <w:pPr>
              <w:pStyle w:val="TableContents"/>
              <w:spacing w:before="0" w:after="283"/>
              <w:ind w:left="0" w:right="0" w:hanging="0"/>
              <w:jc w:val="left"/>
              <w:rPr/>
            </w:pPr>
            <w:hyperlink w:anchor="tTAR">
              <w:r>
                <w:rPr>
                  <w:rStyle w:val="InternetLink"/>
                  <w:rFonts w:ascii="Times New Roman;Times;serif" w:hAnsi="Times New Roman;Times;serif"/>
                  <w:color w:val="000000"/>
                  <w:sz w:val="20"/>
                </w:rPr>
                <w:t>THE AUDITOR RATIFICATION PROPOSAL</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TAR">
              <w:r>
                <w:rPr>
                  <w:rStyle w:val="InternetLink"/>
                  <w:rFonts w:ascii="Times New Roman;Times;serif" w:hAnsi="Times New Roman;Times;serif"/>
                  <w:color w:val="000000"/>
                  <w:sz w:val="20"/>
                </w:rPr>
                <w:t>28</w:t>
              </w:r>
            </w:hyperlink>
          </w:p>
        </w:tc>
      </w:tr>
      <w:tr>
        <w:trPr/>
        <w:tc>
          <w:tcPr>
            <w:tcW w:w="9914" w:type="dxa"/>
            <w:tcBorders/>
            <w:shd w:fill="CCEEFF" w:val="clear"/>
            <w:vAlign w:val="center"/>
          </w:tcPr>
          <w:p>
            <w:pPr>
              <w:pStyle w:val="TableContents"/>
              <w:spacing w:before="0" w:after="283"/>
              <w:ind w:left="0" w:right="0" w:hanging="0"/>
              <w:jc w:val="left"/>
              <w:rPr/>
            </w:pPr>
            <w:hyperlink w:anchor="tCAR">
              <w:r>
                <w:rPr>
                  <w:rStyle w:val="InternetLink"/>
                  <w:rFonts w:ascii="Times New Roman;Times;serif" w:hAnsi="Times New Roman;Times;serif"/>
                  <w:color w:val="000000"/>
                  <w:sz w:val="20"/>
                </w:rPr>
                <w:t>CERTAIN ADMA RELATIONSHIPS AND RELATED TRANSACTIONS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CAR">
              <w:r>
                <w:rPr>
                  <w:rStyle w:val="InternetLink"/>
                  <w:rFonts w:ascii="Times New Roman;Times;serif" w:hAnsi="Times New Roman;Times;serif"/>
                  <w:color w:val="000000"/>
                  <w:sz w:val="20"/>
                </w:rPr>
                <w:t>30</w:t>
              </w:r>
            </w:hyperlink>
          </w:p>
        </w:tc>
      </w:tr>
      <w:tr>
        <w:trPr/>
        <w:tc>
          <w:tcPr>
            <w:tcW w:w="9914" w:type="dxa"/>
            <w:tcBorders/>
            <w:shd w:fill="auto" w:val="clear"/>
            <w:vAlign w:val="center"/>
          </w:tcPr>
          <w:p>
            <w:pPr>
              <w:pStyle w:val="TableContents"/>
              <w:spacing w:before="0" w:after="283"/>
              <w:ind w:left="0" w:right="0" w:hanging="0"/>
              <w:jc w:val="left"/>
              <w:rPr/>
            </w:pPr>
            <w:hyperlink w:anchor="tSPA">
              <w:r>
                <w:rPr>
                  <w:rStyle w:val="InternetLink"/>
                  <w:rFonts w:ascii="Times New Roman;Times;serif" w:hAnsi="Times New Roman;Times;serif"/>
                  <w:color w:val="000000"/>
                  <w:sz w:val="20"/>
                </w:rPr>
                <w:t>STOCKHOLDER PROPOSALS AND OTHER INFORMATION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SPA">
              <w:r>
                <w:rPr>
                  <w:rStyle w:val="InternetLink"/>
                  <w:rFonts w:ascii="Times New Roman;Times;serif" w:hAnsi="Times New Roman;Times;serif"/>
                  <w:color w:val="000000"/>
                  <w:sz w:val="20"/>
                </w:rPr>
                <w:t>32</w:t>
              </w:r>
            </w:hyperlink>
          </w:p>
        </w:tc>
      </w:tr>
      <w:tr>
        <w:trPr/>
        <w:tc>
          <w:tcPr>
            <w:tcW w:w="9914" w:type="dxa"/>
            <w:tcBorders/>
            <w:shd w:fill="CCEEFF" w:val="clear"/>
            <w:vAlign w:val="center"/>
          </w:tcPr>
          <w:p>
            <w:pPr>
              <w:pStyle w:val="TableContents"/>
              <w:spacing w:before="0" w:after="283"/>
              <w:ind w:left="0" w:right="0" w:hanging="0"/>
              <w:jc w:val="left"/>
              <w:rPr/>
            </w:pPr>
            <w:hyperlink w:anchor="tAR">
              <w:r>
                <w:rPr>
                  <w:rStyle w:val="InternetLink"/>
                  <w:rFonts w:ascii="Times New Roman;Times;serif" w:hAnsi="Times New Roman;Times;serif"/>
                  <w:color w:val="000000"/>
                  <w:sz w:val="20"/>
                </w:rPr>
                <w:t>ANNUAL REPORT</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AR">
              <w:r>
                <w:rPr>
                  <w:rStyle w:val="InternetLink"/>
                  <w:rFonts w:ascii="Times New Roman;Times;serif" w:hAnsi="Times New Roman;Times;serif"/>
                  <w:color w:val="000000"/>
                  <w:sz w:val="20"/>
                </w:rPr>
                <w:t>32</w:t>
              </w:r>
            </w:hyperlink>
          </w:p>
        </w:tc>
      </w:tr>
      <w:tr>
        <w:trPr/>
        <w:tc>
          <w:tcPr>
            <w:tcW w:w="9914" w:type="dxa"/>
            <w:tcBorders/>
            <w:shd w:fill="auto" w:val="clear"/>
            <w:vAlign w:val="center"/>
          </w:tcPr>
          <w:p>
            <w:pPr>
              <w:pStyle w:val="TableContents"/>
              <w:spacing w:before="0" w:after="283"/>
              <w:ind w:left="0" w:right="0" w:hanging="0"/>
              <w:jc w:val="left"/>
              <w:rPr/>
            </w:pPr>
            <w:hyperlink w:anchor="tHMM">
              <w:r>
                <w:rPr>
                  <w:rStyle w:val="InternetLink"/>
                  <w:rFonts w:ascii="Times New Roman;Times;serif" w:hAnsi="Times New Roman;Times;serif"/>
                  <w:color w:val="000000"/>
                  <w:sz w:val="20"/>
                </w:rPr>
                <w:t>HOUSEHOLDING OF MEETING MATERIALS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HMM">
              <w:r>
                <w:rPr>
                  <w:rStyle w:val="InternetLink"/>
                  <w:rFonts w:ascii="Times New Roman;Times;serif" w:hAnsi="Times New Roman;Times;serif"/>
                  <w:color w:val="000000"/>
                  <w:sz w:val="20"/>
                </w:rPr>
                <w:t>32</w:t>
              </w:r>
            </w:hyperlink>
          </w:p>
        </w:tc>
      </w:tr>
      <w:tr>
        <w:trPr/>
        <w:tc>
          <w:tcPr>
            <w:tcW w:w="9914" w:type="dxa"/>
            <w:tcBorders/>
            <w:shd w:fill="CCEEFF" w:val="clear"/>
            <w:vAlign w:val="center"/>
          </w:tcPr>
          <w:p>
            <w:pPr>
              <w:pStyle w:val="TableContents"/>
              <w:spacing w:before="0" w:after="283"/>
              <w:ind w:left="0" w:right="0" w:hanging="0"/>
              <w:jc w:val="left"/>
              <w:rPr/>
            </w:pPr>
            <w:hyperlink w:anchor="tEAS">
              <w:r>
                <w:rPr>
                  <w:rStyle w:val="InternetLink"/>
                  <w:rFonts w:ascii="Times New Roman;Times;serif" w:hAnsi="Times New Roman;Times;serif"/>
                  <w:color w:val="000000"/>
                  <w:sz w:val="20"/>
                </w:rPr>
                <w:t>EXPENSES AND SOLICITATION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EAS">
              <w:r>
                <w:rPr>
                  <w:rStyle w:val="InternetLink"/>
                  <w:rFonts w:ascii="Times New Roman;Times;serif" w:hAnsi="Times New Roman;Times;serif"/>
                  <w:color w:val="000000"/>
                  <w:sz w:val="20"/>
                </w:rPr>
                <w:t>32</w:t>
              </w:r>
            </w:hyperlink>
          </w:p>
        </w:tc>
      </w:tr>
      <w:tr>
        <w:trPr/>
        <w:tc>
          <w:tcPr>
            <w:tcW w:w="9914" w:type="dxa"/>
            <w:tcBorders/>
            <w:shd w:fill="auto" w:val="clear"/>
            <w:vAlign w:val="center"/>
          </w:tcPr>
          <w:p>
            <w:pPr>
              <w:pStyle w:val="TableContents"/>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OM">
              <w:r>
                <w:rPr>
                  <w:rStyle w:val="InternetLink"/>
                  <w:rFonts w:ascii="Times New Roman;Times;serif" w:hAnsi="Times New Roman;Times;serif"/>
                  <w:color w:val="000000"/>
                  <w:sz w:val="20"/>
                </w:rPr>
                <w:t>33</w:t>
              </w:r>
            </w:hyperlink>
          </w:p>
        </w:tc>
      </w:tr>
      <w:tr>
        <w:trPr/>
        <w:tc>
          <w:tcPr>
            <w:tcW w:w="9914" w:type="dxa"/>
            <w:tcBorders/>
            <w:shd w:fill="CCEEFF" w:val="clear"/>
            <w:vAlign w:val="center"/>
          </w:tcPr>
          <w:p>
            <w:pPr>
              <w:pStyle w:val="TableContents"/>
              <w:spacing w:before="0" w:after="283"/>
              <w:ind w:left="0" w:right="0" w:hanging="0"/>
              <w:jc w:val="left"/>
              <w:rPr/>
            </w:pPr>
            <w:hyperlink w:anchor="tWYC">
              <w:r>
                <w:rPr>
                  <w:rStyle w:val="InternetLink"/>
                  <w:rFonts w:ascii="Times New Roman;Times;serif" w:hAnsi="Times New Roman;Times;serif"/>
                  <w:color w:val="000000"/>
                  <w:sz w:val="20"/>
                </w:rPr>
                <w:t>WHERE YOU CAN FIND ADDITIONAL INFORMATION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WYC">
              <w:r>
                <w:rPr>
                  <w:rStyle w:val="InternetLink"/>
                  <w:rFonts w:ascii="Times New Roman;Times;serif" w:hAnsi="Times New Roman;Times;serif"/>
                  <w:color w:val="000000"/>
                  <w:sz w:val="20"/>
                </w:rPr>
                <w:t>34</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 w:name="DSPFPageBreakArea3"/>
      <w:bookmarkStart w:id="22" w:name="DSPFPageBreakArea3"/>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 w:name="DSPFPageBreak3"/>
      <w:bookmarkStart w:id="24" w:name="DSPFPageBreak3"/>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 w:name="ny20007545x2_def14a_104-proxy_pg1"/>
        <w:bookmarkEnd w:id="2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DATED APRIL 13, 2023</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ADMA BIOLOGICS, INC.</w:t>
      </w:r>
    </w:p>
    <w:p>
      <w:pPr>
        <w:pStyle w:val="TextBody"/>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465 State Route 17</w:t>
      </w:r>
    </w:p>
    <w:p>
      <w:pPr>
        <w:pStyle w:val="TextBody"/>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Ramsey, New Jersey 07446</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2023 ANNUAL MEETING OF STOCKHOLDERS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ON JUNE 6, 2023</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proxy statement is being made available via Internet Access, beginning on or about April 13, 2023, to the owners of shares of common stock of ADMA Biologics, Inc. (the “</w:t>
      </w:r>
      <w:r>
        <w:rPr>
          <w:rFonts w:ascii="Times New Roman;Times;serif" w:hAnsi="Times New Roman;Times;serif"/>
          <w:b/>
          <w:color w:val="000000"/>
          <w:sz w:val="20"/>
          <w:u w:val="single"/>
        </w:rPr>
        <w:t>Company</w:t>
      </w:r>
      <w:r>
        <w:rPr>
          <w:rFonts w:ascii="Times New Roman;Times;serif" w:hAnsi="Times New Roman;Times;serif"/>
          <w:color w:val="000000"/>
          <w:sz w:val="20"/>
        </w:rPr>
        <w:t>,” “</w:t>
      </w:r>
      <w:r>
        <w:rPr>
          <w:rFonts w:ascii="Times New Roman;Times;serif" w:hAnsi="Times New Roman;Times;serif"/>
          <w:b/>
          <w:color w:val="000000"/>
          <w:sz w:val="20"/>
          <w:u w:val="single"/>
        </w:rPr>
        <w:t>our</w:t>
      </w:r>
      <w:r>
        <w:rPr>
          <w:rFonts w:ascii="Times New Roman;Times;serif" w:hAnsi="Times New Roman;Times;serif"/>
          <w:color w:val="000000"/>
          <w:sz w:val="20"/>
        </w:rPr>
        <w:t>,” “</w:t>
      </w:r>
      <w:r>
        <w:rPr>
          <w:rFonts w:ascii="Times New Roman;Times;serif" w:hAnsi="Times New Roman;Times;serif"/>
          <w:b/>
          <w:color w:val="000000"/>
          <w:sz w:val="20"/>
          <w:u w:val="single"/>
        </w:rPr>
        <w:t>we</w:t>
      </w:r>
      <w:r>
        <w:rPr>
          <w:rFonts w:ascii="Times New Roman;Times;serif" w:hAnsi="Times New Roman;Times;serif"/>
          <w:color w:val="000000"/>
          <w:sz w:val="20"/>
        </w:rPr>
        <w:t>,” or “</w:t>
      </w:r>
      <w:r>
        <w:rPr>
          <w:rFonts w:ascii="Times New Roman;Times;serif" w:hAnsi="Times New Roman;Times;serif"/>
          <w:b/>
          <w:color w:val="000000"/>
          <w:sz w:val="20"/>
          <w:u w:val="single"/>
        </w:rPr>
        <w:t>ADMA</w:t>
      </w:r>
      <w:r>
        <w:rPr>
          <w:rFonts w:ascii="Times New Roman;Times;serif" w:hAnsi="Times New Roman;Times;serif"/>
          <w:color w:val="000000"/>
          <w:sz w:val="20"/>
        </w:rPr>
        <w:t>”) as of April 10, 2023 in connection with the solicitation of proxies by our Board of Directors for our 2023 annual meeting of stockholders (the “</w:t>
      </w:r>
      <w:r>
        <w:rPr>
          <w:rFonts w:ascii="Times New Roman;Times;serif" w:hAnsi="Times New Roman;Times;serif"/>
          <w:b/>
          <w:color w:val="000000"/>
          <w:sz w:val="20"/>
          <w:u w:val="single"/>
        </w:rPr>
        <w:t>Annual Meeting</w:t>
      </w:r>
      <w:r>
        <w:rPr>
          <w:rFonts w:ascii="Times New Roman;Times;serif" w:hAnsi="Times New Roman;Times;serif"/>
          <w:color w:val="000000"/>
          <w:sz w:val="20"/>
        </w:rPr>
        <w:t>”). On or about April 13, 2023, we expect to send an “Important Notice Regarding the Availability of Proxy Materials” to our stockholders. You will not automatically be entitled to receive by mail our proxy statement and annual report to stockholders for the fiscal year ended December 31, 2022. If you would like to receive a printed copy of our proxy statement, annual report and proxy card, please follow the instructions for requesting such materials in the notice. Upon request, we will promptly mail you paper copies of such materials free of charge.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 w:name="DSPFPageBreakArea4"/>
      <w:bookmarkStart w:id="27" w:name="DSPFPageBreakArea4"/>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 w:name="DSPFPageBreak4"/>
      <w:bookmarkStart w:id="29" w:name="DSPFPageBreak4"/>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0" w:name="ny20007545x2_def14a_105-qa_pg1"/>
        <w:bookmarkEnd w:id="3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31" w:name="tQAA"/>
      <w:bookmarkEnd w:id="31"/>
      <w:r>
        <w:rPr>
          <w:rFonts w:ascii="Times New Roman;Times;serif" w:hAnsi="Times New Roman;Times;serif"/>
          <w:b/>
          <w:color w:val="000000"/>
          <w:sz w:val="20"/>
        </w:rPr>
        <w:t>QUESTIONS AND ANSWERS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section addresses certain questions about this proxy statement and the proposals described herein, which are to be presented at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Annual Meeting will be held virtually at 10:00 a.m. Eastern Time on June 6, 2023. You will be able to attend and vote at the Annual Meeting via live webcast through the link www.virtualshareholdermeeting.com/ADMA2023.</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following questions and answers may not include all of the information that is important to you as a stockholder of the Company. We urge our stockholders to read this entire proxy statement and carefully consider such information before casting any votes with respect to the proposals presented herein.</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Why did I receive an “Important Notice Regarding the Availability of Proxy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accordance with Securities and Exchange Commission (“</w:t>
      </w:r>
      <w:r>
        <w:rPr>
          <w:rFonts w:ascii="Times New Roman;Times;serif" w:hAnsi="Times New Roman;Times;serif"/>
          <w:b/>
          <w:color w:val="000000"/>
          <w:sz w:val="20"/>
          <w:u w:val="single"/>
        </w:rPr>
        <w:t>SEC</w:t>
      </w:r>
      <w:r>
        <w:rPr>
          <w:rFonts w:ascii="Times New Roman;Times;serif" w:hAnsi="Times New Roman;Times;serif"/>
          <w:color w:val="000000"/>
          <w:sz w:val="20"/>
        </w:rPr>
        <w:t>”) rules, instead of mailing a printed copy of our proxy materials, we may send an “Important Notice Regarding the Availability of Proxy Materials” to stockholders. All stockholders will have the ability to access the proxy materials on a website referred to in the notice or to request a printed set of these materials at no charge. You will not receive a printed copy of the proxy materials unless you specifically request one from us. Instead, the notice instructs you as to how you may access and review all of the important information contained in the proxy materials via the Internet and submit your vote via the Internet.</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Why is the Annual Meeting a virtual, online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adopted a virtual format for our Annual Meeting to provide a consistent experience to all stockholders regardless of location. We have designed the virtual Annual Meeting to provide substantially the same opportunities to participate as you would have at an in-person meeting. Detailed instructions on how to participate at the Annual Meeting may be found online at www.virtualshareholdermeeting.com/ADMA2023.</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is the purpose of this document?</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are soliciting stockholder votes with respect to the following proposals:</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proposal to elect Bryant E. Fong to serve on the Company’s Board of Directors as a Class I director (the “</w:t>
            </w:r>
            <w:r>
              <w:rPr>
                <w:rFonts w:ascii="Times New Roman;Times;serif" w:hAnsi="Times New Roman;Times;serif"/>
                <w:b/>
                <w:color w:val="000000"/>
                <w:sz w:val="20"/>
                <w:u w:val="single"/>
              </w:rPr>
              <w:t>Board</w:t>
            </w:r>
            <w:r>
              <w:rPr>
                <w:rFonts w:ascii="Times New Roman;Times;serif" w:hAnsi="Times New Roman;Times;serif"/>
                <w:color w:val="000000"/>
                <w:sz w:val="20"/>
              </w:rPr>
              <w:t>”) for a term expiring at the 2026 annual meeting of stockholders and until his successor is duly elected and qualified, or until his earlier resignation, removal or death (the “</w:t>
            </w:r>
            <w:r>
              <w:rPr>
                <w:rFonts w:ascii="Times New Roman;Times;serif" w:hAnsi="Times New Roman;Times;serif"/>
                <w:b/>
                <w:color w:val="000000"/>
                <w:sz w:val="20"/>
                <w:u w:val="single"/>
              </w:rPr>
              <w:t>Director Election Proposal</w:t>
            </w:r>
            <w:r>
              <w:rPr>
                <w:rFonts w:ascii="Times New Roman;Times;serif" w:hAnsi="Times New Roman;Times;serif"/>
                <w:color w:val="000000"/>
                <w:sz w:val="20"/>
              </w:rPr>
              <w:t>”).</w:t>
            </w:r>
          </w:p>
        </w:tc>
      </w:tr>
    </w:tbl>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proposal to ratify the appointment of CohnReznick LLP as the Company’s independent registered public accounting firm for the year ending December 31, 2023 (the “</w:t>
            </w:r>
            <w:r>
              <w:rPr>
                <w:rFonts w:ascii="Times New Roman;Times;serif" w:hAnsi="Times New Roman;Times;serif"/>
                <w:b/>
                <w:color w:val="000000"/>
                <w:sz w:val="20"/>
                <w:u w:val="single"/>
              </w:rPr>
              <w:t>Auditor Ratification Proposal</w:t>
            </w:r>
            <w:r>
              <w:rPr>
                <w:rFonts w:ascii="Times New Roman;Times;serif" w:hAnsi="Times New Roman;Times;serif"/>
                <w:color w:val="000000"/>
                <w:sz w:val="20"/>
              </w:rPr>
              <w:t>”).</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proposal to transact such other business as may properly come before the Annual Meeting or any adjournment, adjournments or postponements thereof.</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more information about these proposals, please see the sections entitled “</w:t>
      </w:r>
      <w:r>
        <w:rPr>
          <w:rFonts w:ascii="Times New Roman;Times;serif" w:hAnsi="Times New Roman;Times;serif"/>
          <w:i/>
          <w:color w:val="000000"/>
          <w:sz w:val="20"/>
        </w:rPr>
        <w:t>The Director Election Proposal</w:t>
      </w:r>
      <w:r>
        <w:rPr>
          <w:rFonts w:ascii="Times New Roman;Times;serif" w:hAnsi="Times New Roman;Times;serif"/>
          <w:color w:val="000000"/>
          <w:sz w:val="20"/>
        </w:rPr>
        <w:t>” and “</w:t>
      </w:r>
      <w:r>
        <w:rPr>
          <w:rFonts w:ascii="Times New Roman;Times;serif" w:hAnsi="Times New Roman;Times;serif"/>
          <w:i/>
          <w:color w:val="000000"/>
          <w:sz w:val="20"/>
        </w:rPr>
        <w:t>The Auditor Ratification Proposal.</w:t>
      </w:r>
      <w:r>
        <w:rPr>
          <w:rFonts w:ascii="Times New Roman;Times;serif" w:hAnsi="Times New Roman;Times;serif"/>
          <w:color w:val="000000"/>
          <w:sz w:val="20"/>
        </w:rPr>
        <w:t>”</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Who is entitled to vote at and attend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Only stockholders of record and beneficial owners of the Company’s common stock at the close of business on April 10, 2023 (the “</w:t>
      </w:r>
      <w:r>
        <w:rPr>
          <w:rFonts w:ascii="Times New Roman;Times;serif" w:hAnsi="Times New Roman;Times;serif"/>
          <w:b/>
          <w:color w:val="000000"/>
          <w:sz w:val="20"/>
          <w:u w:val="single"/>
        </w:rPr>
        <w:t>Record Date</w:t>
      </w:r>
      <w:r>
        <w:rPr>
          <w:rFonts w:ascii="Times New Roman;Times;serif" w:hAnsi="Times New Roman;Times;serif"/>
          <w:color w:val="000000"/>
          <w:sz w:val="20"/>
        </w:rPr>
        <w:t>”) are entitled to receive notice of, vote at and attend the Annual Meeting. At the close of business on the Record Date, there were 222,249,295 shares of our common stock issued and outstanding and entitled to vote at the Annual Meeting, held by 9 holders of record. Each outstanding share of the Company’s common stock as of the Record Date entitles its holder to cast one vote on each matter to be voted upon.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 w:name="DSPFPageBreakArea5"/>
      <w:bookmarkStart w:id="33" w:name="DSPFPageBreakArea5"/>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 w:name="DSPFPageBreak5"/>
      <w:bookmarkStart w:id="35" w:name="DSPFPageBreak5"/>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6" w:name="ny20007545x2_def14a_105-qa_pg2"/>
        <w:bookmarkEnd w:id="3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is the difference between holding shares of common stock as a stockholder of record and as a beneficial owner?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Certain of our stockholders hold or may in the future hold their shares of common stock beneficially through a broker or other nominee rather than directly in their own name. As summarized below, there are some distinctions between shares owned beneficially and those held of record.</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Beneficial Owner: </w:t>
      </w:r>
      <w:r>
        <w:rPr>
          <w:rFonts w:ascii="Times New Roman;Times;serif" w:hAnsi="Times New Roman;Times;serif"/>
          <w:b w:val="false"/>
          <w:color w:val="000000"/>
          <w:sz w:val="20"/>
        </w:rPr>
        <w:t>If your shares of common stock are held in a brokerage account or by another nominee, you are considered the beneficial owner of shares held in “street name,” and these proxy materials are being forwarded to you together with a voting instruction card by your bank, broker or other nominee, as the case may be. As the beneficial owner, you have the right to direct your bank, broker or other nominee how to vote. The voting instruction card from your bank, broker or other nominee contains voting instructions for you to use in directing the bank, broker or other nominee how to vote your shares, which include instructions for voting by Internet or telephone.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Because a beneficial owner is not the stockholder of record, you may not vote your shares of common stock at the Annual Meeting unless you obtain a “legal proxy” from the bank, broker or other nominee that holds your shares giving you the right to vote the shares at the Annual Meeting.</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of Record: </w:t>
      </w:r>
      <w:r>
        <w:rPr>
          <w:rFonts w:ascii="Times New Roman;Times;serif" w:hAnsi="Times New Roman;Times;serif"/>
          <w:b w:val="false"/>
          <w:color w:val="000000"/>
          <w:sz w:val="20"/>
        </w:rPr>
        <w:t>If your shares of common stock are registered directly in your name with us or our stock transfer agent, Continental Stock Transfer &amp; Trust Company (“</w:t>
      </w:r>
      <w:r>
        <w:rPr>
          <w:rFonts w:ascii="Times New Roman;Times;serif" w:hAnsi="Times New Roman;Times;serif"/>
          <w:b/>
          <w:color w:val="000000"/>
          <w:sz w:val="20"/>
          <w:u w:val="single"/>
        </w:rPr>
        <w:t>Continental</w:t>
      </w:r>
      <w:r>
        <w:rPr>
          <w:rFonts w:ascii="Times New Roman;Times;serif" w:hAnsi="Times New Roman;Times;serif"/>
          <w:b/>
          <w:color w:val="000000"/>
          <w:sz w:val="20"/>
        </w:rPr>
        <w:t>”</w:t>
      </w:r>
      <w:r>
        <w:rPr>
          <w:rFonts w:ascii="Times New Roman;Times;serif" w:hAnsi="Times New Roman;Times;serif"/>
          <w:b w:val="false"/>
          <w:color w:val="000000"/>
          <w:sz w:val="20"/>
        </w:rPr>
        <w:t>), you are considered the stockholder of record with respect to those shares and these proxy materials are being sent directly to you by the Company. As the stockholder of record, you have the right to grant your voting proxy directly to us or to vote at the Annual Meeting by following the instructions located at www.virtualshareholdermeeting.com/ADMA2023. You can authorize your proxy or, if you have requested that the proxy materials be sent to you by mail, timely return the proxy card enclosed.</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do I need to do to attend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Stockholders of record as of the Record Date can attend the Annual Meeting online by logging onto our virtual forum at www.virtualshareholdermeeting.com/ADMA2023 and following the instructions provided on your proxy card, vote instruction card or “Important Notice Regarding the Availability of Proxy Materials.” To participate in the Annual Meeting, you will need the 16-digit control number included on your proxy card, voter instruction card or “Important Notice Regarding the Availability of Proxy Materials.” If you do not have this control number at the time of the Annual Meeting, you will still be able to attend virtually, but you will not be able to vote.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virtual Annual Meeting platform is fully supported across browsers (Internet Explorer, Firefox, Chrome, and Safari) and devices (desktops, laptops, tablets, and cell phones) running the most updated version of applicable software and plugins. Attendees should ensure that they have a strong Wi-Fi connection wherever they intend to participate in the virtual Annual Meeting. Attendees should also give themselves plenty of time to log in and ensure that they can hear streaming audio prior to the start of the virtual Annual Meeting.</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Where can I obtain technical assistance if I encounter technical difficulties accessing virtual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have technicians ready to assist you with any technical difficulties you may have accessing the virtual Annual Meeting. A phone number where you can obtain technical assistance will be made available on the day of the Annual Meeting.</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constitutes a quorum?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presence of a quorum is required for business to be conducted at the Annual Meeting. In accordance with Delaware law and our Amended and Restated Bylaws (“</w:t>
      </w:r>
      <w:r>
        <w:rPr>
          <w:rFonts w:ascii="Times New Roman;Times;serif" w:hAnsi="Times New Roman;Times;serif"/>
          <w:b/>
          <w:color w:val="000000"/>
          <w:sz w:val="20"/>
          <w:u w:val="single"/>
        </w:rPr>
        <w:t>Bylaws</w:t>
      </w:r>
      <w:r>
        <w:rPr>
          <w:rFonts w:ascii="Times New Roman;Times;serif" w:hAnsi="Times New Roman;Times;serif"/>
          <w:color w:val="000000"/>
          <w:sz w:val="20"/>
        </w:rPr>
        <w:t>”), the presence at the Annual Meeting, through virtual attendance or by proxy, of the holders of a majority of the shares of common stock outstanding as of the Record Date and entitled to vote shall constitute a quorum. As of the Record Date, 222,249,295 shares of our common stock were outstanding and entitled to vote. If you submit a properly executed proxy card, regardless of whether you abstain from voting, your shares represented by such proxy card will be considered in determining the presence of a quorum.</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7" w:name="DSPFPageBreakArea6"/>
      <w:bookmarkStart w:id="38" w:name="DSPFPageBreakArea6"/>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9" w:name="DSPFPageBreak6"/>
      <w:bookmarkStart w:id="40" w:name="DSPFPageBreak6"/>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1" w:name="ny20007545x2_def14a_105-qa_pg3"/>
        <w:bookmarkEnd w:id="4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do I vote?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may vote at the Annual Meeting by following the instructions posted at www.virtualshareholdermeeting.com/ADMA2023 or by mail, Internet, or telephone. If you hold your shares of common stock in “street name” through a bank, broker, or other nominee, you must vote in accordance with the voting instructions provided to you by such bank, broker, or other nominee, which include instructions for voting by Internet or telephone.</w:t>
      </w:r>
    </w:p>
    <w:p>
      <w:pPr>
        <w:pStyle w:val="TextBody"/>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Voting by Mail</w:t>
      </w:r>
      <w:r>
        <w:rPr>
          <w:rFonts w:ascii="Times New Roman;Times;serif" w:hAnsi="Times New Roman;Times;serif"/>
          <w:b w:val="false"/>
          <w:color w:val="000000"/>
          <w:sz w:val="20"/>
        </w:rPr>
        <w:t>: If you are a holder of record of common stock and choose to vote by mail, simply complete, sign and date your proxy card and mail it in the accompanying pre-addressed envelope to Broadridge Financial Solutions, Inc. (“</w:t>
      </w:r>
      <w:r>
        <w:rPr>
          <w:rFonts w:ascii="Times New Roman;Times;serif" w:hAnsi="Times New Roman;Times;serif"/>
          <w:b/>
          <w:color w:val="000000"/>
          <w:sz w:val="20"/>
          <w:u w:val="single"/>
        </w:rPr>
        <w:t>Broadridge</w:t>
      </w:r>
      <w:r>
        <w:rPr>
          <w:rFonts w:ascii="Times New Roman;Times;serif" w:hAnsi="Times New Roman;Times;serif"/>
          <w:b/>
          <w:color w:val="000000"/>
          <w:sz w:val="20"/>
        </w:rPr>
        <w:t>”</w:t>
      </w:r>
      <w:r>
        <w:rPr>
          <w:rFonts w:ascii="Times New Roman;Times;serif" w:hAnsi="Times New Roman;Times;serif"/>
          <w:b w:val="false"/>
          <w:color w:val="000000"/>
          <w:sz w:val="20"/>
        </w:rPr>
        <w:t>). If you hold common stock beneficially in “street name” and choose to vote by mail, you must complete, sign and date the voting instruction card provided by your bank, broker, or other nominee and mail it in the accompanying pre-addressed envelope within the specified time period.</w:t>
      </w:r>
    </w:p>
    <w:p>
      <w:pPr>
        <w:pStyle w:val="TextBody"/>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Voting by Internet</w:t>
      </w:r>
      <w:r>
        <w:rPr>
          <w:rFonts w:ascii="Times New Roman;Times;serif" w:hAnsi="Times New Roman;Times;serif"/>
          <w:b w:val="false"/>
          <w:color w:val="000000"/>
          <w:sz w:val="20"/>
        </w:rPr>
        <w:t>: If you are a holder of record of common stock and choose to vote by Internet, go to www.proxyvote.com and follow the instructions to obtain your records and to create an electronic voting instruction form to transmit your voting instructions. You must have your proxy card in hand when you access the website and you must transmit your voting instructions by 11:59 p.m. Eastern Time on June 5, 2023, the day before the Annual Meeting.</w:t>
      </w:r>
    </w:p>
    <w:p>
      <w:pPr>
        <w:pStyle w:val="TextBody"/>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Voting by Telephone</w:t>
      </w:r>
      <w:r>
        <w:rPr>
          <w:rFonts w:ascii="Times New Roman;Times;serif" w:hAnsi="Times New Roman;Times;serif"/>
          <w:b w:val="false"/>
          <w:color w:val="000000"/>
          <w:sz w:val="20"/>
        </w:rPr>
        <w:t>: If you are a holder of record of common stock and choose to vote by telephone, simply use any touch-tone telephone to transmit your voting instructions by calling the following number: 1-800-690-6903 and following the instructions. You must have your proxy card in hand when you call and you must transmit your voting instructions by 11:59 p.m. Eastern Time on June 5, 2023, the day before the Annual Meeting.</w:t>
      </w:r>
    </w:p>
    <w:p>
      <w:pPr>
        <w:pStyle w:val="TextBody"/>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Voting at the Annual Meeting</w:t>
      </w:r>
      <w:r>
        <w:rPr>
          <w:rFonts w:ascii="Times New Roman;Times;serif" w:hAnsi="Times New Roman;Times;serif"/>
          <w:b w:val="false"/>
          <w:color w:val="000000"/>
          <w:sz w:val="20"/>
        </w:rPr>
        <w:t>: If you attend the virtual Annual Meeting, you will be able to vote online at www.virtualshareholdermeeting.com/ADMA2023.</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Even if you plan to attend the Annual Meeting, we recommend that you submit your proxy or voting instructions in advance as described above, so that your vote will be counted if you later decide not to attend the Annual Meeting. Any vote properly cast at the Annual Meeting will supersede any previously submitted proxy or voting instructions. For additional information, please see “</w:t>
      </w:r>
      <w:r>
        <w:rPr>
          <w:rFonts w:ascii="Times New Roman;Times;serif" w:hAnsi="Times New Roman;Times;serif"/>
          <w:i/>
          <w:color w:val="000000"/>
          <w:sz w:val="20"/>
        </w:rPr>
        <w:t>Can I change my vote or revoke my proxy after I return my proxy card?</w:t>
      </w:r>
      <w:r>
        <w:rPr>
          <w:rFonts w:ascii="Times New Roman;Times;serif" w:hAnsi="Times New Roman;Times;serif"/>
          <w:color w:val="000000"/>
          <w:sz w:val="20"/>
        </w:rPr>
        <w:t>” below.</w:t>
      </w:r>
    </w:p>
    <w:p>
      <w:pPr>
        <w:pStyle w:val="TextBody"/>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is the deadline to provide my proxy?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give instructions as to your proxy appointment to the Annual Meeting by telephone or through the Internet, such instructions must be received by 11:59 p.m. Eastern Time on June 5, 2023, the day before the Annual Meeting. If you mail your executed proxy card for the Annual Meeting, such proxy card must be received by June 5, 2023, the day before the Annual Meeting. If you give instructions as to your proxy appointment to the Annual Meeting, such instructions must be received on June 6, 2023 at the Annual Meeting before the voting commences.</w:t>
      </w:r>
    </w:p>
    <w:p>
      <w:pPr>
        <w:pStyle w:val="TextBody"/>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does the Board of Directors recommend I vote on the proposals?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recommendations of the Board are set forth after the description of each proposal in this proxy statement. In summary, the Board recommends a vote:</w:t>
      </w:r>
    </w:p>
    <w:tbl>
      <w:tblPr>
        <w:tblW w:w="7015" w:type="dxa"/>
        <w:jc w:val="left"/>
        <w:tblInd w:w="0" w:type="dxa"/>
        <w:tblCellMar>
          <w:top w:w="0" w:type="dxa"/>
          <w:left w:w="0" w:type="dxa"/>
          <w:bottom w:w="0" w:type="dxa"/>
          <w:right w:w="0" w:type="dxa"/>
        </w:tblCellMar>
      </w:tblPr>
      <w:tblGrid>
        <w:gridCol w:w="110"/>
        <w:gridCol w:w="69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90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the election of the director nominee named in the Director Election Proposal;</w:t>
            </w:r>
          </w:p>
        </w:tc>
      </w:tr>
    </w:tbl>
    <w:tbl>
      <w:tblPr>
        <w:tblW w:w="3520" w:type="dxa"/>
        <w:jc w:val="left"/>
        <w:tblInd w:w="0" w:type="dxa"/>
        <w:tblCellMar>
          <w:top w:w="0" w:type="dxa"/>
          <w:left w:w="0" w:type="dxa"/>
          <w:bottom w:w="0" w:type="dxa"/>
          <w:right w:w="0" w:type="dxa"/>
        </w:tblCellMar>
      </w:tblPr>
      <w:tblGrid>
        <w:gridCol w:w="110"/>
        <w:gridCol w:w="34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410"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b/>
                <w:color w:val="000000"/>
                <w:sz w:val="20"/>
              </w:rPr>
              <w:t>FOR</w:t>
            </w:r>
            <w:r>
              <w:rPr>
                <w:rFonts w:ascii="Times New Roman;Times;serif" w:hAnsi="Times New Roman;Times;serif"/>
                <w:color w:val="000000"/>
                <w:sz w:val="20"/>
              </w:rPr>
              <w:t>” the Auditor Ratification Proposal.</w:t>
            </w:r>
          </w:p>
        </w:tc>
      </w:tr>
    </w:tbl>
    <w:p>
      <w:pPr>
        <w:pStyle w:val="TextBody"/>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will my shares of common stock be voted if I do not indicate a vote on my proxy card?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Your shares will be voted as you indicate on the proxy card or voting instruction form, as applicable. If you return your signed proxy card but do not mark the boxes indicating how you wish to vote, your shares will be voted as recommended by the Board on those items. See the question above entitled “</w:t>
      </w:r>
      <w:r>
        <w:rPr>
          <w:rFonts w:ascii="Times New Roman;Times;serif" w:hAnsi="Times New Roman;Times;serif"/>
          <w:i/>
          <w:color w:val="000000"/>
          <w:sz w:val="20"/>
        </w:rPr>
        <w:t>How does the Board of Directors recommend I vote on the proposals?</w:t>
      </w:r>
      <w:r>
        <w:rPr>
          <w:rFonts w:ascii="Times New Roman;Times;serif" w:hAnsi="Times New Roman;Times;serif"/>
          <w:color w:val="000000"/>
          <w:sz w:val="20"/>
        </w:rPr>
        <w:t>” Your shares will be voted in accordance with the discretion of the proxyholders as to any other matter that is properly presented at the Annual Meeting.</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2" w:name="DSPFPageBreakArea7"/>
      <w:bookmarkStart w:id="43" w:name="DSPFPageBreakArea7"/>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 w:name="DSPFPageBreak7"/>
      <w:bookmarkStart w:id="45" w:name="DSPFPageBreak7"/>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6" w:name="ny20007545x2_def14a_105-qa_pg4"/>
        <w:bookmarkEnd w:id="4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Will my shares be voted if I do not provide my proxy?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stockholders of record: If you are the stockholder of record and you do not vote by proxy card or virtually at the Annual Meeting, your shares will not be voted at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holders in street name: If your shares are held in street name, your shares may be voted even if you do not provide the brokerage firm with voting instructions. Subject to applicable Nasdaq Stock Market LLC (“</w:t>
      </w:r>
      <w:r>
        <w:rPr>
          <w:rFonts w:ascii="Times New Roman;Times;serif" w:hAnsi="Times New Roman;Times;serif"/>
          <w:b/>
          <w:color w:val="000000"/>
          <w:sz w:val="20"/>
          <w:u w:val="single"/>
        </w:rPr>
        <w:t>Nasdaq</w:t>
      </w:r>
      <w:r>
        <w:rPr>
          <w:rFonts w:ascii="Times New Roman;Times;serif" w:hAnsi="Times New Roman;Times;serif"/>
          <w:color w:val="000000"/>
          <w:sz w:val="20"/>
        </w:rPr>
        <w:t>”), New York Stock Exchange and SEC rules, brokers or other nominees who hold shares for a beneficial owner have the discretion to vote on “routine” proposals (such as the Auditor Ratification Proposal) when they have not received voting instructions.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When a proposal is not a routine matter and you have not provided voting instructions to the brokerage firm with respect to that proposal, the brokerage firm cannot vote the shares on that proposal. The missing votes for these non-routine matters are called “broker non-votes.” Broker non-votes will be counted for purposes of calculating whether a quorum is present at the Annual Meeting, but will not be counted for purposes of determining the number of votes present or represented by proxy and entitled to vote with respect to the proposals presented in this proxy statement. The Director Election Proposal is a non-routine matter and the Auditor Ratification Proposal is a routine matter. Accordingly, a broker non-vote will not affect the outcome of voting on the Director Election Proposal, and broker non-votes are not applicable to the Auditor Ratification Proposal.</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Can I change my vote or revoke my proxy after I authorize or return my proxy card?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Yes. Even after you have submitted your proxy, you may change your vote at any time before the proxy is exercised at the Annual Meeting. If you are a stockholder of record as of the Record Date, regardless of the way in which you submitted your original proxy, you may change it by:</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Returning a later-dated signed proxy card or written notice of revocation, as applicable, to Broadridge at c/o Broadridge, 51 Mercedes Way, Edgewood, NY 11717, Attention: Vote Processing;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written notice of revocation over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to Broadridge before 11:59 p.m. Eastern Time on June 5, 2023, the day before the Annual Meeting;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Calling Broadridge at 1-800-690-6903 before 11:59 p.m. Eastern Time on June 5, 2023, the day before the Annual Meeting;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Attending the Annual Meeting and properly voting using the instructions posted at www.virtualshareholdermeeting.com/ADMA2023</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your shares of common stock are held through a bank, broker, or other nominee, you will need to contact that nominee if you wish to change your voting instructions. You may also vote virtually at the Annual Meeting if you obtain a “legal proxy” as described in the answer to the question above entitled “</w:t>
      </w:r>
      <w:r>
        <w:rPr>
          <w:rFonts w:ascii="Times New Roman;Times;serif" w:hAnsi="Times New Roman;Times;serif"/>
          <w:i/>
          <w:color w:val="000000"/>
          <w:sz w:val="20"/>
        </w:rPr>
        <w:t>How do I vote? – Voting at the Annual Meeting.</w:t>
      </w:r>
      <w:r>
        <w:rPr>
          <w:rFonts w:ascii="Times New Roman;Times;serif" w:hAnsi="Times New Roman;Times;serif"/>
          <w:color w:val="000000"/>
          <w:sz w:val="20"/>
        </w:rPr>
        <w:t>” Mere attendance at the Annual Meeting will not cause your previously granted proxy to be revoked.</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vote is required to approve each proposal?</w:t>
      </w:r>
    </w:p>
    <w:tbl>
      <w:tblPr>
        <w:tblW w:w="10205" w:type="dxa"/>
        <w:jc w:val="left"/>
        <w:tblInd w:w="0" w:type="dxa"/>
        <w:tblCellMar>
          <w:top w:w="0" w:type="dxa"/>
          <w:left w:w="28" w:type="dxa"/>
          <w:bottom w:w="85" w:type="dxa"/>
          <w:right w:w="0" w:type="dxa"/>
        </w:tblCellMar>
      </w:tblPr>
      <w:tblGrid>
        <w:gridCol w:w="38"/>
        <w:gridCol w:w="1483"/>
        <w:gridCol w:w="23"/>
        <w:gridCol w:w="23"/>
        <w:gridCol w:w="6079"/>
        <w:gridCol w:w="23"/>
        <w:gridCol w:w="23"/>
        <w:gridCol w:w="1350"/>
        <w:gridCol w:w="23"/>
        <w:gridCol w:w="23"/>
        <w:gridCol w:w="1078"/>
        <w:gridCol w:w="39"/>
      </w:tblGrid>
      <w:tr>
        <w:trPr/>
        <w:tc>
          <w:tcPr>
            <w:tcW w:w="38" w:type="dxa"/>
            <w:tcBorders>
              <w:left w:val="single" w:sz="8" w:space="0" w:color="000000"/>
              <w:bottom w:val="single" w:sz="8" w:space="0" w:color="000000"/>
            </w:tcBorders>
            <w:shd w:fill="auto" w:val="clear"/>
            <w:vAlign w:val="center"/>
          </w:tcPr>
          <w:p>
            <w:pPr>
              <w:pStyle w:val="TableContents"/>
              <w:spacing w:before="0" w:after="283"/>
              <w:rPr/>
            </w:pPr>
            <w:r>
              <w:rPr/>
              <w:t>​</w:t>
            </w:r>
          </w:p>
        </w:tc>
        <w:tc>
          <w:tcPr>
            <w:tcW w:w="1483" w:type="dxa"/>
            <w:tcBorders>
              <w:bottom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w:t>
            </w:r>
          </w:p>
        </w:tc>
        <w:tc>
          <w:tcPr>
            <w:tcW w:w="23" w:type="dxa"/>
            <w:tcBorders>
              <w:bottom w:val="single" w:sz="8" w:space="0" w:color="000000"/>
              <w:right w:val="single" w:sz="8" w:space="0" w:color="000000"/>
            </w:tcBorders>
            <w:shd w:fill="auto" w:val="clear"/>
            <w:tcMar>
              <w:left w:w="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left w:w="0" w:type="dxa"/>
            </w:tcMar>
            <w:vAlign w:val="center"/>
          </w:tcPr>
          <w:p>
            <w:pPr>
              <w:pStyle w:val="TableContents"/>
              <w:spacing w:before="0" w:after="283"/>
              <w:rPr/>
            </w:pPr>
            <w:r>
              <w:rPr/>
              <w:t>​</w:t>
            </w:r>
          </w:p>
        </w:tc>
        <w:tc>
          <w:tcPr>
            <w:tcW w:w="6079" w:type="dxa"/>
            <w:tcBorders>
              <w:bottom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 Required</w:t>
            </w:r>
          </w:p>
        </w:tc>
        <w:tc>
          <w:tcPr>
            <w:tcW w:w="23" w:type="dxa"/>
            <w:tcBorders>
              <w:bottom w:val="single" w:sz="8" w:space="0" w:color="000000"/>
              <w:right w:val="single" w:sz="8" w:space="0" w:color="000000"/>
            </w:tcBorders>
            <w:shd w:fill="auto" w:val="clear"/>
            <w:tcMar>
              <w:left w:w="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left w:w="0" w:type="dxa"/>
            </w:tcMar>
            <w:vAlign w:val="center"/>
          </w:tcPr>
          <w:p>
            <w:pPr>
              <w:pStyle w:val="TableContents"/>
              <w:spacing w:before="0" w:after="283"/>
              <w:rPr/>
            </w:pPr>
            <w:r>
              <w:rPr/>
              <w:t>​</w:t>
            </w:r>
          </w:p>
        </w:tc>
        <w:tc>
          <w:tcPr>
            <w:tcW w:w="1350" w:type="dxa"/>
            <w:tcBorders>
              <w:bottom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What Are My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Choices?</w:t>
            </w:r>
          </w:p>
        </w:tc>
        <w:tc>
          <w:tcPr>
            <w:tcW w:w="23" w:type="dxa"/>
            <w:tcBorders>
              <w:bottom w:val="single" w:sz="8" w:space="0" w:color="000000"/>
              <w:right w:val="single" w:sz="8" w:space="0" w:color="000000"/>
            </w:tcBorders>
            <w:shd w:fill="auto" w:val="clear"/>
            <w:tcMar>
              <w:left w:w="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left w:w="0" w:type="dxa"/>
            </w:tcMar>
            <w:vAlign w:val="center"/>
          </w:tcPr>
          <w:p>
            <w:pPr>
              <w:pStyle w:val="TableContents"/>
              <w:spacing w:before="0" w:after="283"/>
              <w:rPr/>
            </w:pPr>
            <w:r>
              <w:rPr/>
              <w:t>​</w:t>
            </w:r>
          </w:p>
        </w:tc>
        <w:tc>
          <w:tcPr>
            <w:tcW w:w="1078" w:type="dxa"/>
            <w:tcBorders>
              <w:bottom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Broker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Discretionary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Voting Allowed?</w:t>
            </w:r>
          </w:p>
        </w:tc>
        <w:tc>
          <w:tcPr>
            <w:tcW w:w="39" w:type="dxa"/>
            <w:tcBorders>
              <w:bottom w:val="single" w:sz="8" w:space="0" w:color="000000"/>
            </w:tcBorders>
            <w:shd w:fill="auto" w:val="clear"/>
            <w:tcMar>
              <w:left w:w="0" w:type="dxa"/>
            </w:tcM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vAlign w:val="center"/>
          </w:tcPr>
          <w:p>
            <w:pPr>
              <w:pStyle w:val="TableContents"/>
              <w:spacing w:before="0" w:after="283"/>
              <w:rPr/>
            </w:pPr>
            <w:r>
              <w:rPr/>
              <w:t>​</w:t>
            </w:r>
          </w:p>
        </w:tc>
        <w:tc>
          <w:tcPr>
            <w:tcW w:w="1483" w:type="dxa"/>
            <w:tcBorders>
              <w:bottom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Director </w:t>
            </w:r>
          </w:p>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w:t>
            </w:r>
          </w:p>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Proposal</w:t>
            </w:r>
          </w:p>
        </w:tc>
        <w:tc>
          <w:tcPr>
            <w:tcW w:w="23" w:type="dxa"/>
            <w:tcBorders>
              <w:bottom w:val="single" w:sz="8" w:space="0" w:color="000000"/>
              <w:right w:val="single" w:sz="8" w:space="0" w:color="000000"/>
            </w:tcBorders>
            <w:shd w:fill="auto" w:val="clear"/>
            <w:tcMar>
              <w:left w:w="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left w:w="0" w:type="dxa"/>
            </w:tcMar>
            <w:vAlign w:val="center"/>
          </w:tcPr>
          <w:p>
            <w:pPr>
              <w:pStyle w:val="TableContents"/>
              <w:spacing w:before="0" w:after="283"/>
              <w:rPr/>
            </w:pPr>
            <w:r>
              <w:rPr/>
              <w:t>​</w:t>
            </w:r>
          </w:p>
        </w:tc>
        <w:tc>
          <w:tcPr>
            <w:tcW w:w="6079" w:type="dxa"/>
            <w:tcBorders>
              <w:bottom w:val="single" w:sz="8" w:space="0" w:color="000000"/>
            </w:tcBorders>
            <w:shd w:fill="auto" w:val="clear"/>
            <w:tcMar>
              <w:left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Plurality of the shares of ADMA’s common stock present, through virtual attendance, by remote communication or represented by proxy and entitled to vote generally on the election of directors</w:t>
            </w:r>
          </w:p>
        </w:tc>
        <w:tc>
          <w:tcPr>
            <w:tcW w:w="23" w:type="dxa"/>
            <w:tcBorders>
              <w:bottom w:val="single" w:sz="8" w:space="0" w:color="000000"/>
              <w:right w:val="single" w:sz="8" w:space="0" w:color="000000"/>
            </w:tcBorders>
            <w:shd w:fill="auto" w:val="clear"/>
            <w:tcMar>
              <w:left w:w="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left w:w="0" w:type="dxa"/>
            </w:tcMar>
            <w:vAlign w:val="center"/>
          </w:tcPr>
          <w:p>
            <w:pPr>
              <w:pStyle w:val="TableContents"/>
              <w:spacing w:before="0" w:after="283"/>
              <w:rPr/>
            </w:pPr>
            <w:r>
              <w:rPr/>
              <w:t>​</w:t>
            </w:r>
          </w:p>
        </w:tc>
        <w:tc>
          <w:tcPr>
            <w:tcW w:w="1350" w:type="dxa"/>
            <w:tcBorders>
              <w:bottom w:val="single" w:sz="8" w:space="0" w:color="000000"/>
            </w:tcBorders>
            <w:shd w:fill="auto" w:val="clear"/>
            <w:tcMar>
              <w:left w:w="0" w:type="dxa"/>
            </w:tcMar>
            <w:vAlign w:val="center"/>
          </w:tcPr>
          <w:p>
            <w:pPr>
              <w:pStyle w:val="TableContents"/>
              <w:spacing w:before="0" w:after="283"/>
              <w:jc w:val="center"/>
              <w:rPr>
                <w:color w:val="000000"/>
              </w:rPr>
            </w:pPr>
            <w:r>
              <w:rPr>
                <w:color w:val="000000"/>
              </w:rPr>
              <w:t>“</w:t>
            </w:r>
            <w:r>
              <w:rPr>
                <w:rFonts w:ascii="Times New Roman;Times;serif" w:hAnsi="Times New Roman;Times;serif"/>
                <w:color w:val="000000"/>
                <w:sz w:val="20"/>
              </w:rPr>
              <w:t xml:space="preserve">FOR” </w:t>
            </w:r>
          </w:p>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or</w:t>
            </w:r>
          </w:p>
          <w:p>
            <w:pPr>
              <w:pStyle w:val="TableContents"/>
              <w:spacing w:before="0" w:after="283"/>
              <w:jc w:val="center"/>
              <w:rPr>
                <w:color w:val="000000"/>
              </w:rPr>
            </w:pPr>
            <w:r>
              <w:rPr>
                <w:color w:val="000000"/>
              </w:rPr>
              <w:t>“</w:t>
            </w:r>
            <w:r>
              <w:rPr>
                <w:rFonts w:ascii="Times New Roman;Times;serif" w:hAnsi="Times New Roman;Times;serif"/>
                <w:color w:val="000000"/>
                <w:sz w:val="20"/>
              </w:rPr>
              <w:t>WITHHOLD”</w:t>
            </w:r>
          </w:p>
        </w:tc>
        <w:tc>
          <w:tcPr>
            <w:tcW w:w="23" w:type="dxa"/>
            <w:tcBorders>
              <w:bottom w:val="single" w:sz="8" w:space="0" w:color="000000"/>
              <w:right w:val="single" w:sz="8" w:space="0" w:color="000000"/>
            </w:tcBorders>
            <w:shd w:fill="auto" w:val="clear"/>
            <w:tcMar>
              <w:left w:w="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left w:w="0" w:type="dxa"/>
            </w:tcMar>
            <w:vAlign w:val="center"/>
          </w:tcPr>
          <w:p>
            <w:pPr>
              <w:pStyle w:val="TableContents"/>
              <w:spacing w:before="0" w:after="283"/>
              <w:rPr/>
            </w:pPr>
            <w:r>
              <w:rPr/>
              <w:t>​</w:t>
            </w:r>
          </w:p>
        </w:tc>
        <w:tc>
          <w:tcPr>
            <w:tcW w:w="1078" w:type="dxa"/>
            <w:tcBorders>
              <w:bottom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w:t>
            </w:r>
          </w:p>
        </w:tc>
        <w:tc>
          <w:tcPr>
            <w:tcW w:w="39" w:type="dxa"/>
            <w:tcBorders>
              <w:bottom w:val="single" w:sz="8" w:space="0" w:color="000000"/>
            </w:tcBorders>
            <w:shd w:fill="auto" w:val="clear"/>
            <w:tcMar>
              <w:left w:w="0" w:type="dxa"/>
            </w:tcM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bottom w:w="60" w:type="dxa"/>
            </w:tcMar>
            <w:vAlign w:val="center"/>
          </w:tcPr>
          <w:p>
            <w:pPr>
              <w:pStyle w:val="TableContents"/>
              <w:spacing w:before="0" w:after="283"/>
              <w:rPr/>
            </w:pPr>
            <w:r>
              <w:rPr/>
              <w:t>​</w:t>
            </w:r>
          </w:p>
        </w:tc>
        <w:tc>
          <w:tcPr>
            <w:tcW w:w="1483" w:type="dxa"/>
            <w:tcBorders>
              <w:bottom w:val="single" w:sz="8" w:space="0" w:color="000000"/>
            </w:tcBorders>
            <w:shd w:fill="auto" w:val="clear"/>
            <w:tcMar>
              <w:left w:w="0" w:type="dxa"/>
              <w:bottom w:w="6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Auditor Ratification Proposal</w:t>
            </w:r>
          </w:p>
        </w:tc>
        <w:tc>
          <w:tcPr>
            <w:tcW w:w="23" w:type="dxa"/>
            <w:tcBorders>
              <w:bottom w:val="single" w:sz="8" w:space="0" w:color="000000"/>
              <w:right w:val="single" w:sz="8" w:space="0" w:color="000000"/>
            </w:tcBorders>
            <w:shd w:fill="auto" w:val="clear"/>
            <w:tcMar>
              <w:left w:w="0" w:type="dxa"/>
              <w:bottom w:w="6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left w:w="0" w:type="dxa"/>
              <w:bottom w:w="60" w:type="dxa"/>
            </w:tcMar>
            <w:vAlign w:val="center"/>
          </w:tcPr>
          <w:p>
            <w:pPr>
              <w:pStyle w:val="TableContents"/>
              <w:spacing w:before="0" w:after="283"/>
              <w:rPr/>
            </w:pPr>
            <w:r>
              <w:rPr/>
              <w:t>​</w:t>
            </w:r>
          </w:p>
        </w:tc>
        <w:tc>
          <w:tcPr>
            <w:tcW w:w="6079" w:type="dxa"/>
            <w:tcBorders>
              <w:bottom w:val="single" w:sz="8" w:space="0" w:color="000000"/>
            </w:tcBorders>
            <w:shd w:fill="auto" w:val="clear"/>
            <w:tcMar>
              <w:left w:w="0" w:type="dxa"/>
              <w:bottom w:w="6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Majority of the shares of ADMA’s common stock present, through virtual attendance, by remote communication or represented by proxy at the Annual Meeting and entitled to vote generally on the subject matter</w:t>
            </w:r>
          </w:p>
        </w:tc>
        <w:tc>
          <w:tcPr>
            <w:tcW w:w="23" w:type="dxa"/>
            <w:tcBorders>
              <w:bottom w:val="single" w:sz="8" w:space="0" w:color="000000"/>
              <w:right w:val="single" w:sz="8" w:space="0" w:color="000000"/>
            </w:tcBorders>
            <w:shd w:fill="auto" w:val="clear"/>
            <w:tcMar>
              <w:left w:w="0" w:type="dxa"/>
              <w:bottom w:w="6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left w:w="0" w:type="dxa"/>
              <w:bottom w:w="60" w:type="dxa"/>
            </w:tcMar>
            <w:vAlign w:val="center"/>
          </w:tcPr>
          <w:p>
            <w:pPr>
              <w:pStyle w:val="TableContents"/>
              <w:spacing w:before="0" w:after="283"/>
              <w:rPr/>
            </w:pPr>
            <w:r>
              <w:rPr/>
              <w:t>​</w:t>
            </w:r>
          </w:p>
        </w:tc>
        <w:tc>
          <w:tcPr>
            <w:tcW w:w="1350" w:type="dxa"/>
            <w:tcBorders>
              <w:bottom w:val="single" w:sz="8" w:space="0" w:color="000000"/>
            </w:tcBorders>
            <w:shd w:fill="auto" w:val="clear"/>
            <w:tcMar>
              <w:left w:w="0" w:type="dxa"/>
              <w:bottom w:w="60" w:type="dxa"/>
            </w:tcMar>
            <w:vAlign w:val="center"/>
          </w:tcPr>
          <w:p>
            <w:pPr>
              <w:pStyle w:val="TableContents"/>
              <w:spacing w:before="0" w:after="283"/>
              <w:jc w:val="center"/>
              <w:rPr>
                <w:color w:val="000000"/>
              </w:rPr>
            </w:pPr>
            <w:r>
              <w:rPr>
                <w:color w:val="000000"/>
              </w:rPr>
              <w:t>“</w:t>
            </w:r>
            <w:r>
              <w:rPr>
                <w:rFonts w:ascii="Times New Roman;Times;serif" w:hAnsi="Times New Roman;Times;serif"/>
                <w:color w:val="000000"/>
                <w:sz w:val="20"/>
              </w:rPr>
              <w:t>FOR”, “AGAINST” or</w:t>
            </w:r>
          </w:p>
          <w:p>
            <w:pPr>
              <w:pStyle w:val="TableContents"/>
              <w:spacing w:before="0" w:after="283"/>
              <w:jc w:val="center"/>
              <w:rPr>
                <w:color w:val="000000"/>
              </w:rPr>
            </w:pPr>
            <w:r>
              <w:rPr>
                <w:color w:val="000000"/>
              </w:rPr>
              <w:t>“</w:t>
            </w:r>
            <w:r>
              <w:rPr>
                <w:rFonts w:ascii="Times New Roman;Times;serif" w:hAnsi="Times New Roman;Times;serif"/>
                <w:color w:val="000000"/>
                <w:sz w:val="20"/>
              </w:rPr>
              <w:t>ABSTAIN”</w:t>
            </w:r>
          </w:p>
        </w:tc>
        <w:tc>
          <w:tcPr>
            <w:tcW w:w="23" w:type="dxa"/>
            <w:tcBorders>
              <w:bottom w:val="single" w:sz="8" w:space="0" w:color="000000"/>
              <w:right w:val="single" w:sz="8" w:space="0" w:color="000000"/>
            </w:tcBorders>
            <w:shd w:fill="auto" w:val="clear"/>
            <w:tcMar>
              <w:left w:w="0" w:type="dxa"/>
              <w:bottom w:w="6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left w:w="0" w:type="dxa"/>
              <w:bottom w:w="60" w:type="dxa"/>
            </w:tcMar>
            <w:vAlign w:val="center"/>
          </w:tcPr>
          <w:p>
            <w:pPr>
              <w:pStyle w:val="TableContents"/>
              <w:spacing w:before="0" w:after="283"/>
              <w:rPr/>
            </w:pPr>
            <w:r>
              <w:rPr/>
              <w:t>​</w:t>
            </w:r>
          </w:p>
        </w:tc>
        <w:tc>
          <w:tcPr>
            <w:tcW w:w="1078" w:type="dxa"/>
            <w:tcBorders>
              <w:bottom w:val="single" w:sz="8" w:space="0" w:color="000000"/>
            </w:tcBorders>
            <w:shd w:fill="auto" w:val="clear"/>
            <w:tcMar>
              <w:left w:w="0" w:type="dxa"/>
              <w:bottom w:w="6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Yes</w:t>
            </w:r>
          </w:p>
        </w:tc>
        <w:tc>
          <w:tcPr>
            <w:tcW w:w="39" w:type="dxa"/>
            <w:tcBorders>
              <w:bottom w:val="single" w:sz="8" w:space="0" w:color="000000"/>
            </w:tcBorders>
            <w:shd w:fill="auto" w:val="clear"/>
            <w:tcMar>
              <w:left w:w="0" w:type="dxa"/>
              <w:bottom w:w="60" w:type="dxa"/>
            </w:tcMar>
            <w:vAlign w:val="center"/>
          </w:tcPr>
          <w:p>
            <w:pPr>
              <w:pStyle w:val="TableContents"/>
              <w:spacing w:before="0" w:after="283"/>
              <w:rPr/>
            </w:pPr>
            <w:r>
              <w:rPr/>
              <w:t>​</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 w:name="DSPFPageBreakArea8"/>
      <w:bookmarkStart w:id="48" w:name="DSPFPageBreakArea8"/>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 w:name="DSPFPageBreak8"/>
      <w:bookmarkStart w:id="50" w:name="DSPFPageBreak8"/>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1" w:name="ny20007545x2_def14a_105-qa_pg5"/>
        <w:bookmarkEnd w:id="5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Election of a director requires the affirmative vote of a plurality of the shares of ADMA’s common stock present, through virtual attendance, by remote communication or represented by proxy at the Annual Meeting and entitled to vote generally on the election of directors, assuming the presence of a quorum at the Annual Meeting. This means that the nominee with the greatest number of votes will be elected.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Approval of the Auditor Ratification Proposal requires the affirmative vote of the holders of a majority of the shares of ADMA’s common stock present, through virtual attendance, by remote communication or represented by proxy at the Annual Meeting and entitled to vote generally on the subject matter, in order for such proposal to be approved, provided a quorum is present through virtual attendance, by remote communication or represented by proxy. This means that the number of votes cast “FOR” must exceed the combined number of votes “AGAINST” and abstentions (which will each have the same effect as an “AGAINST” vote).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the vote standards described herein, please be advised that the Auditor Ratification Proposal is advisory only and will not be binding on the Company or the Board and will not create or imply any change in the fiduciary duties of, nor impose any additional fiduciary duty on, the Company or the Board. However, the Board, Compensation Committee and/or Audit Committee, as the case may be, will take into account the outcome of the votes when considering what action, if any, should be taken in response to the advisory vote by stockholders.</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happens if additional matters are presented at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Other than the items of business described in this proxy statement, we are not aware of any other business to be acted upon at the Annual Meeting. If you grant a proxy, the persons named as proxyholders will have the discretion to vote your shares of common stock on any additional matters properly presented for a vote at the Annual Meeting or any adjournment or postponement of the Annual Meeting.</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Who will solicit proxies on behalf of the Board?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is asking you to give your proxy to Adam S. Grossman, President and Chief Executive Officer, and Brian Lenz, Executive Vice President and Chief Financial Officer. Giving your proxy to Messrs. Grossman and Lenz means that you authorize Messrs. Grossman and Lenz, either of them or their duly appointed substitutes, to vote your shares at the Annual Meeting in accordance with your instructions. All valid proxies received prior to the Annual Meeting will be voted. All shares represented by a proxy will be voted, and where a stockholder specifies by means of the proxy a choice with respect to any matter to be acted upon, the shares will be voted in accordance with the specification so made. If no choice is indicated on the proxy, then the shares will be voted in accordance with the Board’s recommendations.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Proxies may be solicited on behalf of the Board, without additional compensation, by the Company’s directors and certain executive officers or employees of the Company.</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Who will pay for the cost of this proxy solicitation?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pay the cost of soliciting proxies. Our directors, officers and other employees, without additional compensation, may solicit proxies personally or in writing, by telephone, e-mail, or otherwise. We are required to request that any brokers, trustees and other nominees who hold shares in their names furnish our proxy materials to the beneficial owners of the shares, and we must reimburse these brokers, trustees and other nominees for the expenses of doing so in accordance with statutory fee schedules.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2" w:name="DSPFPageBreakArea9"/>
      <w:bookmarkStart w:id="53" w:name="DSPFPageBreakArea9"/>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4" w:name="DSPFPageBreak9"/>
      <w:bookmarkStart w:id="55" w:name="DSPFPageBreak9"/>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6" w:name="ny20007545x2_def14a_106-director_pg1"/>
        <w:bookmarkEnd w:id="5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7" w:name="tDEP"/>
      <w:bookmarkEnd w:id="57"/>
      <w:r>
        <w:rPr>
          <w:rFonts w:ascii="Times New Roman;Times;serif" w:hAnsi="Times New Roman;Times;serif"/>
          <w:b/>
          <w:color w:val="000000"/>
          <w:sz w:val="20"/>
        </w:rPr>
        <w:t>THE DIRECTOR ELECTION PROPOSAL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Company’s Bylaws provide that the authorized number of directors of the Company shall not be less than one nor more than nine. The Board is authorized to increase or decrease the total number of directors within the limitations prescribed by the Company’s Bylaws. The Company’s Bylaws and the Second Amended and Restated Certificate of Incorporation of ADMA Biologics, Inc., as amended to date (the “</w:t>
      </w:r>
      <w:r>
        <w:rPr>
          <w:rFonts w:ascii="Times New Roman;Times;serif" w:hAnsi="Times New Roman;Times;serif"/>
          <w:b/>
          <w:color w:val="000000"/>
          <w:sz w:val="20"/>
          <w:u w:val="single"/>
        </w:rPr>
        <w:t>Charter</w:t>
      </w:r>
      <w:r>
        <w:rPr>
          <w:rFonts w:ascii="Times New Roman;Times;serif" w:hAnsi="Times New Roman;Times;serif"/>
          <w:color w:val="000000"/>
          <w:sz w:val="20"/>
        </w:rPr>
        <w:t>”) divide the Board into three classes with staggered three-year terms. Seven directors are currently serving on the Board. Martha J. Demski is not standing for reelection to the Board at the Annual Meeting. Accordingly, following the Annual Meeting and assuming the re-election of Mr. Fong at the Annual Meeting, one Class I vacancy will exist. The Board intends to fill this vacancy as soon as it finds a suitable candidate and is actively engaged in a process to do so.</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Annual Meeting, stockholders will be asked to elect Bryant E. Fong to serve as a Class I director for a three-year term expiring at the annual meeting of stockholders in 2026. If Mr. Fong is reelected as a Class I director at the Annual Meeting pursuant to this proposal, then the Board will consist of six directors, with one Class I vacancy following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has nominated Mr. Fong upon the recommendation of our Governance and Nominations Committee. Proxies solicited by or on behalf of the Board will, unless otherwise directed, be voted to elect Mr. Fong. Mr. Fong has each indicated a willingness to continue to serve for the term to which he has been nominated, if elected. In case Mr. Fong is not a candidate at the Annual Meeting, the proxies named in the enclosed form of proxy intend to vote for a substitute nominee in their discretion in such class, as they shall determine. Set forth below is certain information about Mr. Fong, including his age, principal occupation and business experience for at least the past five years and the names of other publicly held companies on whose boards he serves or has served during the past five years. Other than with respect to Dr. Grossman, who is the father of Mr. Grossman, our President and Chief Executive Officer and a Class II Director, there are no family relationships among any of our directors, the nominee for director or our executive officers.</w:t>
      </w:r>
    </w:p>
    <w:p>
      <w:pPr>
        <w:pStyle w:val="TextBody"/>
        <w:spacing w:before="410" w:after="283"/>
        <w:ind w:left="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NOMINEEE FOR CLASS I DIRECTOR TO SERVE A THREE YEAR TERM EXPIRING AT THE 2026 ANNUAL MEETING</w:t>
      </w:r>
    </w:p>
    <w:tbl>
      <w:tblPr>
        <w:tblW w:w="10205" w:type="dxa"/>
        <w:jc w:val="left"/>
        <w:tblInd w:w="0" w:type="dxa"/>
        <w:tblCellMar>
          <w:top w:w="0" w:type="dxa"/>
          <w:left w:w="0" w:type="dxa"/>
          <w:bottom w:w="85" w:type="dxa"/>
          <w:right w:w="0" w:type="dxa"/>
        </w:tblCellMar>
      </w:tblPr>
      <w:tblGrid>
        <w:gridCol w:w="634"/>
        <w:gridCol w:w="23"/>
        <w:gridCol w:w="23"/>
        <w:gridCol w:w="305"/>
        <w:gridCol w:w="23"/>
        <w:gridCol w:w="23"/>
        <w:gridCol w:w="9174"/>
      </w:tblGrid>
      <w:tr>
        <w:trPr/>
        <w:tc>
          <w:tcPr>
            <w:tcW w:w="63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17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Principal Occupation and Business Experience</w:t>
            </w:r>
          </w:p>
        </w:tc>
      </w:tr>
      <w:tr>
        <w:trPr/>
        <w:tc>
          <w:tcPr>
            <w:tcW w:w="63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Bryant E. Fong</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17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Mr. Fong, who became a director of the Company in May 2012 and is currently a member of the Company’s Governance and Nominations Committee and Chairman of the Audit Committee and the Compensation Committee, has over 25 years of experience in the life sciences industry. Mr. Fong is a founding Managing Director and General Partner at Biomark Capital Fund, a life sciences private equity firm formed in 2013 (“Biomark Capital”). Prior to Biomark Capital, Mr. Fong was a Managing Director and General Partner of Burrill &amp; Company, where he spent almost 16 years investing in and managing investments in private and public companies in the biotechnology industry. Some of Mr. Fong’s most notable investments include Pharmasset (VRUS), Novadaq Technologies (NVDQ), Galapagos (GLPG), Ceptaris Therapeutics, Ferrokin Biosciences, and WaveTec Vision. Prior to joining Burrill &amp; Company, Mr. Fong held positions as a research scientist with two early stage biotechnology companies located in the San Francisco Bay area. Mr. Fong currently serves on the boards of directors of a number of private life science companies. Mr. Fong earned his B.S. with honors in Molecular and Cell Biology-Biochemistry from the University of California, Berkeley. He was nominated by Biomark Capital to serve on the Board because of his extensive experience in the biotechnology industry.</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 w:name="DSPFPageBreakArea10"/>
      <w:bookmarkStart w:id="59" w:name="DSPFPageBreakArea10"/>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 w:name="DSPFPageBreak10"/>
      <w:bookmarkStart w:id="61" w:name="DSPFPageBreak10"/>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2" w:name="ny20007545x2_def14a_106-director_pg2"/>
        <w:bookmarkEnd w:id="6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Vote Required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Assuming the presence of a quorum at the Annual Meeting, the election of a director requires the affirmative vote of a plurality of the shares present, through virtual attendance, by remote communication or represented by proxy and entitled to vote generally on the election of directors. Thus, the nominee with the greatest number of votes will be elected.</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Recommendation</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After careful consideration, the Board determined that election of the nominee for director named above is advisable and in the best interests of ADMA and its stockholders. On the basis of the foregoing, the Board has approved and declared advisable the election of the nominee for director named above and unanimously recommends that you vote “FOR” the election of the nominee for the director named above.</w:t>
      </w:r>
    </w:p>
    <w:p>
      <w:pPr>
        <w:pStyle w:val="TextBody"/>
        <w:spacing w:before="330" w:after="283"/>
        <w:ind w:left="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CLASS II DIRECTORS CONTINUING IN OFFICE UNTIL THE 2024 ANNUAL MEETING</w:t>
      </w:r>
    </w:p>
    <w:tbl>
      <w:tblPr>
        <w:tblW w:w="10205" w:type="dxa"/>
        <w:jc w:val="left"/>
        <w:tblInd w:w="0" w:type="dxa"/>
        <w:tblCellMar>
          <w:top w:w="0" w:type="dxa"/>
          <w:left w:w="0" w:type="dxa"/>
          <w:bottom w:w="85" w:type="dxa"/>
          <w:right w:w="0" w:type="dxa"/>
        </w:tblCellMar>
      </w:tblPr>
      <w:tblGrid>
        <w:gridCol w:w="872"/>
        <w:gridCol w:w="23"/>
        <w:gridCol w:w="23"/>
        <w:gridCol w:w="305"/>
        <w:gridCol w:w="23"/>
        <w:gridCol w:w="23"/>
        <w:gridCol w:w="8936"/>
      </w:tblGrid>
      <w:tr>
        <w:trPr/>
        <w:tc>
          <w:tcPr>
            <w:tcW w:w="872"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93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Principal Occupation and Business Experience</w:t>
            </w:r>
          </w:p>
        </w:tc>
      </w:tr>
      <w:tr>
        <w:trPr/>
        <w:tc>
          <w:tcPr>
            <w:tcW w:w="87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A. Elms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93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Mr. Elms has been a director of the Company since 2007 and is the Company’s Chairman of the Board and a member of the Company’s Governance and Nominations Committee. Mr. Elms serves as a Managing Partner at Aisling Capital, which he joined in 2000. Previously, he was a Principal in the Life Sciences Investment Banking Group of Hambrecht &amp; Quist. During his five years at Hambrecht &amp; Quist, Mr. Elms was involved in over 60 financing and merger and acquisition transactions, helping clients raise in excess of $3.3 billion in capital. Prior to joining Hambrecht &amp; Quist, Mr. Elms traded mortgage-backed securities at Donaldson, Lufkin &amp; Jenrette. His previous healthcare sector experience includes over two years as a pharmaceutical sales representative for Marion Laboratories and two years as a consultant for The Wilkerson Group. Mr. Elms currently serves on the board of directors of Zosano Pharma Corp. (Nasdaq: ZSAN) and previously served on the board of directors of Loxo Oncology, Inc. (Nasdaq: LOXO), Cidara Therapeutics, Inc. (Nasdaq: CDTX) and Pernix Therapeutics Holdings, Inc. (OTCMKTS: PTXTQ) within the past five years. Mr. Elms received a B.A. in Human Biology from Stanford University and an M.B.A. from Kellogg Graduate School of Management at Northwestern University. Mr. Elms was chosen to serve on the Board because of his valuable experience in the investment banking industry, particularly with respect to strategic and financing transactions.</w:t>
            </w:r>
          </w:p>
        </w:tc>
      </w:tr>
      <w:tr>
        <w:trPr/>
        <w:tc>
          <w:tcPr>
            <w:tcW w:w="872"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93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7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Adam S. Grossman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93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Grossman has been a director of the Company since 2007, has served as the Company’s President and Chief Executive Officer since October 2011 and as the Company’s President and Chief Operating Officer between 2007 and October 2011, and is a co-founder of the Company. Mr. Grossman has over 20 years of experience in the blood and plasma industry. Prior to founding the Company, Mr. Grossman was the Executive Vice President of National Hospital Specialties and GenesisBPS, positions he held between 1994 and 2011. He has experience in launching new products, building and managing national and international sales forces, managing clinical trials and completing numerous business development transactions. Previously, he worked at MedImmune, Inc., where he worked on marketing teams for RSV and CMV immunoglobulins, and at the American Red Cross, where he launched new products with the Biomedical Services division. Mr. Grossman received a B.S. in Business Administration, with a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3" w:name="DSPFPageBreakArea11"/>
      <w:bookmarkStart w:id="64" w:name="DSPFPageBreakArea11"/>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 w:name="DSPFPageBreak11"/>
      <w:bookmarkStart w:id="66" w:name="DSPFPageBreak11"/>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7" w:name="ny20007545x2_def14a_106-director_pg3"/>
        <w:bookmarkEnd w:id="67"/>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639"/>
        <w:gridCol w:w="23"/>
        <w:gridCol w:w="23"/>
        <w:gridCol w:w="305"/>
        <w:gridCol w:w="23"/>
        <w:gridCol w:w="23"/>
        <w:gridCol w:w="9169"/>
      </w:tblGrid>
      <w:tr>
        <w:trPr/>
        <w:tc>
          <w:tcPr>
            <w:tcW w:w="639"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169"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Principal Occupation and Business Experience</w:t>
            </w:r>
          </w:p>
        </w:tc>
      </w:tr>
      <w:tr>
        <w:trPr/>
        <w:tc>
          <w:tcPr>
            <w:tcW w:w="63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16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specialization in International Business and Marketing, from American University. Mr. Grossman is the son of Dr. Jerrold B. Grossman, our Vice Chairman and co-founder. Mr. Grossman was chosen to serve on the Board because, as the Company’s Chief Executive Officer, he is able to provide the Board with critical insight into the day-to-day operations of the Company.</w:t>
            </w:r>
          </w:p>
        </w:tc>
      </w:tr>
      <w:tr>
        <w:trPr/>
        <w:tc>
          <w:tcPr>
            <w:tcW w:w="63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169"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3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Young T. Kwon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16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Kwon has been a director of ADMA since October 2021. He is Chief Executive Officer at Alchemab Therapeutics, a biotechnology company focused on the discovery and development of naturally-occurring protective antibodies in neurodegeneration and oncology. He is also an Advisor to Lightstone Ventures, a venture capital firm investing in biotech and medical device companies. Dr. Kwon held a variety of leadership roles as a senior executive at Momenta Pharmaceuticals. Dr. Kwon was previously Chief Financial and Business Officer at Momenta, where he had responsibility for business development, strategy, finance, investor relations, and commercial. Dr. Kwon led public equity financings raising nearly $500 million and led the company’s sale to Johnson &amp; Johnson for $6.5 billion. Prior to Momenta, Dr. Kwon was a business development professional at Biogen, driving a variety of transactions. Dr. Kwon previously worked at the venture capital firm Advanced Technology Ventures, investing in early stage biotech and medical device companies. Dr. Kwon received a B.S. in Biology from the Massachusetts Institute of Technology and a Ph.D. in Biological Chemistry and Molecular Pharmacology from Harvard University. Dr. Kwon was chosen to serve of the Board as a recognized leader in the healthcare sector and because of his deep strategic and financial experience.</w:t>
            </w:r>
          </w:p>
        </w:tc>
      </w:tr>
    </w:tbl>
    <w:p>
      <w:pPr>
        <w:pStyle w:val="TextBody"/>
        <w:spacing w:before="240" w:after="283"/>
        <w:ind w:left="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CLASS III DIRECTORS CONTINUING IN OFFICE UNTIL THE 2025 ANNUAL MEETING</w:t>
      </w:r>
    </w:p>
    <w:tbl>
      <w:tblPr>
        <w:tblW w:w="10205" w:type="dxa"/>
        <w:jc w:val="left"/>
        <w:tblInd w:w="0" w:type="dxa"/>
        <w:tblCellMar>
          <w:top w:w="0" w:type="dxa"/>
          <w:left w:w="0" w:type="dxa"/>
          <w:bottom w:w="85" w:type="dxa"/>
          <w:right w:w="0" w:type="dxa"/>
        </w:tblCellMar>
      </w:tblPr>
      <w:tblGrid>
        <w:gridCol w:w="913"/>
        <w:gridCol w:w="23"/>
        <w:gridCol w:w="23"/>
        <w:gridCol w:w="305"/>
        <w:gridCol w:w="23"/>
        <w:gridCol w:w="23"/>
        <w:gridCol w:w="8895"/>
      </w:tblGrid>
      <w:tr>
        <w:trPr/>
        <w:tc>
          <w:tcPr>
            <w:tcW w:w="913"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89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Principal Occupation and Business Experience</w:t>
            </w:r>
          </w:p>
        </w:tc>
      </w:tr>
      <w:tr>
        <w:trPr/>
        <w:tc>
          <w:tcPr>
            <w:tcW w:w="913"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Jerrold B. Grossman D.P.S.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75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8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Dr. Grossman has been a director of the Company since 2007, is the Vice Chairman of our Board and is a co-founder of the Company. Dr. Grossman has over 35 years of experience in the blood and plasma industry. He served as the Chief Executive Officer of ADMA, on a part-time basis, between 2007 and October 2011. He is the founder and Chief Executive Officer of Technomed, Inc. (formerly National Hospital Specialties), a wholesaler of specialty biological and pharmaceutical products, and has served as Chief Executive Officer of that company since 1980. Additionally, Dr. Grossman is the founder and President of GenesisBPS, a medical device firm specializing in blood collection and processing equipment, and has served as President of that company since 1990. Previously, he held positions at the New York Blood Center and Immuno-U.S., Inc. and previously served as the Chairman of the Board of Bergen Community Blood Services. Currently, Dr. Grossman is a member of the New Jersey Blood Bank Task Force and a founder and director of the New Jersey Association of Blood Bank Professionals. He was a founder and former director of Pascack Bancorp, Inc., which was acquired by Lakeland Bancorp, Inc. in January 2016, and is currently a member of the Corporate Advisory Council of Lakeland Bancorp Inc. Dr. Grossman has also provided consulting services to various government agencies and international organizations. He received a B.A. in Economics and Finance from Fairleigh Dickinson University, an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8" w:name="DSPFPageBreakArea12"/>
      <w:bookmarkStart w:id="69" w:name="DSPFPageBreakArea12"/>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0" w:name="DSPFPageBreak12"/>
      <w:bookmarkStart w:id="71" w:name="DSPFPageBreak12"/>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2" w:name="ny20007545x2_def14a_106-director_pg4"/>
        <w:bookmarkEnd w:id="72"/>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850"/>
        <w:gridCol w:w="23"/>
        <w:gridCol w:w="23"/>
        <w:gridCol w:w="305"/>
        <w:gridCol w:w="23"/>
        <w:gridCol w:w="23"/>
        <w:gridCol w:w="8958"/>
      </w:tblGrid>
      <w:tr>
        <w:trPr/>
        <w:tc>
          <w:tcPr>
            <w:tcW w:w="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95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Principal Occupation and Business Experience</w:t>
            </w:r>
          </w:p>
        </w:tc>
      </w:tr>
      <w:tr>
        <w:trPr/>
        <w:tc>
          <w:tcPr>
            <w:tcW w:w="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95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M.B.A. from Fairleigh Dickinson University, and his D.P.S. in Business Management from Pace University. Dr. Grossman is the father of Adam S. Grossman, our President and Chief Executive Officer. He was chosen to serve on the Board because of his role as our co-founder and past Chief Executive Officer, as well as his more than 35 years of experience serving a variety of companies and associations in the blood and plasma industry.</w:t>
            </w:r>
          </w:p>
        </w:tc>
      </w:tr>
      <w:tr>
        <w:trPr/>
        <w:tc>
          <w:tcPr>
            <w:tcW w:w="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958"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P. Guiheen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72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95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Mr. Guiheen became a director of the Company in July 2012 with over 35 years of experience in Healthcare Industry. He is currently the Chairman of the Company’s Governance and Nominations Committee and a member of the Company’s Audit Committee and Compensation Committee. Prior to retiring in March 2022, Mr. Guiheen was Executive Vice President of Wellstat Management and Chief Executive Officer of Wellmond Therapeutics (November 2019 until March 2022). Wellmond Therapeutics is a start-up pharmaceutical company located in Rockville, MD and was developing drug candidates in oncology supportive care and treatments for diseases and conditions involving mitochondrial and cellular energy disorders or failures. In addition, Mr. Guiheen has over 25 years of experience in the blood and plasma industry. From July 2013 to November 2019, Mr. Guiheen served as Chief Commercial Officer of Kedrion Biopharma, Inc., based in Barga, Italy and Fort Lee, New Jersey. Kedrion markets therapies globally for hemophilia, hemolytic disease of the newborn, immune and neurological disorders. Prior to July 2013, Mr. Guiheen was principal of Guiheen and Associates, a consulting group that specialized in biopharmaceutical, pharmaceutical and medical device commercialization. Before July 2011, Mr. Guiheen was with Baxter Healthcare Corporation for over 30 years. Most recently he held the positions of General Manager Global Hemophilia Franchise (from December 2010 to July 2011), President of Global BioPharmaceuticals for Baxter Healthcare’s BioScience Division (March 2010 to December 2010) and President of BioPharmaceuticals US (January 1998 to March 2010). Mr. Guiheen had been a member of the BioScience Senior Management Team for over 14 years and has extensive experience leading global and domestic commercial organizations in the plasma and recombinant therapies. Mr. Guiheen is past Chairman of the Global Board of Directors for the Plasma Proteins Therapeutics Association (PPTA) and a past member of the Board of Directors of California Healthcare Institute (CHI). Mr. Guiheen holds a Bachelor of Arts degree in Business Administration from Rutgers University. Mr. Guiheen was chosen to serve on the Board of Directors because of his extensive experience in the plasma and pharmaceutical industries.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3" w:name="DSPFPageBreakArea13"/>
      <w:bookmarkStart w:id="74" w:name="DSPFPageBreakArea13"/>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 w:name="DSPFPageBreak13"/>
      <w:bookmarkStart w:id="76" w:name="DSPFPageBreak13"/>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7" w:name="ny20007545x2_def14a_107-corporate_pg1"/>
        <w:bookmarkEnd w:id="7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78" w:name="tACG"/>
      <w:bookmarkEnd w:id="78"/>
      <w:r>
        <w:rPr>
          <w:rFonts w:ascii="Times New Roman;Times;serif" w:hAnsi="Times New Roman;Times;serif"/>
          <w:b/>
          <w:color w:val="000000"/>
          <w:sz w:val="20"/>
        </w:rPr>
        <w:t>ADMA CORPORATE GOVERNANCE</w:t>
      </w:r>
    </w:p>
    <w:p>
      <w:pPr>
        <w:pStyle w:val="TextBody"/>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Independence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determined that each of Young T. Kwon, Bryant E. Fong, Steven A. Elms, Martha J. Demski (who will not be standing for re-election at the Annual Meeting) and Lawrence P. Guiheen is independent as that term is defined under the applicable independence listing standards of Nasdaq. </w:t>
      </w:r>
    </w:p>
    <w:p>
      <w:pPr>
        <w:pStyle w:val="TextBody"/>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Nominating Rights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includes members who are designated nominees of certain of our stockholders. Mr. Fong is currently the designated nominee of Biomark Capital, Mr. Elms is currently the designated nominee of Aisling Capital, and Dr. Jerrold B. Grossman is currently the designated nominee of Hariden, LLC (“</w:t>
      </w:r>
      <w:r>
        <w:rPr>
          <w:rFonts w:ascii="Times New Roman;Times;serif" w:hAnsi="Times New Roman;Times;serif"/>
          <w:b/>
          <w:color w:val="000000"/>
          <w:sz w:val="20"/>
          <w:u w:val="single"/>
        </w:rPr>
        <w:t>Hariden</w:t>
      </w:r>
      <w:r>
        <w:rPr>
          <w:rFonts w:ascii="Times New Roman;Times;serif" w:hAnsi="Times New Roman;Times;serif"/>
          <w:color w:val="000000"/>
          <w:sz w:val="20"/>
        </w:rPr>
        <w:t>”), an entity controlled by Adam S. Grossman. In February 2012, we completed a private placement (the “</w:t>
      </w:r>
      <w:r>
        <w:rPr>
          <w:rFonts w:ascii="Times New Roman;Times;serif" w:hAnsi="Times New Roman;Times;serif"/>
          <w:b/>
          <w:color w:val="000000"/>
          <w:sz w:val="20"/>
          <w:u w:val="single"/>
        </w:rPr>
        <w:t>2012 Financing</w:t>
      </w:r>
      <w:r>
        <w:rPr>
          <w:rFonts w:ascii="Times New Roman;Times;serif" w:hAnsi="Times New Roman;Times;serif"/>
          <w:color w:val="000000"/>
          <w:sz w:val="20"/>
        </w:rPr>
        <w:t>”). As lead investors in the 2012 Financing, each of Biomark Capital, Aisling Capital and Hariden are entitled to designate one nominee to our Board for as long as each such entity owns 50% of the shares of common stock that it owned immediately following the closing of the 2012 Financing.</w:t>
      </w:r>
    </w:p>
    <w:p>
      <w:pPr>
        <w:pStyle w:val="TextBody"/>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Leadership Structure and Role in Risk Oversight</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evaluates its leadership structure and role in risk oversight on an ongoing basis.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is currently composed of seven directors, five of whom are independent, in accordance with the Nasdaq independence listing standards. If Mr. Fong is reelected, the Company’s Board will consist of six directors and there will exist one Class I vacancy. The Board intends to fill this vacancy as soon as it finds a suitable candidate and is actively engaged in a process to do so. Presently, the Board has the following standing committees: Audit Committee, Compensation Committee, and Governance and Nominations Committee. Each of the standing committees is comprised solely of independent directors. In accordance with Nasdaq rules, our Audit Committee is responsible for overseeing risk management and updates the full Board periodically.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assure effective and independent oversight of management, our Board currently operates with the roles of President and Chief Executive Officer on the one hand and Chairman of the Board on the other separated in recognition of the differences between these roles in the management of the Company. Although our Board does not have a policy as to whether the same individual may serve as both Chairman and President and Chief Executive Officer, or if the roles must be separate, our Board believes that its current leadership structure provides the most effective leadership model for our Company, as it promotes balance between the Board’s independent authority to oversee our business and the President and Chief Executive Officer and his management team, which manages the business on a day-to-day basis. The President and Chief Executive Officer has overall responsibility for all aspects of our operation, while the Chairman has a greater focus on governance of the Company, including oversight of the Board. We believe this balance of shared leadership between the two positions is a strength for the Company. As our Chairman, Mr. Elms calls and chairs regular and special meetings of the Board, chairs and presides at annual or special meetings of stockholders, provides meaningful input into the agenda of Board meetings, authorizes the retention of outside advisors, consultants and legal counsel who report directly to the Board and consults frequently with committee chairs. Additionally, by permitting more effective monitoring and objective evaluation of the President and Chief Executive Officer’s performance, this structure increases the accountability of the President and Chief Executive Officer. A separation of the President and Chief Executive Officer and Chairman roles also prevents the former from controlling the Board’s agenda and information flow, thereby reducing the likelihood that the President and Chief Executive Officer would abuse his power.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acting primarily through the Audit Committee, is also responsible for oversight of our risk management practices, while management is responsible for the day-to-day risk management processes. This division of responsibilities is the most effective approach for addressing the risks facing the Company, and the Company’s board leadership structure supports this approach. Through our President and Chief Executive Officer, and other members of management, the Board receives periodic reports regarding the risks facing the Company. In addition, the Audit Committee assists the Board in its oversight role by receiving periodic reports regarding our risk and control environment.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reviews the Company’s compensation practices to confirm that they do not create risks likely to have a material adverse effect on the Company. This review includes comparing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9" w:name="DSPFPageBreakArea14"/>
      <w:bookmarkStart w:id="80" w:name="DSPFPageBreakArea14"/>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1" w:name="DSPFPageBreak14"/>
      <w:bookmarkStart w:id="82" w:name="DSPFPageBreak14"/>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3" w:name="ny20007545x2_def14a_107-corporate_pg2"/>
        <w:bookmarkEnd w:id="8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practices of the Company with peer companies in the life sciences sector as well as ensuring that the compensation packages of key executives are tied to the long-term success of the Company and therefore correlated to increases in stockholder value.</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Meetings of the Board and its Committees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held a total of 22 meetings during the fiscal year ended December 31, 2022. During the fiscal year ended December 31, 2022, no incumbent director attended fewer than 75% of the aggregate of all meetings of the Board held during the period in which he or she served as a director and the total number of meetings held by the committee on which he or she served during the period. Members of our Board are invited and encouraged to attend each annual meeting of stockholders, and each director then serving on the Board attended the prior annual meeting of stockholders held on June 21, 2022 in person or by teleconference.</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Committees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currently has three standing committees: an Audit Committee, a Compensation Committee and a Governance and Nominations Committee. These committees, their principal functions and their respective memberships are described below.</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Audit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current members of our Audit Committee are Messrs. Fong (Chairman) and Guiheen and Ms. Demski (who previously served as Chairwoman until February 2023). The Company expects to appoint Dr. Kwon to the Audit Committee, effective as of the date of the Annual Meeting, to fill the vacancy created by Ms. Demski's departure from the Board. The composition and responsibilities of the Audit Committee, as reflected in its charter, are intended to be in accordance with applicable rules of the SEC for corporate audit committees and listing requirements of Nasdaq. Our Board has determined that each Audit Committee member meets the definition of an independent director as defined by the applicable Nasdaq listing standards and the additional independence criteria for members of audit committees specified in the Nasdaq listing standards and Rule 10A-3 under the Securities Exchange Act of 1934, as amended (the “</w:t>
      </w:r>
      <w:r>
        <w:rPr>
          <w:rFonts w:ascii="Times New Roman;Times;serif" w:hAnsi="Times New Roman;Times;serif"/>
          <w:b/>
          <w:color w:val="000000"/>
          <w:sz w:val="20"/>
          <w:u w:val="single"/>
        </w:rPr>
        <w:t>Exchange Act</w:t>
      </w:r>
      <w:r>
        <w:rPr>
          <w:rFonts w:ascii="Times New Roman;Times;serif" w:hAnsi="Times New Roman;Times;serif"/>
          <w:color w:val="000000"/>
          <w:sz w:val="20"/>
        </w:rPr>
        <w:t>”). Our Board has determined that Mr. Fong qualifies as an “audit committee financial expert,” as such term is defined by SEC rules.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was established in accordance with section 3(a)(58)(A) of the Exchange Act. The primary functions of the Audit Committee are to: (i) review the financial reports and other financial information prepared by the Company for submission to any governmental or regulatory body or the public and monitor the integrity of such financial reports; (ii) review the Company’s systems of internal controls established for finance, accounting, legal compliance and ethics; (iii) review the Company’s accounting and financial reporting processes generally and the audits of the financial statements of the Company; (iv) monitor compliance with legal regulatory requirements; (v) monitor the independence and performance of the Company’s independent registered public accounting firm; and (vi) provide effective communication between the Board, senior and financial management and the Company’s independent registered public accounting firm. The Audit Committee meets regularly with our independent registered public accounting firm without management present, and from time to time with management in separate private sessions, to discuss any matters that the Audit Committee or these individuals believe should be discussed privately with the Audit Committee, including any significant issues or disagreements that may arise concerning our accounting practices or financial statements. In addition, the Audit Committee assists the Board in its oversight role by receiving periodic reports regarding our risk and control environment.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is also responsible for addressing matters of accounting policy with our independent registered public accounting firm. In discharging its role, the Audit Committee is empowered to investigate any matter within the scope of its responsibilities with full access to all of our books, records, facilities and personnel. The Audit Committee also has the power to retain special legal, accounting and other advisors as it deems necessary to carry out its duties. In 2022, the Audit Committee retained the services of BDO USA, LLP, as a Sarbanes-Oxley advisor, to assist with the Company’s internal controls related to the Company’s compliance with Sarbanes-Oxley Section 404A.</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held four meetings during the year ended December 31, 2022. A copy of the Audit Committee’s charter is posted on our website at www.admabiologics.com.</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 w:name="DSPFPageBreakArea15"/>
      <w:bookmarkStart w:id="85" w:name="DSPFPageBreakArea15"/>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 w:name="DSPFPageBreak15"/>
      <w:bookmarkStart w:id="87" w:name="DSPFPageBreak15"/>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8" w:name="ny20007545x2_def14a_107-corporate_pg3"/>
        <w:bookmarkEnd w:id="8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members of our Board’s Compensation Committee are Messrs. Fong (Chairman) and Guiheen and Dr. Kwon. Ms. Demski previously served on our Compensation Committee during 2022, until Dr. Kwon’s appointment to the Compensation Committee on February 1, 2023. Our Board has determined that all members of the Compensation Committee are independent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is responsible for ensuring that the Company’s compensation programs are: (i) effective in attracting and retaining the Company’s President and Chief Executive Officer, the Company’s other executive officers, the Company’s other officers and the Company’s non-management directors; (ii) administered fairly and in our stockholders’ interests; and (iii) in compliance with the applicable compensation rules, regulations and guidelines promulgated by Nasdaq, the SEC, the Internal Revenue Service and other laws, as amended from time to time. The Compensation Committee reviews and recommends to the Board appropriate executive compensation policies, compensation of the directors and officers and executive and employee benefit plans and programs, and is responsible for overseeing such policies, compensation programs and plans approved by the Board and, where appropriate, by our stockholders. In connection with its evaluations and determinations in 2022, the Compensation Committee retained the services of Radford Aon, plc (“</w:t>
      </w:r>
      <w:r>
        <w:rPr>
          <w:rFonts w:ascii="Times New Roman;Times;serif" w:hAnsi="Times New Roman;Times;serif"/>
          <w:b/>
          <w:color w:val="000000"/>
          <w:sz w:val="20"/>
          <w:u w:val="single"/>
        </w:rPr>
        <w:t>Radford</w:t>
      </w:r>
      <w:r>
        <w:rPr>
          <w:rFonts w:ascii="Times New Roman;Times;serif" w:hAnsi="Times New Roman;Times;serif"/>
          <w:color w:val="000000"/>
          <w:sz w:val="20"/>
        </w:rPr>
        <w:t>”), a nationally known executive compensation and benefits consulting firm, to advise it on various matters related to executive and director compensation and compensation programs. Radford may also from time to time advise management, with the Compensation Committee’s consent. Radford was engaged by and reports to the Compensation Committee. Pursuant to its charter, the Compensation Committee has the power to retain and terminate the services of Radford and to engage other advisors.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determines, based on the recommendations of the Compensation Committee, the compensation of our President and Chief Executive Officer, including salary, bonus, equity awards, retention awards and certain other arrangements. The President and Chief Executive Officer, or any other executive officer for whom compensation is being discussed or determined, is not permitted to be present at meetings at which their respective compensation or performance is discussed or determined.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the Compensation Committee Charter, our President and Chief Executive Officer and our Chairman of the Board may recommend to the Compensation Committee individual compensation awards for our officers. The Compensation Committee would then have to review the recommendation and make its own recommendation to the Board.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may also form, and delegate such power and authority to, subcommittees when deemed appropriate; provided that the Compensation Committee may not delegate any power or authority required by any law, regulation or listing standard to be exercised by the Compensation Committee as a whole; provided further that no such subcommittee shall consist of fewer than two members. In addition, the Compensation Committee may retain special legal counsel, compensation or other consultants to advise it on compensation matters or as it deems appropriate.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held six meetings during the year ended December 31, 2022. A copy of the Compensation Committee’s charter is posted on our website at www.admabiologics.com.</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Governance and Nominations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members of our Board’s Governance and Nominations Committee are Messrs. Guiheen (Chairman), Elms and Fong. Our Board has determined that all members of the Governance and Nominations Committee are independent directors as defined by the applicable Nasdaq listing standards.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Governance and Nominations Committee’s role and responsibilities are set forth in the Governance and Nominations Committee’s written charter and include (i) evaluating and making recommendations to the full Board the persons to be nominated for election as directors at any meeting of stockholders and the persons to be elected by the Board to fill any vacancies on the Board; (ii) developing and recommending to the Board a set of corporate governance principles and a code of conduct applicable to the Company; and (iii) overseeing the evaluation of the Board through annual assessment by the Governance and Nominations Committee of the performance of each member of the Board. In evaluating the independence of directors, the Governance and Nominations Committee considers many factors and has taken the position that a director may be considered independent despite being affiliated with a significant stockholder.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9" w:name="DSPFPageBreakArea16"/>
      <w:bookmarkStart w:id="90" w:name="DSPFPageBreakArea16"/>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1" w:name="DSPFPageBreak16"/>
      <w:bookmarkStart w:id="92" w:name="DSPFPageBreak16"/>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3" w:name="ny20007545x2_def14a_107-corporate_pg4"/>
        <w:bookmarkEnd w:id="9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identifying candidates for membership on the Board, the Governance and Nominations Committee takes into account all factors it considers appropriate, which may include (a) ensuring that the Board, as a whole, is diverse and consists of individuals of varying gender, origin and backgrounds with various and relevant career experience, relevant technical skills, education, industry knowledge and experience, financial expertise (including expertise that could qualify a director as an “audit committee financial expert,” as that term is defined by the rules of the SEC), local or community ties; and (b) minimum individual qualifications, including strength of character, mature judgment, familiarity with the Company’s business and industry, independence of thought and an ability to work collegially. The Governance and Nominations Committee has instituted a policy whereby diversity, including diversity of gender, origin and background, became a key consideration when identifying candidates for membership on the Board. The Governance and Nominations Committee also may consider the extent to which the candidate would fill a present need on the Board.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believes that the continuing service of qualified incumbents promotes stability and continuity in the board room, contributing to the ability of the Board to work as a collective body, while giving the Company the benefit of the familiarity and insight into the Company’s affairs that its directors have accumulated during their tenure. Accordingly, the process of the Governance and Nominations Committee for identifying nominees reflects the Company’s practice of re-nominating incumbent directors who continue to satisfy the Governance and Nominations Committee’s criteria for membership on the Board, whom the Governance and Nominations Committee believes continue to make important contributions to the Board and who consent to continue their service on the Board. The Governance and Nominations Committee will identify or solicit recommendations for new candidates when there is no qualified and available incumbent.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Governance and Nominations Committee will consider nominees recommended by stockholders. There are no differences in the manner in which the committee evaluates nominees for director based on whether the nominee is recommended by a stockholder or by the Governance and Nominations Committee. Stockholders who would like to have our Governance and Nominations Committee consider their recommendations for nominees for the position of director should submit their recommendations, in a timely manner and in accordance with the procedures set forth below, in writing to: Corporate Secretary, ADMA Biologics, Inc., 465 State Route 17, Ramsey, New Jersey 07446.</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nominations, a stockholder’s notice must include: (i) as to each person whom the stockholder proposes to nominate for election as a director, (A) the name, age, business address and residential address of such person, (B) the principal occupation or employment of such person, (C) the class and number of shares of stock of the Company that are owned of record and beneficially owned by such person, (D) the date or dates on which such shares were acquired and the investment intent of such acquisition, (E) such other information relating to such person that is required to be disclosed in solicitations of proxies for election of directors or is otherwise required by the rules and regulations of the SEC promulgated under the Exchange Act, and (F) the written consent of the nominee to be named in the proxy statement as a nominee and to serve as a director if elected; and (ii) as to the stockholder giving the notice, (A) the name, business address, and residential address, as they appear on our stock transfer books, of the nominating stockholder, (B) a representation that the nominating stockholder is a stockholder of record or beneficial owner, as the case may be, and intends to appear in person or by proxy at the meeting to nominate the person or persons specified in the notice, (C) the class and number of shares of stock of the Company beneficially owned and of record by the nominating stockholder, (D) a description of all arrangements or understandings between the nominating stockholder and each nominee and any other person or persons (naming such person or persons) pursuant to which the nomination or nominations are to be made by the nominating stockholder, (E) the name and address of any other stockholder, to the extent known by the nominating stockholder, supporting the proposal on the date of the stockholder’s notice, (F) a representation as to whether the nominating stockholder intends to deliver a proxy statement and form of proxy to holders of a sufficient number of holders of the Company’s voting shares to elect such nominee or nominees and (G) a description of all Derivative Transactions (as such term is defined in the Bylaws) made by each nominating stockholder during the prior twelve months.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Governance and Nominations Committee met once during the year ended December 31, 2022. A copy of the Governance and Nominations Committee’s charter is posted on our website at www.admabiologics.com.</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Nasdaq Board Diversity Matrix</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2021, Nasdaq amended its listing rules to require disclosure of specified board diversity metrics and diverse board composition, subject to certain exceptions and phase-in periods. The table below provides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4" w:name="DSPFPageBreakArea17"/>
      <w:bookmarkStart w:id="95" w:name="DSPFPageBreakArea17"/>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6" w:name="DSPFPageBreak17"/>
      <w:bookmarkStart w:id="97" w:name="DSPFPageBreak17"/>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8" w:name="ny20007545x2_def14a_107-corporate_pg5"/>
        <w:bookmarkEnd w:id="9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composition of our Board based on voluntary self-identification of gender identity and other demographics. Each of the categories listed in the below table has the meaning as it is used in the Nasdaq rules and related guidance and instructions.</w:t>
      </w:r>
    </w:p>
    <w:tbl>
      <w:tblPr>
        <w:tblW w:w="6824" w:type="dxa"/>
        <w:jc w:val="left"/>
        <w:tblInd w:w="0" w:type="dxa"/>
        <w:tblCellMar>
          <w:top w:w="0" w:type="dxa"/>
          <w:left w:w="0" w:type="dxa"/>
          <w:bottom w:w="85" w:type="dxa"/>
          <w:right w:w="0" w:type="dxa"/>
        </w:tblCellMar>
      </w:tblPr>
      <w:tblGrid>
        <w:gridCol w:w="3575"/>
        <w:gridCol w:w="23"/>
        <w:gridCol w:w="23"/>
        <w:gridCol w:w="545"/>
        <w:gridCol w:w="23"/>
        <w:gridCol w:w="23"/>
        <w:gridCol w:w="380"/>
        <w:gridCol w:w="23"/>
        <w:gridCol w:w="23"/>
        <w:gridCol w:w="875"/>
        <w:gridCol w:w="23"/>
        <w:gridCol w:w="23"/>
        <w:gridCol w:w="1265"/>
      </w:tblGrid>
      <w:tr>
        <w:trPr/>
        <w:tc>
          <w:tcPr>
            <w:tcW w:w="6824" w:type="dxa"/>
            <w:gridSpan w:val="13"/>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Board Diversity Matrix (as of April 13, 2023 and 2022)</w:t>
            </w:r>
          </w:p>
        </w:tc>
      </w:tr>
      <w:tr>
        <w:trPr/>
        <w:tc>
          <w:tcPr>
            <w:tcW w:w="357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203" w:type="dxa"/>
            <w:gridSpan w:val="10"/>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7</w:t>
            </w:r>
          </w:p>
        </w:tc>
      </w:tr>
      <w:tr>
        <w:trPr/>
        <w:tc>
          <w:tcPr>
            <w:tcW w:w="3575" w:type="dxa"/>
            <w:tcBorders/>
            <w:shd w:fill="auto" w:val="clear"/>
            <w:tcMar>
              <w:bottom w:w="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Part I: Gender Identity</w:t>
            </w:r>
          </w:p>
        </w:tc>
        <w:tc>
          <w:tcPr>
            <w:tcW w:w="23" w:type="dxa"/>
            <w:tcBorders/>
            <w:shd w:fill="auto" w:val="clear"/>
            <w:tcMar>
              <w:bottom w:w="0" w:type="dxa"/>
            </w:tcM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Female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Non-Binary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Did Not Disclose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Gender</w:t>
            </w:r>
          </w:p>
        </w:tc>
      </w:tr>
      <w:tr>
        <w:trPr/>
        <w:tc>
          <w:tcPr>
            <w:tcW w:w="35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65" w:type="dxa"/>
            <w:tcBorders/>
            <w:shd w:fill="CCEEFF" w:val="clear"/>
            <w:tcMar>
              <w:bottom w:w="0" w:type="dxa"/>
            </w:tcMar>
            <w:vAlign w:val="center"/>
          </w:tcPr>
          <w:p>
            <w:pPr>
              <w:pStyle w:val="TableContents"/>
              <w:spacing w:before="0" w:after="283"/>
              <w:jc w:val="center"/>
              <w:rPr>
                <w:color w:val="000000"/>
              </w:rPr>
            </w:pPr>
            <w:r>
              <w:rPr>
                <w:color w:val="000000"/>
              </w:rPr>
              <w:t>––</w:t>
            </w:r>
          </w:p>
        </w:tc>
      </w:tr>
      <w:tr>
        <w:trPr/>
        <w:tc>
          <w:tcPr>
            <w:tcW w:w="35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Part II: Demographic Background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5"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35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65" w:type="dxa"/>
            <w:tcBorders/>
            <w:shd w:fill="CCEEFF" w:val="clear"/>
            <w:tcMar>
              <w:bottom w:w="0" w:type="dxa"/>
            </w:tcMar>
            <w:vAlign w:val="center"/>
          </w:tcPr>
          <w:p>
            <w:pPr>
              <w:pStyle w:val="TableContents"/>
              <w:spacing w:before="0" w:after="283"/>
              <w:jc w:val="center"/>
              <w:rPr>
                <w:color w:val="000000"/>
              </w:rPr>
            </w:pPr>
            <w:r>
              <w:rPr>
                <w:color w:val="000000"/>
              </w:rPr>
              <w:t>––</w:t>
            </w:r>
          </w:p>
        </w:tc>
      </w:tr>
      <w:tr>
        <w:trPr/>
        <w:tc>
          <w:tcPr>
            <w:tcW w:w="35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of Native American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5" w:type="dxa"/>
            <w:tcBorders/>
            <w:shd w:fill="auto" w:val="clear"/>
            <w:tcMar>
              <w:bottom w:w="0" w:type="dxa"/>
            </w:tcMar>
            <w:vAlign w:val="center"/>
          </w:tcPr>
          <w:p>
            <w:pPr>
              <w:pStyle w:val="TableContents"/>
              <w:spacing w:before="0" w:after="283"/>
              <w:jc w:val="center"/>
              <w:rPr>
                <w:color w:val="000000"/>
              </w:rPr>
            </w:pPr>
            <w:r>
              <w:rPr>
                <w:color w:val="000000"/>
              </w:rPr>
              <w:t>––</w:t>
            </w:r>
          </w:p>
        </w:tc>
      </w:tr>
      <w:tr>
        <w:trPr/>
        <w:tc>
          <w:tcPr>
            <w:tcW w:w="35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65" w:type="dxa"/>
            <w:tcBorders/>
            <w:shd w:fill="CCEEFF" w:val="clear"/>
            <w:tcMar>
              <w:bottom w:w="0" w:type="dxa"/>
            </w:tcMar>
            <w:vAlign w:val="center"/>
          </w:tcPr>
          <w:p>
            <w:pPr>
              <w:pStyle w:val="TableContents"/>
              <w:spacing w:before="0" w:after="283"/>
              <w:jc w:val="center"/>
              <w:rPr>
                <w:color w:val="000000"/>
              </w:rPr>
            </w:pPr>
            <w:r>
              <w:rPr>
                <w:color w:val="000000"/>
              </w:rPr>
              <w:t>––</w:t>
            </w:r>
          </w:p>
        </w:tc>
      </w:tr>
      <w:tr>
        <w:trPr/>
        <w:tc>
          <w:tcPr>
            <w:tcW w:w="35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Hispanic of Latinx</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5" w:type="dxa"/>
            <w:tcBorders/>
            <w:shd w:fill="auto" w:val="clear"/>
            <w:tcMar>
              <w:bottom w:w="0" w:type="dxa"/>
            </w:tcMar>
            <w:vAlign w:val="center"/>
          </w:tcPr>
          <w:p>
            <w:pPr>
              <w:pStyle w:val="TableContents"/>
              <w:spacing w:before="0" w:after="283"/>
              <w:jc w:val="center"/>
              <w:rPr>
                <w:color w:val="000000"/>
              </w:rPr>
            </w:pPr>
            <w:r>
              <w:rPr>
                <w:color w:val="000000"/>
              </w:rPr>
              <w:t>––</w:t>
            </w:r>
          </w:p>
        </w:tc>
      </w:tr>
      <w:tr>
        <w:trPr/>
        <w:tc>
          <w:tcPr>
            <w:tcW w:w="35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65" w:type="dxa"/>
            <w:tcBorders/>
            <w:shd w:fill="CCEEFF" w:val="clear"/>
            <w:tcMar>
              <w:bottom w:w="0" w:type="dxa"/>
            </w:tcMar>
            <w:vAlign w:val="center"/>
          </w:tcPr>
          <w:p>
            <w:pPr>
              <w:pStyle w:val="TableContents"/>
              <w:spacing w:before="0" w:after="283"/>
              <w:jc w:val="center"/>
              <w:rPr>
                <w:color w:val="000000"/>
              </w:rPr>
            </w:pPr>
            <w:r>
              <w:rPr>
                <w:color w:val="000000"/>
              </w:rPr>
              <w:t>––</w:t>
            </w:r>
          </w:p>
        </w:tc>
      </w:tr>
      <w:tr>
        <w:trPr/>
        <w:tc>
          <w:tcPr>
            <w:tcW w:w="35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5"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35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65" w:type="dxa"/>
            <w:tcBorders/>
            <w:shd w:fill="CCEEFF" w:val="clear"/>
            <w:tcMar>
              <w:bottom w:w="0" w:type="dxa"/>
            </w:tcMar>
            <w:vAlign w:val="center"/>
          </w:tcPr>
          <w:p>
            <w:pPr>
              <w:pStyle w:val="TableContents"/>
              <w:spacing w:before="0" w:after="283"/>
              <w:jc w:val="center"/>
              <w:rPr>
                <w:color w:val="000000"/>
              </w:rPr>
            </w:pPr>
            <w:r>
              <w:rPr>
                <w:color w:val="000000"/>
              </w:rPr>
              <w:t>––</w:t>
            </w:r>
          </w:p>
        </w:tc>
      </w:tr>
      <w:tr>
        <w:trPr/>
        <w:tc>
          <w:tcPr>
            <w:tcW w:w="35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203" w:type="dxa"/>
            <w:gridSpan w:val="10"/>
            <w:tcBorders/>
            <w:shd w:fill="auto" w:val="clear"/>
            <w:tcMar>
              <w:bottom w:w="0" w:type="dxa"/>
            </w:tcMar>
            <w:vAlign w:val="center"/>
          </w:tcPr>
          <w:p>
            <w:pPr>
              <w:pStyle w:val="TableContents"/>
              <w:spacing w:before="0" w:after="283"/>
              <w:jc w:val="center"/>
              <w:rPr>
                <w:color w:val="000000"/>
              </w:rPr>
            </w:pPr>
            <w:r>
              <w:rPr>
                <w:color w:val="000000"/>
              </w:rPr>
              <w:t>––</w:t>
            </w:r>
          </w:p>
        </w:tc>
      </w:tr>
      <w:tr>
        <w:trPr/>
        <w:tc>
          <w:tcPr>
            <w:tcW w:w="35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Did not Disclose Demographic Background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203" w:type="dxa"/>
            <w:gridSpan w:val="10"/>
            <w:tcBorders/>
            <w:shd w:fill="CCEEFF" w:val="clear"/>
            <w:tcMar>
              <w:bottom w:w="0" w:type="dxa"/>
            </w:tcMar>
            <w:vAlign w:val="center"/>
          </w:tcPr>
          <w:p>
            <w:pPr>
              <w:pStyle w:val="TableContents"/>
              <w:spacing w:before="0" w:after="283"/>
              <w:jc w:val="center"/>
              <w:rPr>
                <w:color w:val="000000"/>
              </w:rPr>
            </w:pPr>
            <w:r>
              <w:rPr>
                <w:color w:val="000000"/>
              </w:rPr>
              <w:t>––</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Code of Ethics and Business Conduct Standards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are committed to quality, innovation and above all, ethical professional conduct. Our Code of Ethics and Business Conduct Standards, as amended and restated in October 2021(the “</w:t>
      </w:r>
      <w:r>
        <w:rPr>
          <w:rFonts w:ascii="Times New Roman;Times;serif" w:hAnsi="Times New Roman;Times;serif"/>
          <w:b/>
          <w:color w:val="000000"/>
          <w:sz w:val="20"/>
          <w:u w:val="single"/>
        </w:rPr>
        <w:t>Code</w:t>
      </w:r>
      <w:r>
        <w:rPr>
          <w:rFonts w:ascii="Times New Roman;Times;serif" w:hAnsi="Times New Roman;Times;serif"/>
          <w:color w:val="000000"/>
          <w:sz w:val="20"/>
        </w:rPr>
        <w:t>”), applies to all directors, officers and employees of the Company, including our principal executive officer, principal financial officer, principal accounting officer and controller or persons performing similar functions, and contains the general guidelines for conducting the business of the Company and its subsidiaries and affiliates.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It is the policy of the Company to conduct its business in a matter that meets the highest ethical and moral standards and to strictly comply with all laws and regulations governing its operations. The overall purpose of the Code is to ensure compliance with general guidelines for conducting the business of the Company consistent with the understanding of Company personnel of the Company’s standards of ethical business practices, laws, rules and regulations. The Code includes provisions related to compliance with all laws and regulations governing its operations, compliance with Regulation FD promulgated under the Exchange Act, conduct regarding business activity (including conflicts of interest, corporate opportunities, loans to directors, officers and employees, entertainment and gifts, political contributions, insider trading and tipping, communications, acting in the best interest of the Company and non-disparagement, confidentiality, fair dealing, antitrust, accuracy of Company records and representations, record retention, environment, health and general safety matters, including the Company’s commitment to providing a safe, orderly, diverse and tolerant work environment that is free of any discrimination or harassment ), conduct regarding outside activity (including responsible citizenship and political activity), conduct regarding the use and protection of the Company’s assets (including professional and personal use of the Company’s information systems and assets), waivers of the Code, administration of the Code, and encourages contact with the Company’s Corporate Compliance Officer.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of our directors, officers and employees are expected to be familiar with the Code and to adhere to those principles and procedures set forth in the Code that apply to them. The Company has posted the Code, and will post any amendments to the Code, as well as any waivers that are required to be disclosed by the rules of the SEC, on the Company’s website at www.admabiologics.com.</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Communications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stockholder or other interested party who wishes to communicate directly with the Board as a group or any individual member of the Board, including any of our independent directors, should write to: The Board of Directors, c/o ADMA Biologics, Inc., 465 State Route 17, Ramsey, New Jersey 07446, Attention: Corporate Secretary.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Relevant communications will be distributed to any or all directors as appropriate depending on the facts and circumstances outlined in the individual communication. In accordance with instructions from the Board,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9" w:name="DSPFPageBreakArea18"/>
      <w:bookmarkStart w:id="100" w:name="DSPFPageBreakArea18"/>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1" w:name="DSPFPageBreak18"/>
      <w:bookmarkStart w:id="102" w:name="DSPFPageBreak18"/>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3" w:name="ny20007545x2_def14a_107-corporate_pg6"/>
        <w:bookmarkEnd w:id="10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 reviews all correspondence, organizes the communications for review by the Board and distributes such communications to the full Board, to the independent directors or to one or more individual members, as appropriate. The Corporate Secretary may also forward certain correspondence elsewhere within our Company for review and possible response. In addition, at the request of the Board, communications that do not directly relate to our Board’s duties and responsibilities as directors will be excluded from distribution. Such excluded items include, among others, “spam,” advertisements, mass mailings, form letters, and email campaigns that involve unduly large numbers of similar communications; solicitations for goods, services, employment or contributions; and surveys. Additionally, communications that appear to be unduly hostile, intimidating, threatening, illegal or similarly inappropriate will also be screened for omission. Any excluded communication will be made available to any director upon his or her request.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4" w:name="DSPFPageBreakArea19"/>
      <w:bookmarkStart w:id="105" w:name="DSPFPageBreakArea19"/>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6" w:name="DSPFPageBreak19"/>
      <w:bookmarkStart w:id="107" w:name="DSPFPageBreak19"/>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8" w:name="ny20007545x2_def14a_107-corporate_pg7"/>
        <w:bookmarkEnd w:id="10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09" w:name="tASO"/>
      <w:bookmarkEnd w:id="109"/>
      <w:r>
        <w:rPr>
          <w:rFonts w:ascii="Times New Roman;Times;serif" w:hAnsi="Times New Roman;Times;serif"/>
          <w:b/>
          <w:color w:val="000000"/>
          <w:sz w:val="20"/>
        </w:rPr>
        <w:t>ADMA SECURITY OWNERSHIP OF CERTAIN BENEFICIAL OWNERS AND MANAGEMENT AND RELATED STOCKHOLDER MATTERS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the beneficial ownership (as such term is defined in Rule 13d-3 under the Exchange Act) of our stock as of April 1, 2023, except as noted below, by:</w:t>
      </w:r>
    </w:p>
    <w:tbl>
      <w:tblPr>
        <w:tblW w:w="1840" w:type="dxa"/>
        <w:jc w:val="left"/>
        <w:tblInd w:w="0" w:type="dxa"/>
        <w:tblCellMar>
          <w:top w:w="0" w:type="dxa"/>
          <w:left w:w="0" w:type="dxa"/>
          <w:bottom w:w="0" w:type="dxa"/>
          <w:right w:w="0" w:type="dxa"/>
        </w:tblCellMar>
      </w:tblPr>
      <w:tblGrid>
        <w:gridCol w:w="110"/>
        <w:gridCol w:w="17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7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of our directors;</w:t>
            </w:r>
          </w:p>
        </w:tc>
      </w:tr>
    </w:tbl>
    <w:tbl>
      <w:tblPr>
        <w:tblW w:w="7135" w:type="dxa"/>
        <w:jc w:val="left"/>
        <w:tblInd w:w="0" w:type="dxa"/>
        <w:tblCellMar>
          <w:top w:w="0" w:type="dxa"/>
          <w:left w:w="0" w:type="dxa"/>
          <w:bottom w:w="0" w:type="dxa"/>
          <w:right w:w="0" w:type="dxa"/>
        </w:tblCellMar>
      </w:tblPr>
      <w:tblGrid>
        <w:gridCol w:w="110"/>
        <w:gridCol w:w="70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0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of our named executive officers (as defined in Item 402(m)(2) of Regulation S-K);</w:t>
            </w:r>
          </w:p>
        </w:tc>
      </w:tr>
    </w:tbl>
    <w:tbl>
      <w:tblPr>
        <w:tblW w:w="10165" w:type="dxa"/>
        <w:jc w:val="left"/>
        <w:tblInd w:w="0" w:type="dxa"/>
        <w:tblCellMar>
          <w:top w:w="0" w:type="dxa"/>
          <w:left w:w="0" w:type="dxa"/>
          <w:bottom w:w="0" w:type="dxa"/>
          <w:right w:w="0" w:type="dxa"/>
        </w:tblCellMar>
      </w:tblPr>
      <w:tblGrid>
        <w:gridCol w:w="110"/>
        <w:gridCol w:w="100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person, or group of affiliated persons, who is known by us to beneficially own more than 5% of our common stock; and</w:t>
            </w:r>
          </w:p>
        </w:tc>
      </w:tr>
    </w:tbl>
    <w:tbl>
      <w:tblPr>
        <w:tblW w:w="4360" w:type="dxa"/>
        <w:jc w:val="left"/>
        <w:tblInd w:w="0" w:type="dxa"/>
        <w:tblCellMar>
          <w:top w:w="0" w:type="dxa"/>
          <w:left w:w="0" w:type="dxa"/>
          <w:bottom w:w="0" w:type="dxa"/>
          <w:right w:w="0" w:type="dxa"/>
        </w:tblCellMar>
      </w:tblPr>
      <w:tblGrid>
        <w:gridCol w:w="110"/>
        <w:gridCol w:w="42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2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of our directors and executive officers as a group.</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Shares of our common stock subject to options, warrants, restricted stock units (“RSUs”) or other rights currently exercisable or exercisable or expected to vest within 60 days of April 1, 2023 are deemed to be beneficially owned and outstanding for purposes of computing the share ownership and percentage of the person holding such options, warrants or other rights, but are not deemed outstanding for computing the percentage of any other person. Except as indicated in the footnotes below, each holder listed below possesses sole voting and/or investment power with respect to their shares of stock and such holder’s address is c/o ADMA Biologics, Inc., 465 State Route 17, Ramsey, New Jersey 07446. An asterisk (*) denotes less than 1% of ownership of stock. The information is not necessarily indicative of beneficial ownership for any other purpose. Percentage ownership calculations for beneficial ownership are based on an aggregate of 222,262,588 shares of common stock outstanding as of April 1, 2023. This table does not give effect to any transactions by any of the persons below that have occurred after April 1, 2023 or the ownership.</w:t>
      </w:r>
    </w:p>
    <w:tbl>
      <w:tblPr>
        <w:tblW w:w="6820" w:type="dxa"/>
        <w:jc w:val="left"/>
        <w:tblInd w:w="0" w:type="dxa"/>
        <w:tblCellMar>
          <w:top w:w="0" w:type="dxa"/>
          <w:left w:w="0" w:type="dxa"/>
          <w:bottom w:w="0" w:type="dxa"/>
          <w:right w:w="0" w:type="dxa"/>
        </w:tblCellMar>
      </w:tblPr>
      <w:tblGrid>
        <w:gridCol w:w="4820"/>
        <w:gridCol w:w="23"/>
        <w:gridCol w:w="23"/>
        <w:gridCol w:w="1171"/>
        <w:gridCol w:w="28"/>
        <w:gridCol w:w="28"/>
        <w:gridCol w:w="727"/>
      </w:tblGrid>
      <w:tr>
        <w:trPr/>
        <w:tc>
          <w:tcPr>
            <w:tcW w:w="48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954"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Beneficially Owned</w:t>
            </w:r>
          </w:p>
        </w:tc>
      </w:tr>
      <w:tr>
        <w:trPr/>
        <w:tc>
          <w:tcPr>
            <w:tcW w:w="4820"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171"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28" w:type="dxa"/>
            <w:tcBorders>
              <w:bottom w:val="single" w:sz="2" w:space="0" w:color="FFFFFF"/>
            </w:tcBorders>
            <w:shd w:fill="auto" w:val="clear"/>
            <w:tcMar>
              <w:bottom w:w="85" w:type="dxa"/>
            </w:tcMar>
            <w:vAlign w:val="center"/>
          </w:tcPr>
          <w:p>
            <w:pPr>
              <w:pStyle w:val="TableContents"/>
              <w:spacing w:before="0" w:after="283"/>
              <w:rPr/>
            </w:pPr>
            <w:r>
              <w:rPr/>
              <w:t>​</w:t>
            </w:r>
          </w:p>
        </w:tc>
        <w:tc>
          <w:tcPr>
            <w:tcW w:w="28" w:type="dxa"/>
            <w:tcBorders>
              <w:bottom w:val="single" w:sz="2" w:space="0" w:color="FFFFFF"/>
            </w:tcBorders>
            <w:shd w:fill="auto" w:val="clear"/>
            <w:tcMar>
              <w:bottom w:w="85" w:type="dxa"/>
            </w:tcMar>
            <w:vAlign w:val="center"/>
          </w:tcPr>
          <w:p>
            <w:pPr>
              <w:pStyle w:val="TableContents"/>
              <w:spacing w:before="0" w:after="283"/>
              <w:rPr/>
            </w:pPr>
            <w:r>
              <w:rPr/>
              <w:t>​</w:t>
            </w:r>
          </w:p>
        </w:tc>
        <w:tc>
          <w:tcPr>
            <w:tcW w:w="727"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tc>
      </w:tr>
      <w:tr>
        <w:trPr/>
        <w:tc>
          <w:tcPr>
            <w:tcW w:w="48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Jerrold B. Grossman(1)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71" w:type="dxa"/>
            <w:tcBorders/>
            <w:shd w:fill="CCEEFF"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715,295</w:t>
            </w:r>
          </w:p>
        </w:tc>
        <w:tc>
          <w:tcPr>
            <w:tcW w:w="28" w:type="dxa"/>
            <w:tcBorders/>
            <w:shd w:fill="CCEEFF" w:val="clear"/>
            <w:vAlign w:val="center"/>
          </w:tcPr>
          <w:p>
            <w:pPr>
              <w:pStyle w:val="TableContents"/>
              <w:spacing w:before="0" w:after="283"/>
              <w:rPr/>
            </w:pPr>
            <w:r>
              <w:rPr/>
              <w:t>​</w:t>
            </w:r>
          </w:p>
        </w:tc>
        <w:tc>
          <w:tcPr>
            <w:tcW w:w="28" w:type="dxa"/>
            <w:tcBorders/>
            <w:shd w:fill="CCEEFF" w:val="clear"/>
            <w:vAlign w:val="center"/>
          </w:tcPr>
          <w:p>
            <w:pPr>
              <w:pStyle w:val="TableContents"/>
              <w:spacing w:before="0" w:after="283"/>
              <w:rPr/>
            </w:pPr>
            <w:r>
              <w:rPr/>
              <w:t>​</w:t>
            </w:r>
          </w:p>
        </w:tc>
        <w:tc>
          <w:tcPr>
            <w:tcW w:w="727" w:type="dxa"/>
            <w:tcBorders/>
            <w:shd w:fill="CCEEFF"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82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Adam S. Grossman(2)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1" w:type="dxa"/>
            <w:tcBorders/>
            <w:shd w:fill="auto"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5,244,551</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727" w:type="dxa"/>
            <w:tcBorders/>
            <w:shd w:fill="auto"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2.3%</w:t>
            </w:r>
          </w:p>
        </w:tc>
      </w:tr>
      <w:tr>
        <w:trPr/>
        <w:tc>
          <w:tcPr>
            <w:tcW w:w="48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A. Elms(3)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71" w:type="dxa"/>
            <w:tcBorders/>
            <w:shd w:fill="CCEEFF"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3,912,371</w:t>
            </w:r>
          </w:p>
        </w:tc>
        <w:tc>
          <w:tcPr>
            <w:tcW w:w="28" w:type="dxa"/>
            <w:tcBorders/>
            <w:shd w:fill="CCEEFF" w:val="clear"/>
            <w:vAlign w:val="center"/>
          </w:tcPr>
          <w:p>
            <w:pPr>
              <w:pStyle w:val="TableContents"/>
              <w:spacing w:before="0" w:after="283"/>
              <w:rPr/>
            </w:pPr>
            <w:r>
              <w:rPr/>
              <w:t>​</w:t>
            </w:r>
          </w:p>
        </w:tc>
        <w:tc>
          <w:tcPr>
            <w:tcW w:w="28" w:type="dxa"/>
            <w:tcBorders/>
            <w:shd w:fill="CCEEFF" w:val="clear"/>
            <w:vAlign w:val="center"/>
          </w:tcPr>
          <w:p>
            <w:pPr>
              <w:pStyle w:val="TableContents"/>
              <w:spacing w:before="0" w:after="283"/>
              <w:rPr/>
            </w:pPr>
            <w:r>
              <w:rPr/>
              <w:t>​</w:t>
            </w:r>
          </w:p>
        </w:tc>
        <w:tc>
          <w:tcPr>
            <w:tcW w:w="727" w:type="dxa"/>
            <w:tcBorders/>
            <w:shd w:fill="CCEEFF"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1.7%</w:t>
            </w:r>
          </w:p>
        </w:tc>
      </w:tr>
      <w:tr>
        <w:trPr/>
        <w:tc>
          <w:tcPr>
            <w:tcW w:w="482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Martha J. Demski(4)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1" w:type="dxa"/>
            <w:tcBorders/>
            <w:shd w:fill="auto"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177,563</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727" w:type="dxa"/>
            <w:tcBorders/>
            <w:shd w:fill="auto"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8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Bryant E. Fong(5)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71" w:type="dxa"/>
            <w:tcBorders/>
            <w:shd w:fill="CCEEFF"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1,737,504</w:t>
            </w:r>
          </w:p>
        </w:tc>
        <w:tc>
          <w:tcPr>
            <w:tcW w:w="28" w:type="dxa"/>
            <w:tcBorders/>
            <w:shd w:fill="CCEEFF" w:val="clear"/>
            <w:vAlign w:val="center"/>
          </w:tcPr>
          <w:p>
            <w:pPr>
              <w:pStyle w:val="TableContents"/>
              <w:spacing w:before="0" w:after="283"/>
              <w:rPr/>
            </w:pPr>
            <w:r>
              <w:rPr/>
              <w:t>​</w:t>
            </w:r>
          </w:p>
        </w:tc>
        <w:tc>
          <w:tcPr>
            <w:tcW w:w="28" w:type="dxa"/>
            <w:tcBorders/>
            <w:shd w:fill="CCEEFF" w:val="clear"/>
            <w:vAlign w:val="center"/>
          </w:tcPr>
          <w:p>
            <w:pPr>
              <w:pStyle w:val="TableContents"/>
              <w:spacing w:before="0" w:after="283"/>
              <w:rPr/>
            </w:pPr>
            <w:r>
              <w:rPr/>
              <w:t>​</w:t>
            </w:r>
          </w:p>
        </w:tc>
        <w:tc>
          <w:tcPr>
            <w:tcW w:w="727" w:type="dxa"/>
            <w:tcBorders/>
            <w:shd w:fill="CCEEFF"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82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P. Guiheen(6)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1" w:type="dxa"/>
            <w:tcBorders/>
            <w:shd w:fill="auto"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375,200</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727" w:type="dxa"/>
            <w:tcBorders/>
            <w:shd w:fill="auto"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8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Lenz(7)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71" w:type="dxa"/>
            <w:tcBorders/>
            <w:shd w:fill="CCEEFF"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1,403,915</w:t>
            </w:r>
          </w:p>
        </w:tc>
        <w:tc>
          <w:tcPr>
            <w:tcW w:w="28" w:type="dxa"/>
            <w:tcBorders/>
            <w:shd w:fill="CCEEFF" w:val="clear"/>
            <w:vAlign w:val="center"/>
          </w:tcPr>
          <w:p>
            <w:pPr>
              <w:pStyle w:val="TableContents"/>
              <w:spacing w:before="0" w:after="283"/>
              <w:rPr/>
            </w:pPr>
            <w:r>
              <w:rPr/>
              <w:t>​</w:t>
            </w:r>
          </w:p>
        </w:tc>
        <w:tc>
          <w:tcPr>
            <w:tcW w:w="28" w:type="dxa"/>
            <w:tcBorders/>
            <w:shd w:fill="CCEEFF" w:val="clear"/>
            <w:vAlign w:val="center"/>
          </w:tcPr>
          <w:p>
            <w:pPr>
              <w:pStyle w:val="TableContents"/>
              <w:spacing w:before="0" w:after="283"/>
              <w:rPr/>
            </w:pPr>
            <w:r>
              <w:rPr/>
              <w:t>​</w:t>
            </w:r>
          </w:p>
        </w:tc>
        <w:tc>
          <w:tcPr>
            <w:tcW w:w="727" w:type="dxa"/>
            <w:tcBorders/>
            <w:shd w:fill="CCEEFF"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82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Young T. Kwon(8)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1" w:type="dxa"/>
            <w:tcBorders/>
            <w:shd w:fill="auto"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381,863</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727" w:type="dxa"/>
            <w:tcBorders/>
            <w:shd w:fill="auto"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8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(8 persons)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71" w:type="dxa"/>
            <w:tcBorders/>
            <w:shd w:fill="CCEEFF"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13,948,262</w:t>
            </w:r>
          </w:p>
        </w:tc>
        <w:tc>
          <w:tcPr>
            <w:tcW w:w="28" w:type="dxa"/>
            <w:tcBorders/>
            <w:shd w:fill="CCEEFF" w:val="clear"/>
            <w:vAlign w:val="center"/>
          </w:tcPr>
          <w:p>
            <w:pPr>
              <w:pStyle w:val="TableContents"/>
              <w:spacing w:before="0" w:after="283"/>
              <w:rPr/>
            </w:pPr>
            <w:r>
              <w:rPr/>
              <w:t>​</w:t>
            </w:r>
          </w:p>
        </w:tc>
        <w:tc>
          <w:tcPr>
            <w:tcW w:w="28" w:type="dxa"/>
            <w:tcBorders/>
            <w:shd w:fill="CCEEFF" w:val="clear"/>
            <w:vAlign w:val="center"/>
          </w:tcPr>
          <w:p>
            <w:pPr>
              <w:pStyle w:val="TableContents"/>
              <w:spacing w:before="0" w:after="283"/>
              <w:rPr/>
            </w:pPr>
            <w:r>
              <w:rPr/>
              <w:t>​</w:t>
            </w:r>
          </w:p>
        </w:tc>
        <w:tc>
          <w:tcPr>
            <w:tcW w:w="727" w:type="dxa"/>
            <w:tcBorders/>
            <w:shd w:fill="CCEEFF"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r>
      <w:tr>
        <w:trPr/>
        <w:tc>
          <w:tcPr>
            <w:tcW w:w="48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1" w:type="dxa"/>
            <w:tcBorders/>
            <w:shd w:fill="auto" w:val="clear"/>
            <w:vAlign w:val="center"/>
          </w:tcPr>
          <w:p>
            <w:pPr>
              <w:pStyle w:val="TableContents"/>
              <w:spacing w:before="0" w:after="0"/>
              <w:jc w:val="left"/>
              <w:rPr>
                <w:color w:val="000000"/>
              </w:rPr>
            </w:pPr>
            <w:r>
              <w:rPr>
                <w:color w:val="000000"/>
              </w:rPr>
              <w:t>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727" w:type="dxa"/>
            <w:tcBorders/>
            <w:shd w:fill="auto" w:val="clear"/>
            <w:vAlign w:val="center"/>
          </w:tcPr>
          <w:p>
            <w:pPr>
              <w:pStyle w:val="TableContents"/>
              <w:spacing w:before="0" w:after="0"/>
              <w:jc w:val="left"/>
              <w:rPr>
                <w:color w:val="000000"/>
              </w:rPr>
            </w:pPr>
            <w:r>
              <w:rPr>
                <w:color w:val="000000"/>
              </w:rPr>
              <w:t> </w:t>
            </w:r>
          </w:p>
        </w:tc>
      </w:tr>
      <w:tr>
        <w:trPr/>
        <w:tc>
          <w:tcPr>
            <w:tcW w:w="48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Owners of more than 5% of our stock</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71" w:type="dxa"/>
            <w:tcBorders/>
            <w:shd w:fill="CCEEFF" w:val="clear"/>
            <w:vAlign w:val="center"/>
          </w:tcPr>
          <w:p>
            <w:pPr>
              <w:pStyle w:val="TableContents"/>
              <w:spacing w:before="0" w:after="0"/>
              <w:jc w:val="left"/>
              <w:rPr>
                <w:color w:val="000000"/>
              </w:rPr>
            </w:pPr>
            <w:r>
              <w:rPr>
                <w:color w:val="000000"/>
              </w:rPr>
              <w:t> </w:t>
            </w:r>
          </w:p>
        </w:tc>
        <w:tc>
          <w:tcPr>
            <w:tcW w:w="28" w:type="dxa"/>
            <w:tcBorders/>
            <w:shd w:fill="CCEEFF" w:val="clear"/>
            <w:vAlign w:val="center"/>
          </w:tcPr>
          <w:p>
            <w:pPr>
              <w:pStyle w:val="TableContents"/>
              <w:spacing w:before="0" w:after="283"/>
              <w:rPr/>
            </w:pPr>
            <w:r>
              <w:rPr/>
              <w:t>​</w:t>
            </w:r>
          </w:p>
        </w:tc>
        <w:tc>
          <w:tcPr>
            <w:tcW w:w="28" w:type="dxa"/>
            <w:tcBorders/>
            <w:shd w:fill="CCEEFF" w:val="clear"/>
            <w:vAlign w:val="center"/>
          </w:tcPr>
          <w:p>
            <w:pPr>
              <w:pStyle w:val="TableContents"/>
              <w:spacing w:before="0" w:after="283"/>
              <w:rPr/>
            </w:pPr>
            <w:r>
              <w:rPr/>
              <w:t>​</w:t>
            </w:r>
          </w:p>
        </w:tc>
        <w:tc>
          <w:tcPr>
            <w:tcW w:w="727" w:type="dxa"/>
            <w:tcBorders/>
            <w:shd w:fill="CCEEFF" w:val="clear"/>
            <w:vAlign w:val="center"/>
          </w:tcPr>
          <w:p>
            <w:pPr>
              <w:pStyle w:val="TableContents"/>
              <w:spacing w:before="0" w:after="0"/>
              <w:jc w:val="left"/>
              <w:rPr>
                <w:color w:val="000000"/>
              </w:rPr>
            </w:pPr>
            <w:r>
              <w:rPr>
                <w:color w:val="000000"/>
              </w:rPr>
              <w:t> </w:t>
            </w:r>
          </w:p>
        </w:tc>
      </w:tr>
      <w:tr>
        <w:trPr/>
        <w:tc>
          <w:tcPr>
            <w:tcW w:w="482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Perceptive Life Sciences Master Fund, Ltd. and affiliates(9)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1" w:type="dxa"/>
            <w:tcBorders/>
            <w:shd w:fill="auto"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15,900,255</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727" w:type="dxa"/>
            <w:tcBorders/>
            <w:shd w:fill="auto"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r>
      <w:tr>
        <w:trPr/>
        <w:tc>
          <w:tcPr>
            <w:tcW w:w="48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Inc.(10)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71" w:type="dxa"/>
            <w:tcBorders/>
            <w:shd w:fill="CCEEFF" w:val="clear"/>
            <w:vAlign w:val="center"/>
          </w:tcPr>
          <w:p>
            <w:pPr>
              <w:pStyle w:val="TableContents"/>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15,101,281</w:t>
            </w:r>
          </w:p>
        </w:tc>
        <w:tc>
          <w:tcPr>
            <w:tcW w:w="28" w:type="dxa"/>
            <w:tcBorders/>
            <w:shd w:fill="CCEEFF" w:val="clear"/>
            <w:vAlign w:val="center"/>
          </w:tcPr>
          <w:p>
            <w:pPr>
              <w:pStyle w:val="TableContents"/>
              <w:spacing w:before="0" w:after="283"/>
              <w:rPr/>
            </w:pPr>
            <w:r>
              <w:rPr/>
              <w:t>​</w:t>
            </w:r>
          </w:p>
        </w:tc>
        <w:tc>
          <w:tcPr>
            <w:tcW w:w="28" w:type="dxa"/>
            <w:tcBorders/>
            <w:shd w:fill="CCEEFF" w:val="clear"/>
            <w:vAlign w:val="center"/>
          </w:tcPr>
          <w:p>
            <w:pPr>
              <w:pStyle w:val="TableContents"/>
              <w:spacing w:before="0" w:after="283"/>
              <w:rPr/>
            </w:pPr>
            <w:r>
              <w:rPr/>
              <w:t>​</w:t>
            </w:r>
          </w:p>
        </w:tc>
        <w:tc>
          <w:tcPr>
            <w:tcW w:w="727" w:type="dxa"/>
            <w:tcBorders/>
            <w:shd w:fill="CCEEFF" w:val="clear"/>
            <w:vAlign w:val="center"/>
          </w:tcPr>
          <w:p>
            <w:pPr>
              <w:pStyle w:val="TableContents"/>
              <w:spacing w:before="0" w:after="283"/>
              <w:ind w:left="214"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r>
    </w:tbl>
    <w:tbl>
      <w:tblPr>
        <w:tblW w:w="1090" w:type="dxa"/>
        <w:jc w:val="left"/>
        <w:tblInd w:w="0" w:type="dxa"/>
        <w:tblCellMar>
          <w:top w:w="0" w:type="dxa"/>
          <w:left w:w="0" w:type="dxa"/>
          <w:bottom w:w="0" w:type="dxa"/>
          <w:right w:w="0" w:type="dxa"/>
        </w:tblCellMar>
      </w:tblPr>
      <w:tblGrid>
        <w:gridCol w:w="110"/>
        <w:gridCol w:w="980"/>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Less than 1%.</w:t>
            </w:r>
          </w:p>
        </w:tc>
      </w:tr>
    </w:tbl>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 consists of 38,294 shares owned by the Genesis Foundation Inc. (“</w:t>
            </w:r>
            <w:r>
              <w:rPr>
                <w:rFonts w:ascii="Times New Roman;Times;serif" w:hAnsi="Times New Roman;Times;serif"/>
                <w:b/>
                <w:color w:val="000000"/>
                <w:sz w:val="16"/>
                <w:u w:val="single"/>
              </w:rPr>
              <w:t>Genesis</w:t>
            </w:r>
            <w:r>
              <w:rPr>
                <w:rFonts w:ascii="Times New Roman;Times;serif" w:hAnsi="Times New Roman;Times;serif"/>
                <w:color w:val="000000"/>
                <w:sz w:val="16"/>
              </w:rPr>
              <w:t>”), 31,381 shares owned by the Jerrold Grossman 2019 Irrevocable Trust (the “</w:t>
            </w:r>
            <w:r>
              <w:rPr>
                <w:rFonts w:ascii="Times New Roman;Times;serif" w:hAnsi="Times New Roman;Times;serif"/>
                <w:b/>
                <w:color w:val="000000"/>
                <w:sz w:val="16"/>
                <w:u w:val="single"/>
              </w:rPr>
              <w:t>Trust</w:t>
            </w:r>
            <w:r>
              <w:rPr>
                <w:rFonts w:ascii="Times New Roman;Times;serif" w:hAnsi="Times New Roman;Times;serif"/>
                <w:color w:val="000000"/>
                <w:sz w:val="16"/>
              </w:rPr>
              <w:t>”), 287,450 shares owned directly by Dr. Grossman, 22,857 shares owned by Brookwood LLC (“</w:t>
            </w:r>
            <w:r>
              <w:rPr>
                <w:rFonts w:ascii="Times New Roman;Times;serif" w:hAnsi="Times New Roman;Times;serif"/>
                <w:b/>
                <w:color w:val="000000"/>
                <w:sz w:val="16"/>
                <w:u w:val="single"/>
              </w:rPr>
              <w:t>Brookwood</w:t>
            </w:r>
            <w:r>
              <w:rPr>
                <w:rFonts w:ascii="Times New Roman;Times;serif" w:hAnsi="Times New Roman;Times;serif"/>
                <w:color w:val="000000"/>
                <w:sz w:val="16"/>
              </w:rPr>
              <w:t>”) and 175 shares owned by Dr. Grossman’s wife. Dr. Grossman is the President of Genesis, an investment trustee of the Trust, the managing member of Brookwood, the Vice Chairman of the Board and Hariden, LLC’s (“</w:t>
            </w:r>
            <w:r>
              <w:rPr>
                <w:rFonts w:ascii="Times New Roman;Times;serif" w:hAnsi="Times New Roman;Times;serif"/>
                <w:b/>
                <w:color w:val="000000"/>
                <w:sz w:val="16"/>
                <w:u w:val="single"/>
              </w:rPr>
              <w:t>Hariden</w:t>
            </w:r>
            <w:r>
              <w:rPr>
                <w:rFonts w:ascii="Times New Roman;Times;serif" w:hAnsi="Times New Roman;Times;serif"/>
                <w:color w:val="000000"/>
                <w:sz w:val="16"/>
              </w:rPr>
              <w:t>”) designee for nomination to the Board. Amount also includes options to purchase 335,138 shares of common stock.</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 consists of 1,218,071 shares owned directly by Mr. Grossman, 580,957 shares owned by Hariden, LLC, of which Mr. Grossman is the managing member, and 1,143,426 shares owned by Areth, LLC, of which Mr. Grossman is a control person. Mr. Grossman is the President and Chief Executive Officer of the Company. Amount also includes options to purchase 2,302,097 shares of common stock, but does not include options to purchase 1,834,005 shares and 1,325,071 RSUs which have not vested and will not vest within 60 days of April 1, 2023.</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 includes options to purchase 270,114 shares. Amount also includes 26,586 shares owned directly by Mr. Elms and 3,615,671 shares owned directly by Aisling Capital II LP (“Aisling”). Mr. Elms is Aisling’s designee for nomination to the Board. As a Managing Member of Aisling Capital Partners, LLC (“Aisling Partners”), a control person of Aisling, and as a member of the investment committee of Aisling Capital Partners, LP (“Aisling GP”), Mr. Elms may be deemed to be the beneficial owner of shares of common stock owned of record by Aisling. Mr. Elms disclaims beneficial ownership of Aisling’s investment in the Company and Aisling Partners’ ownership of the Company’s options, except to the extent of his pecuniary interest thereon. The address for Mr. Elms is 888 Seventh Avenue, 12th Floor, New York, New York 10106.</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0" w:name="DSPFPageBreakArea20"/>
      <w:bookmarkStart w:id="111" w:name="DSPFPageBreakArea20"/>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2" w:name="DSPFPageBreak20"/>
      <w:bookmarkStart w:id="113" w:name="DSPFPageBreak20"/>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4" w:name="ny20007545x2_def14a_107-corporate_pg8"/>
        <w:bookmarkEnd w:id="114"/>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 consists of options to purchase 146,777 shares. Amount also includes 30,786 shares of common stock held in the trust account of the Martha J. Demski Trust U/D/T 10/01/94.</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 includes options to purchase 270,114 shares. Amount also includes 1,433,304 shares of common stock directly owned by Biomark Capital and 34,086 shares held directly by Mr. Fong. Mr. Fong is Biomark Capital’s designee for nomination to the Board. Mr. Fong is a founding Managing Director and General Partner at Biomark Capital. The address for Mr. Fong is c/o Biomark Capital Fund IV GP LLC, 537 Steamboat Road, Suite 200, Greenwich, Connecticut 06830.</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includes options to purchase 270,114 shares. Amount also includes 104,086 shares held directly by Mr. Guiheen and 1,000 shares held beneficially by the Guiheen Trust. Mr. Guiheen is joint trustee of the Guiheen Trust. </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 includes 513,516 shares owned directly by Mr. Lenz and options to purchase 890,399 shares of common stock, but does not include options to purchase 544,700 shares and 495,343 RSUs that have not vested and will not vest within 60 days of April 1, 2023. Mr. Lenz is the Executive Vice President and Chief Financial Officer of the Company.</w:t>
            </w:r>
          </w:p>
        </w:tc>
      </w:tr>
    </w:tbl>
    <w:tbl>
      <w:tblPr>
        <w:tblW w:w="8530" w:type="dxa"/>
        <w:jc w:val="left"/>
        <w:tblInd w:w="0" w:type="dxa"/>
        <w:tblCellMar>
          <w:top w:w="0" w:type="dxa"/>
          <w:left w:w="0" w:type="dxa"/>
          <w:bottom w:w="0" w:type="dxa"/>
          <w:right w:w="0" w:type="dxa"/>
        </w:tblCellMar>
      </w:tblPr>
      <w:tblGrid>
        <w:gridCol w:w="230"/>
        <w:gridCol w:w="830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83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 includes options to purchase 155,277 shares. Amount also includes 226,586 shares held directly by Dr. Kwon.</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Perceptive Life Sciences Master Fund, Ltd. (the “Master Fund”) directly holds 11,900,255 shares of Common Stock and warrants to purchase 4,000,000 shares of Common Stock. Perceptive Advisors LLC (“Perceptive Advisors”) serves as the investment manager to the Master Fund and may be deemed to beneficially own the securities directly held by the Master Fund. Mr. Joseph Edelman is the managing member of Perceptive Advisors and may be deemed to beneficially own the securities directly held by the Master Fund. The principal address for the Perceptive Master Fund, Perceptive Advisors and Mr. Edelman is 51 Astor Place, 10th Floor, New York, New York 10003. The information reported above is based in part on a Schedule 13G/A filed by Perceptive Advisors on February 14, 2023.</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15,101,281 shares of common stock directly held by BlackRock, Inc. The principal address for BlackRock, Inc. is 55 East 52nd Street, New York, NY 10055. The information reported above is based on a Schedule 13G filed by BlackRock, Inc. on February 3, 2023.</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5" w:name="DSPFPageBreakArea21"/>
      <w:bookmarkStart w:id="116" w:name="DSPFPageBreakArea21"/>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7" w:name="DSPFPageBreak21"/>
      <w:bookmarkStart w:id="118" w:name="DSPFPageBreak21"/>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9" w:name="ny20007545x2_def14a_108-executive_pg1"/>
        <w:bookmarkEnd w:id="11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20" w:name="tAEO"/>
      <w:bookmarkEnd w:id="120"/>
      <w:r>
        <w:rPr>
          <w:rFonts w:ascii="Times New Roman;Times;serif" w:hAnsi="Times New Roman;Times;serif"/>
          <w:b/>
          <w:color w:val="000000"/>
          <w:sz w:val="20"/>
        </w:rPr>
        <w:t>ADMA EXECUTIVE OFFICERS AND DIRECTOR AND OFFICER COMPENSATION</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Compensation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the compensation paid to non-employee directors for the year ended December 31, 2022.</w:t>
      </w:r>
    </w:p>
    <w:tbl>
      <w:tblPr>
        <w:tblW w:w="5444" w:type="dxa"/>
        <w:jc w:val="left"/>
        <w:tblInd w:w="0" w:type="dxa"/>
        <w:tblCellMar>
          <w:top w:w="0" w:type="dxa"/>
          <w:left w:w="0" w:type="dxa"/>
          <w:bottom w:w="85" w:type="dxa"/>
          <w:right w:w="0" w:type="dxa"/>
        </w:tblCellMar>
      </w:tblPr>
      <w:tblGrid>
        <w:gridCol w:w="1940"/>
        <w:gridCol w:w="23"/>
        <w:gridCol w:w="23"/>
        <w:gridCol w:w="950"/>
        <w:gridCol w:w="23"/>
        <w:gridCol w:w="23"/>
        <w:gridCol w:w="830"/>
        <w:gridCol w:w="23"/>
        <w:gridCol w:w="23"/>
        <w:gridCol w:w="830"/>
        <w:gridCol w:w="23"/>
        <w:gridCol w:w="23"/>
        <w:gridCol w:w="710"/>
      </w:tblGrid>
      <w:tr>
        <w:trPr/>
        <w:tc>
          <w:tcPr>
            <w:tcW w:w="194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(3)(4)</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w:t>
            </w:r>
          </w:p>
        </w:tc>
      </w:tr>
      <w:tr>
        <w:trPr/>
        <w:tc>
          <w:tcPr>
            <w:tcW w:w="1940"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A. Elms(5)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85,500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44,399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52,983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182,882</w:t>
            </w:r>
          </w:p>
        </w:tc>
      </w:tr>
      <w:tr>
        <w:trPr/>
        <w:tc>
          <w:tcPr>
            <w:tcW w:w="19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Jerrold B. Grossman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44,399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52,983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177,382</w:t>
            </w:r>
          </w:p>
        </w:tc>
      </w:tr>
      <w:tr>
        <w:trPr/>
        <w:tc>
          <w:tcPr>
            <w:tcW w:w="1940"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Bryant E. Fong(6)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78,125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44,399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52,983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175,507</w:t>
            </w:r>
          </w:p>
        </w:tc>
      </w:tr>
      <w:tr>
        <w:trPr/>
        <w:tc>
          <w:tcPr>
            <w:tcW w:w="19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P. Guiheen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75,375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44,399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52,983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172,757</w:t>
            </w:r>
          </w:p>
        </w:tc>
      </w:tr>
      <w:tr>
        <w:trPr/>
        <w:tc>
          <w:tcPr>
            <w:tcW w:w="19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Martha J. Demski</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75,500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44,399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52,983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172,882</w:t>
            </w:r>
          </w:p>
        </w:tc>
      </w:tr>
      <w:tr>
        <w:trPr/>
        <w:tc>
          <w:tcPr>
            <w:tcW w:w="19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Young T. Kwon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before="0" w:after="283"/>
              <w:ind w:left="156" w:right="0" w:hanging="0"/>
              <w:jc w:val="left"/>
              <w:rPr>
                <w:rFonts w:ascii="Times New Roman;Times;serif" w:hAnsi="Times New Roman;Times;serif"/>
                <w:color w:val="000000"/>
                <w:sz w:val="20"/>
              </w:rPr>
            </w:pPr>
            <w:r>
              <w:rPr>
                <w:rFonts w:ascii="Times New Roman;Times;serif" w:hAnsi="Times New Roman;Times;serif"/>
                <w:color w:val="000000"/>
                <w:sz w:val="20"/>
              </w:rPr>
              <w:t>45,000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44,399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52,983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142,382</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reflected in this column represent the cash fees earned by non-employee directors for services during 2022. Fees earned are based on membership on the Board, committee membership and committee leadership positions. Please refer to our general policy on compensation of the members of our Board below in the section entitled “General Policy Regarding Compensation of Directors.”</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On March 7, 2022, the Company granted to each of its then non-employee directors RSUs with a grant date fair value of $44,399 (or 26,586 RSUs based on the $1.67 per share closing price of the Company’s common stock on the Nasdaq Global Market on the date of grant), vesting in two equal installments, on the six- and 12-month anniversaries of the grant date, becoming fully vested on the one-year anniversary of the grant date, subject to the non-employee director’s continued service as of the applicable vesting date.</w:t>
            </w:r>
          </w:p>
        </w:tc>
      </w:tr>
    </w:tbl>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in this column represent the aggregate grant date fair value for stock option awards issued during 2022 computed in accordance with FAS ASC Topic 718. Please see footnote (3) to the Summary Compensation Table below for relevant assumptions made. As of December 31, 2022, the aggregate number of option awards outstanding (vested and unvested) for Mr. Elms, Dr. Grossman, Mr. Fong, Mr. Guiheen, Ms. Demski and Dr. Kwon was 261,509, 326,533, 261,509, 261,509, 138,172 and 146,672, respectively.</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On March 7, 2022, the Company granted to each of its then non-employee directors an option to purchase 53,172 shares of the Company’s common stock. Each option granted to such non-employee directors has an exercise price of $1.67, the closing price of the Company’s common stock on Nasdaq on March 7, 2022, and vests in 12 equal monthly installments, becoming fully vested on the first anniversary of the date of grant. Each option shall terminate on the earlier of (i) March 7, 2032 and (ii) the first anniversary of such director’s ceasing to serve on the Board.</w:t>
            </w:r>
          </w:p>
        </w:tc>
      </w:tr>
    </w:tbl>
    <w:tbl>
      <w:tblPr>
        <w:tblW w:w="5110" w:type="dxa"/>
        <w:jc w:val="left"/>
        <w:tblInd w:w="0" w:type="dxa"/>
        <w:tblCellMar>
          <w:top w:w="0" w:type="dxa"/>
          <w:left w:w="0" w:type="dxa"/>
          <w:bottom w:w="0" w:type="dxa"/>
          <w:right w:w="0" w:type="dxa"/>
        </w:tblCellMar>
      </w:tblPr>
      <w:tblGrid>
        <w:gridCol w:w="230"/>
        <w:gridCol w:w="488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8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Board fees and option grants paid to Mr. Elms are assigned to Aisling.</w:t>
            </w:r>
          </w:p>
        </w:tc>
      </w:tr>
    </w:tbl>
    <w:tbl>
      <w:tblPr>
        <w:tblW w:w="5800" w:type="dxa"/>
        <w:jc w:val="left"/>
        <w:tblInd w:w="0" w:type="dxa"/>
        <w:tblCellMar>
          <w:top w:w="0" w:type="dxa"/>
          <w:left w:w="0" w:type="dxa"/>
          <w:bottom w:w="0" w:type="dxa"/>
          <w:right w:w="0" w:type="dxa"/>
        </w:tblCellMar>
      </w:tblPr>
      <w:tblGrid>
        <w:gridCol w:w="230"/>
        <w:gridCol w:w="557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557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Board fees and option grants paid to Mr. Fong are assigned to Biomark Capital. </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General Policy Regarding Compensation of Non-Employee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a Board-approved compensation program, in 2022, each non-employee director of the Company was paid an annual cash retainer of $45,000. The Chairman and Vice-Chairman were each paid an additional fee of $35,000. The Chairman of the Audit Committee, the Chairman of the Compensation Committee and the Chairman of the Governance and Nominations Committee were each paid $22,250, $16,500 and $11,000, respectively. Members of the Audit Committee, the Compensation Committee and the Governance and Nominations Committee were each paid a retainer of $11,125, $8,250 and $5,500, respectively.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Since October 2020, 25% of the annual Board and Committee fees are paid to each member of the Board on a quarterly basis, with such payment occurring approximately 5-10 calendar days before the conclusion of the applicable quarter.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Option grant awards to non-employee directors are determined by the Board in its sole, good faith discretion. On March 6, 2023, the Company granted to each of its then non-employee directors an option to purchase 51,630 shares of the Company’s common stock and 25,815 RSUs. Each option granted to such non-employee directors has an exercise price of $3.35, the closing price of the Company’s common stock on Nasdaq on March 6, 2023, and vests in 12 equal monthly installments, becoming fully vested on the first anniversary of the date of grant. Each option shall terminate on the earlier of (i) March 6, 2033 and (ii) the date that is ninety (90) days from the date such director ceases to serve on the Board. The RSUs will vest in two equal installments, on the six- and 12-month anniversaries of the grant date, becoming fully vested on the one-year anniversary of the grant date, subject to the director’s continued service as of the applicable vesting date. Effective March 6, 2023, upon election to the Board, each new director will be granted stock options to purchase shares of the Company’s common stock with a grant date value equal to $350,000.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1" w:name="DSPFPageBreakArea22"/>
      <w:bookmarkStart w:id="122" w:name="DSPFPageBreakArea22"/>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3" w:name="DSPFPageBreak22"/>
      <w:bookmarkStart w:id="124" w:name="DSPFPageBreak22"/>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5" w:name="ny20007545x2_def14a_108-executive_pg2"/>
        <w:bookmarkEnd w:id="12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6, 2023, upon the recommendation of the Compensation Committee of the Board, the Board approved an updated director compensation policy, effective and retroactive to January 1, 2023. Under such policy, each non-employee director of the Company will be paid an annual cash retainer of $50,000. The Chairman and Vice-Chairman will each be paid an additional fee of $40,000. The Chairman of the Audit Committee, the Chairman of the Compensation Committee and the Chairman of the Governance and Nominations Committee will each be paid $22,250, $16,500 and $11,000, respectively. Members of the Audit Committee, the Compensation Committee and the Governance and Nominations Committee will each be paid a retainer of $11,125, $8,250 and $5,500, respectively.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Information regarding compensation for those of our directors who are also employees is set forth in the Executive Compensation - Summary Compensation Table below.</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Officers</w:t>
      </w:r>
    </w:p>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Adam S. Grossman, 46 – </w:t>
      </w:r>
      <w:r>
        <w:rPr>
          <w:rFonts w:ascii="Times New Roman;Times;serif" w:hAnsi="Times New Roman;Times;serif"/>
          <w:b/>
          <w:i/>
          <w:color w:val="000000"/>
          <w:sz w:val="20"/>
        </w:rPr>
        <w:t>Founder, Director, President and Chief Executive Officer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Grossman has been a director of the Company since 2007, has served as the Company’s President and Chief Executive Officer since October 2011 and as the Company’s President and Chief Operating Officer between 2007 and October 2011. Mr. Grossman has over 20 years of experience in the blood and plasma industry. Prior to founding the Company, Mr. Grossman was the Executive Vice President of National Hospital Specialties at GenesisBPS, a position he held between 1994 and 2011. He has experience in launching new products, building and managing national and international sales forces, managing clinical trials and completing numerous business development transactions. Previously, he worked at MedImmune, Inc., where he worked on marketing teams for RSV and CMV immunoglobulins, and at the American Red Cross, where he launched new products with the Biomedical Services division. Mr. Grossman received a B.S. in Business Administration, with a specialization in International Business and Marketing, from American University. Mr. Grossman is the son of Dr. Jerrold B. Grossman, our Vice Chairman and co-founder. Mr. Grossman was chosen to serve on the Board because, as the Company’s Chief Executive Officer, he is able to provide the Board with critical insight into the day-to-day operations of the Company.</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Brian Lenz, 50 – </w:t>
      </w:r>
      <w:r>
        <w:rPr>
          <w:rFonts w:ascii="Times New Roman;Times;serif" w:hAnsi="Times New Roman;Times;serif"/>
          <w:b/>
          <w:i/>
          <w:color w:val="000000"/>
          <w:sz w:val="20"/>
        </w:rPr>
        <w:t>Executive Vice President, Chief Financial Officer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Lenz joined the Company as Vice President and Chief Financial Officer in May 2012, in June 2018, became the Company’s Executive Vice President and Chief Financial Officer and in September 2021 became the General Manager, of the Company’s wholly-owned subsidiary, ADMA BioCenters. Mr. Lenz was previously employed by CorMedix Inc., a developmental-stage pharmaceutical and medical device company, where he held the position of Chief Financial Officer from February 2010 and Chief Operating Officer and Chief Financial Officer from January 2012 to May 2012. Prior to joining CorMedix, Mr. Lenz was Chief Financial Officer of Arno Therapeutics from July 2008 to February 2010, Chief Financial Officer of VioQuest Pharmaceuticals from April 2004 to June 2008, Controller of Chiral Quest, Inc., a subsidiary of VioQuest Pharmaceuticals, from October 2003 to March 2004, Controller of Smiths Detection from July 2000 to October 2003, and senior auditor at KPMG LLP from October 1998 to July 2000. Mr. Lenz received a B.S. from Rider University, an M.B.A. from Saint Joseph’s University and is a licensed Certified Public Accountant in New Jersey.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6" w:name="DSPFPageBreakArea23"/>
      <w:bookmarkStart w:id="127" w:name="DSPFPageBreakArea23"/>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8" w:name="DSPFPageBreak23"/>
      <w:bookmarkStart w:id="129" w:name="DSPFPageBreak23"/>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0" w:name="ny20007545x2_def14a_108-executive_pg3"/>
        <w:bookmarkEnd w:id="13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Compensation</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Summary Compensation Table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for the periods indicated, all of the compensation awarded to, earned by or paid to (i) each individual serving as the Company’s principal executive officer during the last completed fiscal year; (ii) the Company’s most highly compensated executive officer other than the principal executive officer who served as an executive officer at the conclusion of the fiscal year ended December 31, 2022 and who received in excess of $100,000 in compensation during such fiscal year (collectively referred to as the “</w:t>
      </w:r>
      <w:r>
        <w:rPr>
          <w:rFonts w:ascii="Times New Roman;Times;serif" w:hAnsi="Times New Roman;Times;serif"/>
          <w:b/>
          <w:color w:val="000000"/>
          <w:sz w:val="20"/>
          <w:u w:val="single"/>
        </w:rPr>
        <w:t>named executive officers</w:t>
      </w:r>
      <w:r>
        <w:rPr>
          <w:rFonts w:ascii="Times New Roman;Times;serif" w:hAnsi="Times New Roman;Times;serif"/>
          <w:color w:val="000000"/>
          <w:sz w:val="20"/>
        </w:rPr>
        <w:t>”).</w:t>
      </w:r>
    </w:p>
    <w:tbl>
      <w:tblPr>
        <w:tblW w:w="10205" w:type="dxa"/>
        <w:jc w:val="left"/>
        <w:tblInd w:w="0" w:type="dxa"/>
        <w:tblCellMar>
          <w:top w:w="0" w:type="dxa"/>
          <w:left w:w="0" w:type="dxa"/>
          <w:bottom w:w="85" w:type="dxa"/>
          <w:right w:w="0" w:type="dxa"/>
        </w:tblCellMar>
      </w:tblPr>
      <w:tblGrid>
        <w:gridCol w:w="3892"/>
        <w:gridCol w:w="23"/>
        <w:gridCol w:w="23"/>
        <w:gridCol w:w="440"/>
        <w:gridCol w:w="23"/>
        <w:gridCol w:w="23"/>
        <w:gridCol w:w="800"/>
        <w:gridCol w:w="23"/>
        <w:gridCol w:w="23"/>
        <w:gridCol w:w="800"/>
        <w:gridCol w:w="23"/>
        <w:gridCol w:w="23"/>
        <w:gridCol w:w="950"/>
        <w:gridCol w:w="23"/>
        <w:gridCol w:w="23"/>
        <w:gridCol w:w="800"/>
        <w:gridCol w:w="23"/>
        <w:gridCol w:w="23"/>
        <w:gridCol w:w="1235"/>
        <w:gridCol w:w="23"/>
        <w:gridCol w:w="23"/>
        <w:gridCol w:w="966"/>
      </w:tblGrid>
      <w:tr>
        <w:trPr/>
        <w:tc>
          <w:tcPr>
            <w:tcW w:w="3892"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00" w:type="dxa"/>
            <w:tcBorders>
              <w:bottom w:val="single" w:sz="8" w:space="0" w:color="000000"/>
            </w:tcBorders>
            <w:shd w:fill="auto" w:val="clear"/>
            <w:vAlign w:val="center"/>
          </w:tcPr>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Bonus(1)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Compensation(4)</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6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r>
      <w:tr>
        <w:trPr/>
        <w:tc>
          <w:tcPr>
            <w:tcW w:w="3892"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Adam S. Grossman </w:t>
            </w:r>
          </w:p>
          <w:p>
            <w:pPr>
              <w:pStyle w:val="TableContents"/>
              <w:spacing w:lineRule="auto" w:line="240" w:before="0" w:after="283"/>
              <w:ind w:left="20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Director, President and Chief Executive Officer(5)</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$636,540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$837,351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501,000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$629,064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35" w:type="dxa"/>
            <w:tcBorders/>
            <w:shd w:fill="CCEE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45,545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$2,649,501</w:t>
            </w:r>
          </w:p>
        </w:tc>
      </w:tr>
      <w:tr>
        <w:trPr/>
        <w:tc>
          <w:tcPr>
            <w:tcW w:w="3892"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$731,142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$2,294,903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$673,859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35" w:type="dxa"/>
            <w:tcBorders/>
            <w:shd w:fill="CCEE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43,346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$4,361,250</w:t>
            </w:r>
          </w:p>
        </w:tc>
      </w:tr>
      <w:tr>
        <w:trPr/>
        <w:tc>
          <w:tcPr>
            <w:tcW w:w="3892" w:type="dxa"/>
            <w:tcBorders/>
            <w:shd w:fill="auto" w:val="clear"/>
            <w:tcMar>
              <w:bottom w:w="0" w:type="dxa"/>
            </w:tcMar>
            <w:vAlign w:val="center"/>
          </w:tcPr>
          <w:p>
            <w:pPr>
              <w:pStyle w:val="TableContents"/>
              <w:spacing w:before="0" w:after="283"/>
              <w:ind w:left="0" w:right="0" w:hanging="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40" w:type="dxa"/>
            <w:tcBorders/>
            <w:shd w:fill="auto" w:val="clear"/>
            <w:tcMar>
              <w:bottom w:w="0" w:type="dxa"/>
            </w:tcMar>
            <w:vAlign w:val="center"/>
          </w:tcPr>
          <w:p>
            <w:pPr>
              <w:pStyle w:val="TableContents"/>
              <w:spacing w:before="0" w:after="283"/>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35" w:type="dxa"/>
            <w:tcBorders/>
            <w:shd w:fill="auto" w:val="clear"/>
            <w:tcMar>
              <w:bottom w:w="0" w:type="dxa"/>
            </w:tcMar>
            <w:vAlign w:val="center"/>
          </w:tcPr>
          <w:p>
            <w:pPr>
              <w:pStyle w:val="TableContents"/>
              <w:spacing w:before="0" w:after="283"/>
              <w:ind w:left="188"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989" w:type="dxa"/>
            <w:gridSpan w:val="2"/>
            <w:tcBorders/>
            <w:shd w:fill="auto" w:val="clear"/>
            <w:tcMar>
              <w:bottom w:w="0" w:type="dxa"/>
            </w:tcMar>
          </w:tcPr>
          <w:p>
            <w:pPr>
              <w:pStyle w:val="TableContents"/>
              <w:spacing w:before="0" w:after="283"/>
              <w:rPr>
                <w:sz w:val="4"/>
                <w:szCs w:val="4"/>
              </w:rPr>
            </w:pPr>
            <w:r>
              <w:rPr>
                <w:sz w:val="4"/>
                <w:szCs w:val="4"/>
              </w:rPr>
            </w:r>
          </w:p>
        </w:tc>
      </w:tr>
      <w:tr>
        <w:trPr/>
        <w:tc>
          <w:tcPr>
            <w:tcW w:w="3892"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Brian Lenz</w:t>
            </w:r>
          </w:p>
          <w:p>
            <w:pPr>
              <w:pStyle w:val="TableContents"/>
              <w:spacing w:lineRule="auto" w:line="240" w:before="0" w:after="283"/>
              <w:ind w:left="200" w:right="0" w:hanging="0"/>
              <w:jc w:val="left"/>
              <w:rPr>
                <w:rFonts w:ascii="Times New Roman;Times;serif" w:hAnsi="Times New Roman;Times;serif"/>
                <w:b w:val="false"/>
                <w:i/>
                <w:color w:val="000000"/>
                <w:sz w:val="20"/>
              </w:rPr>
            </w:pPr>
            <w:r>
              <w:rPr>
                <w:rFonts w:ascii="Times New Roman;Times;serif" w:hAnsi="Times New Roman;Times;serif"/>
                <w:b w:val="false"/>
                <w:i/>
                <w:color w:val="000000"/>
                <w:sz w:val="20"/>
              </w:rPr>
              <w:t>Executive Vice President and Chief Financial Officer(6)</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$445,578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$471,755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229,625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$288,321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35" w:type="dxa"/>
            <w:tcBorders/>
            <w:shd w:fill="CCEE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$165,785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$1,601,064</w:t>
            </w:r>
          </w:p>
        </w:tc>
      </w:tr>
      <w:tr>
        <w:trPr/>
        <w:tc>
          <w:tcPr>
            <w:tcW w:w="3892"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$432,600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$420,284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$1,146,250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$204,200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35" w:type="dxa"/>
            <w:tcBorders/>
            <w:shd w:fill="CCEE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$163,346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$2,366,680</w:t>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Bonus amounts for 2022 include (i) annual cash bonuses of $612,351 and $296,755 for each of Mr. Grossman and Mr. Lenz, which were paid to the named executive officers in March 2023 and (ii) retention bonuses of $225,000 and $175,000 for each of Mr. Grossman and Mr. Lenz which were paid to the named executive officers in June 2022. Bonus amounts for 2021 include (i) annual cash bonuses of $506,142 and $245,284 for each of Mr. Grossman and Mr. Lenz, which were paid to the named executive officers in March 2022 and (ii) retention bonuses of $225,000 and $175,000 for each of Mr. Grossman and Mr. Lenz which were paid to the named executive officers in September 2021.</w:t>
            </w:r>
          </w:p>
        </w:tc>
      </w:tr>
    </w:tbl>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Stock awards amounts for 2022 includes RSUs granted on March 7, 2022, with a grant date fair value of $501,000 and 229,625 for Mr. Grossman and Mr. Lenz, respectively. Stock awards amounts for 2021 includes (i) retention RSU awards with a grant date fair value of $1,864,500 (or 1,650,000 RSUs based on the $1.13 per share closing price of the Company’s common stock on the Nasdaq Global Market on the date of grant) and $1,017,000 (or 900,000 RSUs based on the $1.13 per share closing price of the Company’s common stock on the Nasdaq Global Market on the date of grant) for Mr. Grossman and Mr. Lenz, respectively, granted on September 29, 2021 and subject to the applicable executive’s continued employment by the Company on the applicable vesting date (the “Retention RSUs”) and (ii) RSUs granted on February 25, 2021 with a grant date fair value of $430,403 and $129,250 for Mr. Grossman and Mr. Lenz, respectively. 55% of the Retention RSUs are subject to time-based vesting conditions (the “Time-Based RSUs”), of which (x) 50% of the Time-Based RSUs vested on December 31, 2022 (“Initial Vesting Date”) and (y) 50% of the Time-Based RSUs shall vest in eight (8) equal quarterly installments over a period of two years following the Initial Vesting Date, becoming fully vested on December 31, 2024; and 45% of the Retention RSUs are subject to milestone-based vesting conditions (the “Milestone-Based RSUs”) of which (x) 22.2% of the Milestone-Based RSUs became vested upon the completion of a debt refinancing which adds non-dilutive capital to the Company’s balance sheet before or during the calendar year ending December 31, 2022, (y) 33.3% of the Milestone-Based RSUs became vested upon the achievement of a 15% gross margin on BIVIGAM® without intermediates by the end of the fourth quarter of 2022, and (z) 44.5% of the Milestone-Based RSUs became vested upon the achievement of $35 million in quarterly revenues in or before the fourth quarter of 2022. The amount reflected in the table represents the aggregate grant date fair value of RSUs granted during 2022 and 2021 and is computed in accordance with FASB ASC Topic 718. The fair value of RSUs are determined based on the closing price of the Company’s common stock on the date of grant.</w:t>
            </w:r>
          </w:p>
        </w:tc>
      </w:tr>
    </w:tbl>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 reflected in the table represents the aggregate grant-date fair value of options computed in accordance with FASB ASC Topic 718 (formerly FAS 123R). We estimate the fair value of each option on the grant date using the Black-Scholes model with the following assumptions: To determine the risk-free interest rate, we utilized the U.S. Treasury yield curve in effect at the time of grant with a term consistent with the expected term of our awards. The expected term of the options granted is in accordance with Staff Accounting Bulletin 107 which is based on the average between vesting term and contractual term. The expected dividend yield reflects our current and expected future policy for dividends on our common stock. The expected stock price volatility for our stock options was calculated by examining the historical volatility of our common stock since it became publicly traded in the fourth quarter of 2013. Pursuant to current accounting guidance, we have elected not to establish a forfeiture rate, as stock-based compensation expense related to forfeitures of unvested equity awards is fully reversed at the time of forfeiture. The material terms of the options held are described in the footnotes to the Outstanding Equity Awards at Fiscal-Year End table.</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For Mr. Grossman and Mr. Lenz, other compensation includes $11,600 and $12,200 in 2021 and 2022, respectively, in employer contributions to employee accounts under our 401(k) plan in which our employees are entitled to participate in 2021 and 2022, respectively. Such amounts were earned for services performed in 2021 and 2022 and were paid in full in 2021 and 2022, respectively. With respect to Mr. Grossman, other compensation also includes (i) for 2021, $31,746 in medical benefits paid by the Company and (ii) for 2022, $33,345 in medical benefits paid by the Company. With respect to Mr. Lenz, other compensation also includes (i) for 2021, $31,746 in medical benefits paid by the Company and a $120,000 stipend for temporary housing in Boca Raton, Florida and (ii) for 2022, $33,585 in medical benefits paid by the Company and a $120,000 stipend for temporary housing in Boca Raton, Florida.</w:t>
            </w:r>
          </w:p>
        </w:tc>
      </w:tr>
    </w:tbl>
    <w:tbl>
      <w:tblPr>
        <w:tblW w:w="6580" w:type="dxa"/>
        <w:jc w:val="left"/>
        <w:tblInd w:w="0" w:type="dxa"/>
        <w:tblCellMar>
          <w:top w:w="0" w:type="dxa"/>
          <w:left w:w="0" w:type="dxa"/>
          <w:bottom w:w="0" w:type="dxa"/>
          <w:right w:w="0" w:type="dxa"/>
        </w:tblCellMar>
      </w:tblPr>
      <w:tblGrid>
        <w:gridCol w:w="230"/>
        <w:gridCol w:w="635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35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Grossman has served as our President and Chief Executive Officer since October 2011.</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Lenz served as our Vice President and Chief Financial Officer from May 2012 until June 2018 and has served as our Executive Vice President and Chief Financial Officer since June 2018 and in September 2021 became the General Manager, of the Company’s wholly-owned subsidiary, ADMA BioCenters.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1" w:name="DSPFPageBreakArea24"/>
      <w:bookmarkStart w:id="132" w:name="DSPFPageBreakArea24"/>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3" w:name="DSPFPageBreak24"/>
      <w:bookmarkStart w:id="134" w:name="DSPFPageBreak24"/>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5" w:name="ny20007545x2_def14a_108-executive_pg4"/>
        <w:bookmarkEnd w:id="13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Outstanding Equity Awards at Fiscal Year-End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unexercised options and equity incentive plan awards which have not yet vested held by each of the named executive officers as of December 31, 2022.</w:t>
      </w:r>
    </w:p>
    <w:tbl>
      <w:tblPr>
        <w:tblW w:w="10205" w:type="dxa"/>
        <w:jc w:val="left"/>
        <w:tblInd w:w="0" w:type="dxa"/>
        <w:tblCellMar>
          <w:top w:w="0" w:type="dxa"/>
          <w:left w:w="0" w:type="dxa"/>
          <w:bottom w:w="0" w:type="dxa"/>
          <w:right w:w="0" w:type="dxa"/>
        </w:tblCellMar>
      </w:tblPr>
      <w:tblGrid>
        <w:gridCol w:w="3659"/>
        <w:gridCol w:w="23"/>
        <w:gridCol w:w="23"/>
        <w:gridCol w:w="797"/>
        <w:gridCol w:w="23"/>
        <w:gridCol w:w="23"/>
        <w:gridCol w:w="881"/>
        <w:gridCol w:w="23"/>
        <w:gridCol w:w="23"/>
        <w:gridCol w:w="1085"/>
        <w:gridCol w:w="23"/>
        <w:gridCol w:w="23"/>
        <w:gridCol w:w="656"/>
        <w:gridCol w:w="23"/>
        <w:gridCol w:w="23"/>
        <w:gridCol w:w="860"/>
        <w:gridCol w:w="23"/>
        <w:gridCol w:w="23"/>
        <w:gridCol w:w="913"/>
        <w:gridCol w:w="23"/>
        <w:gridCol w:w="23"/>
        <w:gridCol w:w="1032"/>
      </w:tblGrid>
      <w:tr>
        <w:trPr/>
        <w:tc>
          <w:tcPr>
            <w:tcW w:w="3659"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4463" w:type="dxa"/>
            <w:gridSpan w:val="13"/>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991"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r>
      <w:tr>
        <w:trPr/>
        <w:tc>
          <w:tcPr>
            <w:tcW w:w="3659"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97"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81"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08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Unexercisable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(1) (#)</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56"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6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13"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unit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yet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032"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value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unearned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units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vested(2) ($)</w:t>
            </w:r>
          </w:p>
        </w:tc>
      </w:tr>
      <w:tr>
        <w:trPr/>
        <w:tc>
          <w:tcPr>
            <w:tcW w:w="3659" w:type="dxa"/>
            <w:vMerge w:val="restart"/>
            <w:tcBorders/>
            <w:shd w:fill="CCEEFF" w:val="clear"/>
            <w:vAlign w:val="center"/>
          </w:tcPr>
          <w:p>
            <w:pPr>
              <w:pStyle w:val="TableContents"/>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Adam S. Grossman</w:t>
            </w:r>
            <w:r>
              <w:rPr>
                <w:rFonts w:ascii="Times New Roman;Times;serif" w:hAnsi="Times New Roman;Times;serif"/>
                <w:b/>
                <w:i/>
                <w:caps w:val="false"/>
                <w:smallCaps w:val="false"/>
                <w:color w:val="000000"/>
                <w:sz w:val="20"/>
              </w:rPr>
              <w:t xml:space="preserve"> </w:t>
            </w:r>
          </w:p>
          <w:p>
            <w:pPr>
              <w:pStyle w:val="TableContents"/>
              <w:spacing w:before="0" w:after="283"/>
              <w:ind w:left="20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 President and Chief Executive Officer</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2/21/2014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99,309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2/21/2024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1/30/2015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10/9/2015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40,500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9.37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1/28/2016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16,984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1/28/2026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2/14/2017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6/6/2017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583,224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2/9/2018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350,000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1/23/2019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2/28/2020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257,291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67,709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2/28/2030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2/28/2020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194,000</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2/25/2021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248,462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210,238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2/25/2021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162,893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632,024</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9/29/2021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453,750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1,760,550</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3/7/2022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162,500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437,500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3/7/2022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300,000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1,164,000</w:t>
            </w:r>
          </w:p>
        </w:tc>
      </w:tr>
      <w:tr>
        <w:trPr/>
        <w:tc>
          <w:tcPr>
            <w:tcW w:w="3659"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97"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1" w:type="dxa"/>
            <w:tcBorders/>
            <w:shd w:fill="auto" w:val="clear"/>
            <w:vAlign w:val="center"/>
          </w:tcPr>
          <w:p>
            <w:pPr>
              <w:pStyle w:val="TableContents"/>
              <w:spacing w:before="0" w:after="283"/>
              <w:ind w:left="69"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85" w:type="dxa"/>
            <w:tcBorders/>
            <w:shd w:fill="auto" w:val="clear"/>
            <w:vAlign w:val="center"/>
          </w:tcPr>
          <w:p>
            <w:pPr>
              <w:pStyle w:val="TableContents"/>
              <w:spacing w:before="0" w:after="283"/>
              <w:ind w:left="163"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56"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3" w:type="dxa"/>
            <w:tcBorders/>
            <w:shd w:fill="auto" w:val="clear"/>
            <w:vAlign w:val="center"/>
          </w:tcPr>
          <w:p>
            <w:pPr>
              <w:pStyle w:val="TableContents"/>
              <w:spacing w:before="0" w:after="283"/>
              <w:ind w:left="102"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32" w:type="dxa"/>
            <w:tcBorders/>
            <w:shd w:fill="auto" w:val="clear"/>
            <w:vAlign w:val="center"/>
          </w:tcPr>
          <w:p>
            <w:pPr>
              <w:pStyle w:val="TableContents"/>
              <w:spacing w:before="0" w:after="283"/>
              <w:ind w:left="65" w:right="0" w:hanging="0"/>
              <w:rPr>
                <w:sz w:val="4"/>
                <w:szCs w:val="4"/>
              </w:rPr>
            </w:pPr>
            <w:r>
              <w:rPr>
                <w:sz w:val="4"/>
                <w:szCs w:val="4"/>
              </w:rPr>
            </w:r>
          </w:p>
        </w:tc>
      </w:tr>
      <w:tr>
        <w:trPr/>
        <w:tc>
          <w:tcPr>
            <w:tcW w:w="3659" w:type="dxa"/>
            <w:vMerge w:val="restart"/>
            <w:tcBorders/>
            <w:shd w:fill="CCEEFF" w:val="clear"/>
            <w:vAlign w:val="center"/>
          </w:tcPr>
          <w:p>
            <w:pPr>
              <w:pStyle w:val="TableContents"/>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Brian Lenz</w:t>
            </w:r>
            <w:r>
              <w:rPr>
                <w:rFonts w:ascii="Times New Roman;Times;serif" w:hAnsi="Times New Roman;Times;serif"/>
                <w:b/>
                <w:i/>
                <w:caps w:val="false"/>
                <w:smallCaps w:val="false"/>
                <w:color w:val="000000"/>
                <w:sz w:val="20"/>
              </w:rPr>
              <w:t xml:space="preserve"> </w:t>
            </w:r>
          </w:p>
          <w:p>
            <w:pPr>
              <w:pStyle w:val="TableContents"/>
              <w:spacing w:before="0" w:after="283"/>
              <w:ind w:left="20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Executive Vice President and Chief Financial Officer</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2/21/2014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39,032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2/21/2024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1/30/2015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18,000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10/9/2015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23,000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9.37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1/28/2016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5,750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1/28/2026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2/14/2017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22,500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6/6/2017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192,472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2/9/2018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1/23/2019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2/28/2020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79,166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20,834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2.915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2/28/2030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2/28/2020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77,600</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2/25/2021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75,291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63,709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2/25/2021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47,207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183,163</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9/29/2021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247,500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960,300</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3/7/2022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74,479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200,521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color w:val="000000"/>
              </w:rPr>
            </w:pPr>
            <w:r>
              <w:rPr>
                <w:color w:val="000000"/>
              </w:rPr>
              <w:t>—</w:t>
            </w:r>
          </w:p>
        </w:tc>
      </w:tr>
      <w:tr>
        <w:trPr/>
        <w:tc>
          <w:tcPr>
            <w:tcW w:w="3659"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79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3/7/2022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1" w:type="dxa"/>
            <w:tcBorders/>
            <w:shd w:fill="CCEEFF" w:val="clear"/>
            <w:vAlign w:val="center"/>
          </w:tcPr>
          <w:p>
            <w:pPr>
              <w:pStyle w:val="TableContents"/>
              <w:spacing w:before="0" w:after="283"/>
              <w:ind w:left="6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16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6"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3" w:type="dxa"/>
            <w:tcBorders/>
            <w:shd w:fill="CCEEFF" w:val="clear"/>
            <w:vAlign w:val="center"/>
          </w:tcPr>
          <w:p>
            <w:pPr>
              <w:pStyle w:val="TableContents"/>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137,500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32" w:type="dxa"/>
            <w:tcBorders/>
            <w:shd w:fill="CCEEFF"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533,500</w:t>
            </w:r>
          </w:p>
        </w:tc>
      </w:tr>
    </w:tbl>
    <w:tbl>
      <w:tblPr>
        <w:tblW w:w="10205" w:type="dxa"/>
        <w:jc w:val="left"/>
        <w:tblInd w:w="0" w:type="dxa"/>
        <w:tblCellMar>
          <w:top w:w="0" w:type="dxa"/>
          <w:left w:w="0" w:type="dxa"/>
          <w:bottom w:w="0" w:type="dxa"/>
          <w:right w:w="0" w:type="dxa"/>
        </w:tblCellMar>
      </w:tblPr>
      <w:tblGrid>
        <w:gridCol w:w="187"/>
        <w:gridCol w:w="10018"/>
      </w:tblGrid>
      <w:tr>
        <w:trPr/>
        <w:tc>
          <w:tcPr>
            <w:tcW w:w="18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With respect to option grants that have unvested options outstanding, each option grant vests over four years, with 25% vesting on the first anniversary of the grant date and the remaining 75% vesting in equal monthly installments over the following 36 months of continued employment, subject to accelerated vesting upon certain terminations of employment in connection with a change in control (as described below under “Agreements with Named Executive Officers”).</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RSUs, which were granted on the dates and in the amounts shown in the table above. The value reported for the RSUs was determined by multiplying the number of unvested RSUs by the closing market price of $3.88 of the Company’s common stock on December 30, 2022 (the last trading day in 2022).</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6" w:name="DSPFPageBreakArea25"/>
      <w:bookmarkStart w:id="137" w:name="DSPFPageBreakArea25"/>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8" w:name="DSPFPageBreak25"/>
      <w:bookmarkStart w:id="139" w:name="DSPFPageBreak25"/>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0" w:name="ny20007545x2_def14a_108-executive_pg5"/>
        <w:bookmarkEnd w:id="14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7, 2022, the Company granted to each of Mr. Grossman and Mr. Lenz an option to purchase 600,000 and 275,000 shares, respectively, of the Company’s common stock at an exercise price of $1.67 per share. Each option granted to such named executive officers vests over four years with 25% of the shares of Common Stock underlying the options vesting on the one year anniversary of the date of grant and the remaining 75% of such shares vesting monthly in equal installments over the next three years, becoming fully vested on March 7, 2026, subject to accelerated vesting upon certain terminations of employment in connection with a change in control (as described below under “</w:t>
      </w:r>
      <w:r>
        <w:rPr>
          <w:rFonts w:ascii="Times New Roman;Times;serif" w:hAnsi="Times New Roman;Times;serif"/>
          <w:i/>
          <w:color w:val="000000"/>
          <w:sz w:val="20"/>
        </w:rPr>
        <w:t>Agreements with Named Executive Officers</w:t>
      </w:r>
      <w:r>
        <w:rPr>
          <w:rFonts w:ascii="Times New Roman;Times;serif" w:hAnsi="Times New Roman;Times;serif"/>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Also on March 7, 2022, the Company granted to each of Mr. Grossman and Mr. Lenz 300,000 and 137,500 RSUs, respectively. Each RSUs granted to such named executive officers will vest quarterly on each anniversary of the date of grant, over four years, subject to the reporting person's continued service as of the applicable vesting date. In each case, the RSUs will settle into shares of the Company common stock upon vesting.</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Agreements with Named Executive Officers</w:t>
      </w:r>
    </w:p>
    <w:p>
      <w:pPr>
        <w:pStyle w:val="TextBody"/>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Adam S. Grossman - President and Chief Executive Officer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January 29, 2019, the Company entered into an amended and restated employment agreement with its President and Chief Executive Officer, Adam S. Grossman (the “</w:t>
      </w:r>
      <w:r>
        <w:rPr>
          <w:rFonts w:ascii="Times New Roman;Times;serif" w:hAnsi="Times New Roman;Times;serif"/>
          <w:b/>
          <w:color w:val="000000"/>
          <w:sz w:val="20"/>
          <w:u w:val="single"/>
        </w:rPr>
        <w:t>Original Grossman Agreement</w:t>
      </w:r>
      <w:r>
        <w:rPr>
          <w:rFonts w:ascii="Times New Roman;Times;serif" w:hAnsi="Times New Roman;Times;serif"/>
          <w:color w:val="000000"/>
          <w:sz w:val="20"/>
        </w:rPr>
        <w:t>”). The Original Grossman Agreement was amended on September 29, 2021 (the “</w:t>
      </w:r>
      <w:r>
        <w:rPr>
          <w:rFonts w:ascii="Times New Roman;Times;serif" w:hAnsi="Times New Roman;Times;serif"/>
          <w:b/>
          <w:color w:val="000000"/>
          <w:sz w:val="20"/>
        </w:rPr>
        <w:t>Grossman Amendment</w:t>
      </w:r>
      <w:r>
        <w:rPr>
          <w:rFonts w:ascii="Times New Roman;Times;serif" w:hAnsi="Times New Roman;Times;serif"/>
          <w:color w:val="000000"/>
          <w:sz w:val="20"/>
        </w:rPr>
        <w:t>” and the Original Grossman Agreement, as amended by the Grossman Amendment, the “</w:t>
      </w:r>
      <w:r>
        <w:rPr>
          <w:rFonts w:ascii="Times New Roman;Times;serif" w:hAnsi="Times New Roman;Times;serif"/>
          <w:b/>
          <w:color w:val="000000"/>
          <w:sz w:val="20"/>
        </w:rPr>
        <w:t>Grossman Agreement</w:t>
      </w:r>
      <w:r>
        <w:rPr>
          <w:rFonts w:ascii="Times New Roman;Times;serif" w:hAnsi="Times New Roman;Times;serif"/>
          <w:color w:val="000000"/>
          <w:sz w:val="20"/>
        </w:rPr>
        <w:t>”). The Grossman Agreement provides that the employment relationship may be terminated by either party for any reason, at any time, with or without prior notice and with or without “Cause” (as defined therein). The Grossman Agreement provides that Mr. Grossman is (i) entitled to a base salary of $536,000 annually, (ii) eligible for an annual cash bonus with a target equal to 55% of Mr. Grossman’s base salary, based upon the attainment of certain performance milestones and objectives established by the Board (acting through the Compensation Committee) in consultation with Mr. Grossman; and (iii) eligible to participate in the Company’s standard benefits package. Effective February 2021, Mr. Grossman’s annual cash bonus target was increased to 65%. Mr. Grossman’s base salary was increased to $636,540 annually effective January 1, 2022.</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Grossman Agreement further provides, in the event (i) that Mr. Grossman is terminated by the Company without Cause, (ii) that Mr. Grossman resigns for “Good Reason” (as defined therein), or (iii) of any termination resulting from a “Change of Control” (as defined therein) in which the Grossman Agreement is not assumed by the successor to the Company, he would be entitled to (in addition to any accrued but unpaid salary and expenses): (A) in the event Mr. Grossman elects continued coverage under the Consolidated Omnibus Budget Reconciliation Act (COBRA), reimbursement from the Company for the same portion of Mr. Grossman’s family COBRA health insurance premium that it paid during his employment up until the earlier of (x) the date 18 months after Mr. Grossman’s termination and (y) the date on which Mr. Grossman is eligible for comparable health benefits with another company or business entity; provided, however, that in the event Mr. Grossman’s employment is terminated without Cause, for Good Reason or resulting from a Change of Control in which the Grossman Agreement is not assumed by the Company’s successor, and such termination immediately precedes, or occurs within two years following, a Change of Control, the Company will reimburse Mr. Grossman for the same portion of his family COBRA health insurance premium that it paid during his employment up until the earlier of (I) the date 24 months after the date of Mr. Grossman’s termination and (II) the date on which Mr. Grossman is eligible for comparable health benefits with another company or business entity; (B) a severance payment equal to 18 months of base salary plus one and one half times “Target Bonus” (as defined therein) payable in 18 monthly, equal installments after termination or, if such termination is immediately preceding or within two years following a Change of Control, a severance payment equal to 24 months’ base salary plus two times the Target Bonus payable in a lump sum, (C) the prior year Target Bonus (if unpaid and provided the Board has determined in good faith that the goals have been attained), and (C) accelerated vesting of all stock options and restricted stock units previously granted to Mr. Grossman and all stock options and restricted stock units granted in the future to Mr. Grossman, excluding the retention restricted stock units granted to Mr. Grossman pursuant to that certain Retention Award Agreement, dated as of September 29, 2021 (the “</w:t>
      </w:r>
      <w:r>
        <w:rPr>
          <w:rFonts w:ascii="Times New Roman;Times;serif" w:hAnsi="Times New Roman;Times;serif"/>
          <w:b/>
          <w:color w:val="000000"/>
          <w:sz w:val="20"/>
          <w:u w:val="single"/>
        </w:rPr>
        <w:t>Grossman Stock Options and Restricted Stock Units</w:t>
      </w:r>
      <w:r>
        <w:rPr>
          <w:rFonts w:ascii="Times New Roman;Times;serif" w:hAnsi="Times New Roman;Times;serif"/>
          <w:color w:val="000000"/>
          <w:sz w:val="20"/>
        </w:rPr>
        <w:t xml:space="preserve">”), as described in the following sentence. If Mr. Grossman (x) is terminated without Cause or Mr. Grossman resigns for Good Reason, in either case immediately preceding or within two years after a Change of Control, such Grossman Stock Options and Restricted Stock Units will accelerate in full, and (y) is terminated without Cause or Mr. Grossman resigns for Good Reason (or if Mr. Grossman dies or becomes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1" w:name="DSPFPageBreakArea26"/>
      <w:bookmarkStart w:id="142" w:name="DSPFPageBreakArea26"/>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3" w:name="DSPFPageBreak26"/>
      <w:bookmarkStart w:id="144" w:name="DSPFPageBreak26"/>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5" w:name="ny20007545x2_def14a_108-executive_pg6"/>
        <w:bookmarkEnd w:id="14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disabled), and clause (x) does not apply, the portion of such Grossman Stock Options and Restricted Stock Units that would have vested on or before the first anniversary of such termination had Mr. Grossman remained employed will accelerate. Furthermore, any payments, awards, benefits or distributions due to Mr. Grossman under the Grossman Agreement as a result of a transaction described in Section 280G(b)(2)(A)(i) (“</w:t>
      </w:r>
      <w:r>
        <w:rPr>
          <w:rFonts w:ascii="Times New Roman;Times;serif" w:hAnsi="Times New Roman;Times;serif"/>
          <w:b/>
          <w:color w:val="000000"/>
          <w:sz w:val="20"/>
          <w:u w:val="single"/>
        </w:rPr>
        <w:t>Section 280G</w:t>
      </w:r>
      <w:r>
        <w:rPr>
          <w:rFonts w:ascii="Times New Roman;Times;serif" w:hAnsi="Times New Roman;Times;serif"/>
          <w:color w:val="000000"/>
          <w:sz w:val="20"/>
        </w:rPr>
        <w:t>”) of the Internal Revenue Code of 1986, as amended (the “</w:t>
      </w:r>
      <w:r>
        <w:rPr>
          <w:rFonts w:ascii="Times New Roman;Times;serif" w:hAnsi="Times New Roman;Times;serif"/>
          <w:b/>
          <w:color w:val="000000"/>
          <w:sz w:val="20"/>
          <w:u w:val="single"/>
        </w:rPr>
        <w:t>Code</w:t>
      </w:r>
      <w:r>
        <w:rPr>
          <w:rFonts w:ascii="Times New Roman;Times;serif" w:hAnsi="Times New Roman;Times;serif"/>
          <w:color w:val="000000"/>
          <w:sz w:val="20"/>
        </w:rPr>
        <w:t>”), may be subject to a cutback as set forth in the Grossman Agreement. In the event that the Grossman Agreement is terminated as a result of Mr. Grossman’s death, becoming disabled, material breach of the agreement, by the Company with Cause or if Mr. Grossman resigns without Good Reason, the Company shall have no further obligations to Mr. Grossman under the Grossman Agreement except for payment of accrued, but unpaid base salary, through the termination date, any unreimbursed expenses, subject to any right of set-off and, if terminated as a result of Mr. Grossman’s death or becoming disabled, the Company will reimburse Mr. Grossman (or his qualified beneficiaries) for the same portion of his family COBRA health insurance premium (if continued coverage under COBRA is elected) that it paid during Mr. Grossman’s employment for at least 12 months after the date of his termination and his or his estate shall be entitled to any unpaid annual bonus from any prior performance year.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Grossman Agreement also contains a mutual non-disparagement covenant and customary non-competition, non-solicitation, confidentiality, corporate opportunity restrictive covenant and intellectual property covenants.</w:t>
      </w:r>
    </w:p>
    <w:p>
      <w:pPr>
        <w:pStyle w:val="TextBody"/>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Brian Lenz – Executive Vice President and Chief Financial Officer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January 29, 2019, the Company entered into an amended and restated employment agreement with its Executive Vice President and Chief Financial Officer (the “</w:t>
      </w:r>
      <w:r>
        <w:rPr>
          <w:rFonts w:ascii="Times New Roman;Times;serif" w:hAnsi="Times New Roman;Times;serif"/>
          <w:b/>
          <w:color w:val="000000"/>
          <w:sz w:val="20"/>
          <w:u w:val="single"/>
        </w:rPr>
        <w:t>Original Lenz Agreement</w:t>
      </w:r>
      <w:r>
        <w:rPr>
          <w:rFonts w:ascii="Times New Roman;Times;serif" w:hAnsi="Times New Roman;Times;serif"/>
          <w:color w:val="000000"/>
          <w:sz w:val="20"/>
        </w:rPr>
        <w:t>”). The Original Lenz Agreement was amended on September 29, 2021 (the “</w:t>
      </w:r>
      <w:r>
        <w:rPr>
          <w:rFonts w:ascii="Times New Roman;Times;serif" w:hAnsi="Times New Roman;Times;serif"/>
          <w:b/>
          <w:color w:val="000000"/>
          <w:sz w:val="20"/>
        </w:rPr>
        <w:t>Lenz Amendment</w:t>
      </w:r>
      <w:r>
        <w:rPr>
          <w:rFonts w:ascii="Times New Roman;Times;serif" w:hAnsi="Times New Roman;Times;serif"/>
          <w:color w:val="000000"/>
          <w:sz w:val="20"/>
        </w:rPr>
        <w:t>” and the Original Lenz Agreement, as amended by the Lenz Amendment, the “</w:t>
      </w:r>
      <w:r>
        <w:rPr>
          <w:rFonts w:ascii="Times New Roman;Times;serif" w:hAnsi="Times New Roman;Times;serif"/>
          <w:b/>
          <w:color w:val="000000"/>
          <w:sz w:val="20"/>
        </w:rPr>
        <w:t>Lenz Agreement</w:t>
      </w:r>
      <w:r>
        <w:rPr>
          <w:rFonts w:ascii="Times New Roman;Times;serif" w:hAnsi="Times New Roman;Times;serif"/>
          <w:color w:val="000000"/>
          <w:sz w:val="20"/>
        </w:rPr>
        <w:t>”). The Lenz Agreement provides that the employment relationship may be terminated by either party for any reason, at any time, with or without prior notice and with or without “Cause” (as defined therein). The Lenz Agreement provides that Mr. Lenz is (i) entitled to a base salary of $390,000 annually, (ii) eligible for an annual cash bonus with a target equal to 40% of Mr. Lenz’s base salary, based upon the attainment of certain performance milestones and objectives established by the Board (acting through the Compensation Committee) in consultation with Mr. Lenz; and (iii) eligible to participate in the Company’s standard benefits package. Effective February 2021, Mr. Lenz’s annual cash bonus target was increased to 45%. Mr. Lenz’s base salary was increased to $445,578 annually effective January 1, 2022.</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Lenz Agreement further provides, in the event (i) that Mr. Lenz is terminated by the Company without Cause, (ii) that Mr. Lenz resigns for “Good Reason” (as defined therein), or (iii) of any termination resulting from a “Change of Control” (as defined therein) in which the Lenz Agreement is not assumed by the successor to the Company, he would be entitled to (in addition to any accrued but unpaid salary and expenses): (A) in the event Mr. Lenz elects continued coverage under COBRA reimbursement from the Company for the same portion of Mr. Lenz’s family COBRA health insurance premium that it paid during his employment up until the earlier of (x) the date twelve months after Mr. Lenz’s termination and (y) the date on which Mr. Lenz is eligible for comparable health benefits with another company or business entity; provided, however, that in the event Mr. Lenz’s employment is terminated without Cause, for Good Reason or resulting from a Change of Control in which the Lenz Agreement is not assumed by the Company’s successor, and such termination immediately precedes, or occurs within one year following, a Change of Control, the Company will reimburse Mr. Lenz for the same portion of his family COBRA health insurance premium that it paid during his employment up until the earlier of (I) the date 18 months after the date of Mr. Lenz’s termination and (II) the date on which Mr. Lenz is eligible for comparable health benefits with another company or business entity; (B) a severance payment equal to one year of base salary payable in twelve monthly, equal installments after termination or, if such termination is immediately preceding or within one year following a Change of Control, a severance payment equal to 18 months’ base salary plus one and one half times the “Target Bonus” (as defined therein) payable in a lump sum, (C) the prior year Target Bonus (if unpaid and provided the Board has determined in good faith that the goals have been attained), and (C) accelerated vesting of all stock options previously granted to Mr. Lenz and all stock options granted in the future to Mr. Lenz, excluding the retention restricted stock units granted to Mr. Lenz pursuant to that certain Retention Award Agreement, dated as of September 29, 2021 (the “</w:t>
      </w:r>
      <w:r>
        <w:rPr>
          <w:rFonts w:ascii="Times New Roman;Times;serif" w:hAnsi="Times New Roman;Times;serif"/>
          <w:b/>
          <w:color w:val="000000"/>
          <w:sz w:val="20"/>
          <w:u w:val="single"/>
        </w:rPr>
        <w:t>Lenz Stock Options and Restricted Stock Units</w:t>
      </w:r>
      <w:r>
        <w:rPr>
          <w:rFonts w:ascii="Times New Roman;Times;serif" w:hAnsi="Times New Roman;Times;serif"/>
          <w:color w:val="000000"/>
          <w:sz w:val="20"/>
        </w:rPr>
        <w:t xml:space="preserve">”), as described in the following sentence. If Mr. Lenz is terminated without Cause or Mr. Lenz resigns for Good Reason, in either case immediately preceding or within one year after a Change of Control, such Lenz Stock Options and Restricted Stock Units will accelerate in full. Furthermore, any payments,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6" w:name="DSPFPageBreakArea27"/>
      <w:bookmarkStart w:id="147" w:name="DSPFPageBreakArea27"/>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8" w:name="DSPFPageBreak27"/>
      <w:bookmarkStart w:id="149" w:name="DSPFPageBreak27"/>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0" w:name="ny20007545x2_def14a_108-executive_pg7"/>
        <w:bookmarkEnd w:id="15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awards, benefits or distributions due to Mr. Lenz under the Lenz Agreement as a result of a transaction described in Section 280G may be subject to a cutback as set forth in the Lenz Agreement. In the event that the Lenz Agreement is terminated as a result of Mr. Lenz’s death, becoming disabled, material breach of the agreement, by the Company with Cause or if Mr. Lenz resigns without Good Reason, the Company shall have no further obligations to Mr. Lenz under the Lenz Agreement except for payment of accrued, but unpaid base salary, through the termination date, any unreimbursed expenses, subject to any right of set-off and, if terminated as a result of Mr. Lenz’s death or becoming disabled, the Company will reimburse Mr. Lenz (or his qualified beneficiaries) for the same portion of his family COBRA health insurance premium (if continued coverage under COBRA is elected) that it paid during Mr. Lenz’s employment for at least 12 months after the date of his termination and his or his estate shall be entitled to any unpaid annual bonus from any prior performance year.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Lenz Agreement also contains a mutual non-disparagement covenant and customary non-competition, non-solicitation, confidentiality and intellectual property covenants.</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Retirement Benefits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only retirement benefit that we offer is our 401(k) plan, which is available to all employees. We currently provide a safe harbor 4% match on an employee’s contributions to the 401(k) plan, up to the applicable limit set forth in the Code.</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Securities Authorized for Issuance under Equity Compensation Plans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regarding our equity compensation plans as of December 31, 2022:</w:t>
      </w:r>
    </w:p>
    <w:tbl>
      <w:tblPr>
        <w:tblW w:w="9353" w:type="dxa"/>
        <w:jc w:val="left"/>
        <w:tblInd w:w="0" w:type="dxa"/>
        <w:tblCellMar>
          <w:top w:w="0" w:type="dxa"/>
          <w:left w:w="0" w:type="dxa"/>
          <w:bottom w:w="85" w:type="dxa"/>
          <w:right w:w="0" w:type="dxa"/>
        </w:tblCellMar>
      </w:tblPr>
      <w:tblGrid>
        <w:gridCol w:w="4970"/>
        <w:gridCol w:w="23"/>
        <w:gridCol w:w="23"/>
        <w:gridCol w:w="1340"/>
        <w:gridCol w:w="23"/>
        <w:gridCol w:w="23"/>
        <w:gridCol w:w="1340"/>
        <w:gridCol w:w="23"/>
        <w:gridCol w:w="23"/>
        <w:gridCol w:w="1565"/>
      </w:tblGrid>
      <w:tr>
        <w:trPr/>
        <w:tc>
          <w:tcPr>
            <w:tcW w:w="497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upon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warrants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warrants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issuance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plans</w:t>
            </w:r>
          </w:p>
        </w:tc>
      </w:tr>
      <w:tr>
        <w:trPr/>
        <w:tc>
          <w:tcPr>
            <w:tcW w:w="4970"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0" w:type="dxa"/>
            <w:tcBorders/>
            <w:shd w:fill="CCEEFF" w:val="clear"/>
            <w:tcMar>
              <w:bottom w:w="0" w:type="dxa"/>
            </w:tcMar>
            <w:vAlign w:val="center"/>
          </w:tcPr>
          <w:p>
            <w:pPr>
              <w:pStyle w:val="TableContents"/>
              <w:spacing w:lineRule="auto" w:line="240"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11,123,198(1)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0" w:type="dxa"/>
            <w:tcBorders/>
            <w:shd w:fill="CCEEFF" w:val="clear"/>
            <w:tcMar>
              <w:bottom w:w="0" w:type="dxa"/>
            </w:tcMar>
            <w:vAlign w:val="center"/>
          </w:tcPr>
          <w:p>
            <w:pPr>
              <w:pStyle w:val="TableContents"/>
              <w:spacing w:before="0" w:after="283"/>
              <w:ind w:left="381" w:right="0" w:hanging="0"/>
              <w:jc w:val="left"/>
              <w:rPr>
                <w:rFonts w:ascii="Times New Roman;Times;serif" w:hAnsi="Times New Roman;Times;serif"/>
                <w:color w:val="000000"/>
                <w:sz w:val="20"/>
              </w:rPr>
            </w:pPr>
            <w:r>
              <w:rPr>
                <w:rFonts w:ascii="Times New Roman;Times;serif" w:hAnsi="Times New Roman;Times;serif"/>
                <w:color w:val="000000"/>
                <w:sz w:val="20"/>
              </w:rPr>
              <w:t>$3.37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65" w:type="dxa"/>
            <w:tcBorders/>
            <w:shd w:fill="CCEEFF" w:val="clear"/>
            <w:tcMar>
              <w:bottom w:w="0" w:type="dxa"/>
            </w:tcMar>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24,356,961</w:t>
            </w:r>
          </w:p>
        </w:tc>
      </w:tr>
      <w:tr>
        <w:trPr/>
        <w:tc>
          <w:tcPr>
            <w:tcW w:w="4970"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40" w:type="dxa"/>
            <w:tcBorders/>
            <w:shd w:fill="auto" w:val="clear"/>
            <w:tcMar>
              <w:bottom w:w="0" w:type="dxa"/>
            </w:tcMar>
            <w:vAlign w:val="center"/>
          </w:tcPr>
          <w:p>
            <w:pPr>
              <w:pStyle w:val="TableContents"/>
              <w:spacing w:before="0" w:after="283"/>
              <w:ind w:left="16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40" w:type="dxa"/>
            <w:tcBorders/>
            <w:shd w:fill="auto" w:val="clear"/>
            <w:tcMar>
              <w:bottom w:w="0" w:type="dxa"/>
            </w:tcMar>
            <w:vAlign w:val="center"/>
          </w:tcPr>
          <w:p>
            <w:pPr>
              <w:pStyle w:val="TableContents"/>
              <w:spacing w:before="0" w:after="283"/>
              <w:ind w:left="38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65" w:type="dxa"/>
            <w:tcBorders/>
            <w:shd w:fill="auto" w:val="clear"/>
            <w:tcMar>
              <w:bottom w:w="0" w:type="dxa"/>
            </w:tcMar>
            <w:vAlign w:val="center"/>
          </w:tcPr>
          <w:p>
            <w:pPr>
              <w:pStyle w:val="TableContents"/>
              <w:spacing w:before="0" w:after="283"/>
              <w:ind w:left="273" w:right="0" w:hanging="0"/>
              <w:jc w:val="left"/>
              <w:rPr>
                <w:color w:val="000000"/>
              </w:rPr>
            </w:pPr>
            <w:r>
              <w:rPr>
                <w:color w:val="000000"/>
              </w:rPr>
              <w:t>—</w:t>
            </w:r>
          </w:p>
        </w:tc>
      </w:tr>
      <w:tr>
        <w:trPr/>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0" w:type="dxa"/>
            <w:tcBorders/>
            <w:shd w:fill="CCEEFF" w:val="clear"/>
            <w:tcMar>
              <w:bottom w:w="0" w:type="dxa"/>
            </w:tcMar>
            <w:vAlign w:val="center"/>
          </w:tcPr>
          <w:p>
            <w:pPr>
              <w:pStyle w:val="TableContents"/>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11,123,198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0" w:type="dxa"/>
            <w:tcBorders/>
            <w:shd w:fill="CCEEFF" w:val="clear"/>
            <w:tcMar>
              <w:bottom w:w="0" w:type="dxa"/>
            </w:tcMar>
            <w:vAlign w:val="center"/>
          </w:tcPr>
          <w:p>
            <w:pPr>
              <w:pStyle w:val="TableContents"/>
              <w:spacing w:before="0" w:after="283"/>
              <w:ind w:left="381" w:right="0" w:hanging="0"/>
              <w:jc w:val="left"/>
              <w:rPr>
                <w:rFonts w:ascii="Times New Roman;Times;serif" w:hAnsi="Times New Roman;Times;serif"/>
                <w:color w:val="000000"/>
                <w:sz w:val="20"/>
              </w:rPr>
            </w:pPr>
            <w:r>
              <w:rPr>
                <w:rFonts w:ascii="Times New Roman;Times;serif" w:hAnsi="Times New Roman;Times;serif"/>
                <w:color w:val="000000"/>
                <w:sz w:val="20"/>
              </w:rPr>
              <w:t>$3.37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65" w:type="dxa"/>
            <w:tcBorders/>
            <w:shd w:fill="CCEEFF" w:val="clear"/>
            <w:tcMar>
              <w:bottom w:w="0" w:type="dxa"/>
            </w:tcMar>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24,356,961</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 includes 2,886,987 RSUs with no exercise price and which are excluded from the calculation of the weighted-average exercise price of outstanding options, warrants and rights reported in the table.</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1" w:name="DSPFPageBreakArea28"/>
      <w:bookmarkStart w:id="152" w:name="DSPFPageBreakArea28"/>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3" w:name="DSPFPageBreak28"/>
      <w:bookmarkStart w:id="154" w:name="DSPFPageBreak28"/>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5" w:name="ny20007545x2_def14a_109-pvp_pg1"/>
        <w:bookmarkEnd w:id="15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provides information regarding fiscal years ended December 31, 2022 and 2021 in satisfaction of Item 402(v) of Regulation S-K.</w:t>
      </w:r>
    </w:p>
    <w:tbl>
      <w:tblPr>
        <w:tblW w:w="8351" w:type="dxa"/>
        <w:jc w:val="left"/>
        <w:tblInd w:w="0" w:type="dxa"/>
        <w:tblCellMar>
          <w:top w:w="0" w:type="dxa"/>
          <w:left w:w="0" w:type="dxa"/>
          <w:bottom w:w="85" w:type="dxa"/>
          <w:right w:w="0" w:type="dxa"/>
        </w:tblCellMar>
      </w:tblPr>
      <w:tblGrid>
        <w:gridCol w:w="455"/>
        <w:gridCol w:w="23"/>
        <w:gridCol w:w="23"/>
        <w:gridCol w:w="1145"/>
        <w:gridCol w:w="23"/>
        <w:gridCol w:w="23"/>
        <w:gridCol w:w="1340"/>
        <w:gridCol w:w="23"/>
        <w:gridCol w:w="23"/>
        <w:gridCol w:w="1430"/>
        <w:gridCol w:w="23"/>
        <w:gridCol w:w="23"/>
        <w:gridCol w:w="1385"/>
        <w:gridCol w:w="23"/>
        <w:gridCol w:w="23"/>
        <w:gridCol w:w="1160"/>
        <w:gridCol w:w="23"/>
        <w:gridCol w:w="23"/>
        <w:gridCol w:w="1160"/>
      </w:tblGrid>
      <w:tr>
        <w:trPr/>
        <w:tc>
          <w:tcPr>
            <w:tcW w:w="8351" w:type="dxa"/>
            <w:gridSpan w:val="19"/>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Pay-Versus-Performance</w:t>
            </w:r>
          </w:p>
        </w:tc>
      </w:tr>
      <w:tr>
        <w:trPr/>
        <w:tc>
          <w:tcPr>
            <w:tcW w:w="45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Year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PEO ($)(1)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PEO ($)(2);(3)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4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Named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Officers ($)(4)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Named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Officers ($)(2);(3)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w:t>
            </w:r>
          </w:p>
        </w:tc>
      </w:tr>
      <w:tr>
        <w:trPr/>
        <w:tc>
          <w:tcPr>
            <w:tcW w:w="4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45" w:type="dxa"/>
            <w:tcBorders/>
            <w:shd w:fill="CCEEFF" w:val="clear"/>
            <w:tcMar>
              <w:bottom w:w="0" w:type="dxa"/>
            </w:tcM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2,649,501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0" w:type="dxa"/>
            <w:tcBorders/>
            <w:shd w:fill="CCEEFF" w:val="clear"/>
            <w:tcMar>
              <w:bottom w:w="0" w:type="dxa"/>
            </w:tcMar>
            <w:vAlign w:val="center"/>
          </w:tcPr>
          <w:p>
            <w:pPr>
              <w:pStyle w:val="TableContents"/>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8,544,716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283"/>
              <w:ind w:left="243" w:right="0" w:hanging="0"/>
              <w:jc w:val="left"/>
              <w:rPr>
                <w:rFonts w:ascii="Times New Roman;Times;serif" w:hAnsi="Times New Roman;Times;serif"/>
                <w:color w:val="000000"/>
                <w:sz w:val="20"/>
              </w:rPr>
            </w:pPr>
            <w:r>
              <w:rPr>
                <w:rFonts w:ascii="Times New Roman;Times;serif" w:hAnsi="Times New Roman;Times;serif"/>
                <w:color w:val="000000"/>
                <w:sz w:val="20"/>
              </w:rPr>
              <w:t>1,601,064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85" w:type="dxa"/>
            <w:tcBorders/>
            <w:shd w:fill="CCEEFF" w:val="clear"/>
            <w:tcMar>
              <w:bottom w:w="0" w:type="dxa"/>
            </w:tcMar>
            <w:vAlign w:val="center"/>
          </w:tcPr>
          <w:p>
            <w:pPr>
              <w:pStyle w:val="TableContents"/>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4,337,081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275.00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0" w:type="dxa"/>
            <w:tcBorders/>
            <w:shd w:fill="CCEEFF" w:val="clear"/>
            <w:tcMar>
              <w:bottom w:w="0" w:type="dxa"/>
            </w:tcM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(65,903,950)</w:t>
            </w:r>
          </w:p>
        </w:tc>
      </w:tr>
      <w:tr>
        <w:trPr/>
        <w:tc>
          <w:tcPr>
            <w:tcW w:w="4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45" w:type="dxa"/>
            <w:tcBorders/>
            <w:shd w:fill="auto" w:val="clear"/>
            <w:tcMar>
              <w:bottom w:w="0" w:type="dxa"/>
            </w:tcM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4,361,250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40" w:type="dxa"/>
            <w:tcBorders/>
            <w:shd w:fill="auto" w:val="clear"/>
            <w:tcMar>
              <w:bottom w:w="0" w:type="dxa"/>
            </w:tcMar>
            <w:vAlign w:val="center"/>
          </w:tcPr>
          <w:p>
            <w:pPr>
              <w:pStyle w:val="TableContents"/>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1,997,290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30" w:type="dxa"/>
            <w:tcBorders/>
            <w:shd w:fill="auto" w:val="clear"/>
            <w:tcMar>
              <w:bottom w:w="0" w:type="dxa"/>
            </w:tcMar>
            <w:vAlign w:val="center"/>
          </w:tcPr>
          <w:p>
            <w:pPr>
              <w:pStyle w:val="TableContents"/>
              <w:spacing w:before="0" w:after="283"/>
              <w:ind w:left="243" w:right="0" w:hanging="0"/>
              <w:jc w:val="left"/>
              <w:rPr>
                <w:rFonts w:ascii="Times New Roman;Times;serif" w:hAnsi="Times New Roman;Times;serif"/>
                <w:color w:val="000000"/>
                <w:sz w:val="20"/>
              </w:rPr>
            </w:pPr>
            <w:r>
              <w:rPr>
                <w:rFonts w:ascii="Times New Roman;Times;serif" w:hAnsi="Times New Roman;Times;serif"/>
                <w:color w:val="000000"/>
                <w:sz w:val="20"/>
              </w:rPr>
              <w:t>1,730,385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85" w:type="dxa"/>
            <w:tcBorders/>
            <w:shd w:fill="auto" w:val="clear"/>
            <w:tcMar>
              <w:bottom w:w="0" w:type="dxa"/>
            </w:tcMar>
            <w:vAlign w:val="center"/>
          </w:tcPr>
          <w:p>
            <w:pPr>
              <w:pStyle w:val="TableContents"/>
              <w:spacing w:before="0" w:after="283"/>
              <w:ind w:left="204" w:right="0" w:hanging="0"/>
              <w:jc w:val="left"/>
              <w:rPr>
                <w:rFonts w:ascii="Times New Roman;Times;serif" w:hAnsi="Times New Roman;Times;serif"/>
                <w:color w:val="000000"/>
                <w:sz w:val="20"/>
              </w:rPr>
            </w:pPr>
            <w:r>
              <w:rPr>
                <w:rFonts w:ascii="Times New Roman;Times;serif" w:hAnsi="Times New Roman;Times;serif"/>
                <w:color w:val="000000"/>
                <w:sz w:val="20"/>
              </w:rPr>
              <w:t>557,225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20"/>
              </w:rPr>
            </w:pPr>
            <w:r>
              <w:rPr>
                <w:rFonts w:ascii="Times New Roman;Times;serif" w:hAnsi="Times New Roman;Times;serif"/>
                <w:color w:val="000000"/>
                <w:sz w:val="20"/>
              </w:rPr>
              <w:t>72.00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60" w:type="dxa"/>
            <w:tcBorders/>
            <w:shd w:fill="auto" w:val="clear"/>
            <w:tcMar>
              <w:bottom w:w="0" w:type="dxa"/>
            </w:tcM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(71,647,618)</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04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in the column reflect the amounts reported in the “Total” column of the Summary Compensation Table for Mr. Adam Grossman, the Company’s President and Chief Executive Officer.</w:t>
            </w:r>
          </w:p>
        </w:tc>
      </w:tr>
    </w:tbl>
    <w:tbl>
      <w:tblPr>
        <w:tblW w:w="10205" w:type="dxa"/>
        <w:jc w:val="left"/>
        <w:tblInd w:w="0" w:type="dxa"/>
        <w:tblCellMar>
          <w:top w:w="0" w:type="dxa"/>
          <w:left w:w="0" w:type="dxa"/>
          <w:bottom w:w="0" w:type="dxa"/>
          <w:right w:w="0" w:type="dxa"/>
        </w:tblCellMar>
      </w:tblPr>
      <w:tblGrid>
        <w:gridCol w:w="153"/>
        <w:gridCol w:w="10052"/>
      </w:tblGrid>
      <w:tr>
        <w:trPr/>
        <w:tc>
          <w:tcPr>
            <w:tcW w:w="153" w:type="dxa"/>
            <w:tcBorders/>
            <w:shd w:fill="auto" w:val="clear"/>
            <w:vAlign w:val="center"/>
          </w:tcPr>
          <w:p>
            <w:pPr>
              <w:pStyle w:val="TableContents"/>
              <w:spacing w:before="0" w:after="0"/>
              <w:jc w:val="left"/>
              <w:rPr>
                <w:rFonts w:ascii="Times New Roman;Times;serif" w:hAnsi="Times New Roman;Times;serif"/>
                <w:color w:val="000000"/>
                <w:sz w:val="12"/>
              </w:rPr>
            </w:pPr>
            <w:r>
              <w:rPr>
                <w:rFonts w:ascii="Times New Roman;Times;serif" w:hAnsi="Times New Roman;Times;serif"/>
                <w:color w:val="000000"/>
                <w:sz w:val="12"/>
              </w:rPr>
              <w:t>(2)</w:t>
            </w:r>
          </w:p>
        </w:tc>
        <w:tc>
          <w:tcPr>
            <w:tcW w:w="10052"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16"/>
              </w:rPr>
              <w:t>Compensation Actually Paid” as set forth in this column is calculated in accordance with the Rules set forth under Item 402(v) and does not reflect the actual amounts earned or that may be earned by the applicable NEO.</w:t>
            </w:r>
          </w:p>
        </w:tc>
      </w:tr>
    </w:tbl>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0"/>
              <w:jc w:val="left"/>
              <w:rPr>
                <w:rFonts w:ascii="Times New Roman;Times;serif" w:hAnsi="Times New Roman;Times;serif"/>
                <w:color w:val="000000"/>
                <w:sz w:val="12"/>
              </w:rPr>
            </w:pPr>
            <w:r>
              <w:rPr>
                <w:rFonts w:ascii="Times New Roman;Times;serif" w:hAnsi="Times New Roman;Times;serif"/>
                <w:color w:val="000000"/>
                <w:sz w:val="12"/>
              </w:rPr>
              <w:t>(3)</w:t>
            </w:r>
          </w:p>
        </w:tc>
        <w:tc>
          <w:tcPr>
            <w:tcW w:w="1005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deducted or added in calculating the equity award adjustments required under Item 402(v) are set forth in the following table. The valuation assumptions used to calculate fair values are consistent with those used in our disclosures of fair value as of the grant date.</w:t>
            </w:r>
          </w:p>
        </w:tc>
      </w:tr>
    </w:tbl>
    <w:tbl>
      <w:tblPr>
        <w:tblW w:w="10205" w:type="dxa"/>
        <w:jc w:val="left"/>
        <w:tblInd w:w="0" w:type="dxa"/>
        <w:tblCellMar>
          <w:top w:w="0" w:type="dxa"/>
          <w:left w:w="0" w:type="dxa"/>
          <w:bottom w:w="0" w:type="dxa"/>
          <w:right w:w="0" w:type="dxa"/>
        </w:tblCellMar>
      </w:tblPr>
      <w:tblGrid>
        <w:gridCol w:w="6414"/>
        <w:gridCol w:w="23"/>
        <w:gridCol w:w="23"/>
        <w:gridCol w:w="845"/>
        <w:gridCol w:w="23"/>
        <w:gridCol w:w="23"/>
        <w:gridCol w:w="942"/>
        <w:gridCol w:w="23"/>
        <w:gridCol w:w="23"/>
        <w:gridCol w:w="845"/>
        <w:gridCol w:w="23"/>
        <w:gridCol w:w="23"/>
        <w:gridCol w:w="975"/>
      </w:tblGrid>
      <w:tr>
        <w:trPr/>
        <w:tc>
          <w:tcPr>
            <w:tcW w:w="6414"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833"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866"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6414"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4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42"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non-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NEOs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4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7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non-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NEOs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6414"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Compensation from Summary Compensation Table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2,649,501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42" w:type="dxa"/>
            <w:tcBorders/>
            <w:shd w:fill="CCEEFF" w:val="clear"/>
            <w:vAlign w:val="center"/>
          </w:tcPr>
          <w:p>
            <w:pPr>
              <w:pStyle w:val="TableContents"/>
              <w:spacing w:before="0" w:after="283"/>
              <w:ind w:left="141" w:right="0" w:hanging="0"/>
              <w:jc w:val="left"/>
              <w:rPr>
                <w:rFonts w:ascii="Times New Roman;Times;serif" w:hAnsi="Times New Roman;Times;serif"/>
                <w:b/>
                <w:color w:val="000000"/>
                <w:sz w:val="16"/>
              </w:rPr>
            </w:pPr>
            <w:r>
              <w:rPr>
                <w:rFonts w:ascii="Times New Roman;Times;serif" w:hAnsi="Times New Roman;Times;serif"/>
                <w:b/>
                <w:color w:val="000000"/>
                <w:sz w:val="16"/>
              </w:rPr>
              <w:t>1,601,064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4,361,250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283"/>
              <w:ind w:left="114" w:right="0" w:hanging="0"/>
              <w:jc w:val="left"/>
              <w:rPr>
                <w:rFonts w:ascii="Times New Roman;Times;serif" w:hAnsi="Times New Roman;Times;serif"/>
                <w:b/>
                <w:color w:val="000000"/>
                <w:sz w:val="16"/>
              </w:rPr>
            </w:pPr>
            <w:r>
              <w:rPr>
                <w:rFonts w:ascii="Times New Roman;Times;serif" w:hAnsi="Times New Roman;Times;serif"/>
                <w:b/>
                <w:color w:val="000000"/>
                <w:sz w:val="16"/>
              </w:rPr>
              <w:t>1,730,385</w:t>
            </w:r>
          </w:p>
        </w:tc>
      </w:tr>
      <w:tr>
        <w:trPr/>
        <w:tc>
          <w:tcPr>
            <w:tcW w:w="6414"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Adjustments for Pension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4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75" w:type="dxa"/>
            <w:tcBorders/>
            <w:shd w:fill="auto" w:val="clear"/>
            <w:vAlign w:val="center"/>
          </w:tcPr>
          <w:p>
            <w:pPr>
              <w:pStyle w:val="TableContents"/>
              <w:spacing w:before="0" w:after="0"/>
              <w:jc w:val="left"/>
              <w:rPr>
                <w:color w:val="000000"/>
              </w:rPr>
            </w:pPr>
            <w:r>
              <w:rPr>
                <w:color w:val="000000"/>
              </w:rPr>
              <w:t> </w:t>
            </w:r>
          </w:p>
        </w:tc>
      </w:tr>
      <w:tr>
        <w:trPr/>
        <w:tc>
          <w:tcPr>
            <w:tcW w:w="6414"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Adjustment Summary Compensation Table Pension</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42" w:type="dxa"/>
            <w:tcBorders/>
            <w:shd w:fill="CCEEFF" w:val="clear"/>
            <w:vAlign w:val="center"/>
          </w:tcPr>
          <w:p>
            <w:pPr>
              <w:pStyle w:val="TableContents"/>
              <w:spacing w:before="0" w:after="283"/>
              <w:ind w:left="14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283"/>
              <w:ind w:left="114" w:right="0" w:hanging="0"/>
              <w:jc w:val="left"/>
              <w:rPr>
                <w:color w:val="000000"/>
              </w:rPr>
            </w:pPr>
            <w:r>
              <w:rPr>
                <w:color w:val="000000"/>
              </w:rPr>
              <w:t>—</w:t>
            </w:r>
          </w:p>
        </w:tc>
      </w:tr>
      <w:tr>
        <w:trPr/>
        <w:tc>
          <w:tcPr>
            <w:tcW w:w="6414"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Amount added for current year service cost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42" w:type="dxa"/>
            <w:tcBorders/>
            <w:shd w:fill="auto" w:val="clear"/>
            <w:vAlign w:val="center"/>
          </w:tcPr>
          <w:p>
            <w:pPr>
              <w:pStyle w:val="TableContents"/>
              <w:spacing w:before="0" w:after="283"/>
              <w:ind w:left="14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75" w:type="dxa"/>
            <w:tcBorders/>
            <w:shd w:fill="auto" w:val="clear"/>
            <w:vAlign w:val="center"/>
          </w:tcPr>
          <w:p>
            <w:pPr>
              <w:pStyle w:val="TableContents"/>
              <w:spacing w:before="0" w:after="283"/>
              <w:ind w:left="114" w:right="0" w:hanging="0"/>
              <w:jc w:val="left"/>
              <w:rPr>
                <w:color w:val="000000"/>
              </w:rPr>
            </w:pPr>
            <w:r>
              <w:rPr>
                <w:color w:val="000000"/>
              </w:rPr>
              <w:t>—</w:t>
            </w:r>
          </w:p>
        </w:tc>
      </w:tr>
      <w:tr>
        <w:trPr/>
        <w:tc>
          <w:tcPr>
            <w:tcW w:w="6414"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Amount added for prior service cost impacting current year</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42" w:type="dxa"/>
            <w:tcBorders/>
            <w:shd w:fill="CCEEFF" w:val="clear"/>
            <w:vAlign w:val="center"/>
          </w:tcPr>
          <w:p>
            <w:pPr>
              <w:pStyle w:val="TableContents"/>
              <w:spacing w:before="0" w:after="283"/>
              <w:ind w:left="14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283"/>
              <w:ind w:left="114" w:right="0" w:hanging="0"/>
              <w:jc w:val="left"/>
              <w:rPr>
                <w:color w:val="000000"/>
              </w:rPr>
            </w:pPr>
            <w:r>
              <w:rPr>
                <w:color w:val="000000"/>
              </w:rPr>
              <w:t>—</w:t>
            </w:r>
          </w:p>
        </w:tc>
      </w:tr>
      <w:tr>
        <w:trPr/>
        <w:tc>
          <w:tcPr>
            <w:tcW w:w="6414"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Adjustments for Pension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42" w:type="dxa"/>
            <w:tcBorders/>
            <w:shd w:fill="auto" w:val="clear"/>
            <w:vAlign w:val="center"/>
          </w:tcPr>
          <w:p>
            <w:pPr>
              <w:pStyle w:val="TableContents"/>
              <w:spacing w:before="0" w:after="283"/>
              <w:ind w:left="14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75" w:type="dxa"/>
            <w:tcBorders/>
            <w:shd w:fill="auto" w:val="clear"/>
            <w:vAlign w:val="center"/>
          </w:tcPr>
          <w:p>
            <w:pPr>
              <w:pStyle w:val="TableContents"/>
              <w:spacing w:before="0" w:after="283"/>
              <w:ind w:left="114" w:right="0" w:hanging="0"/>
              <w:jc w:val="left"/>
              <w:rPr>
                <w:color w:val="000000"/>
              </w:rPr>
            </w:pPr>
            <w:r>
              <w:rPr>
                <w:color w:val="000000"/>
              </w:rPr>
              <w:t>—</w:t>
            </w:r>
          </w:p>
        </w:tc>
      </w:tr>
      <w:tr>
        <w:trPr/>
        <w:tc>
          <w:tcPr>
            <w:tcW w:w="6414"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Adjustments for Equity Awards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42"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0"/>
              <w:jc w:val="left"/>
              <w:rPr>
                <w:color w:val="000000"/>
              </w:rPr>
            </w:pPr>
            <w:r>
              <w:rPr>
                <w:color w:val="000000"/>
              </w:rPr>
              <w:t> </w:t>
            </w:r>
          </w:p>
        </w:tc>
      </w:tr>
      <w:tr>
        <w:trPr/>
        <w:tc>
          <w:tcPr>
            <w:tcW w:w="6414" w:type="dxa"/>
            <w:tcBorders/>
            <w:shd w:fill="auto" w:val="clear"/>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Adjustments for grant date values in the Summary Compensation Table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(1,130,064)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42"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16"/>
              </w:rPr>
            </w:pPr>
            <w:r>
              <w:rPr>
                <w:rFonts w:ascii="Times New Roman;Times;serif" w:hAnsi="Times New Roman;Times;serif"/>
                <w:color w:val="000000"/>
                <w:sz w:val="16"/>
              </w:rPr>
              <w:t>(517,946)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(2,968,762)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75" w:type="dxa"/>
            <w:tcBorders/>
            <w:shd w:fill="auto" w:val="clear"/>
            <w:vAlign w:val="center"/>
          </w:tcPr>
          <w:p>
            <w:pPr>
              <w:pStyle w:val="TableContents"/>
              <w:spacing w:before="0" w:after="283"/>
              <w:ind w:left="114" w:right="0" w:hanging="0"/>
              <w:jc w:val="left"/>
              <w:rPr>
                <w:rFonts w:ascii="Times New Roman;Times;serif" w:hAnsi="Times New Roman;Times;serif"/>
                <w:color w:val="000000"/>
                <w:sz w:val="16"/>
              </w:rPr>
            </w:pPr>
            <w:r>
              <w:rPr>
                <w:rFonts w:ascii="Times New Roman;Times;serif" w:hAnsi="Times New Roman;Times;serif"/>
                <w:color w:val="000000"/>
                <w:sz w:val="16"/>
              </w:rPr>
              <w:t>(1,350,450)</w:t>
            </w:r>
          </w:p>
        </w:tc>
      </w:tr>
      <w:tr>
        <w:trPr/>
        <w:tc>
          <w:tcPr>
            <w:tcW w:w="641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Year-end fair value of unvested awards granted in the current year</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2,961,868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42"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16"/>
              </w:rPr>
            </w:pPr>
            <w:r>
              <w:rPr>
                <w:rFonts w:ascii="Times New Roman;Times;serif" w:hAnsi="Times New Roman;Times;serif"/>
                <w:color w:val="000000"/>
                <w:sz w:val="16"/>
              </w:rPr>
              <w:t>1,357,523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622,157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283"/>
              <w:ind w:left="11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184,064 </w:t>
            </w:r>
          </w:p>
        </w:tc>
      </w:tr>
      <w:tr>
        <w:trPr/>
        <w:tc>
          <w:tcPr>
            <w:tcW w:w="6414" w:type="dxa"/>
            <w:tcBorders/>
            <w:shd w:fill="auto" w:val="clear"/>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Year-over-year difference of year-end fair values for unvested awards granted in prior years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2,462,585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42"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16"/>
              </w:rPr>
            </w:pPr>
            <w:r>
              <w:rPr>
                <w:rFonts w:ascii="Times New Roman;Times;serif" w:hAnsi="Times New Roman;Times;serif"/>
                <w:color w:val="000000"/>
                <w:sz w:val="16"/>
              </w:rPr>
              <w:t>1,029,429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(121,190)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75" w:type="dxa"/>
            <w:tcBorders/>
            <w:shd w:fill="auto" w:val="clear"/>
            <w:vAlign w:val="center"/>
          </w:tcPr>
          <w:p>
            <w:pPr>
              <w:pStyle w:val="TableContents"/>
              <w:spacing w:before="0" w:after="283"/>
              <w:ind w:left="114" w:right="0" w:hanging="0"/>
              <w:jc w:val="left"/>
              <w:rPr>
                <w:rFonts w:ascii="Times New Roman;Times;serif" w:hAnsi="Times New Roman;Times;serif"/>
                <w:color w:val="000000"/>
                <w:sz w:val="16"/>
              </w:rPr>
            </w:pPr>
            <w:r>
              <w:rPr>
                <w:rFonts w:ascii="Times New Roman;Times;serif" w:hAnsi="Times New Roman;Times;serif"/>
                <w:color w:val="000000"/>
                <w:sz w:val="16"/>
              </w:rPr>
              <w:t>(47,127)</w:t>
            </w:r>
          </w:p>
        </w:tc>
      </w:tr>
      <w:tr>
        <w:trPr/>
        <w:tc>
          <w:tcPr>
            <w:tcW w:w="6414" w:type="dxa"/>
            <w:tcBorders/>
            <w:shd w:fill="CCEEFF" w:val="clear"/>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Fair values at vest date for awards granted and vested in current year</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42" w:type="dxa"/>
            <w:tcBorders/>
            <w:shd w:fill="CCEEFF" w:val="clear"/>
            <w:vAlign w:val="center"/>
          </w:tcPr>
          <w:p>
            <w:pPr>
              <w:pStyle w:val="TableContents"/>
              <w:spacing w:before="0" w:after="283"/>
              <w:ind w:left="14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283"/>
              <w:ind w:left="114" w:right="0" w:hanging="0"/>
              <w:jc w:val="left"/>
              <w:rPr>
                <w:color w:val="000000"/>
              </w:rPr>
            </w:pPr>
            <w:r>
              <w:rPr>
                <w:color w:val="000000"/>
              </w:rPr>
              <w:t>—</w:t>
            </w:r>
          </w:p>
        </w:tc>
      </w:tr>
      <w:tr>
        <w:trPr/>
        <w:tc>
          <w:tcPr>
            <w:tcW w:w="6414" w:type="dxa"/>
            <w:tcBorders/>
            <w:shd w:fill="auto" w:val="clear"/>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Difference in fair values between prior year-end fair values and vest date fair values for awards granted in prior years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1,600,826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42"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16"/>
              </w:rPr>
            </w:pPr>
            <w:r>
              <w:rPr>
                <w:rFonts w:ascii="Times New Roman;Times;serif" w:hAnsi="Times New Roman;Times;serif"/>
                <w:color w:val="000000"/>
                <w:sz w:val="16"/>
              </w:rPr>
              <w:t>867,012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103,834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75" w:type="dxa"/>
            <w:tcBorders/>
            <w:shd w:fill="auto" w:val="clear"/>
            <w:vAlign w:val="center"/>
          </w:tcPr>
          <w:p>
            <w:pPr>
              <w:pStyle w:val="TableContents"/>
              <w:spacing w:before="0" w:after="283"/>
              <w:ind w:left="11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40,352 </w:t>
            </w:r>
          </w:p>
        </w:tc>
      </w:tr>
      <w:tr>
        <w:trPr/>
        <w:tc>
          <w:tcPr>
            <w:tcW w:w="6414"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Forfeitures during current year equal to prior year-end fair value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42" w:type="dxa"/>
            <w:tcBorders/>
            <w:shd w:fill="CCEEFF" w:val="clear"/>
            <w:vAlign w:val="center"/>
          </w:tcPr>
          <w:p>
            <w:pPr>
              <w:pStyle w:val="TableContents"/>
              <w:spacing w:before="0" w:after="283"/>
              <w:ind w:left="14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283"/>
              <w:ind w:left="114" w:right="0" w:hanging="0"/>
              <w:jc w:val="left"/>
              <w:rPr>
                <w:color w:val="000000"/>
              </w:rPr>
            </w:pPr>
            <w:r>
              <w:rPr>
                <w:color w:val="000000"/>
              </w:rPr>
              <w:t>—</w:t>
            </w:r>
          </w:p>
        </w:tc>
      </w:tr>
      <w:tr>
        <w:trPr/>
        <w:tc>
          <w:tcPr>
            <w:tcW w:w="6414" w:type="dxa"/>
            <w:tcBorders/>
            <w:shd w:fill="auto" w:val="clear"/>
            <w:vAlign w:val="center"/>
          </w:tcPr>
          <w:p>
            <w:pPr>
              <w:pStyle w:val="TableContents"/>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Dividend or dividend equivalents not otherwise included in total compensation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42" w:type="dxa"/>
            <w:tcBorders/>
            <w:shd w:fill="auto" w:val="clear"/>
            <w:vAlign w:val="center"/>
          </w:tcPr>
          <w:p>
            <w:pPr>
              <w:pStyle w:val="TableContents"/>
              <w:spacing w:before="0" w:after="283"/>
              <w:ind w:left="14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75" w:type="dxa"/>
            <w:tcBorders/>
            <w:shd w:fill="auto" w:val="clear"/>
            <w:vAlign w:val="center"/>
          </w:tcPr>
          <w:p>
            <w:pPr>
              <w:pStyle w:val="TableContents"/>
              <w:spacing w:before="0" w:after="283"/>
              <w:ind w:left="114" w:right="0" w:hanging="0"/>
              <w:jc w:val="left"/>
              <w:rPr>
                <w:color w:val="000000"/>
              </w:rPr>
            </w:pPr>
            <w:r>
              <w:rPr>
                <w:color w:val="000000"/>
              </w:rPr>
              <w:t>—</w:t>
            </w:r>
          </w:p>
        </w:tc>
      </w:tr>
      <w:tr>
        <w:trPr/>
        <w:tc>
          <w:tcPr>
            <w:tcW w:w="6414"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Adjustments for Equity Awards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5,895,215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42" w:type="dxa"/>
            <w:tcBorders/>
            <w:shd w:fill="CCEEFF" w:val="clear"/>
            <w:vAlign w:val="center"/>
          </w:tcPr>
          <w:p>
            <w:pPr>
              <w:pStyle w:val="TableContents"/>
              <w:spacing w:before="0" w:after="283"/>
              <w:ind w:left="141" w:right="0" w:hanging="0"/>
              <w:jc w:val="left"/>
              <w:rPr>
                <w:rFonts w:ascii="Times New Roman;Times;serif" w:hAnsi="Times New Roman;Times;serif"/>
                <w:b/>
                <w:color w:val="000000"/>
                <w:sz w:val="16"/>
              </w:rPr>
            </w:pPr>
            <w:r>
              <w:rPr>
                <w:rFonts w:ascii="Times New Roman;Times;serif" w:hAnsi="Times New Roman;Times;serif"/>
                <w:b/>
                <w:color w:val="000000"/>
                <w:sz w:val="16"/>
              </w:rPr>
              <w:t>2,736,017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(2,363,960)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75" w:type="dxa"/>
            <w:tcBorders/>
            <w:shd w:fill="CCEEFF" w:val="clear"/>
            <w:vAlign w:val="center"/>
          </w:tcPr>
          <w:p>
            <w:pPr>
              <w:pStyle w:val="TableContents"/>
              <w:spacing w:before="0" w:after="283"/>
              <w:ind w:left="114" w:right="0" w:hanging="0"/>
              <w:jc w:val="left"/>
              <w:rPr>
                <w:rFonts w:ascii="Times New Roman;Times;serif" w:hAnsi="Times New Roman;Times;serif"/>
                <w:b/>
                <w:color w:val="000000"/>
                <w:sz w:val="16"/>
              </w:rPr>
            </w:pPr>
            <w:r>
              <w:rPr>
                <w:rFonts w:ascii="Times New Roman;Times;serif" w:hAnsi="Times New Roman;Times;serif"/>
                <w:b/>
                <w:color w:val="000000"/>
                <w:sz w:val="16"/>
              </w:rPr>
              <w:t>(1,173,160)</w:t>
            </w:r>
          </w:p>
        </w:tc>
      </w:tr>
      <w:tr>
        <w:trPr/>
        <w:tc>
          <w:tcPr>
            <w:tcW w:w="6414"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 (as calculated)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8,544,716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42" w:type="dxa"/>
            <w:tcBorders/>
            <w:shd w:fill="auto" w:val="clear"/>
            <w:vAlign w:val="center"/>
          </w:tcPr>
          <w:p>
            <w:pPr>
              <w:pStyle w:val="TableContents"/>
              <w:spacing w:before="0" w:after="283"/>
              <w:ind w:left="141" w:right="0" w:hanging="0"/>
              <w:jc w:val="left"/>
              <w:rPr>
                <w:rFonts w:ascii="Times New Roman;Times;serif" w:hAnsi="Times New Roman;Times;serif"/>
                <w:b/>
                <w:color w:val="000000"/>
                <w:sz w:val="16"/>
              </w:rPr>
            </w:pPr>
            <w:r>
              <w:rPr>
                <w:rFonts w:ascii="Times New Roman;Times;serif" w:hAnsi="Times New Roman;Times;serif"/>
                <w:b/>
                <w:color w:val="000000"/>
                <w:sz w:val="16"/>
              </w:rPr>
              <w:t>4,337,081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1,997,290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75" w:type="dxa"/>
            <w:tcBorders/>
            <w:shd w:fill="auto" w:val="clear"/>
            <w:vAlign w:val="center"/>
          </w:tcPr>
          <w:p>
            <w:pPr>
              <w:pStyle w:val="TableContents"/>
              <w:spacing w:before="0" w:after="283"/>
              <w:ind w:left="114" w:right="0" w:hanging="0"/>
              <w:jc w:val="left"/>
              <w:rPr>
                <w:rFonts w:ascii="Times New Roman;Times;serif" w:hAnsi="Times New Roman;Times;serif"/>
                <w:b/>
                <w:color w:val="000000"/>
                <w:sz w:val="16"/>
              </w:rPr>
            </w:pPr>
            <w:r>
              <w:rPr>
                <w:rFonts w:ascii="Times New Roman;Times;serif" w:hAnsi="Times New Roman;Times;serif"/>
                <w:b/>
                <w:color w:val="000000"/>
                <w:sz w:val="16"/>
              </w:rPr>
              <w:t>557,225</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jc w:val="left"/>
              <w:rPr>
                <w:rFonts w:ascii="Times New Roman;Times;serif" w:hAnsi="Times New Roman;Times;serif"/>
                <w:color w:val="000000"/>
                <w:sz w:val="12"/>
              </w:rPr>
            </w:pPr>
            <w:r>
              <w:rPr>
                <w:rFonts w:ascii="Times New Roman;Times;serif" w:hAnsi="Times New Roman;Times;serif"/>
                <w:color w:val="000000"/>
                <w:sz w:val="12"/>
              </w:rPr>
              <w:t>(4)</w:t>
            </w:r>
          </w:p>
        </w:tc>
        <w:tc>
          <w:tcPr>
            <w:tcW w:w="1006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in this column reflect the amounts reported in the “Total” column of the Summary Compensation Table for the Company’s NEOs, excluding Mr. Grossman. The NEOs included for purposes of computing the amounts in this column include Mr. Lenz for 2022, and Mr. Lenz and Dr. Mond (the Company’s former Chief Scientific and Medical Officer) for 2021.</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6" w:name="DSPFPageBreakArea29"/>
      <w:bookmarkStart w:id="157" w:name="DSPFPageBreakArea29"/>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8" w:name="DSPFPageBreak29"/>
      <w:bookmarkStart w:id="159" w:name="DSPFPageBreak29"/>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0" w:name="ny20007545x2_def14a_109-pvp_pg2"/>
        <w:bookmarkEnd w:id="16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Pay Versus Performance Graphic Description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accordance with Item 402(v) of Regulation S-K, we are providing the following graphic descriptions of the relationships between (i) compensation actually paid to the PEO and the NEOs other than the PEO, and total shareholder return (“TSR”); and (ii) compensation actually paid to the PEO and the NEOs other than the PEO, and net income (loss).</w:t>
      </w:r>
    </w:p>
    <w:p>
      <w:pPr>
        <w:pStyle w:val="TextBody"/>
        <w:spacing w:before="305" w:after="283"/>
        <w:jc w:val="center"/>
        <w:rPr>
          <w:color w:val="000000"/>
        </w:rPr>
      </w:pPr>
      <w:r>
        <w:rPr>
          <w:color w:val="000000"/>
        </w:rPr>
        <w:drawing>
          <wp:inline distT="0" distB="0" distL="0" distR="0">
            <wp:extent cx="5629275" cy="2209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29275" cy="22098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305" w:after="283"/>
        <w:jc w:val="center"/>
        <w:rPr>
          <w:color w:val="000000"/>
        </w:rPr>
      </w:pPr>
      <w:r>
        <w:rPr>
          <w:color w:val="000000"/>
        </w:rPr>
        <w:drawing>
          <wp:inline distT="0" distB="0" distL="0" distR="0">
            <wp:extent cx="5534025" cy="2676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34025" cy="26765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1" w:name="DSPFPageBreakArea30"/>
      <w:bookmarkStart w:id="162" w:name="DSPFPageBreakArea30"/>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3" w:name="DSPFPageBreak30"/>
      <w:bookmarkStart w:id="164" w:name="DSPFPageBreak30"/>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5" w:name="ny20007545x2_def14a_110-auditor_pg1"/>
        <w:bookmarkEnd w:id="16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66" w:name="tTAR"/>
      <w:bookmarkEnd w:id="166"/>
      <w:r>
        <w:rPr>
          <w:rFonts w:ascii="Times New Roman;Times;serif" w:hAnsi="Times New Roman;Times;serif"/>
          <w:b/>
          <w:color w:val="000000"/>
          <w:sz w:val="20"/>
        </w:rPr>
        <w:t>THE AUDITOR RATIFICATION PROPOSAL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Audit Committee has appointed CohnReznick LLP as the Company’s independent registered public accounting firm for the year ending December 31, 2023. In connection with this appointment, CohnReznick LLP will examine and report to stockholders on the consolidated financial statements of the Company and its subsidiaries for 2023.</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Although stockholder ratification of the appointment of our independent registered public accounting firm is not required by our Bylaws or otherwise, the Board has put this proposal before the stockholders because it believes that seeking stockholders’ ratification of the Audit Committee’s appointment of our independent registered public accounting firm is good corporate practice. This vote is only advisory, however, because the Audit Committee has the sole authority to retain and dismiss our independent registered public accounting firm. If the appointment of CohnReznick LLP is not ratified, the Audit Committee will evaluate the basis for the stockholders’ vote when determining whether to continue the firm’s engagement. Even if the appointment is ratified, the Audit Committee in its sole discretion may direct the appointment of a different independent registered public accounting firm at any time if it determines that such a change would be in the best interests of the Company and its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Representatives of CohnReznick LLP are expected to be present at the Annual Meeting and are expected to be available to respond to appropriate questions from stockholders. They also will have the opportunity to make a statement if they desire to do so.</w:t>
      </w:r>
    </w:p>
    <w:p>
      <w:pPr>
        <w:pStyle w:val="TextBody"/>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Vote Required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Auditor Ratification Proposal requires the affirmative vote of the holders of a majority of the shares of common stock present, through virtual attendance, by remote communication or represented by proxy at the Annual Meeting and entitled to vote generally on the subject matter to be approved. This means that the number of votes cast “FOR” must exceed the combined number of votes “AGAINST” and abstentions (which will each have the same effect as an “AGAINST” vote).</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Recommendation</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After careful consideration, the Board determined that ratification of the Audit Committee’s appointment of CohnReznick LLP as our independent registered public accounting firm for 2023 is advisable and in the best interests of ADMA and its stockholders. On the basis of the foregoing, the Board has approved and declared advisable the ratification of the Audit Committee’s appointment of CohnReznick LLP as our independent registered public accounting firm for 2023 and recommends that you vote “FOR” the ratification of the Audit Committee’s appointment of CohnReznick LLP as our independent registered public accounting firm for 2023.</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Principal Accounting Fees and Services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summarizes the aggregate fees billed for professional services rendered to us by CohnReznick LLP, our independent registered public accounting firm, during the fiscal years ended December 31, 2022 and 2021. A description of these fees and services follows the table.</w:t>
      </w:r>
    </w:p>
    <w:tbl>
      <w:tblPr>
        <w:tblW w:w="3527" w:type="dxa"/>
        <w:jc w:val="left"/>
        <w:tblInd w:w="0" w:type="dxa"/>
        <w:tblCellMar>
          <w:top w:w="0" w:type="dxa"/>
          <w:left w:w="0" w:type="dxa"/>
          <w:bottom w:w="0" w:type="dxa"/>
          <w:right w:w="0" w:type="dxa"/>
        </w:tblCellMar>
      </w:tblPr>
      <w:tblGrid>
        <w:gridCol w:w="1820"/>
        <w:gridCol w:w="23"/>
        <w:gridCol w:w="23"/>
        <w:gridCol w:w="800"/>
        <w:gridCol w:w="23"/>
        <w:gridCol w:w="23"/>
        <w:gridCol w:w="815"/>
      </w:tblGrid>
      <w:tr>
        <w:trPr/>
        <w:tc>
          <w:tcPr>
            <w:tcW w:w="18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0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1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18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$583,338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$501,568</w:t>
            </w:r>
          </w:p>
        </w:tc>
      </w:tr>
      <w:tr>
        <w:trPr/>
        <w:tc>
          <w:tcPr>
            <w:tcW w:w="182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w:t>
            </w:r>
          </w:p>
        </w:tc>
      </w:tr>
      <w:tr>
        <w:trPr/>
        <w:tc>
          <w:tcPr>
            <w:tcW w:w="182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56,239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76,910</w:t>
            </w:r>
          </w:p>
        </w:tc>
      </w:tr>
      <w:tr>
        <w:trPr/>
        <w:tc>
          <w:tcPr>
            <w:tcW w:w="182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29,740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25,750</w:t>
            </w:r>
          </w:p>
        </w:tc>
      </w:tr>
      <w:tr>
        <w:trPr/>
        <w:tc>
          <w:tcPr>
            <w:tcW w:w="18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$690,317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$608,228</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Fees for audit services in 2022 and 2021 consisted of fees billed for professional services rendered for the audit of the Company’s consolidated annual financial statements included in our Annual Report on Form 10-K, the review of the interim consolidated financial statements included in our Quarterly Reports on Form 10-Q, the professional services rendered in connection with the Company’s public offerings of securities, related comfort letters and services that are normally provided by our independent registered public accountants in connection with statutory and regulatory filings or engagements.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7" w:name="DSPFPageBreakArea31"/>
      <w:bookmarkStart w:id="168" w:name="DSPFPageBreakArea31"/>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9" w:name="DSPFPageBreak31"/>
      <w:bookmarkStart w:id="170" w:name="DSPFPageBreak31"/>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1" w:name="ny20007545x2_def14a_110-auditor_pg2"/>
        <w:bookmarkEnd w:id="17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Audit-related fees consist of fees billed for assurance and related services that are reasonably related to the performance of the audit or review of the Company’s consolidated financial statements and are not reported under “Audit Fees.”</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Tax fees consist of fees billed for services including, but not limited to, assistance with tax compliance and the preparation of tax returns, tax consultation services and assistance in connection with state and local tax audits, if any.</w:t>
            </w:r>
          </w:p>
        </w:tc>
      </w:tr>
    </w:tbl>
    <w:tbl>
      <w:tblPr>
        <w:tblW w:w="6340" w:type="dxa"/>
        <w:jc w:val="left"/>
        <w:tblInd w:w="0" w:type="dxa"/>
        <w:tblCellMar>
          <w:top w:w="0" w:type="dxa"/>
          <w:left w:w="0" w:type="dxa"/>
          <w:bottom w:w="0" w:type="dxa"/>
          <w:right w:w="0" w:type="dxa"/>
        </w:tblCellMar>
      </w:tblPr>
      <w:tblGrid>
        <w:gridCol w:w="230"/>
        <w:gridCol w:w="611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Primarily reflects audit fees related to a 401(k) retirement plan sponsored the Company.</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Pre-Approval of Audit and Permissible Non-Audit Services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requires pre-approval of all audit and non-audit services in one of two methods. Under the first method, the engagement to render the services would be entered into pursuant to pre-approval policies and procedures established by the Audit Committee, provided (i) the policies and procedures are detailed as to the services to be performed, (ii) the Audit Committee is informed of each service, and (iii) such policies and procedures do not include delegation of the Audit Committee’s responsibilities under the Exchange Act to the Company’s management. Under the second method, the engagement to render the services would be presented to and pre-approved by the Audit Committee (subject to the </w:t>
      </w:r>
      <w:r>
        <w:rPr>
          <w:rFonts w:ascii="Times New Roman;Times;serif" w:hAnsi="Times New Roman;Times;serif"/>
          <w:i/>
          <w:color w:val="000000"/>
          <w:sz w:val="20"/>
        </w:rPr>
        <w:t>de minimis</w:t>
      </w:r>
      <w:r>
        <w:rPr>
          <w:rFonts w:ascii="Times New Roman;Times;serif" w:hAnsi="Times New Roman;Times;serif"/>
          <w:color w:val="000000"/>
          <w:sz w:val="20"/>
        </w:rPr>
        <w:t xml:space="preserve"> exceptions for non-audit services described in Section 10A(i)(1)(B) of the Exchange Act that are approved by the Audit Committee prior to the completion of the audit). The Chairperson of the Audit Committee has the authority to grant pre-approvals of audit and permissible non-audit services by the independent registered public accounting firm, provided that all pre-approvals by the Chairperson must be presented to the full Audit Committee at its next scheduled meeting. The Audit Committee considers, among other things, whether the provision of such audit or non-audit services is consistent with applicable regulations regarding maintaining auditor independence, whether the provision of such services would impair the independent registered public accounting firm’s independence and whether the independent registered public accounting firm is best positioned to provide the most effective and efficient service.</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Report of the Audit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Report of the Audit Committee shall not be deemed incorporated by reference into any of our filings under the Securities Act of 1933, as amended, or the Exchange Act, except to the extent we specifically incorporate it by reference therein.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reviews our financial reporting process on behalf of our Board. Management has the primary responsibility for the financial statements, the reporting process and maintaining our system of internal control over financial reporting. Our independent registered public accounting firm was engaged to audit and express opinions on the conformity of our financial statements to accounting principles generally accepted in the United States of America and on the effectiveness of our internal control over financial reporting.</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of the Board has: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Reviewed and discussed the Company’s audited financial statements for the year ended December 31, 2022 with management;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Discussed with CohnReznick LLP the matters required to be discussed by the statement on Auditing Standards No. 61, as amended, as adopted by the Public Company Accounting Oversight Board (PCAOB) in Rule 3200T;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Received written disclosures and a letter from CohnReznick LLP regarding its independence as required by applicable requirements of the PCAOB regarding CohnReznick LLP’s communications with the Audit Committee, and the Audit Committee further discussed with CohnReznick LLP their independence. The Audit Committee also considered the status of pending litigation, taxation matters and other areas of oversight related to the financial reporting and audit process that the committee determined appropriate.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Based on the Audit Committee’s review of the audited financial statements and discussions with management and CohnReznick LLP, the Audit Committee recommended to the Board that the audited financial statements be included in our Annual Report on Form 10-K for the fiscal year ended December 31, 2022 for filing with the SEC.</w:t>
      </w:r>
    </w:p>
    <w:p>
      <w:pPr>
        <w:pStyle w:val="TextBody"/>
        <w:spacing w:before="160" w:after="283"/>
        <w:jc w:val="right"/>
        <w:rPr>
          <w:rFonts w:ascii="Times New Roman;Times;serif" w:hAnsi="Times New Roman;Times;serif"/>
          <w:b/>
          <w:color w:val="000000"/>
          <w:sz w:val="20"/>
        </w:rPr>
      </w:pPr>
      <w:r>
        <w:rPr>
          <w:rFonts w:ascii="Times New Roman;Times;serif" w:hAnsi="Times New Roman;Times;serif"/>
          <w:b/>
          <w:color w:val="000000"/>
          <w:sz w:val="20"/>
        </w:rPr>
        <w:t>Submitted by the members of the Audit Committee:</w:t>
      </w:r>
    </w:p>
    <w:p>
      <w:pPr>
        <w:pStyle w:val="TextBody"/>
        <w:spacing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Bryant E. Fong (Chairman)</w:t>
      </w:r>
    </w:p>
    <w:p>
      <w:pPr>
        <w:pStyle w:val="TextBody"/>
        <w:spacing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 xml:space="preserve">Martha J. Demski </w:t>
      </w:r>
    </w:p>
    <w:p>
      <w:pPr>
        <w:pStyle w:val="TextBody"/>
        <w:spacing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Lawrence P. Guiheen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2" w:name="DSPFPageBreakArea32"/>
      <w:bookmarkStart w:id="173" w:name="DSPFPageBreakArea32"/>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4" w:name="DSPFPageBreak32"/>
      <w:bookmarkStart w:id="175" w:name="DSPFPageBreak32"/>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6" w:name="ny20007545x2_def14a_111-certain_pg1"/>
        <w:bookmarkEnd w:id="17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77" w:name="tCAR"/>
      <w:bookmarkEnd w:id="177"/>
      <w:r>
        <w:rPr>
          <w:rFonts w:ascii="Times New Roman;Times;serif" w:hAnsi="Times New Roman;Times;serif"/>
          <w:b/>
          <w:color w:val="000000"/>
          <w:sz w:val="20"/>
        </w:rPr>
        <w:t>CERTAIN ADMA RELATIONSHIPS AND RELATED TRANSACTIONS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is responsible for reviewing and approving all material transactions with any related party on a continuing basis. Related parties can include any of our directors or officers, holders of 5% or more of our voting securities and their immediate family members. We may not enter into a related person transaction unless our Board has reviewed and approved such transaction. In reviewing a related person transaction, our Board may consider various factors, including evaluating potential alternative transactions with unrelated persons. We maintain a Related Party Policy that is reviewed with the Board of Directors or a sub-committee annually; the policy addresses the process for identifying, authorizing, and approving transactions with related parties. Our management prepares a related party listing and transaction analysis quarterly and this analysis is reviewed with the Audit Committee of the Board of Directors. We believe the transactions set forth below were executed on terms no less favorable to us than we could have obtained from unaffiliated third parties.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See “Executive Officers and Director and Officer Compensation” above for a discussion of director compensation, executive compensation and our named executive officers’ employment agreements.</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2022 Offering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our December 2022 public offering of our common stock, on December 9, 2022: (i) Adam S. Grossman, our President and Chief Executive Officer, purchased 14,983 shares of our common stock directly and 14,982 shares of our common stock indirectly through an entity he controls, and (ii) Brian Lenz, our Executive Vice President and Chief Financial Officer, purchased 6,993 shares of our common stock, all at the public offering price of $2.86 per share.</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2021 Offering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our October 2021 public offering of our common stock, on October 25, 2021: (i) Jerrold B. Grossman, our Vice Chairman of the Board, purchased 100,000 shares of our common stock, (ii) Brian Lenz, our Executive Vice President and Chief Financial Officer, purchased 30,000 shares of our common stock, (iii) Adam S. Grossman, our President and Chief Executive Officer, purchased 100,000 shares of our common stock directly and 250,000 shares of our common stock indirectly through an entity he controls, and (iv) Young T. Kwon, a director, purchased 100,000 shares of our common stock, all at the public offering price of $1.00 per share.</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2020 Offering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our February 2020 public offering of our common stock, on February 11, 2020: (i) Lawrence P. Guiheen, a director, purchased 20,000 shares of our common stock, (ii) James Mond, our Chief Scientific Officer and Chief Medical Officer, purchased 4,285 shares of our common stock, (iii) Jerrold B. Grossman, our Vice Chairman of the Board, purchased 22,857 shares of our common stock directly and 22,857 shares of our common stock indirectly through an entity he controls, (iv) Brian Lenz, our Executive Vice President and Chief Financial Officer, purchased 7,142 shares of our common stock, (v) Adam S. Grossman, our President and Chief Executive Officer, purchased 28,571 shares of our common stock directly and 57,143 shares of our common stock indirectly through an entity he controls, and (vi) Perceptive Advisors, a principal stockholder of ADMA, purchased 4,563,700 shares of our common stock through one of its affiliates, all at the public offering price of $3.50 per share.</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Shared Services Agreement and Other Arrangements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executive offices are located in approximately 4,200 square feet of space at 465 State Route 17, Ramsey, New Jersey 07446. Currently we operate under a Shared Services Agreement, as amended from time to time, with Areth for the use of office space, warehouse space and certain related services. We paid Areth $120,000 under this agreement for the years ended December 31, 2022 and 2021. The lease term was for a period of 12 months and provided for automatic one-year renewals unless we provided written notice of termination to Areth 60 days prior to the end of the term. Effective as of October 1, 2022, the Company and Areth agreed to extend the term of the lease to December 31, 2026 at the current monthly rent. Areth is a company controlled by Dr. Grossman and Mr. Grossman.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the year ended December 31, 2022, we purchased certain specialized medical equipment and services related to our plasma collection centers, as well as personal protective equipment, from GenesisBPS and its affiliates (“Genesis”) in the amount of approximately $233,427.48. Genesis is owned by Jerrold Grossman and Adam Grossman.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8" w:name="DSPFPageBreakArea33"/>
      <w:bookmarkStart w:id="179" w:name="DSPFPageBreakArea33"/>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0" w:name="DSPFPageBreak33"/>
      <w:bookmarkStart w:id="181" w:name="DSPFPageBreak33"/>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2" w:name="ny20007545x2_def14a_111-certain_pg2"/>
        <w:bookmarkEnd w:id="18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Credit Facility with Perceptive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February 11, 2019 (the “</w:t>
      </w:r>
      <w:r>
        <w:rPr>
          <w:rFonts w:ascii="Times New Roman;Times;serif" w:hAnsi="Times New Roman;Times;serif"/>
          <w:b/>
          <w:color w:val="000000"/>
          <w:sz w:val="20"/>
          <w:u w:val="single"/>
        </w:rPr>
        <w:t>Perceptive Closing Date</w:t>
      </w:r>
      <w:r>
        <w:rPr>
          <w:rFonts w:ascii="Times New Roman;Times;serif" w:hAnsi="Times New Roman;Times;serif"/>
          <w:color w:val="000000"/>
          <w:sz w:val="20"/>
        </w:rPr>
        <w:t>”), we and all of our subsidiaries entered into the Perceptive Credit Agreement. The Perceptive Credit Agreement, as amended, provided for a senior secured term loan facility in a principal amount of $100.0 million comprised of (i) a term loan made on the Perceptive Closing Date in the principal amount of $45.0 million, as evidenced by the Company’s issuance of a promissory note (the “</w:t>
      </w:r>
      <w:r>
        <w:rPr>
          <w:rFonts w:ascii="Times New Roman;Times;serif" w:hAnsi="Times New Roman;Times;serif"/>
          <w:b/>
          <w:color w:val="000000"/>
          <w:sz w:val="20"/>
          <w:u w:val="single"/>
        </w:rPr>
        <w:t>Perceptive Tranche I Note</w:t>
      </w:r>
      <w:r>
        <w:rPr>
          <w:rFonts w:ascii="Times New Roman;Times;serif" w:hAnsi="Times New Roman;Times;serif"/>
          <w:color w:val="000000"/>
          <w:sz w:val="20"/>
        </w:rPr>
        <w:t>”) in favor of Perceptive on the Perceptive Closing Date (the “</w:t>
      </w:r>
      <w:r>
        <w:rPr>
          <w:rFonts w:ascii="Times New Roman;Times;serif" w:hAnsi="Times New Roman;Times;serif"/>
          <w:b/>
          <w:color w:val="000000"/>
          <w:sz w:val="20"/>
          <w:u w:val="single"/>
        </w:rPr>
        <w:t>Perceptive Tranche I Loan</w:t>
      </w:r>
      <w:r>
        <w:rPr>
          <w:rFonts w:ascii="Times New Roman;Times;serif" w:hAnsi="Times New Roman;Times;serif"/>
          <w:color w:val="000000"/>
          <w:sz w:val="20"/>
        </w:rPr>
        <w:t>”), (ii) a term loan in the principal amount of $27.5 million (the “</w:t>
      </w:r>
      <w:r>
        <w:rPr>
          <w:rFonts w:ascii="Times New Roman;Times;serif" w:hAnsi="Times New Roman;Times;serif"/>
          <w:b/>
          <w:color w:val="000000"/>
          <w:sz w:val="20"/>
          <w:u w:val="single"/>
        </w:rPr>
        <w:t>Perceptive Tranche II Loan</w:t>
      </w:r>
      <w:r>
        <w:rPr>
          <w:rFonts w:ascii="Times New Roman;Times;serif" w:hAnsi="Times New Roman;Times;serif"/>
          <w:color w:val="000000"/>
          <w:sz w:val="20"/>
        </w:rPr>
        <w:t>”) evidenced by the Company’s issuance of a promissory note (the “</w:t>
      </w:r>
      <w:r>
        <w:rPr>
          <w:rFonts w:ascii="Times New Roman;Times;serif" w:hAnsi="Times New Roman;Times;serif"/>
          <w:b/>
          <w:color w:val="000000"/>
          <w:sz w:val="20"/>
          <w:u w:val="single"/>
        </w:rPr>
        <w:t>Perceptive Tranche II Note</w:t>
      </w:r>
      <w:r>
        <w:rPr>
          <w:rFonts w:ascii="Times New Roman;Times;serif" w:hAnsi="Times New Roman;Times;serif"/>
          <w:color w:val="000000"/>
          <w:sz w:val="20"/>
        </w:rPr>
        <w:t>”) in favor of Perceptive on May 3, 2019, (iii) a term loan in the principal amount of $12.5 million evidenced by the Company’s issuance of a promissory note (the “</w:t>
      </w:r>
      <w:r>
        <w:rPr>
          <w:rFonts w:ascii="Times New Roman;Times;serif" w:hAnsi="Times New Roman;Times;serif"/>
          <w:b/>
          <w:color w:val="000000"/>
          <w:sz w:val="20"/>
          <w:u w:val="single"/>
        </w:rPr>
        <w:t>Perceptive Tranche III Note</w:t>
      </w:r>
      <w:r>
        <w:rPr>
          <w:rFonts w:ascii="Times New Roman;Times;serif" w:hAnsi="Times New Roman;Times;serif"/>
          <w:color w:val="000000"/>
          <w:sz w:val="20"/>
        </w:rPr>
        <w:t>”) in favor of Perceptive on March 20, 2020 (the “</w:t>
      </w:r>
      <w:r>
        <w:rPr>
          <w:rFonts w:ascii="Times New Roman;Times;serif" w:hAnsi="Times New Roman;Times;serif"/>
          <w:b/>
          <w:color w:val="000000"/>
          <w:sz w:val="20"/>
          <w:u w:val="single"/>
        </w:rPr>
        <w:t>Perceptive Tranche III Loan</w:t>
      </w:r>
      <w:r>
        <w:rPr>
          <w:rFonts w:ascii="Times New Roman;Times;serif" w:hAnsi="Times New Roman;Times;serif"/>
          <w:color w:val="000000"/>
          <w:sz w:val="20"/>
        </w:rPr>
        <w:t>”); and (iv) a term loan in the principal amount of $15 million evidenced by our issuance of a promissory note in favor of Perceptive on December 8, 2020 (the “</w:t>
      </w:r>
      <w:r>
        <w:rPr>
          <w:rFonts w:ascii="Times New Roman;Times;serif" w:hAnsi="Times New Roman;Times;serif"/>
          <w:b/>
          <w:color w:val="000000"/>
          <w:sz w:val="20"/>
          <w:u w:val="single"/>
        </w:rPr>
        <w:t>Perceptive Tranche IV Loan</w:t>
      </w:r>
      <w:r>
        <w:rPr>
          <w:rFonts w:ascii="Times New Roman;Times;serif" w:hAnsi="Times New Roman;Times;serif"/>
          <w:color w:val="000000"/>
          <w:sz w:val="20"/>
        </w:rPr>
        <w:t>”, and together with the Perceptive Tranche I Loan, the Perceptive Tranche II Loan and the Perceptive Tranche III Loan, the “</w:t>
      </w:r>
      <w:r>
        <w:rPr>
          <w:rFonts w:ascii="Times New Roman;Times;serif" w:hAnsi="Times New Roman;Times;serif"/>
          <w:b/>
          <w:color w:val="000000"/>
          <w:sz w:val="20"/>
          <w:u w:val="single"/>
        </w:rPr>
        <w:t>Perceptive Loans</w:t>
      </w:r>
      <w:r>
        <w:rPr>
          <w:rFonts w:ascii="Times New Roman;Times;serif" w:hAnsi="Times New Roman;Times;serif"/>
          <w:color w:val="000000"/>
          <w:sz w:val="20"/>
        </w:rPr>
        <w:t>”). The Perceptive Tranche III Loan is the result of an amendment to the Perceptive Credit Agreement that the Company and Perceptive entered into on May 3, 2019 (the “</w:t>
      </w:r>
      <w:r>
        <w:rPr>
          <w:rFonts w:ascii="Times New Roman;Times;serif" w:hAnsi="Times New Roman;Times;serif"/>
          <w:b/>
          <w:color w:val="000000"/>
          <w:sz w:val="20"/>
          <w:u w:val="single"/>
        </w:rPr>
        <w:t>First Perceptive Amendment</w:t>
      </w:r>
      <w:r>
        <w:rPr>
          <w:rFonts w:ascii="Times New Roman;Times;serif" w:hAnsi="Times New Roman;Times;serif"/>
          <w:color w:val="000000"/>
          <w:sz w:val="20"/>
        </w:rPr>
        <w:t>”), and the Perceptive Tranche III Loan became available to the Company upon the approval of BIVIGAM on May 9, 2019. The Perceptive Tranche IV Loan is the result of an amendment to the Perceptive Credit Facility entered into on December 8, 2020 (the “</w:t>
      </w:r>
      <w:r>
        <w:rPr>
          <w:rFonts w:ascii="Times New Roman;Times;serif" w:hAnsi="Times New Roman;Times;serif"/>
          <w:b/>
          <w:color w:val="000000"/>
          <w:sz w:val="20"/>
          <w:u w:val="single"/>
        </w:rPr>
        <w:t>Second Perceptive Amendment</w:t>
      </w:r>
      <w:r>
        <w:rPr>
          <w:rFonts w:ascii="Times New Roman;Times;serif" w:hAnsi="Times New Roman;Times;serif"/>
          <w:color w:val="000000"/>
          <w:sz w:val="20"/>
        </w:rPr>
        <w:t>”), which also extended the maturity date of the Perceptive Credit Facility to March 1, 2024 (the “</w:t>
      </w:r>
      <w:r>
        <w:rPr>
          <w:rFonts w:ascii="Times New Roman;Times;serif" w:hAnsi="Times New Roman;Times;serif"/>
          <w:b/>
          <w:color w:val="000000"/>
          <w:sz w:val="20"/>
          <w:u w:val="single"/>
        </w:rPr>
        <w:t>Maturity Date</w:t>
      </w:r>
      <w:r>
        <w:rPr>
          <w:rFonts w:ascii="Times New Roman;Times;serif" w:hAnsi="Times New Roman;Times;serif"/>
          <w:color w:val="000000"/>
          <w:sz w:val="20"/>
        </w:rPr>
        <w:t>”), subject to acceleration pursuant to the Perceptive Credit Agreement, including upon an Event of Default (as defined in the Perceptive Credit Agreement). The proceeds from the Perceptive Tranche IV Loan were used to retire the $15.0 million note we had payable to Biotest, which had a maturity date of June 17, 2022.</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of the Perceptive Loans were retired and our other obligations under the Perceptive Credit Facility were satisfied using the proceeds we received from the the closing on March 23, 2022 (the “</w:t>
      </w:r>
      <w:r>
        <w:rPr>
          <w:rFonts w:ascii="Times New Roman;Times;serif" w:hAnsi="Times New Roman;Times;serif"/>
          <w:b/>
          <w:color w:val="000000"/>
          <w:sz w:val="20"/>
          <w:u w:val="single"/>
        </w:rPr>
        <w:t>Hayfin Closing Date</w:t>
      </w:r>
      <w:r>
        <w:rPr>
          <w:rFonts w:ascii="Times New Roman;Times;serif" w:hAnsi="Times New Roman;Times;serif"/>
          <w:color w:val="000000"/>
          <w:sz w:val="20"/>
        </w:rPr>
        <w:t>”) of our a senior secured term loan facility with Hayfin Services LLP (“</w:t>
      </w:r>
      <w:r>
        <w:rPr>
          <w:rFonts w:ascii="Times New Roman;Times;serif" w:hAnsi="Times New Roman;Times;serif"/>
          <w:b/>
          <w:color w:val="000000"/>
          <w:sz w:val="20"/>
          <w:u w:val="single"/>
        </w:rPr>
        <w:t>Hayfin</w:t>
      </w:r>
      <w:r>
        <w:rPr>
          <w:rFonts w:ascii="Times New Roman;Times;serif" w:hAnsi="Times New Roman;Times;serif"/>
          <w:color w:val="000000"/>
          <w:sz w:val="20"/>
        </w:rPr>
        <w:t>”) in a principal amount of up to $175.0 million (the “</w:t>
      </w:r>
      <w:r>
        <w:rPr>
          <w:rFonts w:ascii="Times New Roman;Times;serif" w:hAnsi="Times New Roman;Times;serif"/>
          <w:b/>
          <w:color w:val="000000"/>
          <w:sz w:val="20"/>
          <w:u w:val="single"/>
        </w:rPr>
        <w:t>Hayfin Credit Facility</w:t>
      </w:r>
      <w:r>
        <w:rPr>
          <w:rFonts w:ascii="Times New Roman;Times;serif" w:hAnsi="Times New Roman;Times;serif"/>
          <w:color w:val="000000"/>
          <w:sz w:val="20"/>
        </w:rPr>
        <w:t>”), composed of (i) a term loan made on the Hayfin Closing Date in the principal amount of $150.0 million (the “</w:t>
      </w:r>
      <w:r>
        <w:rPr>
          <w:rFonts w:ascii="Times New Roman;Times;serif" w:hAnsi="Times New Roman;Times;serif"/>
          <w:b/>
          <w:color w:val="000000"/>
          <w:sz w:val="20"/>
          <w:u w:val="single"/>
        </w:rPr>
        <w:t>Hayfin Closing Date Loan</w:t>
      </w:r>
      <w:r>
        <w:rPr>
          <w:rFonts w:ascii="Times New Roman;Times;serif" w:hAnsi="Times New Roman;Times;serif"/>
          <w:color w:val="000000"/>
          <w:sz w:val="20"/>
        </w:rPr>
        <w:t>”), and (ii) a delayed draw term loan in the principal amount of $25.0 million (the “</w:t>
      </w:r>
      <w:r>
        <w:rPr>
          <w:rFonts w:ascii="Times New Roman;Times;serif" w:hAnsi="Times New Roman;Times;serif"/>
          <w:b/>
          <w:color w:val="000000"/>
          <w:sz w:val="20"/>
          <w:u w:val="single"/>
        </w:rPr>
        <w:t>Hayfin Delayed Draw Loan</w:t>
      </w:r>
      <w:r>
        <w:rPr>
          <w:rFonts w:ascii="Times New Roman;Times;serif" w:hAnsi="Times New Roman;Times;serif"/>
          <w:color w:val="000000"/>
          <w:sz w:val="20"/>
        </w:rPr>
        <w:t>” and, together with the Hayfin Closing Date Loan, the “</w:t>
      </w:r>
      <w:r>
        <w:rPr>
          <w:rFonts w:ascii="Times New Roman;Times;serif" w:hAnsi="Times New Roman;Times;serif"/>
          <w:b/>
          <w:color w:val="000000"/>
          <w:sz w:val="20"/>
          <w:u w:val="single"/>
        </w:rPr>
        <w:t>Hayfin Loans</w:t>
      </w:r>
      <w:r>
        <w:rPr>
          <w:rFonts w:ascii="Times New Roman;Times;serif" w:hAnsi="Times New Roman;Times;serif"/>
          <w:color w:val="000000"/>
          <w:sz w:val="20"/>
        </w:rPr>
        <w: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3" w:name="DSPFPageBreakArea34"/>
      <w:bookmarkStart w:id="184" w:name="DSPFPageBreakArea34"/>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5" w:name="DSPFPageBreak34"/>
      <w:bookmarkStart w:id="186" w:name="DSPFPageBreak34"/>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7" w:name="ny20007545x2_def14a_112-proposals_pg1"/>
        <w:bookmarkEnd w:id="18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88" w:name="tSPA"/>
      <w:bookmarkEnd w:id="188"/>
      <w:r>
        <w:rPr>
          <w:rFonts w:ascii="Times New Roman;Times;serif" w:hAnsi="Times New Roman;Times;serif"/>
          <w:b/>
          <w:color w:val="000000"/>
          <w:sz w:val="20"/>
        </w:rPr>
        <w:t>STOCKHOLDER PROPOSALS AND OTHER INFORMATION</w:t>
      </w:r>
    </w:p>
    <w:p>
      <w:pPr>
        <w:pStyle w:val="TextBody"/>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Deadline for Submission of Stockholder Proposals and Recommendations for Director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stockholder proposal submitted to us pursuant to SEC Rule 14a-8 under the Exchange Act for inclusion in our proxy materials for the 2024 annual meeting of stockholders must have been received by us at c/o ADMA Biologics, Inc., 465 State Route 17, Ramsey, New Jersey 07446, Attention: Corporate Secretary no later than the close of business on December 15, 2023.</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order for a stockholder to nominate a person for election to the Board or bring other business before the 2024 annual meeting of stockholders, the stockholder must comply with the advance notice provisions of our Bylaws, which require that the stockholder deliver written notice to the Secretary and comply with the other requirements set forth in the Bylaws. Specifically, we must receive this notice not less than 90 days and not greater than 120 days prior to the first anniversary of the preceding year’s annual meeting. In the event that the date of the annual meeting is advanced more than 30 days prior to or delayed by more than 30 days after the anniversary of the preceding year’s annual meeting, notice by the stockholder to be timely must be so received no earlier than the close of business on the 120th day prior to such annual meeting and no later than the close of business on the later of the ninetieth day prior to such annual meeting or the tenth day following the day on which public announcement of the date of such meeting is first made. Stockholders who intend to solicit proxies in support of director nominees other than the Board’s nominees under SEC Rule 14a-19 must comply with the applicable provisions of our Bylaws, as well as complying with the additional requirements of SEC Rule 14a-19, including SEC Rule 14a-19(b).</w:t>
      </w:r>
    </w:p>
    <w:p>
      <w:pPr>
        <w:pStyle w:val="TextBody"/>
        <w:spacing w:before="330" w:after="283"/>
        <w:jc w:val="center"/>
        <w:rPr>
          <w:rFonts w:ascii="Times New Roman;Times;serif" w:hAnsi="Times New Roman;Times;serif"/>
          <w:b/>
          <w:color w:val="000000"/>
          <w:sz w:val="20"/>
        </w:rPr>
      </w:pPr>
      <w:bookmarkStart w:id="189" w:name="tAR"/>
      <w:bookmarkEnd w:id="189"/>
      <w:r>
        <w:rPr>
          <w:rFonts w:ascii="Times New Roman;Times;serif" w:hAnsi="Times New Roman;Times;serif"/>
          <w:b/>
          <w:color w:val="000000"/>
          <w:sz w:val="20"/>
        </w:rPr>
        <w:t>ANNUAL REPORT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Annual Report on Form 10-K for the fiscal year ended December 31, 2022 is included with these proxy materials. A copy of our Annual Report on Form 10-K, including the financial statements included therein, is also available without charge on our website (www.admabiologics.com) or upon written request to us at c/o ADMA Biologics, Inc., 465 State Route 17, Ramsey, New Jersey 07446, Attention: Corporate Secretary.</w:t>
      </w:r>
    </w:p>
    <w:p>
      <w:pPr>
        <w:pStyle w:val="TextBody"/>
        <w:spacing w:before="330" w:after="283"/>
        <w:jc w:val="center"/>
        <w:rPr>
          <w:rFonts w:ascii="Times New Roman;Times;serif" w:hAnsi="Times New Roman;Times;serif"/>
          <w:b/>
          <w:color w:val="000000"/>
          <w:sz w:val="20"/>
        </w:rPr>
      </w:pPr>
      <w:bookmarkStart w:id="190" w:name="tHMM"/>
      <w:bookmarkEnd w:id="190"/>
      <w:r>
        <w:rPr>
          <w:rFonts w:ascii="Times New Roman;Times;serif" w:hAnsi="Times New Roman;Times;serif"/>
          <w:b/>
          <w:color w:val="000000"/>
          <w:sz w:val="20"/>
        </w:rPr>
        <w:t>HOUSEHOLDING OF MEETING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SEC has adopted rules that permit companies and intermediaries (e.g., brokers, banks and nominees) to satisfy the delivery requirements for proxy statements and annual reports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 and intermediaries. Under this process, stockholders of record who have the same address and last name will receive a single envelope containing the proxy materials for all stockholders having that address. The proxy materials for each stockholder will include that stockholder’s unique control number needed to vote his or her shares.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written or oral request, ADMA will deliver a separate copy of proxy materials to any stockholder at a shared address to which a single set of proxy materials was delivered and who wishes to receive separate sets in the future. Stockholders receiving multiple sets of proxy materials may likewise request that ADMA deliver a single set of proxy materials in the future. Stockholders may notify ADMA of their requests by calling or writing ADMA at its principal executive offices at (201) 478-5552 or 465 State Route 17, Ramsey, New Jersey 07446.</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are a beneficial owner, you can request information about householding from your broker, bank or nominee.</w:t>
      </w:r>
    </w:p>
    <w:p>
      <w:pPr>
        <w:pStyle w:val="TextBody"/>
        <w:spacing w:before="330" w:after="283"/>
        <w:jc w:val="center"/>
        <w:rPr>
          <w:rFonts w:ascii="Times New Roman;Times;serif" w:hAnsi="Times New Roman;Times;serif"/>
          <w:b/>
          <w:color w:val="000000"/>
          <w:sz w:val="20"/>
        </w:rPr>
      </w:pPr>
      <w:bookmarkStart w:id="191" w:name="tEAS"/>
      <w:bookmarkEnd w:id="191"/>
      <w:r>
        <w:rPr>
          <w:rFonts w:ascii="Times New Roman;Times;serif" w:hAnsi="Times New Roman;Times;serif"/>
          <w:b/>
          <w:color w:val="000000"/>
          <w:sz w:val="20"/>
        </w:rPr>
        <w:t>EXPENSES AND SOLICITATION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costs of solicitation of proxies will be borne by us. In addition to solicitations by mail, certain of our directors, officers and regular employees, without additional remuneration, may solicit proxies in person or by telephone or telegraph. The Company may elect to engage outside professionals to assist it in the distribution and solicitation of proxies at a fee to be borne by the Company. Brokers, custodians and fiduciaries will be requested to forward proxy soliciting material to the owners of stock held in their names, and we will reimburse them for their reasonable out-of-pocket costs. Solicitation by our officers and employees may also be made of some stockholders in person or by mail, telephone or telegraph following the original solicitation.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2" w:name="DSPFPageBreakArea35"/>
      <w:bookmarkStart w:id="193" w:name="DSPFPageBreakArea35"/>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4" w:name="DSPFPageBreak35"/>
      <w:bookmarkStart w:id="195" w:name="DSPFPageBreak35"/>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6" w:name="ny20007545x2_def14a_112-proposals_pg2"/>
        <w:bookmarkEnd w:id="19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97" w:name="tOM"/>
      <w:bookmarkEnd w:id="197"/>
      <w:r>
        <w:rPr>
          <w:rFonts w:ascii="Times New Roman;Times;serif" w:hAnsi="Times New Roman;Times;serif"/>
          <w:b/>
          <w:color w:val="000000"/>
          <w:sz w:val="20"/>
        </w:rPr>
        <w:t>OTHER MATTERS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does not know of any matters to be presented at the Annual Meeting other than those listed in the Notice of Annual Meeting of Stockholders that accompanies this proxy statement. However, if other matters properly come before the Annual Meeting, it is the intention of the persons named in the accompanying proxy to vote in accordance with their best judgment on such matters insofar as the proxies are not limited to the contrary.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the extent that information contained in this proxy statement is within the knowledge of persons other than our management, we have relied on such persons for the accuracy and completeness thereof.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proxy statement and our Annual Report on Form 10-K is available in the “Investors” section of our website at www.admabiologics.com. Alternatively, upon the receipt of a written request from any stockholder entitled to vote at the forthcoming Annual Meeting, we will mail, at no charge to the stockholder, a copy of our Annual Report on Form 10-K, including the financial statements and schedules required to be filed with the SEC pursuant to Rule 13a-1 under the Exchange Act, for the Company’s most recent fiscal year. Requests from beneficial owners of our voting securities must set forth a good faith representation that, as of the Record Date for the Annual Meeting, the person making the request was the beneficial owner of securities entitled to vote at such meeting. Written requests for such report should be directed to: c/o ADMA Biologics, Inc., 465 State Route 17, Ramsey, New Jersey 07446, Attention: Corporate Secretary.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would like us to send you a copy of the exhibits listed on the exhibit index of the Annual Report on Form 10-K, we will do so upon your payment of our reasonable expenses in furnishing a requested exhibit.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asked to advise us if you intend to attend the Annual Meeting. For instructions on how to attend the virtual Annual Meeting, please refer to www.virtualshareholdermeeting.com/ADMA2023. You are urged to authorize your proxy via the Internet, or, if you have requested paper copies of our proxy materials, complete, sign, date and return your proxy card promptly to make certain your shares will be voted at the Annual Meeting.</w:t>
      </w:r>
    </w:p>
    <w:tbl>
      <w:tblPr>
        <w:tblW w:w="4026" w:type="dxa"/>
        <w:jc w:val="left"/>
        <w:tblInd w:w="0" w:type="dxa"/>
        <w:tblCellMar>
          <w:top w:w="0" w:type="dxa"/>
          <w:left w:w="0" w:type="dxa"/>
          <w:bottom w:w="0" w:type="dxa"/>
          <w:right w:w="0" w:type="dxa"/>
        </w:tblCellMar>
      </w:tblPr>
      <w:tblGrid>
        <w:gridCol w:w="75"/>
        <w:gridCol w:w="23"/>
        <w:gridCol w:w="23"/>
        <w:gridCol w:w="390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05" w:type="dxa"/>
            <w:tcBorders/>
            <w:shd w:fill="auto" w:val="clear"/>
            <w:vAlign w:val="center"/>
          </w:tcPr>
          <w:p>
            <w:pPr>
              <w:pStyle w:val="TableContents"/>
              <w:spacing w:before="0" w:after="283"/>
              <w:ind w:left="0" w:right="0" w:hanging="0"/>
              <w:jc w:val="left"/>
              <w:rPr>
                <w:color w:val="000000"/>
              </w:rPr>
            </w:pPr>
            <w:r>
              <w:rPr>
                <w:color w:val="000000"/>
              </w:rPr>
              <w:drawing>
                <wp:inline distT="0" distB="0" distL="0" distR="0">
                  <wp:extent cx="1571625"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71625" cy="304800"/>
                          </a:xfrm>
                          <a:prstGeom prst="rect">
                            <a:avLst/>
                          </a:prstGeom>
                        </pic:spPr>
                      </pic:pic>
                    </a:graphicData>
                  </a:graphic>
                </wp:inline>
              </w:drawing>
            </w:r>
          </w:p>
          <w:p>
            <w:pPr>
              <w:pStyle w:val="TableContents"/>
              <w:spacing w:before="0" w:after="283"/>
              <w:ind w:left="0" w:right="0" w:hanging="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Adam S. Grossman</w:t>
            </w:r>
          </w:p>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Chief Executive Officer, Director</w:t>
            </w:r>
          </w:p>
        </w:tc>
      </w:tr>
    </w:tbl>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 April 13, 2023</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8" w:name="DSPFPageBreakArea36"/>
      <w:bookmarkStart w:id="199" w:name="DSPFPageBreakArea36"/>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0" w:name="DSPFPageBreak36"/>
      <w:bookmarkStart w:id="201" w:name="DSPFPageBreak36"/>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2" w:name="ny20007545x2_def14a_112-proposals_pg3"/>
        <w:bookmarkEnd w:id="20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03" w:name="tWYC"/>
      <w:bookmarkEnd w:id="203"/>
      <w:r>
        <w:rPr>
          <w:rFonts w:ascii="Times New Roman;Times;serif" w:hAnsi="Times New Roman;Times;serif"/>
          <w:b/>
          <w:color w:val="000000"/>
          <w:sz w:val="20"/>
        </w:rPr>
        <w:t>WHERE YOU CAN FIND ADDITIONAL INFORMATION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subject to the informational requirements of the Exchange Act, and are required to file reports, any proxy statements and other information with the SEC. Any reports, statements or other information that we file with the SEC, including this proxy statement, may be accessed from the SEC’s website on the Internet at </w:t>
      </w:r>
      <w:r>
        <w:rPr>
          <w:rFonts w:ascii="Times New Roman;Times;serif" w:hAnsi="Times New Roman;Times;serif"/>
          <w:i/>
          <w:color w:val="000000"/>
          <w:sz w:val="20"/>
        </w:rPr>
        <w:t>www.sec.gov</w:t>
      </w:r>
      <w:r>
        <w:rPr>
          <w:rFonts w:ascii="Times New Roman;Times;serif" w:hAnsi="Times New Roman;Times;serif"/>
          <w:color w:val="000000"/>
          <w:sz w:val="20"/>
        </w:rPr>
        <w:t>, free of charge. You may also obtain any reports, statements or other information that we file with the SEC by accessing our website at www.admabiologics.com or you may request such reports, statements or other information in writing or by telephone as follows:</w:t>
      </w:r>
    </w:p>
    <w:p>
      <w:pPr>
        <w:pStyle w:val="TextBody"/>
        <w:spacing w:before="170" w:after="283"/>
        <w:jc w:val="center"/>
        <w:rPr>
          <w:rFonts w:ascii="Times New Roman;Times;serif" w:hAnsi="Times New Roman;Times;serif"/>
          <w:color w:val="000000"/>
          <w:sz w:val="20"/>
        </w:rPr>
      </w:pPr>
      <w:r>
        <w:rPr>
          <w:rFonts w:ascii="Times New Roman;Times;serif" w:hAnsi="Times New Roman;Times;serif"/>
          <w:color w:val="000000"/>
          <w:sz w:val="20"/>
        </w:rPr>
        <w:t>ADMA BIOLOGICS, INC.</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465 State Route 17</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Ramsey, New Jersey 07446</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Attention: Office of the Secretary</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Telephone: (201) 478-5552</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information contained on our website or in any of our reports filed with the SEC shall not be deemed to be incorporated by reference into this proxy statement, except to the extent we specifically incorporate it by reference.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not authorized anyone to provide you with information that differs from that contained in this proxy statement. You should not assume that the information contained in this proxy statement is accurate as on any date other than the date of the proxy statement, and the mailing of this proxy statement to our stockholders shall not create any implication to the contrary.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4" w:name="DSPFPageBreakArea37"/>
      <w:bookmarkStart w:id="205" w:name="DSPFPageBreakArea37"/>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6" w:name="DSPFPageBreak37"/>
      <w:bookmarkStart w:id="207" w:name="DSPFPageBreak37"/>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8" w:name="ny20007545x2_def14a_300-proxycards_pg1"/>
        <w:bookmarkEnd w:id="20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6991350" cy="9048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91350" cy="90487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9" w:name="DSPFPageBreakArea38"/>
      <w:bookmarkStart w:id="210" w:name="DSPFPageBreakArea38"/>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1" w:name="DSPFPageBreak38"/>
      <w:bookmarkStart w:id="212" w:name="DSPFPageBreak38"/>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3" w:name="ny20007545x2_def14a_300-proxycards_pg2"/>
        <w:bookmarkEnd w:id="21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6991350" cy="904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991350" cy="90487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20951</Words>
  <CharactersWithSpaces>133342</CharactersWithSpaces>
  <Paragraphs>2302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