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May 21, 2019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Delaware</w:t>
            </w:r>
          </w:p>
        </w:tc>
        <w:tc>
          <w:tcPr>
            <w:tcW w:w="3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001-36728</w:t>
            </w:r>
          </w:p>
        </w:tc>
        <w:tc>
          <w:tcPr>
            <w:tcW w:w="390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56-2590442</w:t>
            </w:r>
          </w:p>
        </w:tc>
      </w:tr>
      <w:tr>
        <w:trPr>
          <w:trHeight w:val="195"/>
        </w:trPr>
        <w:tc>
          <w:tcPr>
            <w:tcW w:w="404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2"/>
              </w:rPr>
              <w:t>(State or other jurisdiction</w:t>
            </w:r>
          </w:p>
        </w:tc>
        <w:tc>
          <w:tcPr>
            <w:tcW w:w="34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3"/>
              </w:rPr>
              <w:t>(Commission</w:t>
            </w:r>
          </w:p>
        </w:tc>
        <w:tc>
          <w:tcPr>
            <w:tcW w:w="390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jc w:val="center"/>
              <w:ind w:right="130"/>
              <w:spacing w:after="0"/>
              <w:rPr>
                <w:sz w:val="20"/>
                <w:szCs w:val="20"/>
                <w:color w:val="auto"/>
              </w:rPr>
            </w:pPr>
            <w:r>
              <w:rPr>
                <w:rFonts w:ascii="Arial" w:cs="Arial" w:eastAsia="Arial" w:hAnsi="Arial"/>
                <w:sz w:val="18"/>
                <w:szCs w:val="18"/>
                <w:color w:val="auto"/>
                <w:w w:val="93"/>
              </w:rPr>
              <w:t>of incorporation)</w:t>
            </w:r>
          </w:p>
        </w:tc>
        <w:tc>
          <w:tcPr>
            <w:tcW w:w="348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2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7"/>
              </w:rPr>
              <w:t>465 State Route 17, Ramsey, New Jersey</w:t>
            </w:r>
          </w:p>
        </w:tc>
        <w:tc>
          <w:tcPr>
            <w:tcW w:w="39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rPr>
              <w:t>07446</w:t>
            </w:r>
          </w:p>
        </w:tc>
      </w:tr>
      <w:tr>
        <w:trPr>
          <w:trHeight w:val="224"/>
        </w:trPr>
        <w:tc>
          <w:tcPr>
            <w:tcW w:w="75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390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(201) 478-5552</w:t>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16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29" w:lineRule="exact"/>
        <w:rPr>
          <w:sz w:val="24"/>
          <w:szCs w:val="24"/>
          <w:color w:val="auto"/>
        </w:rPr>
      </w:pPr>
    </w:p>
    <w:p>
      <w:pPr>
        <w:ind w:right="3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May 21, 2019, ADMA Biologics, Inc., a Delaware corporation (the "Company"), announced that it has completed its previously announced sale of an aggregate of 12,937,500 shares of common stock, par value $0.0001 per share (the “Common Stock”), including 1,687,500 shares of Common Stock issued upon the exercise in full of the underwriters’ option to purchase additional shares, pursuant to the Company's existing shelf registration statement on Form S-3 (File No. 333-225048) (the “Offering”). The Company received gross proceeds of $51,750,000, before deducting the underwriting discounts and commissions and estimated fees and expenses payable by the Company in connection with the Offering. Jefferies LLC and Raymond James &amp; Associates, Inc. acted as joint book-running managers for the Offering. Oppenheimer &amp; Co. Inc. acted as lead manager for the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is attached hereto as Exhibit 99.1 and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2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392"/>
        </w:trPr>
        <w:tc>
          <w:tcPr>
            <w:tcW w:w="13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2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24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5"/>
              </w:rPr>
              <w:t>Opinion of DLA Piper LLP (US).</w:t>
            </w:r>
          </w:p>
        </w:tc>
        <w:tc>
          <w:tcPr>
            <w:tcW w:w="7680" w:type="dxa"/>
            <w:vAlign w:val="bottom"/>
            <w:gridSpan w:val="3"/>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18"/>
                <w:szCs w:val="18"/>
                <w:color w:val="0000EE"/>
              </w:rPr>
              <w:t>Consent of DLA Piper LLP (US) (included in Exhibit 5.1).</w:t>
            </w: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42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w w:val="99"/>
              </w:rPr>
              <w:t>Press Release of the Company, dated May 21, 2019.</w:t>
            </w:r>
          </w:p>
        </w:tc>
        <w:tc>
          <w:tcPr>
            <w:tcW w:w="5880" w:type="dxa"/>
            <w:vAlign w:val="bottom"/>
          </w:tcPr>
          <w:p>
            <w:pPr>
              <w:spacing w:after="0"/>
              <w:rPr>
                <w:sz w:val="24"/>
                <w:szCs w:val="24"/>
                <w:color w:val="auto"/>
              </w:rPr>
            </w:pPr>
          </w:p>
        </w:tc>
      </w:tr>
      <w:tr>
        <w:trPr>
          <w:trHeight w:val="595"/>
        </w:trPr>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600" w:type="dxa"/>
            <w:vAlign w:val="bottom"/>
            <w:tcBorders>
              <w:top w:val="single" w:sz="8" w:color="0000EE"/>
              <w:bottom w:val="single" w:sz="8" w:color="auto"/>
            </w:tcBorders>
          </w:tcPr>
          <w:p>
            <w:pPr>
              <w:spacing w:after="0"/>
              <w:rPr>
                <w:sz w:val="24"/>
                <w:szCs w:val="24"/>
                <w:color w:val="auto"/>
              </w:rPr>
            </w:pPr>
          </w:p>
        </w:tc>
        <w:tc>
          <w:tcPr>
            <w:tcW w:w="13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May 21, 2019</w:t>
            </w:r>
          </w:p>
        </w:tc>
        <w:tc>
          <w:tcPr>
            <w:tcW w:w="4820" w:type="dxa"/>
            <w:vAlign w:val="bottom"/>
          </w:tcPr>
          <w:p>
            <w:pPr>
              <w:ind w:left="3160"/>
              <w:spacing w:after="0"/>
              <w:rPr>
                <w:sz w:val="20"/>
                <w:szCs w:val="20"/>
                <w:color w:val="auto"/>
              </w:rPr>
            </w:pPr>
            <w:r>
              <w:rPr>
                <w:rFonts w:ascii="Arial" w:cs="Arial" w:eastAsia="Arial" w:hAnsi="Arial"/>
                <w:sz w:val="18"/>
                <w:szCs w:val="18"/>
                <w:color w:val="auto"/>
                <w:w w:val="97"/>
              </w:rPr>
              <w:t>ADMA Biologics, Inc.</w:t>
            </w:r>
          </w:p>
        </w:tc>
      </w:tr>
      <w:tr>
        <w:trPr>
          <w:trHeight w:val="648"/>
        </w:trPr>
        <w:tc>
          <w:tcPr>
            <w:tcW w:w="4200" w:type="dxa"/>
            <w:vAlign w:val="bottom"/>
          </w:tcPr>
          <w:p>
            <w:pPr>
              <w:spacing w:after="0"/>
              <w:rPr>
                <w:sz w:val="24"/>
                <w:szCs w:val="24"/>
                <w:color w:val="auto"/>
              </w:rPr>
            </w:pPr>
          </w:p>
        </w:tc>
        <w:tc>
          <w:tcPr>
            <w:tcW w:w="4820" w:type="dxa"/>
            <w:vAlign w:val="bottom"/>
          </w:tcPr>
          <w:p>
            <w:pPr>
              <w:ind w:left="3160"/>
              <w:spacing w:after="0"/>
              <w:rPr>
                <w:sz w:val="20"/>
                <w:szCs w:val="20"/>
                <w:color w:val="auto"/>
              </w:rPr>
            </w:pPr>
            <w:r>
              <w:rPr>
                <w:rFonts w:ascii="Arial" w:cs="Arial" w:eastAsia="Arial" w:hAnsi="Arial"/>
                <w:sz w:val="18"/>
                <w:szCs w:val="18"/>
                <w:color w:val="auto"/>
              </w:rPr>
              <w:t>By: /s/ Brian Lenz</w:t>
            </w:r>
          </w:p>
        </w:tc>
      </w:tr>
    </w:tbl>
    <w:p>
      <w:pPr>
        <w:ind w:left="7740"/>
        <w:spacing w:after="0"/>
        <w:rPr>
          <w:sz w:val="20"/>
          <w:szCs w:val="20"/>
          <w:color w:val="auto"/>
        </w:rPr>
      </w:pPr>
      <w:r>
        <w:rPr>
          <w:rFonts w:ascii="Arial" w:cs="Arial" w:eastAsia="Arial" w:hAnsi="Arial"/>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-130810</wp:posOffset>
            </wp:positionV>
            <wp:extent cx="2341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 w:lineRule="exact"/>
        <w:rPr>
          <w:sz w:val="20"/>
          <w:szCs w:val="20"/>
          <w:color w:val="auto"/>
        </w:rPr>
      </w:pPr>
    </w:p>
    <w:p>
      <w:pPr>
        <w:ind w:left="7740"/>
        <w:spacing w:after="0"/>
        <w:tabs>
          <w:tab w:leader="none" w:pos="8320" w:val="left"/>
        </w:tabs>
        <w:rPr>
          <w:sz w:val="20"/>
          <w:szCs w:val="20"/>
          <w:color w:val="auto"/>
        </w:rPr>
      </w:pPr>
      <w:r>
        <w:rPr>
          <w:rFonts w:ascii="Arial" w:cs="Arial" w:eastAsia="Arial" w:hAnsi="Arial"/>
          <w:sz w:val="18"/>
          <w:szCs w:val="18"/>
          <w:color w:val="auto"/>
        </w:rPr>
        <w:t>Title:</w:t>
        <w:tab/>
        <w:t>Executive Vice President and Chief</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773" w:right="239" w:bottom="1440" w:gutter="0" w:footer="0" w:header="0"/>
        </w:sectPr>
      </w:pPr>
    </w:p>
    <w:bookmarkStart w:id="3" w:name="page4"/>
    <w:bookmarkEnd w:id="3"/>
    <w:p>
      <w:pPr>
        <w:ind w:left="686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Short Hills, New Jersey 07078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www.dlapiper.com</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 973-520-2550</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 973-520-2551</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Attorneys Responsible for Short Hills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 Gilbert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E. Helmer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21,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ADMA Biologics,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465 State Route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Ramsey, NJ 07446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ADMA Biologics, Inc., Registration Statement on Form S-3 (File No. 333-225048)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acted as counsel to ADMA Biologics,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offering by the Company of 12,937,500 shares of common stock, par value $0.0001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pursuant to the referenced Registration Statement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the Prospectus Supplement dated May 16, 2019 (the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each filed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this opinion letter, we have examined the Registration Statement, the Prospectus Supplement and originals, or copies certified or otherwise identified to our satisfaction, of the Amended and Restated Certificate of Incorporation of the Company as filed with the Secretary of State of the State of Delaware, the Amended and Restated Bylaws of the Company and the minutes of meetings of the stockholders and the Board of Directors of the Company, and the Pricing Committee thereof, as provided to us by the Company and such other documents, records and other instruments as we have deemed appropriate for purposes of the opinion set forth herein.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8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Based upon the foregoing, we are of the opinion that the Shares have been duly authorized by the Company and are validly issued, fully paid and nonassessable.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opinion expressed herein is limited to the Delaware General Corporation Law.</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hereby consent to the use of this opinion as Exhibit 5.1 to the Registration Statement and to the reference to us under the caption “Legal Matters” in the base prospectus included in the Registration Statement and the Prospectus Supplement. In giving such consent, we do not hereby admit that we are acting within the category of persons whose consent is required under Section 7 of the Act or the rules or regulations of the SEC thereunder.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DLA Piper LLP (US)</w:t>
      </w:r>
    </w:p>
    <w:p>
      <w:pPr>
        <w:sectPr>
          <w:pgSz w:w="11900" w:h="16838" w:orient="portrait"/>
          <w:cols w:equalWidth="0" w:num="1">
            <w:col w:w="11400"/>
          </w:cols>
          <w:pgMar w:left="240" w:top="368" w:right="259" w:bottom="1440" w:gutter="0" w:footer="0" w:header="0"/>
        </w:sectPr>
      </w:pPr>
    </w:p>
    <w:bookmarkStart w:id="4" w:name="page5"/>
    <w:bookmarkEnd w:id="4"/>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243205</wp:posOffset>
            </wp:positionV>
            <wp:extent cx="1981200"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81200" cy="60896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auto"/>
        </w:rPr>
        <w:t>ADMA Biologics Announces Closing of $51.75 Million Public Offering and Full Exercise of Underwriters’ Option to Purchase Additional Shares</w:t>
      </w:r>
    </w:p>
    <w:p>
      <w:pPr>
        <w:spacing w:after="0" w:line="2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RAMSEY, N.J. and BOCA RATON, FL., May 21, 2019 - ADMA Biologics, Inc. (Nasdaq: ADMA) (“ADMA” or the “Company”) a vertically integrated commercial biopharmaceutical and specialty immunoglobulin company that manufactures, markets and develops specialty plasma-derived biologics for the treatment of immune deficiencies and the prevention of certain infectious diseases, announced today the closing of its previously announced underwritten public offering of 12,937,500 shares of its common stock at a public offering price of $4.00 per share, including 1,687,500 shares of Common Stock issued upon the exercise in full of the underwriters’ option to purchase additional shares. The gross proceeds from the offering are $51.75 million, before deducting underwriting discounts and commissions and other offering expenses payable by the Company.</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ADMA intends to use the net proceeds from this offering (i) to support the commercial launch of ASCENIV™ anticipated during the second half of 2019, (ii) for the commercial relaunch of BIVIGAM®, (iii) to expand the manufacturing capacity of the Company’s Boca Raton, FL facility, (iv) for the procurement of raw materials for the manufacturing of ASCENIV™ and BIVIGAM®, (v) to expand the Company’s plasma collection facility network, and (vi) for general corporate purposes and other capital expenditures.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Jefferies LLC and Raymond James &amp; Associates, Inc. acted as joint book-running managers for the offering. Oppenheimer &amp; Co. Inc. acted as lead manager for the offering.</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securities described above were offered by the Company pursuant to a “shelf” registration statement on Form S-3 (File No. 333-225048) previously filed with and declared effective by the Securities and Exchange Commission (“SEC”) on May 31, 2018. A final prospectus supplement and an accompanying prospectus relating to the offering has been filed with the SEC. Electronic copies of the final prospectus supplement and the accompanying prospectus relating to the offering may be obtained from Jefferies LLC, Attention: Equity Syndicate Prospectus Department, 520 Madison Avenue, 2nd Floor, New York, NY 10022; by phone at (877) 821-7388; or by e-mail at Prospectus_Department@Jefferies.com; or from Raymond James &amp; Associates, Inc., Attention: Equity Syndicate, 880 Carillon Parkway, St. Petersburg, FL 33716, or by telephone at (800) 248-8863, or by e-mail at prospectus@raymondjames.com; or by accessing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ADMA Biologics, Inc. (ADMA)</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ADMA Biologics is a vertically integrated biopharmaceutical manufacturer with three FDA approved commercial specialty plasma-based biologics. ADMA's mission is to develop and commercialize plasma-derived, human immune globulins targeted to niche patient populations for the treatment and prevention of certain infectious diseases and management of immune compromised patient populations. The target patient populations include immune compromised individuals who suffer from an underlying immune deficiency disease, or who may be immune compromised for other medical reasons. ADMA has received U.S. Patents 9,107,906, 9,714,283, 9,815,886, 9,969,793 and 10,259,865 related to certain aspects of its products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pursuant to the safe harbor provisions of the Private Securities Litigation Reform Act of 1995, about ADMA Biologics, Inc. ("we“, “our” or the “Company”). Forward-looking statements include, without limitation, any statement that may predict, forecast, indicate, or imply future results, performance or achievements, and may contain the words "estimate," “project,” "intend," “forecast,” "target,” ”anticipate,” “plan,” “planning,” “expect,” “believe,” “will," “is likely,” “will likely,” “should,” “could,” "would," "may," or, in each case, their negative, or words or expressions of similar meaning. These forward-looking statements also include, but are not limited to, statements concerning our anticipated use of net proceeds from the public offering and our plans to develop and commercialize plasma-derived, human immune globulins targeted to niche patient populations for the treatment and prevention of certain infectious diseases and management of immune compromised patient populations. Actual events or results may differ materially from those described in this document due to a number of important factors. Current and prospective security holders are cautioned that there also can be no assurance that the forward-looking statements included in this press release will prove to be accurate. In light of the significant uncertainties inherent in the forward-looking statements included herein, the inclusion of such information should not be regarded as a representation or warranty by ADMA or any other person that the objectives and plans of ADMA will be achieved in any specified time frame, if at all. Except to the extent required by applicable laws or rules, ADMA does not undertake any obligation to update any forward-looking statements or to announce revisions to any of the forward-looking statements. Forward-looking statements are subject to many risks, uncertainties and other factors that could cause our actual results, and the timing of certain events, to differ materially from any future results expressed or implied by the forward-looking statements, including, but not limited to, the risks and uncertainties described in our filings with the U.S. Securities and Exchange Commission, including our most recent reports on Form 10-K, 10-Q and 8-K, and any amendments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Lenz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 | 201-478-5552 | www.admabiologics.com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Feffer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LifeSci Advisors, LLC | 212-915-2568</w:t>
      </w: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2019-12-02T17:59:14Z</dcterms:created>
  <dcterms:modified xsi:type="dcterms:W3CDTF">2019-12-02T17:59:14Z</dcterms:modified>
</cp:coreProperties>
</file>