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460" w:right="2120" w:hanging="452"/>
        <w:spacing w:after="0" w:line="49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September 30,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 the transition period from ________ to 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001-36728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340" w:type="dxa"/>
            <w:vAlign w:val="bottom"/>
            <w:gridSpan w:val="4"/>
          </w:tcPr>
          <w:p>
            <w:pPr>
              <w:jc w:val="right"/>
              <w:ind w:right="1630"/>
              <w:spacing w:after="0"/>
              <w:rPr>
                <w:sz w:val="20"/>
                <w:szCs w:val="20"/>
                <w:color w:val="auto"/>
              </w:rPr>
            </w:pPr>
            <w:r>
              <w:rPr>
                <w:rFonts w:ascii="Arial" w:cs="Arial" w:eastAsia="Arial" w:hAnsi="Arial"/>
                <w:sz w:val="18"/>
                <w:szCs w:val="18"/>
                <w:b w:val="1"/>
                <w:bCs w:val="1"/>
                <w:color w:val="auto"/>
              </w:rPr>
              <w:t>56-2590442</w:t>
            </w:r>
          </w:p>
        </w:tc>
      </w:tr>
      <w:tr>
        <w:trPr>
          <w:trHeight w:val="195"/>
        </w:trPr>
        <w:tc>
          <w:tcPr>
            <w:tcW w:w="4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100" w:type="dxa"/>
            <w:vAlign w:val="bottom"/>
            <w:tcBorders>
              <w:top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0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9"/>
              </w:rPr>
              <w:t>465 State Route 17, Ramsey, NJ</w:t>
            </w:r>
          </w:p>
        </w:tc>
        <w:tc>
          <w:tcPr>
            <w:tcW w:w="5340" w:type="dxa"/>
            <w:vAlign w:val="bottom"/>
            <w:gridSpan w:val="4"/>
          </w:tcPr>
          <w:p>
            <w:pPr>
              <w:jc w:val="right"/>
              <w:ind w:right="1830"/>
              <w:spacing w:after="0"/>
              <w:rPr>
                <w:sz w:val="20"/>
                <w:szCs w:val="20"/>
                <w:color w:val="auto"/>
              </w:rPr>
            </w:pPr>
            <w:r>
              <w:rPr>
                <w:rFonts w:ascii="Arial" w:cs="Arial" w:eastAsia="Arial" w:hAnsi="Arial"/>
                <w:sz w:val="18"/>
                <w:szCs w:val="18"/>
                <w:b w:val="1"/>
                <w:bCs w:val="1"/>
                <w:color w:val="auto"/>
              </w:rPr>
              <w:t>07446</w:t>
            </w:r>
          </w:p>
        </w:tc>
      </w:tr>
      <w:tr>
        <w:trPr>
          <w:trHeight w:val="224"/>
        </w:trPr>
        <w:tc>
          <w:tcPr>
            <w:tcW w:w="420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377"/>
        </w:trPr>
        <w:tc>
          <w:tcPr>
            <w:tcW w:w="420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(201) 478-5552</w:t>
            </w:r>
          </w:p>
        </w:tc>
        <w:tc>
          <w:tcPr>
            <w:tcW w:w="422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5" w:lineRule="exact"/>
        <w:rPr>
          <w:sz w:val="24"/>
          <w:szCs w:val="24"/>
          <w:color w:val="auto"/>
        </w:rPr>
      </w:pPr>
    </w:p>
    <w:p>
      <w:pPr>
        <w:ind w:left="2440"/>
        <w:spacing w:after="0"/>
        <w:rPr>
          <w:sz w:val="20"/>
          <w:szCs w:val="20"/>
          <w:color w:val="auto"/>
        </w:rPr>
      </w:pPr>
      <w:r>
        <w:rPr>
          <w:rFonts w:ascii="Arial" w:cs="Arial" w:eastAsia="Arial" w:hAnsi="Arial"/>
          <w:sz w:val="18"/>
          <w:szCs w:val="18"/>
          <w:color w:val="auto"/>
        </w:rPr>
        <w:t>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ADMA</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2" w:lineRule="exact"/>
        <w:rPr>
          <w:sz w:val="24"/>
          <w:szCs w:val="24"/>
          <w:color w:val="auto"/>
        </w:rPr>
      </w:pPr>
    </w:p>
    <w:p>
      <w:pPr>
        <w:jc w:val="both"/>
        <w:ind w:right="40" w:firstLine="607"/>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607"/>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firstLine="60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66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80" w:type="dxa"/>
            <w:vAlign w:val="bottom"/>
          </w:tcPr>
          <w:p>
            <w:pPr>
              <w:ind w:left="88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0" w:firstLine="607"/>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tabs>
          <w:tab w:leader="none" w:pos="8940" w:val="left"/>
          <w:tab w:leader="none" w:pos="9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ind w:left="620"/>
        <w:spacing w:after="0"/>
        <w:rPr>
          <w:sz w:val="20"/>
          <w:szCs w:val="20"/>
          <w:color w:val="auto"/>
        </w:rPr>
      </w:pPr>
      <w:r>
        <w:rPr>
          <w:rFonts w:ascii="Arial" w:cs="Arial" w:eastAsia="Arial" w:hAnsi="Arial"/>
          <w:sz w:val="18"/>
          <w:szCs w:val="18"/>
          <w:color w:val="auto"/>
        </w:rPr>
        <w:t>As of November 5, 2020, there were 94,548,052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186055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237490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ectPr>
          <w:pgSz w:w="11900" w:h="16850" w:orient="portrait"/>
          <w:cols w:equalWidth="0" w:num="1">
            <w:col w:w="11240"/>
          </w:cols>
          <w:pgMar w:left="320" w:top="89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560" w:type="dxa"/>
            <w:vAlign w:val="bottom"/>
            <w:gridSpan w:val="6"/>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6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September 30, 2020 (Unaudited) and December 31, 2019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00" w:type="dxa"/>
            <w:vAlign w:val="bottom"/>
            <w:shd w:val="clear" w:color="auto" w:fill="CCEEFF"/>
          </w:tcPr>
          <w:p>
            <w:pPr>
              <w:spacing w:after="0"/>
              <w:rPr>
                <w:sz w:val="15"/>
                <w:szCs w:val="15"/>
                <w:color w:val="auto"/>
              </w:rPr>
            </w:pPr>
          </w:p>
        </w:tc>
        <w:tc>
          <w:tcPr>
            <w:tcW w:w="9660" w:type="dxa"/>
            <w:vAlign w:val="bottom"/>
            <w:gridSpan w:val="5"/>
            <w:shd w:val="clear" w:color="auto" w:fill="CCEEFF"/>
          </w:tcPr>
          <w:p>
            <w:pPr>
              <w:spacing w:after="0" w:line="17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(Unaudited) for the Three and Nine Months Ended September 30, 2020 and</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2019</w:t>
              </w:r>
            </w:hyperlink>
          </w:p>
        </w:tc>
        <w:tc>
          <w:tcPr>
            <w:tcW w:w="1800" w:type="dxa"/>
            <w:vAlign w:val="bottom"/>
            <w:tcBorders>
              <w:top w:val="single" w:sz="8" w:color="0000EE"/>
              <w:bottom w:val="single" w:sz="8" w:color="CCEEFF"/>
            </w:tcBorders>
            <w:shd w:val="clear" w:color="auto" w:fill="CCEEFF"/>
          </w:tcPr>
          <w:p>
            <w:pPr>
              <w:spacing w:after="0"/>
              <w:rPr>
                <w:sz w:val="18"/>
                <w:szCs w:val="18"/>
                <w:color w:val="auto"/>
              </w:rPr>
            </w:pPr>
          </w:p>
        </w:tc>
        <w:tc>
          <w:tcPr>
            <w:tcW w:w="676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00" w:type="dxa"/>
            <w:vAlign w:val="bottom"/>
            <w:tcBorders>
              <w:top w:val="single" w:sz="8" w:color="CCEEFF"/>
            </w:tcBorders>
          </w:tcPr>
          <w:p>
            <w:pPr>
              <w:spacing w:after="0"/>
              <w:rPr>
                <w:sz w:val="15"/>
                <w:szCs w:val="15"/>
                <w:color w:val="auto"/>
              </w:rPr>
            </w:pPr>
          </w:p>
        </w:tc>
        <w:tc>
          <w:tcPr>
            <w:tcW w:w="8920" w:type="dxa"/>
            <w:vAlign w:val="bottom"/>
            <w:tcBorders>
              <w:top w:val="single" w:sz="8" w:color="CCEEFF"/>
              <w:bottom w:val="single" w:sz="8" w:color="0000EE"/>
            </w:tcBorders>
            <w:gridSpan w:val="3"/>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Changes in Stockholders’ Equity (Unaudited) for the Three and Nine months Ended</w:t>
              </w:r>
            </w:hyperlink>
          </w:p>
        </w:tc>
        <w:tc>
          <w:tcPr>
            <w:tcW w:w="740" w:type="dxa"/>
            <w:vAlign w:val="bottom"/>
            <w:tcBorders>
              <w:top w:val="single" w:sz="8" w:color="CCEEFF"/>
            </w:tcBorders>
            <w:gridSpan w:val="2"/>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966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2020 and 2019</w:t>
              </w:r>
            </w:hyperlink>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9660" w:type="dxa"/>
            <w:vAlign w:val="bottom"/>
            <w:gridSpan w:val="5"/>
            <w:shd w:val="clear" w:color="auto" w:fill="CCEEFF"/>
          </w:tcPr>
          <w:p>
            <w:pPr>
              <w:spacing w:after="0"/>
              <w:rPr>
                <w:rFonts w:ascii="Arial" w:cs="Arial" w:eastAsia="Arial" w:hAnsi="Arial"/>
                <w:sz w:val="18"/>
                <w:szCs w:val="18"/>
                <w:u w:val="single" w:color="auto"/>
                <w:color w:val="0000EE"/>
                <w:w w:val="98"/>
              </w:rPr>
            </w:pPr>
            <w:hyperlink w:anchor="page5">
              <w:r>
                <w:rPr>
                  <w:rFonts w:ascii="Arial" w:cs="Arial" w:eastAsia="Arial" w:hAnsi="Arial"/>
                  <w:sz w:val="18"/>
                  <w:szCs w:val="18"/>
                  <w:u w:val="single" w:color="auto"/>
                  <w:color w:val="0000EE"/>
                  <w:w w:val="98"/>
                </w:rPr>
                <w:t>Condensed Consolidated Statements of Cash Flows (Unaudited) for the Nine Months Ended September 30, 2020 and 2019</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966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(Unaudited) Condensed Consolidated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gridSpan w:val="6"/>
            <w:shd w:val="clear" w:color="auto" w:fill="CCEEFF"/>
          </w:tcPr>
          <w:p>
            <w:pPr>
              <w:ind w:left="22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Management’s Discussion and Analysis of Financial Condition and Results of Operations.</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gridSpan w:val="6"/>
          </w:tcPr>
          <w:p>
            <w:pPr>
              <w:ind w:left="2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3.  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gridSpan w:val="6"/>
            <w:shd w:val="clear" w:color="auto" w:fill="CCEEFF"/>
          </w:tcPr>
          <w:p>
            <w:pPr>
              <w:ind w:left="220"/>
              <w:spacing w:after="0"/>
              <w:rPr>
                <w:rFonts w:ascii="Arial" w:cs="Arial" w:eastAsia="Arial" w:hAnsi="Arial"/>
                <w:sz w:val="18"/>
                <w:szCs w:val="18"/>
                <w:color w:val="0000EE"/>
              </w:rPr>
            </w:pPr>
            <w:hyperlink w:anchor="page28">
              <w:r>
                <w:rPr>
                  <w:rFonts w:ascii="Arial" w:cs="Arial" w:eastAsia="Arial" w:hAnsi="Arial"/>
                  <w:sz w:val="18"/>
                  <w:szCs w:val="18"/>
                  <w:u w:val="single" w:color="auto"/>
                  <w:color w:val="0000EE"/>
                </w:rPr>
                <w:t>Item 4.  Controls and Procedures</w:t>
              </w:r>
              <w:r>
                <w:rPr>
                  <w:rFonts w:ascii="Arial" w:cs="Arial" w:eastAsia="Arial" w:hAnsi="Arial"/>
                  <w:sz w:val="18"/>
                  <w:szCs w:val="18"/>
                  <w:color w:val="0000EE"/>
                </w:rPr>
                <w:t>.</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560" w:type="dxa"/>
            <w:vAlign w:val="bottom"/>
            <w:gridSpan w:val="6"/>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PART II OTHER INFORMATION</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ind w:left="2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w:t>
              </w:r>
            </w:hyperlink>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gridSpan w:val="6"/>
          </w:tcPr>
          <w:p>
            <w:pPr>
              <w:ind w:left="220"/>
              <w:spacing w:after="0"/>
              <w:rPr>
                <w:rFonts w:ascii="Arial" w:cs="Arial" w:eastAsia="Arial" w:hAnsi="Arial"/>
                <w:sz w:val="18"/>
                <w:szCs w:val="18"/>
                <w:color w:val="0000EE"/>
              </w:rPr>
            </w:pPr>
            <w:hyperlink w:anchor="page29">
              <w:r>
                <w:rPr>
                  <w:rFonts w:ascii="Arial" w:cs="Arial" w:eastAsia="Arial" w:hAnsi="Arial"/>
                  <w:sz w:val="18"/>
                  <w:szCs w:val="18"/>
                  <w:u w:val="single" w:color="auto"/>
                  <w:color w:val="0000EE"/>
                </w:rPr>
                <w:t>Item 1A</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Risk Factors</w:t>
              </w:r>
              <w:r>
                <w:rPr>
                  <w:rFonts w:ascii="Arial" w:cs="Arial" w:eastAsia="Arial" w:hAnsi="Arial"/>
                  <w:sz w:val="18"/>
                  <w:szCs w:val="18"/>
                  <w:color w:val="0000EE"/>
                </w:rPr>
                <w:t>.</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gridSpan w:val="6"/>
            <w:shd w:val="clear" w:color="auto" w:fill="CCEEFF"/>
          </w:tcPr>
          <w:p>
            <w:pPr>
              <w:ind w:left="220"/>
              <w:spacing w:after="0"/>
              <w:rPr>
                <w:rFonts w:ascii="Arial" w:cs="Arial" w:eastAsia="Arial" w:hAnsi="Arial"/>
                <w:sz w:val="18"/>
                <w:szCs w:val="18"/>
                <w:color w:val="0000EE"/>
              </w:rPr>
            </w:pPr>
            <w:hyperlink w:anchor="page47">
              <w:r>
                <w:rPr>
                  <w:rFonts w:ascii="Arial" w:cs="Arial" w:eastAsia="Arial" w:hAnsi="Arial"/>
                  <w:sz w:val="18"/>
                  <w:szCs w:val="18"/>
                  <w:u w:val="single" w:color="auto"/>
                  <w:color w:val="0000EE"/>
                </w:rPr>
                <w:t>Item 2.  Unregistered Sales of Equity Securities and Use of Proceeds</w:t>
              </w:r>
              <w:r>
                <w:rPr>
                  <w:rFonts w:ascii="Arial" w:cs="Arial" w:eastAsia="Arial" w:hAnsi="Arial"/>
                  <w:sz w:val="18"/>
                  <w:szCs w:val="18"/>
                  <w:color w:val="0000EE"/>
                </w:rPr>
                <w:t>.</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gridSpan w:val="6"/>
          </w:tcPr>
          <w:p>
            <w:pPr>
              <w:ind w:left="220"/>
              <w:spacing w:after="0"/>
              <w:rPr>
                <w:rFonts w:ascii="Arial" w:cs="Arial" w:eastAsia="Arial" w:hAnsi="Arial"/>
                <w:sz w:val="18"/>
                <w:szCs w:val="18"/>
                <w:color w:val="0000EE"/>
              </w:rPr>
            </w:pPr>
            <w:hyperlink w:anchor="page47">
              <w:r>
                <w:rPr>
                  <w:rFonts w:ascii="Arial" w:cs="Arial" w:eastAsia="Arial" w:hAnsi="Arial"/>
                  <w:sz w:val="18"/>
                  <w:szCs w:val="18"/>
                  <w:u w:val="single" w:color="auto"/>
                  <w:color w:val="0000EE"/>
                </w:rPr>
                <w:t>Item 3.  Defaults Upon Senior Securities</w:t>
              </w:r>
              <w:r>
                <w:rPr>
                  <w:rFonts w:ascii="Arial" w:cs="Arial" w:eastAsia="Arial" w:hAnsi="Arial"/>
                  <w:sz w:val="18"/>
                  <w:szCs w:val="18"/>
                  <w:color w:val="0000EE"/>
                </w:rPr>
                <w:t>.</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gridSpan w:val="6"/>
            <w:shd w:val="clear" w:color="auto" w:fill="CCEEFF"/>
          </w:tcPr>
          <w:p>
            <w:pPr>
              <w:ind w:left="220"/>
              <w:spacing w:after="0"/>
              <w:rPr>
                <w:rFonts w:ascii="Arial" w:cs="Arial" w:eastAsia="Arial" w:hAnsi="Arial"/>
                <w:sz w:val="18"/>
                <w:szCs w:val="18"/>
                <w:color w:val="0000EE"/>
              </w:rPr>
            </w:pPr>
            <w:hyperlink w:anchor="page47">
              <w:r>
                <w:rPr>
                  <w:rFonts w:ascii="Arial" w:cs="Arial" w:eastAsia="Arial" w:hAnsi="Arial"/>
                  <w:sz w:val="18"/>
                  <w:szCs w:val="18"/>
                  <w:u w:val="single" w:color="auto"/>
                  <w:color w:val="0000EE"/>
                </w:rPr>
                <w:t>Item 4.  Mine Safety Disclosures</w:t>
              </w:r>
              <w:r>
                <w:rPr>
                  <w:rFonts w:ascii="Arial" w:cs="Arial" w:eastAsia="Arial" w:hAnsi="Arial"/>
                  <w:sz w:val="18"/>
                  <w:szCs w:val="18"/>
                  <w:color w:val="0000EE"/>
                </w:rPr>
                <w:t>.</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ind w:left="22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5.</w:t>
              </w:r>
            </w:hyperlink>
          </w:p>
        </w:tc>
        <w:tc>
          <w:tcPr>
            <w:tcW w:w="9660" w:type="dxa"/>
            <w:vAlign w:val="bottom"/>
            <w:gridSpan w:val="5"/>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ind w:left="22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6.</w:t>
              </w:r>
            </w:hyperlink>
          </w:p>
        </w:tc>
        <w:tc>
          <w:tcPr>
            <w:tcW w:w="9660" w:type="dxa"/>
            <w:vAlign w:val="bottom"/>
            <w:gridSpan w:val="5"/>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Exhibits.</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18"/>
                <w:szCs w:val="18"/>
                <w:color w:val="auto"/>
              </w:rPr>
            </w:pPr>
          </w:p>
        </w:tc>
        <w:tc>
          <w:tcPr>
            <w:tcW w:w="180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gridSpan w:val="6"/>
            <w:shd w:val="clear" w:color="auto" w:fill="CCEEFF"/>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SIGNATURES</w:t>
              </w:r>
            </w:hyperlink>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right="20" w:firstLine="607"/>
        <w:spacing w:after="0" w:line="260" w:lineRule="auto"/>
        <w:rPr>
          <w:sz w:val="20"/>
          <w:szCs w:val="20"/>
          <w:color w:val="auto"/>
        </w:rPr>
      </w:pPr>
      <w:r>
        <w:rPr>
          <w:rFonts w:ascii="Arial" w:cs="Arial" w:eastAsia="Arial" w:hAnsi="Arial"/>
          <w:sz w:val="16"/>
          <w:szCs w:val="16"/>
          <w:color w:val="auto"/>
        </w:rPr>
        <w:t>This Quarterly Report on Form 10-Q includes our trademarks, trade names and service marks, such as “ASCENIV</w:t>
      </w:r>
      <w:r>
        <w:rPr>
          <w:rFonts w:ascii="Arial" w:cs="Arial" w:eastAsia="Arial" w:hAnsi="Arial"/>
          <w:sz w:val="26"/>
          <w:szCs w:val="26"/>
          <w:color w:val="auto"/>
          <w:vertAlign w:val="superscript"/>
        </w:rPr>
        <w:t>™</w:t>
      </w:r>
      <w:r>
        <w:rPr>
          <w:rFonts w:ascii="Arial" w:cs="Arial" w:eastAsia="Arial" w:hAnsi="Arial"/>
          <w:sz w:val="16"/>
          <w:szCs w:val="16"/>
          <w:color w:val="auto"/>
        </w:rPr>
        <w:t>,” “Nabi-HB</w:t>
      </w:r>
      <w:r>
        <w:rPr>
          <w:rFonts w:ascii="Arial" w:cs="Arial" w:eastAsia="Arial" w:hAnsi="Arial"/>
          <w:sz w:val="26"/>
          <w:szCs w:val="26"/>
          <w:color w:val="auto"/>
          <w:vertAlign w:val="superscript"/>
        </w:rPr>
        <w:t>®</w:t>
      </w:r>
      <w:r>
        <w:rPr>
          <w:rFonts w:ascii="Arial" w:cs="Arial" w:eastAsia="Arial" w:hAnsi="Arial"/>
          <w:sz w:val="16"/>
          <w:szCs w:val="16"/>
          <w:color w:val="auto"/>
        </w:rPr>
        <w:t>” and “BIVIGAM</w:t>
      </w:r>
      <w:r>
        <w:rPr>
          <w:rFonts w:ascii="Arial" w:cs="Arial" w:eastAsia="Arial" w:hAnsi="Arial"/>
          <w:sz w:val="26"/>
          <w:szCs w:val="26"/>
          <w:color w:val="auto"/>
          <w:vertAlign w:val="superscript"/>
        </w:rPr>
        <w:t>®</w:t>
      </w:r>
      <w:r>
        <w:rPr>
          <w:rFonts w:ascii="Arial" w:cs="Arial" w:eastAsia="Arial" w:hAnsi="Arial"/>
          <w:sz w:val="16"/>
          <w:szCs w:val="16"/>
          <w:color w:val="auto"/>
        </w:rPr>
        <w:t>,” which are protected under applicable intellectual property laws and are the property of ADMA Biologics, Inc., or its subsidiaries. Solely for</w:t>
      </w:r>
    </w:p>
    <w:p>
      <w:pPr>
        <w:spacing w:after="0" w:line="2"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 xml:space="preserve">convenience, trademarks, trade names and service marks referred to in this report may appear without the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300" w:firstLine="607"/>
        <w:spacing w:after="0" w:line="263" w:lineRule="auto"/>
        <w:rPr>
          <w:sz w:val="20"/>
          <w:szCs w:val="20"/>
          <w:color w:val="auto"/>
        </w:rPr>
      </w:pPr>
      <w:r>
        <w:rPr>
          <w:rFonts w:ascii="Arial" w:cs="Arial" w:eastAsia="Arial" w:hAnsi="Arial"/>
          <w:sz w:val="18"/>
          <w:szCs w:val="18"/>
          <w:color w:val="auto"/>
        </w:rPr>
        <w:t>Some of the information in this Quarterly Report on Form 10-Q contains forward-looking statements within the meaning of Section 27A of the Securities Act of 1933, as amended, and Section 21E of the Securities and Exchange Act of 1934, as amended. These statements include, among others, statements about:</w:t>
      </w:r>
    </w:p>
    <w:p>
      <w:pPr>
        <w:spacing w:after="0" w:line="184" w:lineRule="exact"/>
        <w:rPr>
          <w:sz w:val="20"/>
          <w:szCs w:val="20"/>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and ASCENIV on a commercial scale and commercialize these products as a result of their approval by the U.S. Food and Drug Administration (the “FDA”) in 2019;</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70"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25" w:lineRule="exact"/>
        <w:rPr>
          <w:rFonts w:ascii="Arial" w:cs="Arial" w:eastAsia="Arial" w:hAnsi="Arial"/>
          <w:sz w:val="18"/>
          <w:szCs w:val="18"/>
          <w:color w:val="auto"/>
        </w:rPr>
      </w:pPr>
    </w:p>
    <w:p>
      <w:pPr>
        <w:ind w:left="660" w:right="5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we have addressed the delays experienced with final drug product GMP release testing by our third-party vendors by adding additional release testing laboratories to our FDA-approved consortium listed in our drug approval documents;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25"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and reliance on third-party supply agreements as well as any extensions to such agreements;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BIVIGAM, ASCENIV and Nabi-HB for any purpose, including FDA-approved indications, by physicians, patients or payers;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ectPr>
          <w:pgSz w:w="11900" w:h="16838" w:orient="portrait"/>
          <w:cols w:equalWidth="0" w:num="1">
            <w:col w:w="11240"/>
          </w:cols>
          <w:pgMar w:left="320" w:top="341" w:right="339" w:bottom="0" w:gutter="0" w:footer="0" w:header="0"/>
        </w:sectPr>
      </w:pPr>
    </w:p>
    <w:bookmarkStart w:id="2" w:name="page3"/>
    <w:bookmarkEnd w:id="2"/>
    <w:p>
      <w:pPr>
        <w:spacing w:after="0" w:line="62" w:lineRule="exact"/>
        <w:rPr>
          <w:sz w:val="20"/>
          <w:szCs w:val="20"/>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products to other comparably run hyperimmune and immune globulin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for ASCENIV and BIVIGAM to provide meaningful clinical improvement for patients living with Primary Immune Deficiency</w:t>
      </w:r>
    </w:p>
    <w:p>
      <w:pPr>
        <w:spacing w:after="0" w:line="35" w:lineRule="exact"/>
        <w:rPr>
          <w:sz w:val="20"/>
          <w:szCs w:val="20"/>
          <w:color w:val="auto"/>
        </w:rPr>
      </w:pPr>
    </w:p>
    <w:p>
      <w:pPr>
        <w:ind w:left="660" w:right="480"/>
        <w:spacing w:after="0" w:line="260" w:lineRule="auto"/>
        <w:rPr>
          <w:sz w:val="20"/>
          <w:szCs w:val="20"/>
          <w:color w:val="auto"/>
        </w:rPr>
      </w:pPr>
      <w:r>
        <w:rPr>
          <w:rFonts w:ascii="Arial" w:cs="Arial" w:eastAsia="Arial" w:hAnsi="Arial"/>
          <w:sz w:val="18"/>
          <w:szCs w:val="18"/>
          <w:color w:val="auto"/>
        </w:rPr>
        <w:t>Disease, Primary Humoral Immunodeficiency Disease (“PIDD” or “PI”) or other immune deficiencies or any other condition for which the products may be prescribed or evaluated;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25" w:lineRule="exact"/>
        <w:rPr>
          <w:rFonts w:ascii="Arial" w:cs="Arial" w:eastAsia="Arial" w:hAnsi="Arial"/>
          <w:sz w:val="18"/>
          <w:szCs w:val="18"/>
          <w:color w:val="auto"/>
        </w:rPr>
      </w:pPr>
    </w:p>
    <w:p>
      <w:pPr>
        <w:ind w:left="660" w:right="9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related to the expansion of our manufacturing capacity, yield improvements, supply-chain robustness, distribution and other collaborative agreements and the success of such endeavors;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estimates regarding revenues, expenses, capital requirements, timing to profitability and the need for and availability of additional financing;</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25"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the coronavirus COVID-19 pandemic on our business, financial condition, liquidity and results of operations, and our ability to continue operations in the same manner as previously conducted prior to the macroeconomic effects of the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domestic and global economic conditions or performance;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25" w:lineRule="exact"/>
        <w:rPr>
          <w:sz w:val="20"/>
          <w:szCs w:val="20"/>
          <w:color w:val="auto"/>
        </w:rPr>
      </w:pPr>
    </w:p>
    <w:p>
      <w:pPr>
        <w:ind w:firstLine="607"/>
        <w:spacing w:after="0" w:line="253" w:lineRule="auto"/>
        <w:rPr>
          <w:sz w:val="20"/>
          <w:szCs w:val="20"/>
          <w:color w:val="auto"/>
        </w:rPr>
      </w:pPr>
      <w:r>
        <w:rPr>
          <w:rFonts w:ascii="Arial" w:cs="Arial" w:eastAsia="Arial" w:hAnsi="Arial"/>
          <w:sz w:val="18"/>
          <w:szCs w:val="18"/>
          <w:color w:val="auto"/>
        </w:rPr>
        <w:t>These statements may be found under the “Risk Factors” and “Management’s Discussion and Analysis of Financial Condition and Results of Operations” sections of this Quarterly Report on Form 10-Q. Forward-looking statements may be identified by the use of terms such as “anticipates,” “believes,” “can,” “continue,” “could,” “estimates,” “expects,” “intends,” “may,” “plans,” “potential,” “predicts,” or “should” or the negative thereof or other variations thereof or comparable terminology.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2019 and in this Quarterly Report on Form 10-Q for the quarter ended September 30, 2020.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publicly update any forward-looking statements or to publicly announce revisions to any of the forward-looking statements, unless otherwise required by the federal securities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5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320" w:type="dxa"/>
            <w:vAlign w:val="bottom"/>
          </w:tcPr>
          <w:p>
            <w:pPr>
              <w:spacing w:after="0"/>
              <w:rPr>
                <w:sz w:val="24"/>
                <w:szCs w:val="24"/>
                <w:color w:val="auto"/>
              </w:rPr>
            </w:pPr>
          </w:p>
        </w:tc>
        <w:tc>
          <w:tcPr>
            <w:tcW w:w="670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8"/>
              </w:rPr>
              <w:t>PART I</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670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rPr>
              <w:t>FINANCIAL INFORMATION</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5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320" w:type="dxa"/>
            <w:vAlign w:val="bottom"/>
          </w:tcPr>
          <w:p>
            <w:pPr>
              <w:spacing w:after="0"/>
              <w:rPr>
                <w:sz w:val="24"/>
                <w:szCs w:val="24"/>
                <w:color w:val="auto"/>
              </w:rPr>
            </w:pPr>
          </w:p>
        </w:tc>
        <w:tc>
          <w:tcPr>
            <w:tcW w:w="670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rPr>
              <w:t>ADMA BIOLOGICS, INC. AND SUBSIDIARIES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6700" w:type="dxa"/>
            <w:vAlign w:val="bottom"/>
            <w:gridSpan w:val="3"/>
          </w:tcPr>
          <w:p>
            <w:pPr>
              <w:jc w:val="center"/>
              <w:ind w:right="210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3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6480" w:type="dxa"/>
            <w:vAlign w:val="bottom"/>
            <w:gridSpan w:val="2"/>
          </w:tcPr>
          <w:p>
            <w:pPr>
              <w:jc w:val="center"/>
              <w:ind w:left="531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538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20" w:type="dxa"/>
            <w:vAlign w:val="bottom"/>
            <w:vMerge w:val="continue"/>
          </w:tcPr>
          <w:p>
            <w:pPr>
              <w:spacing w:after="0"/>
              <w:rPr>
                <w:sz w:val="16"/>
                <w:szCs w:val="16"/>
                <w:color w:val="auto"/>
              </w:rPr>
            </w:pPr>
          </w:p>
        </w:tc>
        <w:tc>
          <w:tcPr>
            <w:tcW w:w="5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Current assets:</w:t>
            </w:r>
          </w:p>
        </w:tc>
        <w:tc>
          <w:tcPr>
            <w:tcW w:w="5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59,675,045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26,752,135</w:t>
            </w: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6700" w:type="dxa"/>
            <w:vAlign w:val="bottom"/>
            <w:gridSpan w:val="3"/>
          </w:tcPr>
          <w:p>
            <w:pPr>
              <w:jc w:val="right"/>
              <w:ind w:right="220"/>
              <w:spacing w:after="0"/>
              <w:rPr>
                <w:sz w:val="20"/>
                <w:szCs w:val="20"/>
                <w:color w:val="auto"/>
              </w:rPr>
            </w:pPr>
            <w:r>
              <w:rPr>
                <w:rFonts w:ascii="Arial" w:cs="Arial" w:eastAsia="Arial" w:hAnsi="Arial"/>
                <w:sz w:val="18"/>
                <w:szCs w:val="18"/>
                <w:color w:val="auto"/>
              </w:rPr>
              <w:t>6,334,536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3,469,919</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6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69,752,528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53,064,734</w:t>
            </w:r>
          </w:p>
        </w:tc>
        <w:tc>
          <w:tcPr>
            <w:tcW w:w="0" w:type="dxa"/>
            <w:vAlign w:val="bottom"/>
          </w:tcPr>
          <w:p>
            <w:pPr>
              <w:spacing w:after="0"/>
              <w:rPr>
                <w:sz w:val="1"/>
                <w:szCs w:val="1"/>
                <w:color w:val="auto"/>
              </w:rPr>
            </w:pP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w w:val="90"/>
              </w:rPr>
              <w:t>Prepaid expenses and other current assets</w:t>
            </w:r>
          </w:p>
        </w:tc>
        <w:tc>
          <w:tcPr>
            <w:tcW w:w="6700" w:type="dxa"/>
            <w:vAlign w:val="bottom"/>
            <w:gridSpan w:val="3"/>
          </w:tcPr>
          <w:p>
            <w:pPr>
              <w:jc w:val="right"/>
              <w:ind w:right="220"/>
              <w:spacing w:after="0"/>
              <w:rPr>
                <w:sz w:val="20"/>
                <w:szCs w:val="20"/>
                <w:color w:val="auto"/>
              </w:rPr>
            </w:pPr>
            <w:r>
              <w:rPr>
                <w:rFonts w:ascii="Arial" w:cs="Arial" w:eastAsia="Arial" w:hAnsi="Arial"/>
                <w:sz w:val="18"/>
                <w:szCs w:val="18"/>
                <w:color w:val="auto"/>
              </w:rPr>
              <w:t>3,786,421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2,533,593</w:t>
            </w:r>
          </w:p>
        </w:tc>
        <w:tc>
          <w:tcPr>
            <w:tcW w:w="0" w:type="dxa"/>
            <w:vAlign w:val="bottom"/>
          </w:tcPr>
          <w:p>
            <w:pPr>
              <w:spacing w:after="0"/>
              <w:rPr>
                <w:sz w:val="1"/>
                <w:szCs w:val="1"/>
                <w:color w:val="auto"/>
              </w:rPr>
            </w:pPr>
          </w:p>
        </w:tc>
      </w:tr>
      <w:tr>
        <w:trPr>
          <w:trHeight w:val="111"/>
        </w:trPr>
        <w:tc>
          <w:tcPr>
            <w:tcW w:w="3320" w:type="dxa"/>
            <w:vAlign w:val="bottom"/>
            <w:shd w:val="clear" w:color="auto" w:fill="CCEEFF"/>
          </w:tcPr>
          <w:p>
            <w:pPr>
              <w:spacing w:after="0"/>
              <w:rPr>
                <w:sz w:val="9"/>
                <w:szCs w:val="9"/>
                <w:color w:val="auto"/>
              </w:rPr>
            </w:pPr>
          </w:p>
        </w:tc>
        <w:tc>
          <w:tcPr>
            <w:tcW w:w="5380" w:type="dxa"/>
            <w:vAlign w:val="bottom"/>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139,548,530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85,820,381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39,622,510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31,741,317</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2,622,959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3,159,474</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Right to use assets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2,782,987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1,245,029</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3,529,509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3,529,509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1,869,548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1,595,015</w:t>
            </w:r>
          </w:p>
        </w:tc>
      </w:tr>
      <w:tr>
        <w:trPr>
          <w:trHeight w:val="20"/>
        </w:trPr>
        <w:tc>
          <w:tcPr>
            <w:tcW w:w="8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189,976,043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127,090,725</w:t>
            </w:r>
          </w:p>
        </w:tc>
      </w:tr>
      <w:tr>
        <w:trPr>
          <w:trHeight w:val="197"/>
        </w:trPr>
        <w:tc>
          <w:tcPr>
            <w:tcW w:w="87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7,979,772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9,174,591</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8,074,989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4,481,395</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142,834</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275,988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229,073</w:t>
            </w:r>
          </w:p>
        </w:tc>
      </w:tr>
      <w:tr>
        <w:trPr>
          <w:trHeight w:val="20"/>
        </w:trPr>
        <w:tc>
          <w:tcPr>
            <w:tcW w:w="8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16,473,583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14,027,893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Senior notes payable, net of discount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82,108,633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68,291,163</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2,154,407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2,261,532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Subordinated note payable, net of discount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14,934,926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14,908,053</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 net of current portion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2,860,732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1,302,361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67,808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106,574</w:t>
            </w:r>
          </w:p>
        </w:tc>
      </w:tr>
      <w:tr>
        <w:trPr>
          <w:trHeight w:val="20"/>
        </w:trPr>
        <w:tc>
          <w:tcPr>
            <w:tcW w:w="8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118,600,089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100,897,576</w:t>
            </w:r>
          </w:p>
        </w:tc>
      </w:tr>
      <w:tr>
        <w:trPr>
          <w:trHeight w:val="210"/>
        </w:trPr>
        <w:tc>
          <w:tcPr>
            <w:tcW w:w="87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$0.0001 par value, 150,000,000 shares authorized, 89,616,176 and 59,318,355 shares issued and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5,932</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392,424,321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290,903,772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(321,057,329)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(264,716,555)</w:t>
            </w:r>
          </w:p>
        </w:tc>
      </w:tr>
      <w:tr>
        <w:trPr>
          <w:trHeight w:val="20"/>
        </w:trPr>
        <w:tc>
          <w:tcPr>
            <w:tcW w:w="8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71,375,954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26,193,149</w:t>
            </w:r>
          </w:p>
        </w:tc>
      </w:tr>
      <w:tr>
        <w:trPr>
          <w:trHeight w:val="20"/>
        </w:trPr>
        <w:tc>
          <w:tcPr>
            <w:tcW w:w="8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189,976,043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127,090,725</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6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3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30,</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425"/>
        </w:trPr>
        <w:tc>
          <w:tcPr>
            <w:tcW w:w="60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10,240,650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7,186,795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28,156,571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17,204,909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License revenue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35,708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35,708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107,125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107,125</w:t>
            </w:r>
          </w:p>
        </w:tc>
      </w:tr>
      <w:tr>
        <w:trPr>
          <w:trHeight w:val="20"/>
        </w:trPr>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10,276,358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7,222,503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28,263,696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17,312,034</w:t>
            </w:r>
          </w:p>
        </w:tc>
      </w:tr>
      <w:tr>
        <w:trPr>
          <w:trHeight w:val="210"/>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w w:val="99"/>
              </w:rPr>
              <w:t>Cost of product revenue (exclusive of amortization expense shown below)</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11,855,464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7,916,220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42,180,319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27,812,635</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1,708,391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491,404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4,893,549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1,879,025</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Plasma center operating expenses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1,218,898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456,899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2,597,444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1,705,498</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178,838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536,514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633,704</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9,115,744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7,197,173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25,750,458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18,878,690</w:t>
            </w:r>
          </w:p>
        </w:tc>
      </w:tr>
      <w:tr>
        <w:trPr>
          <w:trHeight w:val="20"/>
        </w:trPr>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24,077,335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16,272,931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75,958,284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50,909,552</w:t>
            </w:r>
          </w:p>
        </w:tc>
      </w:tr>
      <w:tr>
        <w:trPr>
          <w:trHeight w:val="210"/>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(13,800,977)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(9,050,428)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(47,694,588)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(33,597,518)</w:t>
            </w:r>
          </w:p>
        </w:tc>
      </w:tr>
      <w:tr>
        <w:trPr>
          <w:trHeight w:val="209"/>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281,896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268,643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619,103</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(3,091,200)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(2,649,404)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(8,875,597)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(6,262,489)</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(9,962,495)</w:t>
            </w: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transfer of plasma center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11,527,421</w:t>
            </w: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(26,440)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(20,523)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(39,232)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(42,308)</w:t>
            </w:r>
          </w:p>
        </w:tc>
      </w:tr>
      <w:tr>
        <w:trPr>
          <w:trHeight w:val="20"/>
        </w:trPr>
        <w:tc>
          <w:tcPr>
            <w:tcW w:w="6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Other expense,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(3,116,476)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(2,388,031)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(8,646,186)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(4,120,768)</w:t>
            </w:r>
          </w:p>
        </w:tc>
      </w:tr>
      <w:tr>
        <w:trPr>
          <w:trHeight w:val="209"/>
        </w:trPr>
        <w:tc>
          <w:tcPr>
            <w:tcW w:w="60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(16,917,453)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(11,438,459)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(56,340,774)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(37,718,286)</w:t>
            </w:r>
          </w:p>
        </w:tc>
      </w:tr>
      <w:tr>
        <w:trPr>
          <w:trHeight w:val="197"/>
        </w:trPr>
        <w:tc>
          <w:tcPr>
            <w:tcW w:w="60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(0.72)</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240"/>
          </w:cols>
          <w:pgMar w:left="320" w:top="140"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572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87,698,258</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59,317,830</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82,627,753</w:t>
            </w:r>
          </w:p>
        </w:tc>
        <w:tc>
          <w:tcPr>
            <w:tcW w:w="1080" w:type="dxa"/>
            <w:vAlign w:val="bottom"/>
          </w:tcPr>
          <w:p>
            <w:pPr>
              <w:jc w:val="right"/>
              <w:spacing w:after="0"/>
              <w:rPr>
                <w:sz w:val="20"/>
                <w:szCs w:val="20"/>
                <w:color w:val="auto"/>
              </w:rPr>
            </w:pPr>
            <w:r>
              <w:rPr>
                <w:rFonts w:ascii="Arial" w:cs="Arial" w:eastAsia="Arial" w:hAnsi="Arial"/>
                <w:sz w:val="18"/>
                <w:szCs w:val="18"/>
                <w:color w:val="auto"/>
              </w:rPr>
              <w:t>52,673,190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0</wp:posOffset>
            </wp:positionV>
            <wp:extent cx="322326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23260" cy="2540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2640" w:type="dxa"/>
            <w:vAlign w:val="bottom"/>
            <w:gridSpan w:val="5"/>
            <w:vMerge w:val="restart"/>
          </w:tcPr>
          <w:p>
            <w:pPr>
              <w:jc w:val="right"/>
              <w:ind w:right="8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4740" w:type="dxa"/>
            <w:vAlign w:val="bottom"/>
          </w:tcPr>
          <w:p>
            <w:pPr>
              <w:spacing w:after="0"/>
              <w:rPr>
                <w:sz w:val="19"/>
                <w:szCs w:val="19"/>
                <w:color w:val="auto"/>
              </w:rPr>
            </w:pPr>
          </w:p>
        </w:tc>
        <w:tc>
          <w:tcPr>
            <w:tcW w:w="264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59,318,355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290,903,772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(264,716,555)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26,193,149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676,548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676,548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27,025,000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88,701,336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88,704,039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1,958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(19,245,230)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(19,245,230)</w:t>
            </w: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Balance at March 31, 2020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86,345,313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8,635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380,288,833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(283,961,785)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96,335,683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715,608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715,608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4,668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6,255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6,255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(20,178,091)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(20,178,091)</w:t>
            </w: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86,349,981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8,635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381,010,696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(304,139,876)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76,879,455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774,784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774,784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3,251,195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10,638,843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10,639,168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(16,917,453)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(16,917,453)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89,616,176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392,424,321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(321,057,329)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71,375,954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gridSpan w:val="9"/>
          </w:tcPr>
          <w:p>
            <w:pPr>
              <w:ind w:left="3360"/>
              <w:spacing w:after="0"/>
              <w:rPr>
                <w:sz w:val="20"/>
                <w:szCs w:val="20"/>
                <w:color w:val="auto"/>
              </w:rPr>
            </w:pPr>
            <w:r>
              <w:rPr>
                <w:rFonts w:ascii="Arial" w:cs="Arial" w:eastAsia="Arial" w:hAnsi="Arial"/>
                <w:sz w:val="18"/>
                <w:szCs w:val="18"/>
                <w:b w:val="1"/>
                <w:bCs w:val="1"/>
                <w:color w:val="auto"/>
              </w:rPr>
              <w:t>For the Three and Nine Months Ended September 30, 2019</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740" w:type="dxa"/>
            <w:vAlign w:val="bottom"/>
          </w:tcPr>
          <w:p>
            <w:pPr>
              <w:spacing w:after="0"/>
              <w:rPr>
                <w:sz w:val="24"/>
                <w:szCs w:val="24"/>
                <w:color w:val="auto"/>
              </w:rPr>
            </w:pPr>
          </w:p>
        </w:tc>
        <w:tc>
          <w:tcPr>
            <w:tcW w:w="2640" w:type="dxa"/>
            <w:vAlign w:val="bottom"/>
            <w:gridSpan w:val="5"/>
            <w:vMerge w:val="restart"/>
          </w:tcPr>
          <w:p>
            <w:pPr>
              <w:jc w:val="right"/>
              <w:ind w:right="8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4740" w:type="dxa"/>
            <w:vAlign w:val="bottom"/>
          </w:tcPr>
          <w:p>
            <w:pPr>
              <w:spacing w:after="0"/>
              <w:rPr>
                <w:sz w:val="19"/>
                <w:szCs w:val="19"/>
                <w:color w:val="auto"/>
              </w:rPr>
            </w:pPr>
          </w:p>
        </w:tc>
        <w:tc>
          <w:tcPr>
            <w:tcW w:w="264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Paid-in</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46,353,068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236,203,041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(216,437,238)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19,770,438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637,263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637,263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in connection with note payable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2,699,208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2,699,208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(13,067,955)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(13,067,955)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46,353,068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239,539,512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(229,505,193)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10,038,954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27,238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75,045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75,048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12,937,500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48,395,794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48,397,088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Warrants issued in connection with note payable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879,907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879,907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726,736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726,736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(13,211,872)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(13,211,872)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59,317,806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289,616,994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(242,717,065)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46,905,861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650,670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650,670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(11,438,459)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(11,438,459)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59,318,355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290,267,664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(254,155,524)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36,118,072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580"/>
        <w:spacing w:after="0"/>
        <w:rPr>
          <w:sz w:val="20"/>
          <w:szCs w:val="20"/>
          <w:color w:val="auto"/>
        </w:rPr>
      </w:pPr>
      <w:r>
        <w:rPr>
          <w:rFonts w:ascii="Arial" w:cs="Arial" w:eastAsia="Arial" w:hAnsi="Arial"/>
          <w:sz w:val="17"/>
          <w:szCs w:val="17"/>
          <w:b w:val="1"/>
          <w:bCs w:val="1"/>
          <w:color w:val="auto"/>
        </w:rPr>
        <w:t>Nine Months Ended September</w:t>
      </w:r>
    </w:p>
    <w:p>
      <w:pPr>
        <w:spacing w:after="0" w:line="39"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5715</wp:posOffset>
            </wp:positionV>
            <wp:extent cx="1543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ind w:left="9080"/>
        <w:spacing w:after="0"/>
        <w:tabs>
          <w:tab w:leader="none" w:pos="103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14605</wp:posOffset>
            </wp:positionV>
            <wp:extent cx="15430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220" w:right="40"/>
        <w:spacing w:after="0" w:line="250" w:lineRule="auto"/>
        <w:rPr>
          <w:sz w:val="20"/>
          <w:szCs w:val="20"/>
          <w:color w:val="auto"/>
        </w:rPr>
      </w:pPr>
      <w:r>
        <w:rPr>
          <w:rFonts w:ascii="Arial" w:cs="Arial" w:eastAsia="Arial" w:hAnsi="Arial"/>
          <w:sz w:val="18"/>
          <w:szCs w:val="18"/>
          <w:color w:val="auto"/>
        </w:rPr>
        <w:t>Net loss $ (56,340,774) $ (37,718,286) Adjustments to reconcile net loss to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cash used in operating activities:</w:t>
      </w:r>
    </w:p>
    <w:p>
      <w:pPr>
        <w:sectPr>
          <w:pgSz w:w="11900" w:h="16838" w:orient="portrait"/>
          <w:cols w:equalWidth="0" w:num="1">
            <w:col w:w="11240"/>
          </w:cols>
          <w:pgMar w:left="320" w:top="121" w:right="3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jc w:val="right"/>
              <w:spacing w:after="0"/>
              <w:rPr>
                <w:sz w:val="20"/>
                <w:szCs w:val="20"/>
                <w:color w:val="auto"/>
              </w:rPr>
            </w:pPr>
            <w:r>
              <w:rPr>
                <w:rFonts w:ascii="Arial" w:cs="Arial" w:eastAsia="Arial" w:hAnsi="Arial"/>
                <w:sz w:val="18"/>
                <w:szCs w:val="18"/>
                <w:color w:val="auto"/>
              </w:rPr>
              <w:t>2,709,783</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2,429,550</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27,017</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2,166,940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2,014,669</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transfer of plasma center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(11,527,421)</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Amortization of debt discount</w:t>
            </w:r>
          </w:p>
        </w:tc>
        <w:tc>
          <w:tcPr>
            <w:tcW w:w="1100" w:type="dxa"/>
            <w:vAlign w:val="bottom"/>
          </w:tcPr>
          <w:p>
            <w:pPr>
              <w:jc w:val="right"/>
              <w:spacing w:after="0"/>
              <w:rPr>
                <w:sz w:val="20"/>
                <w:szCs w:val="20"/>
                <w:color w:val="auto"/>
              </w:rPr>
            </w:pPr>
            <w:r>
              <w:rPr>
                <w:rFonts w:ascii="Arial" w:cs="Arial" w:eastAsia="Arial" w:hAnsi="Arial"/>
                <w:sz w:val="18"/>
                <w:szCs w:val="18"/>
                <w:color w:val="auto"/>
              </w:rPr>
              <w:t>1,344,344</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719,607</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9,962,495</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Amortization of license revenue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(107,125)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(107,125)</w:t>
            </w: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(2,864,617)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(5,923,040)</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(16,687,794)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(21,870,736)</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(1,252,828)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44,081</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(74,335)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104,687</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(1,194,820)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3,059,511</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2,617,472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1,326,363</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1,055,076</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and non-current liabilities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(112,246)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(137,916)</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(69,783,522)</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(56,541,468)</w:t>
            </w:r>
          </w:p>
        </w:tc>
      </w:tr>
      <w:tr>
        <w:trPr>
          <w:trHeight w:val="209"/>
        </w:trPr>
        <w:tc>
          <w:tcPr>
            <w:tcW w:w="87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(9,128,359)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(2,217,542)</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(9,126,359)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(2,217,542)</w:t>
            </w:r>
          </w:p>
        </w:tc>
      </w:tr>
      <w:tr>
        <w:trPr>
          <w:trHeight w:val="209"/>
        </w:trPr>
        <w:tc>
          <w:tcPr>
            <w:tcW w:w="87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Principal payments on notes payable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(30,000,000)</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end of term fee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(2,760,000)</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Payment of debt refinancing fees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(6,499,867)</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note payable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72,500,000</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(1,679,661)</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common stock, net of offering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99,343,207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48,397,088</w:t>
            </w: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13,432</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75,048</w:t>
            </w: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finance lease obligations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(23,848)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(22,298)</w:t>
            </w:r>
          </w:p>
        </w:tc>
      </w:tr>
      <w:tr>
        <w:trPr>
          <w:trHeight w:val="210"/>
        </w:trPr>
        <w:tc>
          <w:tcPr>
            <w:tcW w:w="870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111,832,791</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80,010,310</w:t>
            </w:r>
          </w:p>
        </w:tc>
        <w:tc>
          <w:tcPr>
            <w:tcW w:w="100" w:type="dxa"/>
            <w:vAlign w:val="bottom"/>
            <w:tcBorders>
              <w:top w:val="single" w:sz="8" w:color="CCEEFF"/>
            </w:tcBorders>
          </w:tcPr>
          <w:p>
            <w:pPr>
              <w:spacing w:after="0"/>
              <w:rPr>
                <w:sz w:val="18"/>
                <w:szCs w:val="18"/>
                <w:color w:val="auto"/>
              </w:rPr>
            </w:pPr>
          </w:p>
        </w:tc>
      </w:tr>
      <w:tr>
        <w:trPr>
          <w:trHeight w:val="210"/>
        </w:trPr>
        <w:tc>
          <w:tcPr>
            <w:tcW w:w="8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100" w:type="dxa"/>
            <w:vAlign w:val="bottom"/>
          </w:tcPr>
          <w:p>
            <w:pPr>
              <w:jc w:val="right"/>
              <w:spacing w:after="0"/>
              <w:rPr>
                <w:sz w:val="20"/>
                <w:szCs w:val="20"/>
                <w:color w:val="auto"/>
              </w:rPr>
            </w:pPr>
            <w:r>
              <w:rPr>
                <w:rFonts w:ascii="Arial" w:cs="Arial" w:eastAsia="Arial" w:hAnsi="Arial"/>
                <w:sz w:val="18"/>
                <w:szCs w:val="18"/>
                <w:color w:val="auto"/>
              </w:rPr>
              <w:t>32,922,910</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21,251,300</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including restricted cash - beginning of period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26,752,135</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26,754,852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100" w:type="dxa"/>
            <w:vAlign w:val="bottom"/>
          </w:tcPr>
          <w:p>
            <w:pPr>
              <w:jc w:val="right"/>
              <w:spacing w:after="0"/>
              <w:rPr>
                <w:sz w:val="20"/>
                <w:szCs w:val="20"/>
                <w:color w:val="auto"/>
              </w:rPr>
            </w:pPr>
            <w:r>
              <w:rPr>
                <w:rFonts w:ascii="Arial" w:cs="Arial" w:eastAsia="Arial" w:hAnsi="Arial"/>
                <w:sz w:val="18"/>
                <w:szCs w:val="18"/>
                <w:color w:val="auto"/>
                <w:w w:val="98"/>
              </w:rPr>
              <w:t>$  59,675,045</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  48,006,152</w:t>
            </w:r>
          </w:p>
        </w:tc>
      </w:tr>
      <w:tr>
        <w:trPr>
          <w:trHeight w:val="20"/>
        </w:trPr>
        <w:tc>
          <w:tcPr>
            <w:tcW w:w="8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jc w:val="both"/>
        <w:ind w:firstLine="607"/>
        <w:spacing w:after="0" w:line="271" w:lineRule="auto"/>
        <w:rPr>
          <w:sz w:val="20"/>
          <w:szCs w:val="20"/>
          <w:color w:val="auto"/>
        </w:rPr>
      </w:pPr>
      <w:r>
        <w:rPr>
          <w:rFonts w:ascii="Arial" w:cs="Arial" w:eastAsia="Arial" w:hAnsi="Arial"/>
          <w:sz w:val="17"/>
          <w:szCs w:val="17"/>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(the “Biotest Assets”) of BTBU, which included the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two plasma collection facilities located in the U.S., one of which holds an approved license with the U.S. Food and Drug Administration (the “FDA”) while the other facility’s license application is pending with the FDA.</w:t>
      </w:r>
    </w:p>
    <w:p>
      <w:pPr>
        <w:spacing w:after="0" w:line="178" w:lineRule="exact"/>
        <w:rPr>
          <w:sz w:val="20"/>
          <w:szCs w:val="20"/>
          <w:color w:val="auto"/>
        </w:rPr>
      </w:pPr>
    </w:p>
    <w:p>
      <w:pPr>
        <w:jc w:val="both"/>
        <w:ind w:firstLine="607"/>
        <w:spacing w:after="0" w:line="253" w:lineRule="auto"/>
        <w:rPr>
          <w:sz w:val="20"/>
          <w:szCs w:val="20"/>
          <w:color w:val="auto"/>
        </w:rPr>
      </w:pPr>
      <w:r>
        <w:rPr>
          <w:rFonts w:ascii="Arial" w:cs="Arial" w:eastAsia="Arial" w:hAnsi="Arial"/>
          <w:sz w:val="18"/>
          <w:szCs w:val="18"/>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for the commercial re-launch of the product and commenced the commercial re-launch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ectPr>
          <w:pgSz w:w="11900" w:h="16838" w:orient="portrait"/>
          <w:cols w:equalWidth="0" w:num="1">
            <w:col w:w="11240"/>
          </w:cols>
          <w:pgMar w:left="320" w:top="125" w:right="339" w:bottom="0" w:gutter="0" w:footer="0" w:header="0"/>
        </w:sectPr>
      </w:pPr>
    </w:p>
    <w:bookmarkStart w:id="6" w:name="page7"/>
    <w:bookmarkEnd w:id="6"/>
    <w:p>
      <w:pPr>
        <w:jc w:val="both"/>
        <w:ind w:firstLine="607"/>
        <w:spacing w:after="0" w:line="287" w:lineRule="auto"/>
        <w:rPr>
          <w:sz w:val="20"/>
          <w:szCs w:val="20"/>
          <w:color w:val="auto"/>
        </w:rPr>
      </w:pPr>
      <w:r>
        <w:rPr>
          <w:rFonts w:ascii="Arial" w:cs="Arial" w:eastAsia="Arial" w:hAnsi="Arial"/>
          <w:sz w:val="16"/>
          <w:szCs w:val="16"/>
          <w:color w:val="auto"/>
        </w:rPr>
        <w:t>As of September 30, 2020, the Company had working capital of $123.1 million, including $59.7 million of cash and cash equivalents. Based upon the Company’s current projected revenue and expenditures, including capital expenditures and continued implementation of the Company’s commercialization and expansion activities, as well as certain other assumptions, the Company’s management currently believes that its cash, cash equivalents, projected revenue and accounts receivable will be sufficient to fund ADMA’s operations, as currently conducted, into the second quarter of 2021. In order to have sufficient cash to fund its operations thereafter, the Company anticipates it will need to raise additional capital before the end of the second quarter of 2021. These estimates may change based upon several factors, including the success of the Company’s commercial sales of its products, manufacturing ramp-up activities, the acceptability of ADMA’s immune globulin products by physicians, patients or payers and the various financing options that may be available to the Company. In addition, the Company’s end-to-end production cycle from procurement of raw materials to commercial release of finished product can take between seven and 12 months or potentially longer, requiring substantial investments in raw material plasma and other manufacturing materials. The Company currently has no firm commitments for additional financing, and there can be no assurance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168" w:lineRule="exact"/>
        <w:rPr>
          <w:sz w:val="20"/>
          <w:szCs w:val="20"/>
          <w:color w:val="auto"/>
        </w:rPr>
      </w:pPr>
    </w:p>
    <w:p>
      <w:pPr>
        <w:jc w:val="both"/>
        <w:ind w:firstLine="607"/>
        <w:spacing w:after="0" w:line="287" w:lineRule="auto"/>
        <w:rPr>
          <w:sz w:val="20"/>
          <w:szCs w:val="20"/>
          <w:color w:val="auto"/>
        </w:rPr>
      </w:pPr>
      <w:r>
        <w:rPr>
          <w:rFonts w:ascii="Arial" w:cs="Arial" w:eastAsia="Arial" w:hAnsi="Arial"/>
          <w:sz w:val="16"/>
          <w:szCs w:val="16"/>
          <w:color w:val="auto"/>
        </w:rPr>
        <w:t>Due to numerous risks and uncertainties associated with FDA review, inspections and approvals related to the Company’s products or the labeled indications of such products, ongoing compliance requirements and capacity expansion efforts at the Company’s Boca Facility and future commercialization of the Company’s products, including the Company’s ability to obtain adequate quantities of FDA-approved plasma with proper specifications on acceptable terms for use in the Company’s manufacturing process, as well as the additional uncertainties surrounding the COVID-19 pandemic (see Note 9), the Company is unable to estimate with certainty the amounts of increased capital outlays and operating expenditures required to fund its commercial and development activities. The Company’s current estimates may be subject to change as circumstances regarding its business requirements evolve. Failure to secure any necessary financing in a timely manner and on commercially reasonable terms could have a material adverse effect on the Company’s business plan and financial performance and it could be forced to delay or discontinue its commercialization, product development or clinical activities or delay or discontinue the approval efforts for any of the Company’s products or product candidates. The Company has reported cumulative losses since inception in June 2004 through September 30, 2020 of $321.1 million. As such, these factors raise substantial doubt about the Company’s ability to continue as a going concern. The accompanying consolidated financial statements do not include any adjustments related to the recoverability and classification of asset carrying amounts and the classification of liabilities that might be necessary from the outcome of this uncertainty.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07"/>
        <w:spacing w:after="0" w:line="255" w:lineRule="auto"/>
        <w:rPr>
          <w:sz w:val="20"/>
          <w:szCs w:val="20"/>
          <w:color w:val="auto"/>
        </w:rPr>
      </w:pPr>
      <w:r>
        <w:rPr>
          <w:rFonts w:ascii="Arial" w:cs="Arial" w:eastAsia="Arial" w:hAnsi="Arial"/>
          <w:sz w:val="18"/>
          <w:szCs w:val="18"/>
          <w:color w:val="auto"/>
        </w:rPr>
        <w:t>The Company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the Company’s existing stockholders and, in such event, the market value of its common stock may decline. The incurrence of additional indebtedness would result in increased fixed obligations and could also result in covenants that would restrict the Company’s operations or other financing alternatives. In addition, the Company is exploring additional contract manufacturing arrangements and other business development opportunities, which may provide additional liquidity to the Company.</w:t>
      </w:r>
    </w:p>
    <w:p>
      <w:pPr>
        <w:spacing w:after="0" w:line="192" w:lineRule="exact"/>
        <w:rPr>
          <w:sz w:val="20"/>
          <w:szCs w:val="20"/>
          <w:color w:val="auto"/>
        </w:rPr>
      </w:pPr>
    </w:p>
    <w:p>
      <w:pPr>
        <w:jc w:val="both"/>
        <w:ind w:firstLine="607"/>
        <w:spacing w:after="0" w:line="273" w:lineRule="auto"/>
        <w:rPr>
          <w:sz w:val="20"/>
          <w:szCs w:val="20"/>
          <w:color w:val="auto"/>
        </w:rPr>
      </w:pPr>
      <w:r>
        <w:rPr>
          <w:rFonts w:ascii="Arial" w:cs="Arial" w:eastAsia="Arial" w:hAnsi="Arial"/>
          <w:sz w:val="17"/>
          <w:szCs w:val="17"/>
          <w:color w:val="auto"/>
        </w:rPr>
        <w:t>On August 5, 2020, the Company entered into an open market sale agreement (the “Sale Agreement”) with Jefferies LLC (“Jefferies”), pursuant to which the Company could offer and sell, from time to time, at its option, through or to Jefferies, up to an aggregate of $50 million of shares of the Company’s common stock (see Note 7). On November 5, 2020, the Company and Jefferies entered into an amendment to the Sale Agreement to provide for an increase in the aggregate offering amount under the Sale Agreement such that, as of November 5, 2020, the Company may currently sell shares having an additional aggregate offering price of up to $20 million under the Sale Agreement, as amended (see Note 14). Through October 31, 2020, the Company received net proceeds from the sale of its common stock under the Sale Agreement of $20.3 million.</w:t>
      </w:r>
    </w:p>
    <w:p>
      <w:pPr>
        <w:spacing w:after="0" w:line="178" w:lineRule="exact"/>
        <w:rPr>
          <w:sz w:val="20"/>
          <w:szCs w:val="20"/>
          <w:color w:val="auto"/>
        </w:rPr>
      </w:pPr>
    </w:p>
    <w:p>
      <w:pPr>
        <w:jc w:val="both"/>
        <w:ind w:firstLine="607"/>
        <w:spacing w:after="0" w:line="296" w:lineRule="auto"/>
        <w:rPr>
          <w:sz w:val="20"/>
          <w:szCs w:val="20"/>
          <w:color w:val="auto"/>
        </w:rPr>
      </w:pPr>
      <w:r>
        <w:rPr>
          <w:rFonts w:ascii="Arial" w:cs="Arial" w:eastAsia="Arial" w:hAnsi="Arial"/>
          <w:sz w:val="16"/>
          <w:szCs w:val="16"/>
          <w:color w:val="auto"/>
        </w:rPr>
        <w:t>There can be no assurance that the Company’s approved products will be commercially viable, or that research and development,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14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Basis of presentation</w:t>
      </w:r>
    </w:p>
    <w:p>
      <w:pPr>
        <w:spacing w:after="0" w:line="233" w:lineRule="exact"/>
        <w:rPr>
          <w:sz w:val="20"/>
          <w:szCs w:val="20"/>
          <w:color w:val="auto"/>
        </w:rPr>
      </w:pPr>
    </w:p>
    <w:p>
      <w:pPr>
        <w:jc w:val="both"/>
        <w:ind w:firstLine="607"/>
        <w:spacing w:after="0" w:line="287" w:lineRule="auto"/>
        <w:rPr>
          <w:sz w:val="20"/>
          <w:szCs w:val="20"/>
          <w:color w:val="auto"/>
        </w:rPr>
      </w:pPr>
      <w:r>
        <w:rPr>
          <w:rFonts w:ascii="Arial" w:cs="Arial" w:eastAsia="Arial" w:hAnsi="Arial"/>
          <w:sz w:val="19"/>
          <w:szCs w:val="19"/>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70" w:lineRule="exact"/>
        <w:rPr>
          <w:sz w:val="20"/>
          <w:szCs w:val="20"/>
          <w:color w:val="auto"/>
        </w:rPr>
      </w:pPr>
    </w:p>
    <w:p>
      <w:pPr>
        <w:jc w:val="both"/>
        <w:ind w:firstLine="607"/>
        <w:spacing w:after="0" w:line="273" w:lineRule="auto"/>
        <w:rPr>
          <w:sz w:val="20"/>
          <w:szCs w:val="20"/>
          <w:color w:val="auto"/>
        </w:rPr>
      </w:pPr>
      <w:r>
        <w:rPr>
          <w:rFonts w:ascii="Arial" w:cs="Arial" w:eastAsia="Arial" w:hAnsi="Arial"/>
          <w:sz w:val="19"/>
          <w:szCs w:val="19"/>
          <w:color w:val="auto"/>
        </w:rPr>
        <w:t>The accompanying unaudited condensed consolidated financial statements should be read in conjunction with the annual audited consolidated financial statements and notes thereto as of and for the year ended December 31, 2019 included in the Company’s Annual Report on Form 10-K filed with the U.S. Securities and Exchange Commission (the “SEC”) on March 13, 2020. The accompanying consolidated balance sheet as of December 31, 2019 was derived from the audited financial statements as of and for the year ended December 31, 2019. These condensed consolidated interim financial statements have been prepared in accordance with the instructions to Form 10-Q and Article 8 of Regulation S-X, and therefore omit or condense certain footnotes and other information normally included in complete consolidated financial statements prepared in accordance with U.S. GAAP. All intercompany balances and transactions have been eliminated in consolidation. In the opinion of management, the accompanying unaudited condensed consolidated financial statements include all normal and recurring adjustments (which consist primarily of accruals, estimates and assumptions that impact the financial statements) considered necessary to present</w:t>
      </w:r>
    </w:p>
    <w:p>
      <w:pPr>
        <w:sectPr>
          <w:pgSz w:w="11900" w:h="16838" w:orient="portrait"/>
          <w:cols w:equalWidth="0" w:num="1">
            <w:col w:w="11240"/>
          </w:cols>
          <w:pgMar w:left="320" w:top="125" w:right="339" w:bottom="0" w:gutter="0" w:footer="0" w:header="0"/>
        </w:sectPr>
      </w:pPr>
    </w:p>
    <w:bookmarkStart w:id="7" w:name="page8"/>
    <w:bookmarkEnd w:id="7"/>
    <w:p>
      <w:pPr>
        <w:jc w:val="both"/>
        <w:spacing w:after="0" w:line="274" w:lineRule="auto"/>
        <w:rPr>
          <w:sz w:val="20"/>
          <w:szCs w:val="20"/>
          <w:color w:val="auto"/>
        </w:rPr>
      </w:pPr>
      <w:r>
        <w:rPr>
          <w:rFonts w:ascii="Arial" w:cs="Arial" w:eastAsia="Arial" w:hAnsi="Arial"/>
          <w:sz w:val="21"/>
          <w:szCs w:val="21"/>
          <w:color w:val="auto"/>
        </w:rPr>
        <w:t>fairly the Company’s financial position as of September 30, 2020, its results of operations and changes in equity for the three and nine months ended September 30, 2020 and cash flows for the nine months ended September 30, 2020.</w:t>
      </w:r>
    </w:p>
    <w:p>
      <w:pPr>
        <w:spacing w:after="0" w:line="178" w:lineRule="exact"/>
        <w:rPr>
          <w:sz w:val="20"/>
          <w:szCs w:val="20"/>
          <w:color w:val="auto"/>
        </w:rPr>
      </w:pPr>
    </w:p>
    <w:p>
      <w:pPr>
        <w:jc w:val="both"/>
        <w:ind w:firstLine="607"/>
        <w:spacing w:after="0" w:line="297" w:lineRule="auto"/>
        <w:rPr>
          <w:sz w:val="20"/>
          <w:szCs w:val="20"/>
          <w:color w:val="auto"/>
        </w:rPr>
      </w:pPr>
      <w:r>
        <w:rPr>
          <w:rFonts w:ascii="Arial" w:cs="Arial" w:eastAsia="Arial" w:hAnsi="Arial"/>
          <w:sz w:val="19"/>
          <w:szCs w:val="19"/>
          <w:color w:val="auto"/>
        </w:rPr>
        <w:t>During the three and nine months ended September 30, 2020 and 2019, comprehensive loss was equal to the net loss amounts presented for the respective periods in the accompanying condensed consolidated statements of operations. Operating results for interim periods are not necessarily indicative of the results that may be expected for the full fiscal year.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11" w:lineRule="exact"/>
        <w:rPr>
          <w:sz w:val="20"/>
          <w:szCs w:val="20"/>
          <w:color w:val="auto"/>
        </w:rPr>
      </w:pPr>
    </w:p>
    <w:p>
      <w:pPr>
        <w:jc w:val="both"/>
        <w:ind w:firstLine="607"/>
        <w:spacing w:after="0" w:line="255"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jc w:val="both"/>
        <w:ind w:firstLine="607"/>
        <w:spacing w:after="0" w:line="255" w:lineRule="auto"/>
        <w:rPr>
          <w:sz w:val="20"/>
          <w:szCs w:val="20"/>
          <w:color w:val="auto"/>
        </w:rPr>
      </w:pPr>
      <w:r>
        <w:rPr>
          <w:rFonts w:ascii="Arial" w:cs="Arial" w:eastAsia="Arial" w:hAnsi="Arial"/>
          <w:sz w:val="18"/>
          <w:szCs w:val="18"/>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secured term loan (see Note 6) approximates fair value due to the variable interest rate on this debt. With respect to the subordinated note payable in the amount of $15.0 million as of September 30, 2020 and December 31, 2019 held by Biotest, a principal stockholder of the Company at the time the note was issued concurrent with an acquisition transaction with an affiliate of such stockholder (see Note 6), the Company has concluded that an estimation of fair value for this note is not practicable.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jc w:val="both"/>
        <w:ind w:firstLine="607"/>
        <w:spacing w:after="0" w:line="296" w:lineRule="auto"/>
        <w:rPr>
          <w:sz w:val="20"/>
          <w:szCs w:val="20"/>
          <w:color w:val="auto"/>
        </w:rPr>
      </w:pPr>
      <w:r>
        <w:rPr>
          <w:rFonts w:ascii="Arial" w:cs="Arial" w:eastAsia="Arial" w:hAnsi="Arial"/>
          <w:sz w:val="16"/>
          <w:szCs w:val="16"/>
          <w:color w:val="auto"/>
        </w:rPr>
        <w:t>Accounts receivable is reported at realizable value, net of allowances for contractual credits and doubtful accounts, which are recognized in the period the related revenue is recorded. The Company extends credit to its customers based upon an evaluation of each customer's financial condition and credit history. Evaluations of the financial condition and associated credit risk of customers are performed on an ongoing basis. Based on these evaluations, the Company has concluded that its credit risk is minimal. At September 30, 2020, three customers accounted for an aggregate of 80% of the Company’s total accounts receivable, and at December 31, 2019, two customers accounted for 89% of the Company’s total accounts receivable.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25" w:lineRule="exact"/>
        <w:rPr>
          <w:sz w:val="20"/>
          <w:szCs w:val="20"/>
          <w:color w:val="auto"/>
        </w:rPr>
      </w:pPr>
    </w:p>
    <w:p>
      <w:pPr>
        <w:jc w:val="both"/>
        <w:ind w:firstLine="607"/>
        <w:spacing w:after="0" w:line="293" w:lineRule="auto"/>
        <w:rPr>
          <w:sz w:val="20"/>
          <w:szCs w:val="20"/>
          <w:color w:val="auto"/>
        </w:rPr>
      </w:pPr>
      <w:r>
        <w:rPr>
          <w:rFonts w:ascii="Arial" w:cs="Arial" w:eastAsia="Arial" w:hAnsi="Arial"/>
          <w:sz w:val="16"/>
          <w:szCs w:val="16"/>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Due to previous uncertainties surrounding certain prior submissions made to the FDA, all costs related to the production of BIVIGAM and ASCENIV prior to their FDA approval dates of May 9, 2019 and April 1, 2019, respectively, have been charged to cost of product revenue in the accompanying consolidated statements of operations during the period the product was produced. In addition, costs associated with the production of conformance or engineering lots that would not qualify as immediately available for commercial sale are charged to cost of product revenue and not capitalized into inventory.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September 30, 2020 and December 31, 2019 was $3.5 million. All of the Company’s goodwill is attributable to its ADMA BioManufacturing business segment and is related to a 2017 acquisition transaction.</w:t>
      </w:r>
    </w:p>
    <w:p>
      <w:pPr>
        <w:spacing w:after="0" w:line="184"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 as of October 1, 2020 did not result in a goodwill impairment charge, and the Company did not record any impairment charges related to goodwill for the three and nine months ended September 30, 2020 and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ectPr>
          <w:pgSz w:w="11900" w:h="16838" w:orient="portrait"/>
          <w:cols w:equalWidth="0" w:num="1">
            <w:col w:w="11240"/>
          </w:cols>
          <w:pgMar w:left="320" w:top="118" w:right="339" w:bottom="11" w:gutter="0" w:footer="0" w:header="0"/>
        </w:sectPr>
      </w:pPr>
    </w:p>
    <w:bookmarkStart w:id="8" w:name="page9"/>
    <w:bookmarkEnd w:id="8"/>
    <w:p>
      <w:pPr>
        <w:jc w:val="both"/>
        <w:ind w:firstLine="607"/>
        <w:spacing w:after="0" w:line="296"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three and nine months ended September 30, 2020 and 2019, the Company determined that there was no impairment of its long-lived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jc w:val="both"/>
        <w:ind w:firstLine="607"/>
        <w:spacing w:after="0" w:line="291" w:lineRule="auto"/>
        <w:rPr>
          <w:sz w:val="20"/>
          <w:szCs w:val="20"/>
          <w:color w:val="auto"/>
        </w:rPr>
      </w:pPr>
      <w:r>
        <w:rPr>
          <w:rFonts w:ascii="Arial" w:cs="Arial" w:eastAsia="Arial" w:hAnsi="Arial"/>
          <w:sz w:val="16"/>
          <w:szCs w:val="16"/>
          <w:color w:val="auto"/>
        </w:rPr>
        <w:t>Revenues for the three and nine months ended September 30, 2020 and 2019 are comprised of (i) revenues from the sale of the Company’s immunoglobulin products, BIVIGAM, ASCENIV and Nabi-HB, (ii) product revenues from the sale of human plasma collected through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66"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92"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07"/>
        <w:spacing w:after="0" w:line="342" w:lineRule="auto"/>
        <w:rPr>
          <w:sz w:val="20"/>
          <w:szCs w:val="20"/>
          <w:color w:val="auto"/>
        </w:rPr>
      </w:pPr>
      <w:r>
        <w:rPr>
          <w:rFonts w:ascii="Arial" w:cs="Arial" w:eastAsia="Arial" w:hAnsi="Arial"/>
          <w:sz w:val="16"/>
          <w:szCs w:val="16"/>
          <w:color w:val="auto"/>
        </w:rPr>
        <w:t>For the nine months ended September 30, 2020, three customers represented an aggregate of 82% of the Company’s consolidated revenues. For the nine months ended September 30, 2019, four customers represented an aggregate of 86% of the Company’s consolidated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product revenue</w:t>
      </w:r>
    </w:p>
    <w:p>
      <w:pPr>
        <w:spacing w:after="0" w:line="22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intermediates and the sale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per common share</w:t>
      </w:r>
    </w:p>
    <w:p>
      <w:pPr>
        <w:spacing w:after="0" w:line="225" w:lineRule="exact"/>
        <w:rPr>
          <w:sz w:val="20"/>
          <w:szCs w:val="20"/>
          <w:color w:val="auto"/>
        </w:rPr>
      </w:pPr>
    </w:p>
    <w:p>
      <w:pPr>
        <w:jc w:val="both"/>
        <w:ind w:firstLine="607"/>
        <w:spacing w:after="0" w:line="290" w:lineRule="auto"/>
        <w:rPr>
          <w:sz w:val="20"/>
          <w:szCs w:val="20"/>
          <w:color w:val="auto"/>
        </w:rPr>
      </w:pPr>
      <w:r>
        <w:rPr>
          <w:rFonts w:ascii="Arial" w:cs="Arial" w:eastAsia="Arial" w:hAnsi="Arial"/>
          <w:sz w:val="16"/>
          <w:szCs w:val="16"/>
          <w:color w:val="auto"/>
        </w:rPr>
        <w:t>Basic loss per common share is computed by dividing net loss attributable to common stockholders by the weighted average number of shares of common stock outstanding during the period. Diluted loss per common share is calculated by dividing net loss attributable to common stockholders, as adjusted for the effect of dilutive securities, if any, by the weighted average number of shares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is excluded from the diluted loss per common share computation to the extent that it would be anti-dilutive. As a result, no potentially dilutive securities are included in the computation of any of the accompanying diluted loss per share amounts as the Company reported a net loss for all periods presented. For the nine months ended September 30, 2020 and 2019, the following securities were excluded from the calculation of diluted loss per common share because of their anti-dilutive effects:</w:t>
      </w:r>
    </w:p>
    <w:p>
      <w:pPr>
        <w:spacing w:after="0" w:line="16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180" w:type="dxa"/>
            <w:vAlign w:val="bottom"/>
            <w:gridSpan w:val="4"/>
          </w:tcPr>
          <w:p>
            <w:pPr>
              <w:ind w:left="240"/>
              <w:spacing w:after="0"/>
              <w:rPr>
                <w:sz w:val="20"/>
                <w:szCs w:val="20"/>
                <w:color w:val="auto"/>
              </w:rPr>
            </w:pPr>
            <w:r>
              <w:rPr>
                <w:rFonts w:ascii="Arial" w:cs="Arial" w:eastAsia="Arial" w:hAnsi="Arial"/>
                <w:sz w:val="18"/>
                <w:szCs w:val="18"/>
                <w:b w:val="1"/>
                <w:bCs w:val="1"/>
                <w:color w:val="auto"/>
              </w:rPr>
              <w:t>For the Nine Months</w:t>
            </w:r>
          </w:p>
        </w:tc>
      </w:tr>
      <w:tr>
        <w:trPr>
          <w:trHeight w:val="234"/>
        </w:trPr>
        <w:tc>
          <w:tcPr>
            <w:tcW w:w="7360" w:type="dxa"/>
            <w:vAlign w:val="bottom"/>
          </w:tcPr>
          <w:p>
            <w:pPr>
              <w:spacing w:after="0"/>
              <w:rPr>
                <w:sz w:val="20"/>
                <w:szCs w:val="20"/>
                <w:color w:val="auto"/>
              </w:rPr>
            </w:pPr>
          </w:p>
        </w:tc>
        <w:tc>
          <w:tcPr>
            <w:tcW w:w="2180" w:type="dxa"/>
            <w:vAlign w:val="bottom"/>
            <w:gridSpan w:val="4"/>
          </w:tcPr>
          <w:p>
            <w:pPr>
              <w:ind w:left="220"/>
              <w:spacing w:after="0"/>
              <w:rPr>
                <w:sz w:val="20"/>
                <w:szCs w:val="20"/>
                <w:color w:val="auto"/>
              </w:rPr>
            </w:pPr>
            <w:r>
              <w:rPr>
                <w:rFonts w:ascii="Arial" w:cs="Arial" w:eastAsia="Arial" w:hAnsi="Arial"/>
                <w:sz w:val="18"/>
                <w:szCs w:val="18"/>
                <w:b w:val="1"/>
                <w:bCs w:val="1"/>
                <w:color w:val="auto"/>
              </w:rPr>
              <w:t>Ended September 30,</w:t>
            </w:r>
          </w:p>
        </w:tc>
      </w:tr>
      <w:tr>
        <w:trPr>
          <w:trHeight w:val="210"/>
        </w:trPr>
        <w:tc>
          <w:tcPr>
            <w:tcW w:w="73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6,938,351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5,639,539</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960" w:type="dxa"/>
            <w:vAlign w:val="bottom"/>
          </w:tcPr>
          <w:p>
            <w:pPr>
              <w:jc w:val="right"/>
              <w:spacing w:after="0"/>
              <w:rPr>
                <w:sz w:val="20"/>
                <w:szCs w:val="20"/>
                <w:color w:val="auto"/>
              </w:rPr>
            </w:pPr>
            <w:r>
              <w:rPr>
                <w:rFonts w:ascii="Arial" w:cs="Arial" w:eastAsia="Arial" w:hAnsi="Arial"/>
                <w:sz w:val="18"/>
                <w:szCs w:val="18"/>
                <w:color w:val="auto"/>
              </w:rPr>
              <w:t>331,000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2,138,160</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2,138,160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9,407,511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7,777,699</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jc w:val="both"/>
        <w:ind w:firstLine="607"/>
        <w:spacing w:after="0" w:line="293" w:lineRule="auto"/>
        <w:rPr>
          <w:sz w:val="20"/>
          <w:szCs w:val="20"/>
          <w:color w:val="auto"/>
        </w:rPr>
      </w:pPr>
      <w:r>
        <w:rPr>
          <w:rFonts w:ascii="Arial" w:cs="Arial" w:eastAsia="Arial" w:hAnsi="Arial"/>
          <w:sz w:val="16"/>
          <w:szCs w:val="16"/>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over the associated vesting period of the award based on the grant date fair value of the award. Stock options granted under the Company’s equity incentive plans generally have a four-year vesting period and a term of 10 years. Pursuant to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the Company has elected not to establish a forfeiture rate, as stock-based compensation expense related to forfeitures of unvested stock options is fully reversed at the time of forfeiture.</w:t>
      </w:r>
    </w:p>
    <w:p>
      <w:pPr>
        <w:sectPr>
          <w:pgSz w:w="11900" w:h="16838" w:orient="portrait"/>
          <w:cols w:equalWidth="0" w:num="1">
            <w:col w:w="11240"/>
          </w:cols>
          <w:pgMar w:left="320" w:top="125" w:right="339" w:bottom="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Income Taxes</w:t>
      </w:r>
    </w:p>
    <w:p>
      <w:pPr>
        <w:sectPr>
          <w:pgSz w:w="11900" w:h="16838" w:orient="portrait"/>
          <w:cols w:equalWidth="0" w:num="1">
            <w:col w:w="11240"/>
          </w:cols>
          <w:pgMar w:left="320" w:top="125" w:right="339" w:bottom="0" w:gutter="0" w:footer="0" w:header="0"/>
          <w:type w:val="continuous"/>
        </w:sectPr>
      </w:pPr>
    </w:p>
    <w:bookmarkStart w:id="9" w:name="page10"/>
    <w:bookmarkEnd w:id="9"/>
    <w:p>
      <w:pPr>
        <w:ind w:right="100" w:firstLine="607"/>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The Company is subject to income tax examinations by major taxing authorities for all tax years since 2015 and for previous periods as it relates to the Company’s net operating loss carryforwards.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8"/>
          <w:szCs w:val="18"/>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Based on its analysis, the Company has determined that it has not incurred any liability for unrecognized tax benefits as of September 30, 2020 and December 31, 2019, and during the three and nine months ended September 30, 2020 and 2019, the Company recognized no adjustments for uncertain tax positions.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225" w:lineRule="exact"/>
        <w:rPr>
          <w:sz w:val="20"/>
          <w:szCs w:val="20"/>
          <w:color w:val="auto"/>
        </w:rPr>
      </w:pPr>
    </w:p>
    <w:p>
      <w:pPr>
        <w:jc w:val="both"/>
        <w:ind w:firstLine="607"/>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which requires financial assets to be presented at the net amount expected to be collected, with 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The Company adopted ASU No. 2016-13 on January 1, 2020, and the adoption of this update did not have a significant impact on the Company’s consolidated financial statements.</w:t>
      </w:r>
    </w:p>
    <w:p>
      <w:pPr>
        <w:spacing w:after="0" w:line="177" w:lineRule="exact"/>
        <w:rPr>
          <w:sz w:val="20"/>
          <w:szCs w:val="20"/>
          <w:color w:val="auto"/>
        </w:rPr>
      </w:pPr>
    </w:p>
    <w:p>
      <w:pPr>
        <w:jc w:val="both"/>
        <w:ind w:firstLine="607"/>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requires lessees to recognize assets and liabilities for the rights and obligations created by most leases on their balance sheet. The guidance is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The Company adopted ASU 2016-02 on January 1, 2019 using the option to recognize the cumulative-effect adjustment, if any, as of the date of application, which was also January 1, 2019. The Company recognized right-to-use assets of $1.4 million and corresponding lease liabilities of approximately $1.6 million at the date of adoption (see Note 12). The Company also elected the “package of practical expedients,” which permits the Company to not reassess under the new standard its prior conclusions about lease identification, lease classification and initial direct costs. In addition, the Company elected the short-term lease recognition exemption for all leases that qualify, including the agreement under which the Company occupies certain office space as discussed in Note 8.</w:t>
      </w:r>
    </w:p>
    <w:p>
      <w:pPr>
        <w:spacing w:after="0" w:line="166" w:lineRule="exact"/>
        <w:rPr>
          <w:sz w:val="20"/>
          <w:szCs w:val="20"/>
          <w:color w:val="auto"/>
        </w:rPr>
      </w:pPr>
    </w:p>
    <w:p>
      <w:pPr>
        <w:jc w:val="both"/>
        <w:ind w:firstLine="607"/>
        <w:spacing w:after="0" w:line="269"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 (Topic 815)</w:t>
      </w:r>
      <w:r>
        <w:rPr>
          <w:rFonts w:ascii="Arial" w:cs="Arial" w:eastAsia="Arial" w:hAnsi="Arial"/>
          <w:sz w:val="17"/>
          <w:szCs w:val="17"/>
          <w:color w:val="auto"/>
        </w:rPr>
        <w:t>” (“ASU 2017-11”). ASU 2017-11 changed the classification analysis of certain equity-linked financial instruments (or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will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w:t>
      </w:r>
      <w:r>
        <w:rPr>
          <w:rFonts w:ascii="Arial" w:cs="Arial" w:eastAsia="Arial" w:hAnsi="Arial"/>
          <w:sz w:val="17"/>
          <w:szCs w:val="17"/>
          <w:i w:val="1"/>
          <w:iCs w:val="1"/>
          <w:color w:val="auto"/>
        </w:rPr>
        <w:t>Debt—Debt with Conversion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Options. </w:t>
      </w:r>
      <w:r>
        <w:rPr>
          <w:rFonts w:ascii="Arial" w:cs="Arial" w:eastAsia="Arial" w:hAnsi="Arial"/>
          <w:sz w:val="17"/>
          <w:szCs w:val="17"/>
          <w:color w:val="auto"/>
        </w:rPr>
        <w:t>ASU 2017-11 became effective for the Company on January 1, 2019, and this update did not have a significant impact on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3. INVENTORIES</w:t>
            </w: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80" w:type="dxa"/>
            <w:vAlign w:val="bottom"/>
          </w:tcPr>
          <w:p>
            <w:pPr>
              <w:spacing w:after="0"/>
              <w:rPr>
                <w:sz w:val="24"/>
                <w:szCs w:val="24"/>
                <w:color w:val="auto"/>
              </w:rPr>
            </w:pPr>
          </w:p>
        </w:tc>
        <w:tc>
          <w:tcPr>
            <w:tcW w:w="6420" w:type="dxa"/>
            <w:vAlign w:val="bottom"/>
            <w:gridSpan w:val="3"/>
          </w:tcPr>
          <w:p>
            <w:pPr>
              <w:ind w:left="440"/>
              <w:spacing w:after="0"/>
              <w:rPr>
                <w:sz w:val="20"/>
                <w:szCs w:val="20"/>
                <w:color w:val="auto"/>
              </w:rPr>
            </w:pPr>
            <w:r>
              <w:rPr>
                <w:rFonts w:ascii="Arial" w:cs="Arial" w:eastAsia="Arial" w:hAnsi="Arial"/>
                <w:sz w:val="18"/>
                <w:szCs w:val="18"/>
                <w:color w:val="auto"/>
              </w:rPr>
              <w:t>The following table provides the components of inventories:</w:t>
            </w: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4"/>
              </w:rPr>
              <w:t>September</w:t>
            </w:r>
          </w:p>
        </w:tc>
        <w:tc>
          <w:tcPr>
            <w:tcW w:w="18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5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30,</w:t>
            </w:r>
          </w:p>
        </w:tc>
        <w:tc>
          <w:tcPr>
            <w:tcW w:w="11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5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1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0" w:type="dxa"/>
            <w:vAlign w:val="bottom"/>
            <w:vMerge w:val="restart"/>
          </w:tcPr>
          <w:p>
            <w:pPr>
              <w:spacing w:after="0"/>
              <w:rPr>
                <w:sz w:val="18"/>
                <w:szCs w:val="18"/>
                <w:color w:val="auto"/>
              </w:rPr>
            </w:pPr>
          </w:p>
        </w:tc>
        <w:tc>
          <w:tcPr>
            <w:tcW w:w="68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$ 25,682,701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$ 33,381,806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Work-in-progress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28,441,553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14,455,665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15,628,274</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5,227,263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0" w:gutter="0" w:footer="0" w:header="0"/>
        </w:sectPr>
      </w:pPr>
    </w:p>
    <w:bookmarkStart w:id="10" w:name="page11"/>
    <w:bookmarkEnd w:id="10"/>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Total inventories</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$ 69,752,528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$ 53,064,734</w:t>
            </w:r>
          </w:p>
        </w:tc>
      </w:tr>
      <w:tr>
        <w:trPr>
          <w:trHeight w:val="20"/>
        </w:trPr>
        <w:tc>
          <w:tcPr>
            <w:tcW w:w="7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07"/>
        <w:spacing w:after="0" w:line="311" w:lineRule="auto"/>
        <w:rPr>
          <w:sz w:val="20"/>
          <w:szCs w:val="20"/>
          <w:color w:val="auto"/>
        </w:rPr>
      </w:pPr>
      <w:r>
        <w:rPr>
          <w:rFonts w:ascii="Arial" w:cs="Arial" w:eastAsia="Arial" w:hAnsi="Arial"/>
          <w:sz w:val="16"/>
          <w:szCs w:val="16"/>
          <w:color w:val="auto"/>
        </w:rPr>
        <w:t>Raw materials includes plasma and other materials expected to be used in the production of ASCENIV, BIVIGAM and Nabi-HB, as there are alternative uses for these materials that provide a probable future benefit or will be consumed in the production of goods expected to be available for sale. All other activities and materials associated with the production of inventories used in research and development activities are expensed as incurred.</w:t>
      </w:r>
    </w:p>
    <w:p>
      <w:pPr>
        <w:spacing w:after="0" w:line="149"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 Finished goods inventory is comprised of immunoglobulin product inventory and related intermediates that are available for commercial sale, as well as plasma collected at the Company’s plasma collection center which is expected to be sold to third-party customers.</w:t>
      </w:r>
    </w:p>
    <w:p>
      <w:pPr>
        <w:spacing w:after="0" w:line="16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Intangible assets at September 30, 2020 and December 31, 2019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260" w:type="dxa"/>
            <w:vAlign w:val="bottom"/>
            <w:gridSpan w:val="8"/>
          </w:tcPr>
          <w:p>
            <w:pPr>
              <w:ind w:left="820"/>
              <w:spacing w:after="0"/>
              <w:rPr>
                <w:sz w:val="20"/>
                <w:szCs w:val="20"/>
                <w:color w:val="auto"/>
              </w:rPr>
            </w:pPr>
            <w:r>
              <w:rPr>
                <w:rFonts w:ascii="Arial" w:cs="Arial" w:eastAsia="Arial" w:hAnsi="Arial"/>
                <w:sz w:val="18"/>
                <w:szCs w:val="18"/>
                <w:b w:val="1"/>
                <w:bCs w:val="1"/>
                <w:color w:val="auto"/>
              </w:rPr>
              <w:t>September 30, 2020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gridSpan w:val="4"/>
          </w:tcPr>
          <w:p>
            <w:pPr>
              <w:ind w:left="20"/>
              <w:spacing w:after="0"/>
              <w:rPr>
                <w:sz w:val="20"/>
                <w:szCs w:val="20"/>
                <w:color w:val="auto"/>
              </w:rPr>
            </w:pPr>
            <w:r>
              <w:rPr>
                <w:rFonts w:ascii="Arial" w:cs="Arial" w:eastAsia="Arial" w:hAnsi="Arial"/>
                <w:sz w:val="18"/>
                <w:szCs w:val="18"/>
                <w:b w:val="1"/>
                <w:bCs w:val="1"/>
                <w:color w:val="auto"/>
                <w:w w:val="88"/>
              </w:rPr>
              <w:t>December 31, 2019</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9"/>
              </w:rPr>
              <w:t>Accumulated</w:t>
            </w: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Trademark and other intangible rights related to Nabi-HB</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$ 4,100,046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1,952,403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$ 2,147,643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$ 4,100,046</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1,513,112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$ 2,586,934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840" w:type="dxa"/>
            <w:vAlign w:val="bottom"/>
          </w:tcPr>
          <w:p>
            <w:pPr>
              <w:jc w:val="right"/>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432,105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475,316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334,881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572,540</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1,076,557</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$ 6,084,024</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3,461,065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$ 2,622,959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6"/>
              </w:rPr>
              <w:t>$ 6,084,024</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2,924,550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$ 3,159,474</w:t>
            </w:r>
          </w:p>
        </w:tc>
      </w:tr>
      <w:tr>
        <w:trPr>
          <w:trHeight w:val="20"/>
        </w:trPr>
        <w:tc>
          <w:tcPr>
            <w:tcW w:w="4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All of the Company’s intangible assets were acquired in the Biotest Transaction. Amortization expense related to these intangible assets for the three months ended September 30, 2020 and 2019 was $0.2 million, and amortization expense for the nine months ended September 30, 2020 and 2019 was $0.5 million and $0.6 million, respectively. Estimated aggregate future aggregate amortization expense for the next five years is expected to be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5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178,838</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2021</w:t>
            </w:r>
          </w:p>
        </w:tc>
        <w:tc>
          <w:tcPr>
            <w:tcW w:w="57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715,352</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2023</w:t>
            </w:r>
          </w:p>
        </w:tc>
        <w:tc>
          <w:tcPr>
            <w:tcW w:w="57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715,352</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298,065</w:t>
            </w:r>
          </w:p>
        </w:tc>
        <w:tc>
          <w:tcPr>
            <w:tcW w:w="840" w:type="dxa"/>
            <w:vAlign w:val="bottom"/>
          </w:tcPr>
          <w:p>
            <w:pPr>
              <w:spacing w:after="0"/>
              <w:rPr>
                <w:sz w:val="18"/>
                <w:szCs w:val="18"/>
                <w:color w:val="auto"/>
              </w:rPr>
            </w:pPr>
          </w:p>
        </w:tc>
      </w:tr>
      <w:tr>
        <w:trPr>
          <w:trHeight w:val="648"/>
        </w:trPr>
        <w:tc>
          <w:tcPr>
            <w:tcW w:w="8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jc w:val="right"/>
              <w:ind w:right="3770"/>
              <w:spacing w:after="0"/>
              <w:rPr>
                <w:sz w:val="20"/>
                <w:szCs w:val="20"/>
                <w:color w:val="auto"/>
              </w:rPr>
            </w:pPr>
            <w:r>
              <w:rPr>
                <w:rFonts w:ascii="Arial" w:cs="Arial" w:eastAsia="Arial" w:hAnsi="Arial"/>
                <w:sz w:val="18"/>
                <w:szCs w:val="18"/>
                <w:color w:val="auto"/>
              </w:rPr>
              <w:t>11</w:t>
            </w: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pacing w:after="0" w:line="188"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gridSpan w:val="4"/>
          </w:tcPr>
          <w:p>
            <w:pPr>
              <w:spacing w:after="0"/>
              <w:rPr>
                <w:sz w:val="20"/>
                <w:szCs w:val="20"/>
                <w:color w:val="auto"/>
              </w:rPr>
            </w:pPr>
            <w:r>
              <w:rPr>
                <w:rFonts w:ascii="Arial" w:cs="Arial" w:eastAsia="Arial" w:hAnsi="Arial"/>
                <w:sz w:val="18"/>
                <w:szCs w:val="18"/>
                <w:b w:val="1"/>
                <w:bCs w:val="1"/>
                <w:color w:val="auto"/>
              </w:rPr>
              <w:t>5. PROPERTY AND EQUIPMENT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80" w:type="dxa"/>
            <w:vAlign w:val="bottom"/>
          </w:tcPr>
          <w:p>
            <w:pPr>
              <w:spacing w:after="0"/>
              <w:rPr>
                <w:sz w:val="24"/>
                <w:szCs w:val="24"/>
                <w:color w:val="auto"/>
              </w:rPr>
            </w:pPr>
          </w:p>
        </w:tc>
        <w:tc>
          <w:tcPr>
            <w:tcW w:w="8040" w:type="dxa"/>
            <w:vAlign w:val="bottom"/>
            <w:gridSpan w:val="3"/>
          </w:tcPr>
          <w:p>
            <w:pPr>
              <w:ind w:left="440"/>
              <w:spacing w:after="0"/>
              <w:rPr>
                <w:sz w:val="20"/>
                <w:szCs w:val="20"/>
                <w:color w:val="auto"/>
              </w:rPr>
            </w:pPr>
            <w:r>
              <w:rPr>
                <w:rFonts w:ascii="Arial" w:cs="Arial" w:eastAsia="Arial" w:hAnsi="Arial"/>
                <w:sz w:val="18"/>
                <w:szCs w:val="18"/>
                <w:color w:val="auto"/>
              </w:rPr>
              <w:t>Property and equipment and related accumulated depreciation are summarized as follows: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September</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December</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30, 2020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31, 2019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$ 14,410,814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Office equipment and computer software</w:t>
            </w:r>
          </w:p>
        </w:tc>
        <w:tc>
          <w:tcPr>
            <w:tcW w:w="960" w:type="dxa"/>
            <w:vAlign w:val="bottom"/>
          </w:tcPr>
          <w:p>
            <w:pPr>
              <w:jc w:val="right"/>
              <w:spacing w:after="0"/>
              <w:rPr>
                <w:sz w:val="20"/>
                <w:szCs w:val="20"/>
                <w:color w:val="auto"/>
              </w:rPr>
            </w:pPr>
            <w:r>
              <w:rPr>
                <w:rFonts w:ascii="Arial" w:cs="Arial" w:eastAsia="Arial" w:hAnsi="Arial"/>
                <w:sz w:val="18"/>
                <w:szCs w:val="18"/>
                <w:color w:val="auto"/>
              </w:rPr>
              <w:t>2,816,479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1,690,248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1,478,433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Construction in process</w:t>
            </w:r>
          </w:p>
        </w:tc>
        <w:tc>
          <w:tcPr>
            <w:tcW w:w="960" w:type="dxa"/>
            <w:vAlign w:val="bottom"/>
          </w:tcPr>
          <w:p>
            <w:pPr>
              <w:jc w:val="right"/>
              <w:spacing w:after="0"/>
              <w:rPr>
                <w:sz w:val="20"/>
                <w:szCs w:val="20"/>
                <w:color w:val="auto"/>
              </w:rPr>
            </w:pPr>
            <w:r>
              <w:rPr>
                <w:rFonts w:ascii="Arial" w:cs="Arial" w:eastAsia="Arial" w:hAnsi="Arial"/>
                <w:sz w:val="18"/>
                <w:szCs w:val="18"/>
                <w:color w:val="auto"/>
              </w:rPr>
              <w:t>3,750,517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4,285,915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3,293,923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Land</w:t>
            </w:r>
          </w:p>
        </w:tc>
        <w:tc>
          <w:tcPr>
            <w:tcW w:w="960" w:type="dxa"/>
            <w:vAlign w:val="bottom"/>
          </w:tcPr>
          <w:p>
            <w:pPr>
              <w:jc w:val="right"/>
              <w:spacing w:after="0"/>
              <w:rPr>
                <w:sz w:val="20"/>
                <w:szCs w:val="20"/>
                <w:color w:val="auto"/>
              </w:rPr>
            </w:pPr>
            <w:r>
              <w:rPr>
                <w:rFonts w:ascii="Arial" w:cs="Arial" w:eastAsia="Arial" w:hAnsi="Arial"/>
                <w:sz w:val="18"/>
                <w:szCs w:val="18"/>
                <w:color w:val="auto"/>
              </w:rPr>
              <w:t>4,339,441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4,339,441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17,422,006</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16,063,680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47,511,613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37,466,273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(7,889,103)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(5,724,956)</w:t>
            </w: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Total property and equipment, net</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$ 39,622,510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31,741,317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7"/>
        <w:spacing w:after="0" w:line="311" w:lineRule="auto"/>
        <w:rPr>
          <w:sz w:val="20"/>
          <w:szCs w:val="20"/>
          <w:color w:val="auto"/>
        </w:rPr>
      </w:pPr>
      <w:r>
        <w:rPr>
          <w:rFonts w:ascii="Arial" w:cs="Arial" w:eastAsia="Arial" w:hAnsi="Arial"/>
          <w:sz w:val="16"/>
          <w:szCs w:val="16"/>
          <w:color w:val="auto"/>
        </w:rPr>
        <w:t>Fixed assets are stated at cost less accumulated depreciation. Depreciation is calculated using the straight-line method over the asset’s estimated useful life. Land is not depreciated. The buildings were assigned a useful life of 30 years. Property and equipment other than land and buildings have useful lives ranging from three to 10 years. Leasehold improvements are amortized over the lesser of the lease term or their estimated useful lives.</w:t>
      </w:r>
    </w:p>
    <w:p>
      <w:pPr>
        <w:spacing w:after="0" w:line="149"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The Company recorded depreciation expense on property and equipment for the three and nine months ended September 30, 2020 of $0.9 million and $2.2 million, respectively. Depreciation expense for the three and nine months ended September 30, 2019 was $0.6 million and $1.8 million, respectively.</w:t>
      </w:r>
    </w:p>
    <w:p>
      <w:pPr>
        <w:spacing w:after="0" w:line="18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Notes Payable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summary of outstanding senior notes payable is as follows:</w:t>
      </w:r>
    </w:p>
    <w:p>
      <w:pPr>
        <w:spacing w:after="0" w:line="221" w:lineRule="exact"/>
        <w:rPr>
          <w:sz w:val="20"/>
          <w:szCs w:val="20"/>
          <w:color w:val="auto"/>
        </w:rPr>
      </w:pPr>
    </w:p>
    <w:tbl>
      <w:tblPr>
        <w:tblLayout w:type="fixed"/>
        <w:tblInd w:w="8220" w:type="dxa"/>
        <w:tblCellMar>
          <w:top w:w="0" w:type="dxa"/>
          <w:left w:w="0" w:type="dxa"/>
          <w:bottom w:w="0" w:type="dxa"/>
          <w:right w:w="0" w:type="dxa"/>
        </w:tblCellMar>
      </w:tblPr>
      <w:tr>
        <w:trPr>
          <w:trHeight w:val="216"/>
        </w:trPr>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September</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December</w:t>
            </w:r>
          </w:p>
        </w:tc>
      </w:tr>
      <w:tr>
        <w:trPr>
          <w:trHeight w:val="234"/>
        </w:trPr>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30, 2020</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31, 2019</w:t>
            </w:r>
          </w:p>
        </w:tc>
      </w:tr>
    </w:tbl>
    <w:p>
      <w:pPr>
        <w:sectPr>
          <w:pgSz w:w="11900" w:h="16838" w:orient="portrait"/>
          <w:cols w:equalWidth="0" w:num="1">
            <w:col w:w="11240"/>
          </w:cols>
          <w:pgMar w:left="320" w:top="125" w:right="339" w:bottom="0" w:gutter="0" w:footer="0" w:header="0"/>
        </w:sectPr>
      </w:pPr>
    </w:p>
    <w:bookmarkStart w:id="11" w:name="page12"/>
    <w:bookmarkEnd w:id="11"/>
    <w:p>
      <w:pPr>
        <w:spacing w:after="0" w:line="1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$ 85,000,000</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(2,891,367)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(4,208,837)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Senior notes payable</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$ 82,108,633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$ 68,291,163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7"/>
        <w:spacing w:after="0" w:line="268" w:lineRule="auto"/>
        <w:rPr>
          <w:sz w:val="20"/>
          <w:szCs w:val="20"/>
          <w:color w:val="auto"/>
        </w:rPr>
      </w:pPr>
      <w:r>
        <w:rPr>
          <w:rFonts w:ascii="Arial" w:cs="Arial" w:eastAsia="Arial" w:hAnsi="Arial"/>
          <w:sz w:val="17"/>
          <w:szCs w:val="17"/>
          <w:color w:val="auto"/>
        </w:rPr>
        <w:t>On February 11, 2019 (the “Perceptive Closing Date”), the Company and all of its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up to $85.0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up to $27.5 million (the “Perceptive Tranche II Loan”) evidenced by the Company’s issuance of a promissory note (the “Perceptive Tranche II Note”) in favor of Perceptive on May 3, 2019; and (iii) a term loan in the principal amount of up to $12.5 million evidenced by the Company’s issuance of a promissory note (the “Perceptive Tranche III Note”) in favor of Perceptive on March 20, 2020 (the “Perceptive Tranche III Loan,” and together with the Perceptive Tranche I Loan and the Perceptive Tranche II Loan, the “Perceptive Loans”). The Perceptive Tranche III Loan is the result of an amendment to the Perceptive Credit Agreement (the “Perceptive Amendment”) that the Company and Perceptive entered into on May 3, 2019, and the Perceptive Tranche III Loan became available to the Company upon the approval of BIVIGAM on May 9, 2019. The Perceptive Credit Facility has a maturity date of March 1, 2022 (the “Maturity Date”), subject to acceleration pursuant to the Perceptive Credit Agreement, including upon an Event of Default (as defined in the Perceptive Credit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07"/>
        <w:spacing w:after="0" w:line="291" w:lineRule="auto"/>
        <w:rPr>
          <w:sz w:val="20"/>
          <w:szCs w:val="20"/>
          <w:color w:val="auto"/>
        </w:rPr>
      </w:pPr>
      <w:r>
        <w:rPr>
          <w:rFonts w:ascii="Arial" w:cs="Arial" w:eastAsia="Arial" w:hAnsi="Arial"/>
          <w:sz w:val="16"/>
          <w:szCs w:val="16"/>
          <w:color w:val="auto"/>
        </w:rPr>
        <w:t>On the Perceptive Closing Date, the Company used $30.0 million of the Perceptive Tranche I Loan to terminate and pay in full all of the outstanding obligations under its previously existing credit agreement with Marathon Healthcare Finance Fund, L.P. (“Marathon”) (the “Marathon Credit Facility”). The Company also used proceeds from the Perceptive Tranche I Loan to: (i) pay a deferred facility fee to Marathon in the amount of $2.8 million, (ii) pay a prepayment penalty to Marathon in the amount of $6.5 million, (iii) pay outstanding accrued interest to Marathon in the amount of $0.7 million, and (iv) pay certain fees and expenses incurred in connection with the Perceptive Credit Facility of approximately $1.5 million. In addition, Marathon released $4.0 million of cash to the Company that was held in a debt service reserve account per the terms of the Marathon Credit Facility. In connection with the Perceptive Amendment, the Company paid an additional facility fee to Perceptive in the amount of $0.1 million on May 3, 2019.</w:t>
      </w:r>
    </w:p>
    <w:p>
      <w:pPr>
        <w:spacing w:after="0" w:line="166" w:lineRule="exact"/>
        <w:rPr>
          <w:sz w:val="20"/>
          <w:szCs w:val="20"/>
          <w:color w:val="auto"/>
        </w:rPr>
      </w:pPr>
    </w:p>
    <w:p>
      <w:pPr>
        <w:jc w:val="both"/>
        <w:ind w:firstLine="607"/>
        <w:spacing w:after="0" w:line="311" w:lineRule="auto"/>
        <w:rPr>
          <w:sz w:val="20"/>
          <w:szCs w:val="20"/>
          <w:color w:val="auto"/>
        </w:rPr>
      </w:pPr>
      <w:r>
        <w:rPr>
          <w:rFonts w:ascii="Arial" w:cs="Arial" w:eastAsia="Arial" w:hAnsi="Arial"/>
          <w:sz w:val="16"/>
          <w:szCs w:val="16"/>
          <w:color w:val="auto"/>
        </w:rPr>
        <w:t>As a result of the Company’s entering into the Perceptive Credit Agreement and terminating the Marathon Credit Facility, the Company recognized a loss on the extinguishment of debt for the nine months ended September 30, 2019 in the amount of approximately $10.0 million, comprised of the $6.5 million prepayment penalty and the write-off of unamortized debt discount related to the Marathon Credit Facility in the amount of $3.5 million.</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jc w:val="both"/>
        <w:ind w:firstLine="8"/>
        <w:spacing w:after="0" w:line="255" w:lineRule="auto"/>
        <w:tabs>
          <w:tab w:leader="none" w:pos="2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 provided, however, that upon, and during the continuance of, an Event of Default, the interest rate will automatically increase by an additional 400 basis points. Accrued interest is payable to Perceptive on the last day of each month during the term of the Perceptive Credit Facility. The rate of interest in effect as of the Perceptive Closing Date and at September 30, 2020 was 11.0%.</w:t>
      </w:r>
    </w:p>
    <w:p>
      <w:pPr>
        <w:spacing w:after="0" w:line="190"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8"/>
          <w:szCs w:val="18"/>
          <w:color w:val="auto"/>
        </w:rPr>
        <w:t>On the Maturity Date, the Company will pay Perceptive the entire outstanding principal amount underlying the Perceptive Loans and any accrued and unpaid interest thereon. Prior to the Maturity Date, there will be no scheduled principal payments on the Perceptive Loans. The Company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192" w:lineRule="exact"/>
        <w:rPr>
          <w:sz w:val="20"/>
          <w:szCs w:val="20"/>
          <w:color w:val="auto"/>
        </w:rPr>
      </w:pPr>
    </w:p>
    <w:p>
      <w:pPr>
        <w:jc w:val="both"/>
        <w:ind w:firstLine="607"/>
        <w:spacing w:after="0" w:line="268" w:lineRule="auto"/>
        <w:rPr>
          <w:sz w:val="20"/>
          <w:szCs w:val="20"/>
          <w:color w:val="auto"/>
        </w:rPr>
      </w:pPr>
      <w:r>
        <w:rPr>
          <w:rFonts w:ascii="Arial" w:cs="Arial" w:eastAsia="Arial" w:hAnsi="Arial"/>
          <w:sz w:val="17"/>
          <w:szCs w:val="17"/>
          <w:color w:val="auto"/>
        </w:rPr>
        <w:t>All of the Company’s obligations under the Perceptive Credit Agreement are secured by a first-priority lien and security interest in substantially all of the Company’s tangible and intangible assets, including intellectual property and all of the equity interests in the Company’s subsidiaries. The Perceptive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Perceptive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Perceptive Credit Agreement); change its fiscal year; pay dividends; repay other certain indebtedness; engage in certain affiliate transactions; or enter into, amend or terminate any other agreements that have the impact of restricting the Company’s ability to make loan repayments under the Perceptive Credit Agreement.In addition, the Company must (i) at all times prior to the Maturity Date maintain a minimum cash balance of $3.0 million; and (ii) as of the last day of each fiscal quarter commencing with the fiscal quarter ended June 30, 2019, report revenues for the trailing 12-month period that exceed the amounts set forth in the Perceptive Credit Agreement, which range from $7.0 million for the fiscal quarter ended June 30, 2019 to $55.0 million for the fiscal quarter ending December 31, 2021. At September 30, 2020, the Company was in compliance with all of the covenants contained in the Perceptive Credit Agreement.</w:t>
      </w:r>
    </w:p>
    <w:p>
      <w:pPr>
        <w:spacing w:after="0" w:line="186" w:lineRule="exact"/>
        <w:rPr>
          <w:sz w:val="20"/>
          <w:szCs w:val="20"/>
          <w:color w:val="auto"/>
        </w:rPr>
      </w:pPr>
    </w:p>
    <w:p>
      <w:pPr>
        <w:jc w:val="both"/>
        <w:ind w:firstLine="607"/>
        <w:spacing w:after="0" w:line="285" w:lineRule="auto"/>
        <w:rPr>
          <w:sz w:val="20"/>
          <w:szCs w:val="20"/>
          <w:color w:val="auto"/>
        </w:rPr>
      </w:pPr>
      <w:r>
        <w:rPr>
          <w:rFonts w:ascii="Arial" w:cs="Arial" w:eastAsia="Arial" w:hAnsi="Arial"/>
          <w:sz w:val="16"/>
          <w:szCs w:val="16"/>
          <w:color w:val="auto"/>
        </w:rPr>
        <w:t>As consideration for the Perceptive Credit Agreement, the Company issued to Perceptive a warrant to purchase 1,360,000 shares of the Company’s common stock (the “Perceptive Warrant”) on the Perceptive Closing Date. The Perceptive Warrant has an exercise price equal to $3.28 per share, which is equal to the trailing 10-day volume weighted average price (“VWAP”) of the Company’s common stock on the business day immediately prior to the Perceptive Closing Date multiplied by 1.15. The Company valued the Perceptive Warrant at $2.7 million as of the Perceptive Closing Date and it has an expiration date of February 11, 2029. In connection with the Perceptive Amendment, the Company issued an additional warrant (the “Perceptive Tranche</w:t>
      </w:r>
    </w:p>
    <w:p>
      <w:pPr>
        <w:spacing w:after="0" w:line="2" w:lineRule="exact"/>
        <w:rPr>
          <w:sz w:val="20"/>
          <w:szCs w:val="20"/>
          <w:color w:val="auto"/>
        </w:rPr>
      </w:pPr>
    </w:p>
    <w:p>
      <w:pPr>
        <w:jc w:val="both"/>
        <w:ind w:firstLine="8"/>
        <w:spacing w:after="0" w:line="302"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Warrant” and, together with the Perceptive Warrant, the “Perceptive Warrants”) to purchase 250,000 shares of the Company’s common stock to Perceptive with an exercise price equal to $4.64 per share, which represents the trailing 10-day VWAP of the Company’s common stock as of May 2, 2019. The Perceptive Tranche III Warrant was valued by the Company at $0.9 million and has an expiration date of May 3, 2029. Perceptive has represented to</w:t>
      </w:r>
    </w:p>
    <w:p>
      <w:pPr>
        <w:sectPr>
          <w:pgSz w:w="11900" w:h="16857" w:orient="portrait"/>
          <w:cols w:equalWidth="0" w:num="1">
            <w:col w:w="11240"/>
          </w:cols>
          <w:pgMar w:left="320" w:top="356" w:right="339" w:bottom="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the Company, among other things, that it was an “accredited investor” (as such term is defined in Rule 501(a) of Regulation D under the Securities Act) and the Company issued the Perceptive Warrants in reliance upon an exemption from registration contained in Section 4(2) under the Securities Act. The Perceptive Warrants and the shares of common stock issuable thereunder may not be offered, sold, pledged or otherwise transferred in the U.S. absent registration or an applicable exemption from the registration requirements under the Securities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As a result of the fees paid to Perceptive and the value of the Perceptive Warrants, the Company recognized an aggregate discount on the Perceptive Tranche I Note and Perceptive Tranche II Note in the amount of $5.3 million. The Company records debt discount as a reduction to the face amount of the debt, and the debt discount is amortized as interest expense over the life of the debt using the interest method. Based on the fair value of the Perceptive Warrants and the aggregate amount of fees and expenses associated with obtaining the Perceptive Credit Facility, the effective interest rate on the Perceptive Loans as of March 20, 2020 was approximately 13.6%.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89"/>
              </w:rPr>
              <w:t>Subordinated Note Payable</w:t>
            </w:r>
          </w:p>
        </w:tc>
        <w:tc>
          <w:tcPr>
            <w:tcW w:w="6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220" w:type="dxa"/>
            <w:vAlign w:val="bottom"/>
            <w:gridSpan w:val="3"/>
          </w:tcPr>
          <w:p>
            <w:pPr>
              <w:ind w:left="620"/>
              <w:spacing w:after="0"/>
              <w:rPr>
                <w:sz w:val="20"/>
                <w:szCs w:val="20"/>
                <w:color w:val="auto"/>
              </w:rPr>
            </w:pPr>
            <w:r>
              <w:rPr>
                <w:rFonts w:ascii="Arial" w:cs="Arial" w:eastAsia="Arial" w:hAnsi="Arial"/>
                <w:sz w:val="18"/>
                <w:szCs w:val="18"/>
                <w:color w:val="auto"/>
              </w:rPr>
              <w:t>A summary of the outstanding subordinated note payable is as follows: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September</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December</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30, 2020</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31, 2019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 payable to Biotest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$ 15,000,000</w:t>
            </w:r>
          </w:p>
        </w:tc>
        <w:tc>
          <w:tcPr>
            <w:tcW w:w="18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Less: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(65,074)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(91,947)</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vMerge w:val="continue"/>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Subordinated note payable</w:t>
            </w:r>
          </w:p>
        </w:tc>
        <w:tc>
          <w:tcPr>
            <w:tcW w:w="960" w:type="dxa"/>
            <w:vAlign w:val="bottom"/>
          </w:tcPr>
          <w:p>
            <w:pPr>
              <w:jc w:val="right"/>
              <w:spacing w:after="0"/>
              <w:rPr>
                <w:sz w:val="20"/>
                <w:szCs w:val="20"/>
                <w:color w:val="auto"/>
              </w:rPr>
            </w:pPr>
            <w:r>
              <w:rPr>
                <w:rFonts w:ascii="Arial" w:cs="Arial" w:eastAsia="Arial" w:hAnsi="Arial"/>
                <w:sz w:val="18"/>
                <w:szCs w:val="18"/>
                <w:color w:val="auto"/>
                <w:w w:val="87"/>
              </w:rPr>
              <w:t>$ 14,934,926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$ 14,908,053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7"/>
        <w:spacing w:after="0" w:line="255" w:lineRule="auto"/>
        <w:rPr>
          <w:sz w:val="20"/>
          <w:szCs w:val="20"/>
          <w:color w:val="auto"/>
        </w:rPr>
      </w:pPr>
      <w:r>
        <w:rPr>
          <w:rFonts w:ascii="Arial" w:cs="Arial" w:eastAsia="Arial" w:hAnsi="Arial"/>
          <w:sz w:val="18"/>
          <w:szCs w:val="18"/>
          <w:color w:val="auto"/>
        </w:rPr>
        <w:t>In connection with the acquisition of the Biotest Assets (see Note 1), ADMA BioManufacturing issued a subordinated note payable to BPC and in connection therewith received cash proceeds of $15.0 million. This note has since been assigned from BPC to Biotest AG. The note bears interest at a rate of 6.0% per annum and matures on June 6, 2022. The Company is obligated to make semi-annual interest payments, with all principal and unpaid interest due at maturity. The note is subordinate to all amounts outstanding under the Perceptive Credit Agreement. In the event of default, all principal and unpaid interest is due on demand. The subordinated note also contains several non-financial covenants with which the Company was in compliance as of September 30, 2020.</w:t>
      </w:r>
    </w:p>
    <w:p>
      <w:pPr>
        <w:spacing w:after="0" w:line="200" w:lineRule="exact"/>
        <w:rPr>
          <w:sz w:val="20"/>
          <w:szCs w:val="20"/>
          <w:color w:val="auto"/>
        </w:rPr>
      </w:pPr>
    </w:p>
    <w:p>
      <w:pPr>
        <w:spacing w:after="0" w:line="204"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225"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September 30, 2020 and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22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As of September 30, 2020 and December 31, 2019, the Company was authorized to issue 150,000,000shares of its common stock, $0.0001par value per share, and 89,616,176and 59,318,355shares of common stock were outstanding as of September 30, 2020 and December 31, 2019, respectively. After giving effect to the 9,407,511 shares reserved for outstanding warrants and awards issued under the Company’s equity incentive plans, as of September 30, 2020 there were 50,976,313 shares of common stock available for issuance.</w:t>
      </w:r>
    </w:p>
    <w:p>
      <w:pPr>
        <w:spacing w:after="0" w:line="187"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7"/>
          <w:szCs w:val="17"/>
          <w:color w:val="auto"/>
        </w:rPr>
        <w:t>On August 5, 2020, the Company entered into the Sale Agreement with Jefferies, pursuant to which the Company could offer and sell, from time to time, at its option, through or to Jefferies, up to an aggregate of $50 million of shares of the Company’s common stock. As of September 30, 2020, the Company had issued and sold 3,251,195 shares of common under the Sale Agreement and received net proceeds of $10.6 million.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On February 11, 2020, the Company completed an underwritten public offering of 23,500,000 shares of its common stock for gross proceeds of $82.3 million. On February 21, 2020, the Company sold an additional 3,525,000 shares pursuant to the underwriters’ exercise of their option to purchase additional shares of the Company’s common stock for additional gross proceeds of $12.3 million. The Company received net proceeds, after underwriting discounts and other expenses associated with the offering, of approximately $88.7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ind w:firstLine="607"/>
        <w:spacing w:after="0" w:line="308" w:lineRule="auto"/>
        <w:rPr>
          <w:sz w:val="20"/>
          <w:szCs w:val="20"/>
          <w:color w:val="auto"/>
        </w:rPr>
      </w:pPr>
      <w:r>
        <w:rPr>
          <w:rFonts w:ascii="Arial" w:cs="Arial" w:eastAsia="Arial" w:hAnsi="Arial"/>
          <w:sz w:val="17"/>
          <w:szCs w:val="17"/>
          <w:color w:val="auto"/>
        </w:rPr>
        <w:t>At September 30, 2020 and December 31, 2019, the Company had outstanding warrants to purchase an aggregate of2,138,160 shares of common stock, with a weighted average exercise price of $3.81 per share and expiration dates ranging between June 2022 and May 2029.</w:t>
      </w:r>
    </w:p>
    <w:p>
      <w:pPr>
        <w:sectPr>
          <w:pgSz w:w="11900" w:h="16838" w:orient="portrait"/>
          <w:cols w:equalWidth="0" w:num="1">
            <w:col w:w="11240"/>
          </w:cols>
          <w:pgMar w:left="320" w:top="125" w:right="339" w:bottom="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Equity Incentive Plans</w:t>
      </w:r>
    </w:p>
    <w:p>
      <w:pPr>
        <w:sectPr>
          <w:pgSz w:w="11900" w:h="16838" w:orient="portrait"/>
          <w:cols w:equalWidth="0" w:num="1">
            <w:col w:w="11240"/>
          </w:cols>
          <w:pgMar w:left="320" w:top="125" w:right="339" w:bottom="0" w:gutter="0" w:footer="0" w:header="0"/>
          <w:type w:val="continuous"/>
        </w:sectPr>
      </w:pPr>
    </w:p>
    <w:bookmarkStart w:id="13" w:name="page14"/>
    <w:bookmarkEnd w:id="13"/>
    <w:p>
      <w:pPr>
        <w:jc w:val="both"/>
        <w:ind w:firstLine="607"/>
        <w:spacing w:after="0" w:line="272" w:lineRule="auto"/>
        <w:rPr>
          <w:sz w:val="20"/>
          <w:szCs w:val="20"/>
          <w:color w:val="auto"/>
        </w:rPr>
      </w:pPr>
      <w:r>
        <w:rPr>
          <w:rFonts w:ascii="Arial" w:cs="Arial" w:eastAsia="Arial" w:hAnsi="Arial"/>
          <w:sz w:val="17"/>
          <w:szCs w:val="17"/>
          <w:color w:val="auto"/>
        </w:rPr>
        <w:t>The fair value of stock options granted under the Company’s 2007 Employee Stock Option Plan (the “2007 Plan”) and the ADMA Biologics, Inc. 2014 Omnibus Incentive Compensation Plan, as amended and restated (the “2014 Plan”),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nine months ended September 30, 2020 and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8700" w:type="dxa"/>
            <w:vAlign w:val="bottom"/>
          </w:tcPr>
          <w:p>
            <w:pPr>
              <w:spacing w:after="0"/>
              <w:rPr>
                <w:sz w:val="20"/>
                <w:szCs w:val="20"/>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70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5.5 -6.3 years</w:t>
            </w: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5.8 - 6.3 years</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Volatility</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62%-69%</w:t>
            </w:r>
          </w:p>
        </w:tc>
        <w:tc>
          <w:tcPr>
            <w:tcW w:w="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54%-63%</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0.33-1.68%</w:t>
            </w:r>
          </w:p>
        </w:tc>
        <w:tc>
          <w:tcPr>
            <w:tcW w:w="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1.36-2.92%</w:t>
            </w:r>
          </w:p>
        </w:tc>
      </w:tr>
    </w:tbl>
    <w:p>
      <w:pPr>
        <w:spacing w:after="0" w:line="187"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During the nine months ended September 30, 2020 and 2019, the Company granted options to purchase an aggregate of 1,398,412 and 1,493,100 shares of common stock, respectively, to its directors, employees and certain third-party service providers. The weighted average remaining contractual life of stock options outstanding and expected to vest at September 30, 2020 is 6.7 years. The weighted average remaining contractual life of stock options exercisable at September 30, 2020 is 5.5 years.</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 summary of the Company’s option activity under the 2007 Plan and 2014 Plan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4"/>
        </w:trPr>
        <w:tc>
          <w:tcPr>
            <w:tcW w:w="8700" w:type="dxa"/>
            <w:vAlign w:val="bottom"/>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Exercise Price</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5,630,351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(72,188)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(11,598)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spacing w:after="0"/>
              <w:rPr>
                <w:sz w:val="20"/>
                <w:szCs w:val="20"/>
                <w:color w:val="auto"/>
              </w:rPr>
            </w:pPr>
            <w:r>
              <w:rPr>
                <w:rFonts w:ascii="Arial" w:cs="Arial" w:eastAsia="Arial" w:hAnsi="Arial"/>
                <w:sz w:val="18"/>
                <w:szCs w:val="18"/>
                <w:color w:val="auto"/>
              </w:rPr>
              <w:t>1,398,412</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r>
      <w:tr>
        <w:trPr>
          <w:trHeight w:val="209"/>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September 30,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6,938,351</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4.41</w:t>
            </w:r>
          </w:p>
        </w:tc>
      </w:tr>
      <w:tr>
        <w:trPr>
          <w:trHeight w:val="20"/>
        </w:trPr>
        <w:tc>
          <w:tcPr>
            <w:tcW w:w="8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Options exercisable</w:t>
            </w:r>
          </w:p>
        </w:tc>
        <w:tc>
          <w:tcPr>
            <w:tcW w:w="1100" w:type="dxa"/>
            <w:vAlign w:val="bottom"/>
          </w:tcPr>
          <w:p>
            <w:pPr>
              <w:jc w:val="right"/>
              <w:spacing w:after="0"/>
              <w:rPr>
                <w:sz w:val="20"/>
                <w:szCs w:val="20"/>
                <w:color w:val="auto"/>
              </w:rPr>
            </w:pPr>
            <w:r>
              <w:rPr>
                <w:rFonts w:ascii="Arial" w:cs="Arial" w:eastAsia="Arial" w:hAnsi="Arial"/>
                <w:sz w:val="18"/>
                <w:szCs w:val="18"/>
                <w:color w:val="auto"/>
              </w:rPr>
              <w:t>4,315,757</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r>
      <w:tr>
        <w:trPr>
          <w:trHeight w:val="20"/>
        </w:trPr>
        <w:tc>
          <w:tcPr>
            <w:tcW w:w="8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As of September 30, 2020, the Company had $4.6 million of unrecognized compensation expense related to options granted under the Company’s equity incentive plans, which is expected to be recognized over a weighted-average period of 2.5 years.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During the nine months ended September 30, 2020, the Company granted Restricted Stock Units (“RSUs”) to members of the Company’s Board of Directors and to certain management employees of the Company. The total RSUs granted during the period represent an aggregate of 361,000 shares of the Company’s common stock. The RSUs vest semi-annually over a period of one year for directors and annually over a period of four years for employees. Total compensation expense related to unvested RSUs for the three and nine months ended September 30, 2020 was $0.1 million and $0.2 million, respectively. A summary of the Company’s unvested RSU activity and related information is as follows:</w:t>
      </w:r>
    </w:p>
    <w:p>
      <w:pPr>
        <w:spacing w:after="0" w:line="17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7360" w:type="dxa"/>
            <w:vAlign w:val="bottom"/>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20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361,000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r>
      <w:tr>
        <w:trPr>
          <w:trHeight w:val="249"/>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firstLine="607"/>
        <w:spacing w:after="0" w:line="277" w:lineRule="auto"/>
        <w:rPr>
          <w:sz w:val="20"/>
          <w:szCs w:val="20"/>
          <w:color w:val="auto"/>
        </w:rPr>
      </w:pPr>
      <w:r>
        <w:rPr>
          <w:rFonts w:ascii="Arial" w:cs="Arial" w:eastAsia="Arial" w:hAnsi="Arial"/>
          <w:sz w:val="18"/>
          <w:szCs w:val="18"/>
          <w:color w:val="auto"/>
        </w:rPr>
        <w:t>As of September 30, 2020, the Company had $0.8 million of unrecognized compensation expense related to unvested RSUs granted under the Company’s equity incentive plans, which is expected to be recognized over a weighted-average period of 3.3 years.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Total stock-based compensation expense for all awards granted under the Company’s equity incentive plans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166,610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95,757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365,213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271,823</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Plasma centers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13,333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24,333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38,086</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535,949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491,710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1,599,094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1,559,530</w:t>
            </w:r>
          </w:p>
        </w:tc>
      </w:tr>
    </w:tbl>
    <w:p>
      <w:pPr>
        <w:sectPr>
          <w:pgSz w:w="11900" w:h="16838" w:orient="portrait"/>
          <w:cols w:equalWidth="0" w:num="1">
            <w:col w:w="11240"/>
          </w:cols>
          <w:pgMar w:left="320" w:top="341" w:right="3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63,646</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49,870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178,300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145,230</w:t>
            </w:r>
          </w:p>
        </w:tc>
      </w:tr>
      <w:tr>
        <w:trPr>
          <w:trHeight w:val="20"/>
        </w:trPr>
        <w:tc>
          <w:tcPr>
            <w:tcW w:w="6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774,784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650,670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2,166,940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2,014,669</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jc w:val="both"/>
        <w:ind w:firstLine="607"/>
        <w:spacing w:after="0" w:line="270" w:lineRule="auto"/>
        <w:rPr>
          <w:sz w:val="20"/>
          <w:szCs w:val="20"/>
          <w:color w:val="auto"/>
        </w:rPr>
      </w:pPr>
      <w:r>
        <w:rPr>
          <w:rFonts w:ascii="Arial" w:cs="Arial" w:eastAsia="Arial" w:hAnsi="Arial"/>
          <w:sz w:val="17"/>
          <w:szCs w:val="17"/>
          <w:color w:val="auto"/>
        </w:rPr>
        <w:t>The Company leases an office building and equipment from Areth, LLC (“Areth”) pursuant to an agreement for services effective as of January 1, 2016, as amended from time to time. Effective October 1, 2017, monthly rent on this facility was set at $10,000. On November 7, 2019, an additional amendment was entered into between Areth and the Company to extend the term of this agreement through September 30, 2020, and to provide for automatic one-year renewals unless ADMA gives written notice of termination to Areth 60 days prior to the end of the term, which expires each year on September 30. The Company did not provide a written notice of termination to Areth as of July 31, 2020. Rent expense for the nine months ended September 30, 2020 and 2019 amounted to $90,000. Areth is a company controlled by Dr. Jerrold B. Grossman, the Vice Chairman of the Company’s Board of Directors, and Adam S. Grossman, the Company’s President and Chief Executive Officer. The Company also reimburses Areth for office and building related (common area) expenses, equipment and certain other operational expenses, which were not material to the consolidated financial statements for the three and nine months ended September 30, 2020 and 2019.</w:t>
      </w:r>
    </w:p>
    <w:p>
      <w:pPr>
        <w:spacing w:after="0" w:line="181"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See Note 6 for a discussion of the Company’s credit facility and related transactions with Perceptive, a holder of more than 10% of the Company’s common stock.</w:t>
      </w:r>
    </w:p>
    <w:p>
      <w:pPr>
        <w:spacing w:after="0" w:line="170"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6"/>
          <w:szCs w:val="16"/>
          <w:color w:val="auto"/>
        </w:rPr>
        <w:t>In connection with the February 2020 public offering of the Company’s common stock (see Note 7) on February 11, 2020:(i) Perceptive Advisors, a principal stockholder of ADMA, purchased 4,563,700 shares of common stock through one of its affiliates, (ii) Dr. Grossman purchased 22,857 shares of common stock directly and 22,857 shares indirectly through an entity he controls, (iii) Lawrence P. Guiheen, a director of the Company, purchased 20,000 shares of common stock, (iv) Mr. Grossman purchased 28,571 shares of common stock directly and 57,143 shares indirectly through an entity he controls,</w:t>
      </w:r>
    </w:p>
    <w:p>
      <w:pPr>
        <w:spacing w:after="0" w:line="1" w:lineRule="exact"/>
        <w:rPr>
          <w:sz w:val="20"/>
          <w:szCs w:val="20"/>
          <w:color w:val="auto"/>
        </w:rPr>
      </w:pPr>
    </w:p>
    <w:p>
      <w:pPr>
        <w:jc w:val="both"/>
        <w:ind w:firstLine="8"/>
        <w:spacing w:after="0" w:line="255" w:lineRule="auto"/>
        <w:tabs>
          <w:tab w:leader="none" w:pos="2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Brian Lenz, the Company’s Executive Vice President and Chief Financial Officer, purchased 7,142 shares of common stock, and (vi) Dr. James Mond, the Company’s Chief Scientific Officer and Chief Medical Officer, purchased 4,285 shares of common stock, all at the public offering price of $3.50 per share.</w:t>
      </w:r>
    </w:p>
    <w:p>
      <w:pPr>
        <w:spacing w:after="0" w:line="190"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In August and September of 2020: (i) Dr. Grossman purchased 20,500 shares of common stock in the open market, (ii) Mr. Grossman purchased 10,000 shares of common stock in the open market, (iii) Dr. Mond purchased 11,000 shares of common stock in the open market, (iv) Mr. Lenz purchased 4,000 shares of common stock in the open market, and (v) Ms. Demski, a member of the Company’s Board of Directors, purchased 4,200 shares of common stock in the open market.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Legal Matters</w:t>
      </w:r>
    </w:p>
    <w:p>
      <w:pPr>
        <w:spacing w:after="0" w:line="225"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Pandemic</w:t>
      </w:r>
    </w:p>
    <w:p>
      <w:pPr>
        <w:spacing w:after="0" w:line="225"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The Company continues to monitor the ongoing developments related to the COVID-19 pandemic and its impacts to the Company’s supply-chain operations, including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87" w:lineRule="exact"/>
        <w:rPr>
          <w:sz w:val="20"/>
          <w:szCs w:val="20"/>
          <w:color w:val="auto"/>
        </w:rPr>
      </w:pPr>
    </w:p>
    <w:p>
      <w:pPr>
        <w:jc w:val="both"/>
        <w:ind w:firstLine="607"/>
        <w:spacing w:after="0" w:line="269" w:lineRule="auto"/>
        <w:rPr>
          <w:sz w:val="20"/>
          <w:szCs w:val="20"/>
          <w:color w:val="auto"/>
        </w:rPr>
      </w:pPr>
      <w:r>
        <w:rPr>
          <w:rFonts w:ascii="Arial" w:cs="Arial" w:eastAsia="Arial" w:hAnsi="Arial"/>
          <w:sz w:val="17"/>
          <w:szCs w:val="17"/>
          <w:color w:val="auto"/>
        </w:rPr>
        <w:t>The Company has experienced some delays with final drug product release testing by third-party vendors. In response to these delays, the Company added additional release testing laboratories to its FDA approved consortium listed in its drug approval documents which the Company believes has adequately addressed this issue. In addition, due to previous state and local “shelter-in-place” orders, the Company has experienced lower than normal donor collections at its FDA approved plasma collection center. The Company was also subject to delays in shipments of source plasma from its contracted third-party suppliers, as well as delays in deliveries for personal protective equipment, reagents and other non-plasma raw materials and supplies used in the manufacture of its products. The COVID-19 pandemic has also impacted, to a certain degree, the Company’s customer engagement initiatives, whereby ADMA’s sales and medical affairs field personnel have faced difficulties communicating directly with physicians and other healthcare professionals, as well as the cancellation or postponement of a number of key scientific and medical meetings, further limiting the Company’s ability to communicate with potential customers. The Company has implemented a comprehensive suite of virtual engagement initiatives, however, clinician engagement has been reduced due to rapidly evolving COVID-19 priorities at U.S. medical centers.</w:t>
      </w:r>
    </w:p>
    <w:p>
      <w:pPr>
        <w:spacing w:after="0" w:line="185" w:lineRule="exact"/>
        <w:rPr>
          <w:sz w:val="20"/>
          <w:szCs w:val="20"/>
          <w:color w:val="auto"/>
        </w:rPr>
      </w:pPr>
    </w:p>
    <w:p>
      <w:pPr>
        <w:jc w:val="both"/>
        <w:ind w:firstLine="607"/>
        <w:spacing w:after="0" w:line="279" w:lineRule="auto"/>
        <w:rPr>
          <w:sz w:val="20"/>
          <w:szCs w:val="20"/>
          <w:color w:val="auto"/>
        </w:rPr>
      </w:pPr>
      <w:r>
        <w:rPr>
          <w:rFonts w:ascii="Arial" w:cs="Arial" w:eastAsia="Arial" w:hAnsi="Arial"/>
          <w:sz w:val="17"/>
          <w:szCs w:val="17"/>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any material impairments with respect to any of its long-lived assets, including the Company’s property and equipment, goodwill or intangible assets.</w:t>
      </w:r>
    </w:p>
    <w:p>
      <w:pPr>
        <w:spacing w:after="0" w:line="171" w:lineRule="exact"/>
        <w:rPr>
          <w:sz w:val="20"/>
          <w:szCs w:val="20"/>
          <w:color w:val="auto"/>
        </w:rPr>
      </w:pPr>
    </w:p>
    <w:p>
      <w:pPr>
        <w:jc w:val="both"/>
        <w:ind w:firstLine="607"/>
        <w:spacing w:after="0" w:line="301" w:lineRule="auto"/>
        <w:rPr>
          <w:sz w:val="20"/>
          <w:szCs w:val="20"/>
          <w:color w:val="auto"/>
        </w:rPr>
      </w:pPr>
      <w:r>
        <w:rPr>
          <w:rFonts w:ascii="Arial" w:cs="Arial" w:eastAsia="Arial" w:hAnsi="Arial"/>
          <w:sz w:val="16"/>
          <w:szCs w:val="16"/>
          <w:color w:val="auto"/>
        </w:rPr>
        <w:t>Although the COVID-19 pandemic has not, to date, materially adversely impacted the Company’s capital and financial resources, because the Company is unable to determine the ultimate severity or duration of the pandemic or its long-term effects on, among other things, the global, national or local economies, the capital and credit markets or the Company’s workforce, customers or our suppliers, at this time the Company is unable to predict whether COVID-19 will have a material adverse impact on the Company’s business, financial condition, liquidity and results of operations.</w:t>
      </w:r>
    </w:p>
    <w:p>
      <w:pPr>
        <w:sectPr>
          <w:pgSz w:w="11900" w:h="16838" w:orient="portrait"/>
          <w:cols w:equalWidth="0" w:num="1">
            <w:col w:w="11240"/>
          </w:cols>
          <w:pgMar w:left="320" w:top="125" w:right="339" w:bottom="51"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and Licensor Commitments</w:t>
      </w:r>
    </w:p>
    <w:p>
      <w:pPr>
        <w:spacing w:after="0" w:line="225" w:lineRule="exact"/>
        <w:rPr>
          <w:sz w:val="20"/>
          <w:szCs w:val="20"/>
          <w:color w:val="auto"/>
        </w:rPr>
      </w:pPr>
    </w:p>
    <w:p>
      <w:pPr>
        <w:jc w:val="both"/>
        <w:ind w:firstLine="607"/>
        <w:spacing w:after="0" w:line="287" w:lineRule="auto"/>
        <w:rPr>
          <w:sz w:val="20"/>
          <w:szCs w:val="20"/>
          <w:color w:val="auto"/>
        </w:rPr>
      </w:pPr>
      <w:r>
        <w:rPr>
          <w:rFonts w:ascii="Arial" w:cs="Arial" w:eastAsia="Arial" w:hAnsi="Arial"/>
          <w:sz w:val="16"/>
          <w:szCs w:val="16"/>
          <w:color w:val="auto"/>
        </w:rPr>
        <w:t>Pursuant to the terms of a plasma purchase agreement with BPC dated as of November 17, 2011 (the “2011 Plasma Purchase Agreement”), the Company agreed to purchase from BPC an annual minimum volume of source plasma containing antibodies to respiratory syncytial virus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continues its commercialization activities for ASCENIV. Unless terminated earlier, the 2011 Plasma Purchase Agreement expires in June 2027, after which it may be renewed for two additional five-year periods if agreed to by the parties.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may purchase RSV plasma from Grifols from the two plasma collection centers that were transferred to BPC on January 1, 2019 at a price equal to cost plus 5% without any additional increase due to inflation.</w:t>
      </w:r>
    </w:p>
    <w:p>
      <w:pPr>
        <w:spacing w:after="0" w:line="168" w:lineRule="exact"/>
        <w:rPr>
          <w:sz w:val="20"/>
          <w:szCs w:val="20"/>
          <w:color w:val="auto"/>
        </w:rPr>
      </w:pPr>
    </w:p>
    <w:p>
      <w:pPr>
        <w:jc w:val="both"/>
        <w:ind w:firstLine="607"/>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jc w:val="both"/>
        <w:ind w:firstLine="607"/>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had an initial term of five years after which the 2017 Plasma Purchase Agreement may be renewed for two additional terms of two years each upon the mutual written consent of the parties. On July 19, 2018, the Company and BPC entered into an amendment to the 2017 Plasma Purchase Agreement to, among other things, provide agreed upon amounts of NSP to be supplied by BPC to ADMA BioManufacturing in calendar year 2019 at a specified price per liter, provided that ADMA BioManufacturing delivers a valid purchase order to BPC. Additionally, pursuant to the amendment to the 2017 Plasma Purchase Agreement, BPC agrees that, for calendar years 2020 and 2021, it shall supply no less than a high double 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 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186" w:lineRule="exact"/>
        <w:rPr>
          <w:sz w:val="20"/>
          <w:szCs w:val="20"/>
          <w:color w:val="auto"/>
        </w:rPr>
      </w:pPr>
    </w:p>
    <w:p>
      <w:pPr>
        <w:jc w:val="both"/>
        <w:ind w:firstLine="607"/>
        <w:spacing w:after="0" w:line="311" w:lineRule="auto"/>
        <w:rPr>
          <w:sz w:val="20"/>
          <w:szCs w:val="20"/>
          <w:color w:val="auto"/>
        </w:rPr>
      </w:pPr>
      <w:r>
        <w:rPr>
          <w:rFonts w:ascii="Arial" w:cs="Arial" w:eastAsia="Arial" w:hAnsi="Arial"/>
          <w:sz w:val="16"/>
          <w:szCs w:val="16"/>
          <w:color w:val="auto"/>
        </w:rPr>
        <w:t>The Company purchases substantially all of its raw material plasma from Grifols. For the nine months ended September 30, 2020, plasma purchases from Grifols totaled approximately $13.8 million, representing approximately 66% of the Company’s total inventory purchases. For the nine months ended September 30, 2019, plasma purchases from BPC totaled $16.5 million, or approximately 78% of the Company’s total inventory purchases.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jc w:val="both"/>
        <w:ind w:firstLine="607"/>
        <w:spacing w:after="0" w:line="275" w:lineRule="auto"/>
        <w:rPr>
          <w:sz w:val="20"/>
          <w:szCs w:val="20"/>
          <w:color w:val="auto"/>
        </w:rPr>
      </w:pPr>
      <w:r>
        <w:rPr>
          <w:rFonts w:ascii="Arial" w:cs="Arial" w:eastAsia="Arial" w:hAnsi="Arial"/>
          <w:sz w:val="17"/>
          <w:szCs w:val="17"/>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ADMA has assumed the remaining obligations, and the costs of the studies will be expensed as incurred as research and development expenses. The Company currently expects both studies to be completed by June of 2023.</w:t>
      </w:r>
    </w:p>
    <w:p>
      <w:pPr>
        <w:spacing w:after="0" w:line="176" w:lineRule="exact"/>
        <w:rPr>
          <w:sz w:val="20"/>
          <w:szCs w:val="20"/>
          <w:color w:val="auto"/>
        </w:rPr>
      </w:pPr>
    </w:p>
    <w:p>
      <w:pPr>
        <w:jc w:val="both"/>
        <w:ind w:firstLine="607"/>
        <w:spacing w:after="0" w:line="277" w:lineRule="auto"/>
        <w:rPr>
          <w:sz w:val="20"/>
          <w:szCs w:val="20"/>
          <w:color w:val="auto"/>
        </w:rPr>
      </w:pPr>
      <w:r>
        <w:rPr>
          <w:rFonts w:ascii="Arial" w:cs="Arial" w:eastAsia="Arial" w:hAnsi="Arial"/>
          <w:sz w:val="18"/>
          <w:szCs w:val="18"/>
          <w:color w:val="auto"/>
        </w:rPr>
        <w:t>In connection with the FDA’s approval of ASCENIV on April 1, 2019, the Company is required to perform a pediatric study to evaluate the safety and efficacy of ASCENIV in children and adolescents. This study is required to be completed by June of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contracts</w:t>
      </w:r>
    </w:p>
    <w:p>
      <w:pPr>
        <w:spacing w:after="0" w:line="225" w:lineRule="exact"/>
        <w:rPr>
          <w:sz w:val="20"/>
          <w:szCs w:val="20"/>
          <w:color w:val="auto"/>
        </w:rPr>
      </w:pPr>
    </w:p>
    <w:p>
      <w:pPr>
        <w:jc w:val="both"/>
        <w:ind w:firstLine="607"/>
        <w:spacing w:after="0" w:line="308" w:lineRule="auto"/>
        <w:rPr>
          <w:sz w:val="20"/>
          <w:szCs w:val="20"/>
          <w:color w:val="auto"/>
        </w:rPr>
      </w:pPr>
      <w:r>
        <w:rPr>
          <w:rFonts w:ascii="Arial" w:cs="Arial" w:eastAsia="Arial" w:hAnsi="Arial"/>
          <w:sz w:val="17"/>
          <w:szCs w:val="17"/>
          <w:color w:val="auto"/>
        </w:rPr>
        <w:t>The Company has entered into employment agreements with its executive management team consisting of its President and Chief Executive Officer, its Executive Vice President, Chief Medical Officer and Chief Scientific Officer and its Executive Vice President and Chief Financial Officer.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ectPr>
          <w:pgSz w:w="11900" w:h="16838" w:orient="portrait"/>
          <w:cols w:equalWidth="0" w:num="1">
            <w:col w:w="11240"/>
          </w:cols>
          <w:pgMar w:left="320" w:top="125" w:right="339" w:bottom="173" w:gutter="0" w:footer="0" w:header="0"/>
        </w:sectPr>
      </w:pPr>
    </w:p>
    <w:bookmarkStart w:id="16" w:name="page17"/>
    <w:bookmarkEnd w:id="16"/>
    <w:p>
      <w:pPr>
        <w:spacing w:after="0" w:line="53"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September 30, 2020. The Company does not anticipate recognizing any significant losses relating to these arrangements.</w:t>
      </w:r>
    </w:p>
    <w:p>
      <w:pPr>
        <w:spacing w:after="0" w:line="183"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jc w:val="both"/>
        <w:ind w:firstLine="607"/>
        <w:spacing w:after="0" w:line="291" w:lineRule="auto"/>
        <w:rPr>
          <w:sz w:val="20"/>
          <w:szCs w:val="20"/>
          <w:color w:val="auto"/>
        </w:rPr>
      </w:pPr>
      <w:r>
        <w:rPr>
          <w:rFonts w:ascii="Arial" w:cs="Arial" w:eastAsia="Arial" w:hAnsi="Arial"/>
          <w:sz w:val="16"/>
          <w:szCs w:val="16"/>
          <w:color w:val="auto"/>
        </w:rPr>
        <w:t>The Company is engaged in the manufacture, marketing and development of specialty plasma-derived biologics. The Company’s ADMA BioManufacturing segment reflects the Company’s immunoglobulin manufacturing, commercial and development operations in Boca Raton, FL, acquired on June 6, 2017 (see Note 1). The Plasma Collection Centers segment consists of one FDA-licensed source plasma collection facility, another plasma collection facility for which an FDA license is pending, and four other plasma collection facilities under various stages of development.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2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Plasma</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Collection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3960" w:type="dxa"/>
            <w:vAlign w:val="bottom"/>
            <w:gridSpan w:val="4"/>
          </w:tcPr>
          <w:p>
            <w:pPr>
              <w:ind w:left="2320"/>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Centers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09"/>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8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9,026,323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1,214,327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10,276,358</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10,625,837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1,229,627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11,855,464</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(9,277,702)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(1,320,461)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(3,202,814)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(13,800,977)</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(268,023)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(2,848,042)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(3,116,476)</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(9,545,725)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(1,320,872)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(6,050,856)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(16,917,453)</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863,366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1,035,293</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125,004,813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9,358,823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55,612,407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189,976,043</w:t>
            </w:r>
          </w:p>
        </w:tc>
      </w:tr>
      <w:tr>
        <w:trPr>
          <w:trHeight w:val="702"/>
        </w:trPr>
        <w:tc>
          <w:tcPr>
            <w:tcW w:w="34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w w:val="90"/>
              </w:rPr>
              <w:t>Three Months Ended September 30, 2019</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1"/>
        </w:trPr>
        <w:tc>
          <w:tcPr>
            <w:tcW w:w="3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Plasma</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Collection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3960" w:type="dxa"/>
            <w:vAlign w:val="bottom"/>
            <w:gridSpan w:val="4"/>
          </w:tcPr>
          <w:p>
            <w:pPr>
              <w:ind w:left="2320"/>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Centers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0"/>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8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5,869,082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1,317,713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7,222,503</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6,585,143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1,331,077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7,916,220</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(6,007,646)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(470,263)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(2,572,519)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(9,050,428)</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(255,384)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(2,132,647)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(2,388,031)</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(6,263,030)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(470,263)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(4,705,166)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(11,438,459)</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700,981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818,128</w:t>
            </w:r>
          </w:p>
        </w:tc>
      </w:tr>
      <w:tr>
        <w:trPr>
          <w:trHeight w:val="216"/>
        </w:trPr>
        <w:tc>
          <w:tcPr>
            <w:tcW w:w="3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87,400,781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4,105,208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46,273,784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137,779,773</w:t>
            </w:r>
          </w:p>
        </w:tc>
      </w:tr>
      <w:tr>
        <w:trPr>
          <w:trHeight w:val="648"/>
        </w:trPr>
        <w:tc>
          <w:tcPr>
            <w:tcW w:w="34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2"/>
        </w:trPr>
        <w:tc>
          <w:tcPr>
            <w:tcW w:w="3420" w:type="dxa"/>
            <w:vAlign w:val="bottom"/>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2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Plasma</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3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Collection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20" w:type="dxa"/>
            <w:vAlign w:val="bottom"/>
          </w:tcPr>
          <w:p>
            <w:pPr>
              <w:spacing w:after="0"/>
              <w:rPr>
                <w:sz w:val="20"/>
                <w:szCs w:val="20"/>
                <w:color w:val="auto"/>
              </w:rPr>
            </w:pPr>
          </w:p>
        </w:tc>
        <w:tc>
          <w:tcPr>
            <w:tcW w:w="4160" w:type="dxa"/>
            <w:vAlign w:val="bottom"/>
            <w:gridSpan w:val="4"/>
          </w:tcPr>
          <w:p>
            <w:pPr>
              <w:ind w:left="2520"/>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Centers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Consolidated</w:t>
            </w:r>
          </w:p>
        </w:tc>
      </w:tr>
      <w:tr>
        <w:trPr>
          <w:trHeight w:val="209"/>
        </w:trPr>
        <w:tc>
          <w:tcPr>
            <w:tcW w:w="3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78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23,272,463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4,884,108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28,263,696</w:t>
            </w:r>
          </w:p>
        </w:tc>
      </w:tr>
    </w:tbl>
    <w:p>
      <w:pPr>
        <w:sectPr>
          <w:pgSz w:w="11900" w:h="16891" w:orient="portrait"/>
          <w:cols w:equalWidth="0" w:num="1">
            <w:col w:w="11240"/>
          </w:cols>
          <w:pgMar w:left="320" w:top="125" w:right="339" w:bottom="0" w:gutter="0" w:footer="0" w:header="0"/>
        </w:sectPr>
      </w:pPr>
    </w:p>
    <w:bookmarkStart w:id="17" w:name="page18"/>
    <w:bookmarkEnd w:id="17"/>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37,314,930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4,865,389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42,180,319</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(34,606,679)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(2,696,927)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(10,390,982)</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(47,694,588)</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(742,336)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(7,903,406)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(8,646,186)</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(35,349,015)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(2,697,371)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(18,294,388)</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(56,340,774)</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6,619,399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2,508,960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9,128,359</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2,310,580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392,086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2,709,783</w:t>
            </w:r>
          </w:p>
        </w:tc>
      </w:tr>
      <w:tr>
        <w:trPr>
          <w:trHeight w:val="702"/>
        </w:trPr>
        <w:tc>
          <w:tcPr>
            <w:tcW w:w="34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rPr>
              <w:t>Nine Months Ended September 30, 2019</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91"/>
        </w:trPr>
        <w:tc>
          <w:tcPr>
            <w:tcW w:w="34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Plasma</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Collection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p>
        </w:tc>
        <w:tc>
          <w:tcPr>
            <w:tcW w:w="39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Centers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09"/>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11,215,510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5,989,399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107,125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17,312,034</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22,695,870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5,116,765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27,812,635</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(25,300,237)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(832,864)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(7,464,417)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(33,597,518)</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(671,600)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(5,027,654)</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(5,685,694)</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11,527,421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11,527,421</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(9,962,495)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(9,962,495)</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(25,971,837)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10,708,117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(22,454,566)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(37,718,286)</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2,185,554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31,988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2,217,542</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2,077,221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342,156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2,429,550</w:t>
            </w:r>
          </w:p>
        </w:tc>
      </w:tr>
    </w:tbl>
    <w:p>
      <w:pPr>
        <w:spacing w:after="0" w:line="198"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PLASMA CENTER ASSETS</w:t>
      </w:r>
    </w:p>
    <w:p>
      <w:pPr>
        <w:spacing w:after="0" w:line="229" w:lineRule="exact"/>
        <w:rPr>
          <w:sz w:val="20"/>
          <w:szCs w:val="20"/>
          <w:color w:val="auto"/>
        </w:rPr>
      </w:pPr>
    </w:p>
    <w:p>
      <w:pPr>
        <w:jc w:val="both"/>
        <w:ind w:firstLine="607"/>
        <w:spacing w:after="0" w:line="255" w:lineRule="auto"/>
        <w:rPr>
          <w:sz w:val="20"/>
          <w:szCs w:val="20"/>
          <w:color w:val="auto"/>
        </w:rPr>
      </w:pPr>
      <w:r>
        <w:rPr>
          <w:rFonts w:ascii="Arial" w:cs="Arial" w:eastAsia="Arial" w:hAnsi="Arial"/>
          <w:sz w:val="18"/>
          <w:szCs w:val="18"/>
          <w:color w:val="auto"/>
        </w:rPr>
        <w:t>As part of the purchase price for the Biotest Transaction (see Note 1), the Company transferred its Marietta, GA and Norcross, GA plasma collection centers to BPC effective January 1, 2019. The Company had estimated the combined fair value of the two facilities to be $12.6 million, and the Company recorded an obligation for this amount as of the date of the Biotest Transaction. On January 1, 2019, upon the transfer of the two plasma collection facilities to BPC, the Company recorded a gain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300" w:hanging="292"/>
        <w:spacing w:after="0"/>
        <w:tabs>
          <w:tab w:leader="none" w:pos="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jc w:val="both"/>
        <w:ind w:firstLine="607"/>
        <w:spacing w:after="0" w:line="259" w:lineRule="auto"/>
        <w:rPr>
          <w:sz w:val="20"/>
          <w:szCs w:val="20"/>
          <w:color w:val="auto"/>
        </w:rPr>
      </w:pPr>
      <w:r>
        <w:rPr>
          <w:rFonts w:ascii="Arial" w:cs="Arial" w:eastAsia="Arial" w:hAnsi="Arial"/>
          <w:sz w:val="18"/>
          <w:szCs w:val="18"/>
          <w:color w:val="auto"/>
        </w:rPr>
        <w:t>The Company leases certain properties and equipment for its ADMA BioCenters subsidiary and certain equipment for its ADMA BioManufacturing subsidiary, which leases provide the right to use the underlying assets and require lease payments through the respective lease terms which expire at various dates through 2030. The Company’s lease agreements do not contain any material residual value guarantees or material restrictive covenants.</w:t>
      </w:r>
    </w:p>
    <w:p>
      <w:pPr>
        <w:spacing w:after="0" w:line="187" w:lineRule="exact"/>
        <w:rPr>
          <w:sz w:val="20"/>
          <w:szCs w:val="20"/>
          <w:color w:val="auto"/>
        </w:rPr>
      </w:pPr>
    </w:p>
    <w:p>
      <w:pPr>
        <w:jc w:val="both"/>
        <w:ind w:firstLine="607"/>
        <w:spacing w:after="0" w:line="288" w:lineRule="auto"/>
        <w:rPr>
          <w:sz w:val="20"/>
          <w:szCs w:val="20"/>
          <w:color w:val="auto"/>
        </w:rPr>
      </w:pPr>
      <w:r>
        <w:rPr>
          <w:rFonts w:ascii="Arial" w:cs="Arial" w:eastAsia="Arial" w:hAnsi="Arial"/>
          <w:sz w:val="16"/>
          <w:szCs w:val="16"/>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of 13%. The Company’s lease expense is recognized on a straight-line basis over the lease term and is reflected in Plasma center operating expenses and Selling, general and administrative expenses. Aggregate lease expense for the Company’s leases for the three months ended September 30, 2020 and 2019 was approximately $0.2 million and $0.1 million, respectively, and aggregate lease expense for the nine months ended September 30, 2020 and 2019 was approximately $0.4 million and $0.3 million, respectively. Cash paid for the Company’s leases for the three months ended September 30, 2020 and 2019 was approximately $0.1 million, and cash paid for the Company’s leases for the nine months ended September 30, 2020 and 2019 was $0.3 million.</w:t>
      </w:r>
    </w:p>
    <w:p>
      <w:pPr>
        <w:spacing w:after="0" w:line="168" w:lineRule="exact"/>
        <w:rPr>
          <w:sz w:val="20"/>
          <w:szCs w:val="20"/>
          <w:color w:val="auto"/>
        </w:rPr>
      </w:pPr>
    </w:p>
    <w:p>
      <w:pPr>
        <w:jc w:val="both"/>
        <w:ind w:firstLine="607"/>
        <w:spacing w:after="0" w:line="301" w:lineRule="auto"/>
        <w:rPr>
          <w:sz w:val="20"/>
          <w:szCs w:val="20"/>
          <w:color w:val="auto"/>
        </w:rPr>
      </w:pPr>
      <w:r>
        <w:rPr>
          <w:rFonts w:ascii="Arial" w:cs="Arial" w:eastAsia="Arial" w:hAnsi="Arial"/>
          <w:sz w:val="16"/>
          <w:szCs w:val="16"/>
          <w:color w:val="auto"/>
        </w:rPr>
        <w:t>In connection with the adoption of ASU 2016-02 on January 1, 2019 (see Note 2), the Company recognized right to use assets of $1.4 million and lease liabilities of approximately $1.6 million. During the nine months ended September 30, 2020, the Company entered into two new property leases where the Company has opened or intends to open two new plasma collection facilities. In connection with these leases, the Company recognized aggregate lease liabilities and corresponding right-to-use assets in the approximate amount of $1.7 million. Including a finance lease the Company entered into in</w:t>
      </w:r>
    </w:p>
    <w:p>
      <w:pPr>
        <w:sectPr>
          <w:pgSz w:w="11900" w:h="16882" w:orient="portrait"/>
          <w:cols w:equalWidth="0" w:num="1">
            <w:col w:w="11240"/>
          </w:cols>
          <w:pgMar w:left="320" w:top="356" w:right="339" w:bottom="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June 2018, the Company has aggregate lease liabilities of $3.1 million and $1.5 million as of September 30, 2020 and December 31, 2019, respectively, which are comprised primarily of the leases for the Company’s plasma collection centers and an administrative office lease in Roswell, GA related to the Company’s ADMA BioCenters subsidiary. The Company’s operating leases have a weighted average remaining term of 8.3 years. Scheduled payments under the Company’s lease obligations are as follows: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705,577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709,346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2,205,047</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Total payments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5,089,238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(1,952,518)</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(275,988)</w:t>
            </w: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September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2,860,732</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07"/>
        <w:spacing w:after="0" w:line="257" w:lineRule="auto"/>
        <w:rPr>
          <w:sz w:val="20"/>
          <w:szCs w:val="20"/>
          <w:color w:val="auto"/>
        </w:rPr>
      </w:pPr>
      <w:r>
        <w:rPr>
          <w:rFonts w:ascii="Arial" w:cs="Arial" w:eastAsia="Arial" w:hAnsi="Arial"/>
          <w:sz w:val="18"/>
          <w:szCs w:val="18"/>
          <w:color w:val="auto"/>
        </w:rPr>
        <w:t>As of October 31, 2020, the Company had entered into two additional property leases where the Company intends to construct additional new plasma collection facilities. The Company has not taken possession of these two leased properties and their lease commencement dates have not been determined. With the exception of advance deposits and initial months’ rent totaling approximately $75,000, no payments have been made under these leases. The initial terms of each lease are from 11 to 13 years with monthly rental payments varying between approximately $17,000 and $21,000, including common area maintenance charges.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13. SUPPLEMENTAL DISCLOSURE OF CASH FLOW INFORMATION</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tcPr>
          <w:p>
            <w:pPr>
              <w:spacing w:after="0"/>
              <w:rPr>
                <w:sz w:val="24"/>
                <w:szCs w:val="24"/>
                <w:color w:val="auto"/>
              </w:rPr>
            </w:pPr>
          </w:p>
        </w:tc>
        <w:tc>
          <w:tcPr>
            <w:tcW w:w="8440" w:type="dxa"/>
            <w:vAlign w:val="bottom"/>
            <w:gridSpan w:val="2"/>
          </w:tcPr>
          <w:p>
            <w:pPr>
              <w:ind w:left="360"/>
              <w:spacing w:after="0"/>
              <w:rPr>
                <w:sz w:val="20"/>
                <w:szCs w:val="20"/>
                <w:color w:val="auto"/>
              </w:rPr>
            </w:pPr>
            <w:r>
              <w:rPr>
                <w:rFonts w:ascii="Arial" w:cs="Arial" w:eastAsia="Arial" w:hAnsi="Arial"/>
                <w:sz w:val="18"/>
                <w:szCs w:val="18"/>
                <w:color w:val="auto"/>
                <w:w w:val="94"/>
              </w:rPr>
              <w:t>Supplemental cash flow information for the nine months ended September 30, 2020 and 2019 is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7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7,303,753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5,614,582</w:t>
            </w:r>
          </w:p>
        </w:tc>
        <w:tc>
          <w:tcPr>
            <w:tcW w:w="0" w:type="dxa"/>
            <w:vAlign w:val="bottom"/>
          </w:tcPr>
          <w:p>
            <w:pPr>
              <w:spacing w:after="0"/>
              <w:rPr>
                <w:sz w:val="1"/>
                <w:szCs w:val="1"/>
                <w:color w:val="auto"/>
              </w:rPr>
            </w:pPr>
          </w:p>
        </w:tc>
      </w:tr>
      <w:tr>
        <w:trPr>
          <w:trHeight w:val="197"/>
        </w:trPr>
        <w:tc>
          <w:tcPr>
            <w:tcW w:w="8700" w:type="dxa"/>
            <w:vAlign w:val="bottom"/>
            <w:tcBorders>
              <w:top w:val="single" w:sz="8" w:color="CCEEFF"/>
            </w:tcBorders>
            <w:gridSpan w:val="3"/>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1,468,147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268,050</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00" w:type="dxa"/>
            <w:vAlign w:val="bottom"/>
            <w:gridSpan w:val="3"/>
          </w:tcPr>
          <w:p>
            <w:pPr>
              <w:ind w:left="220"/>
              <w:spacing w:after="0" w:line="196" w:lineRule="exact"/>
              <w:rPr>
                <w:sz w:val="20"/>
                <w:szCs w:val="20"/>
                <w:color w:val="auto"/>
              </w:rPr>
            </w:pPr>
            <w:r>
              <w:rPr>
                <w:rFonts w:ascii="Arial" w:cs="Arial" w:eastAsia="Arial" w:hAnsi="Arial"/>
                <w:sz w:val="18"/>
                <w:szCs w:val="18"/>
                <w:color w:val="auto"/>
              </w:rPr>
              <w:t>Right-to-use assets obtained in exchange for lease obligations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1,738,156</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1,421,669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700" w:type="dxa"/>
            <w:vAlign w:val="bottom"/>
            <w:gridSpan w:val="3"/>
            <w:shd w:val="clear" w:color="auto" w:fill="CCEEFF"/>
          </w:tcPr>
          <w:p>
            <w:pPr>
              <w:ind w:left="220"/>
              <w:spacing w:after="0" w:line="196" w:lineRule="exact"/>
              <w:rPr>
                <w:sz w:val="20"/>
                <w:szCs w:val="20"/>
                <w:color w:val="auto"/>
              </w:rPr>
            </w:pPr>
            <w:r>
              <w:rPr>
                <w:rFonts w:ascii="Arial" w:cs="Arial" w:eastAsia="Arial" w:hAnsi="Arial"/>
                <w:sz w:val="18"/>
                <w:szCs w:val="18"/>
                <w:color w:val="auto"/>
              </w:rPr>
              <w:t>Warrants issued in connection with notes payable</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3,579,115</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shd w:val="clear" w:color="auto" w:fill="CCEEFF"/>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jc w:val="both"/>
        <w:ind w:firstLine="607"/>
        <w:spacing w:after="0" w:line="286" w:lineRule="auto"/>
        <w:rPr>
          <w:sz w:val="20"/>
          <w:szCs w:val="20"/>
          <w:color w:val="auto"/>
        </w:rPr>
      </w:pPr>
      <w:r>
        <w:rPr>
          <w:rFonts w:ascii="Arial" w:cs="Arial" w:eastAsia="Arial" w:hAnsi="Arial"/>
          <w:sz w:val="17"/>
          <w:szCs w:val="17"/>
          <w:color w:val="auto"/>
        </w:rPr>
        <w:t>On November 5, 2020, the Company and Jefferies entered into an amendment to the Sale Agreement (see Note 7) (as amended, the “Amended Sale Agreement”) to provide for an increase in the aggregate offering amount under the Sale Agreement such that, as of November 5, 2020, the Company may sell shares having an additional aggregate offering price of up to $20 million under the Amended Sale Agreement.</w:t>
      </w:r>
    </w:p>
    <w:p>
      <w:pPr>
        <w:spacing w:after="0" w:line="165" w:lineRule="exact"/>
        <w:rPr>
          <w:sz w:val="20"/>
          <w:szCs w:val="20"/>
          <w:color w:val="auto"/>
        </w:rPr>
      </w:pPr>
    </w:p>
    <w:p>
      <w:pPr>
        <w:jc w:val="both"/>
        <w:ind w:right="20" w:firstLine="607"/>
        <w:spacing w:after="0" w:line="277" w:lineRule="auto"/>
        <w:rPr>
          <w:sz w:val="20"/>
          <w:szCs w:val="20"/>
          <w:color w:val="auto"/>
        </w:rPr>
      </w:pPr>
      <w:r>
        <w:rPr>
          <w:rFonts w:ascii="Arial" w:cs="Arial" w:eastAsia="Arial" w:hAnsi="Arial"/>
          <w:sz w:val="18"/>
          <w:szCs w:val="18"/>
          <w:color w:val="auto"/>
        </w:rPr>
        <w:t>Between October 1, 2020 and October 31, 2020, the Company sold an additional 4,127,833shares of its common stock under the Sale Agreement and received net proceeds in the amount of $9.6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firstLine="607"/>
        <w:spacing w:after="0" w:line="272" w:lineRule="auto"/>
        <w:rPr>
          <w:sz w:val="20"/>
          <w:szCs w:val="20"/>
          <w:color w:val="auto"/>
        </w:rPr>
      </w:pPr>
      <w:r>
        <w:rPr>
          <w:rFonts w:ascii="Arial" w:cs="Arial" w:eastAsia="Arial" w:hAnsi="Arial"/>
          <w:sz w:val="17"/>
          <w:szCs w:val="17"/>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2019, filed on March 13, 2020 (the “2019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firstLine="607"/>
        <w:spacing w:after="0" w:line="279" w:lineRule="auto"/>
        <w:rPr>
          <w:sz w:val="20"/>
          <w:szCs w:val="20"/>
          <w:color w:val="auto"/>
        </w:rPr>
      </w:pPr>
      <w:r>
        <w:rPr>
          <w:rFonts w:ascii="Arial" w:cs="Arial" w:eastAsia="Arial" w:hAnsi="Arial"/>
          <w:sz w:val="17"/>
          <w:szCs w:val="17"/>
          <w:color w:val="auto"/>
        </w:rPr>
        <w:t>ADMA Biologics, Inc. (the “Company,” “ADMA,” “we,” “us” or “our”) is an end-to-end commercial biopharmaceutical and specialty immunoglobulin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ectPr>
          <w:pgSz w:w="11900" w:h="16838" w:orient="portrait"/>
          <w:cols w:equalWidth="0" w:num="1">
            <w:col w:w="11240"/>
          </w:cols>
          <w:pgMar w:left="320" w:top="125" w:right="339" w:bottom="0" w:gutter="0" w:footer="0" w:header="0"/>
        </w:sectPr>
      </w:pPr>
    </w:p>
    <w:bookmarkStart w:id="19" w:name="page20"/>
    <w:bookmarkEnd w:id="19"/>
    <w:p>
      <w:pPr>
        <w:ind w:right="220" w:firstLine="607"/>
        <w:spacing w:after="0" w:line="269" w:lineRule="auto"/>
        <w:rPr>
          <w:sz w:val="20"/>
          <w:szCs w:val="20"/>
          <w:color w:val="auto"/>
        </w:rPr>
      </w:pPr>
      <w:r>
        <w:rPr>
          <w:rFonts w:ascii="Arial" w:cs="Arial" w:eastAsia="Arial" w:hAnsi="Arial"/>
          <w:sz w:val="17"/>
          <w:szCs w:val="17"/>
          <w:color w:val="auto"/>
        </w:rPr>
        <w:t>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for the commercial re-launch of the product and commenced the re-launch in August 2019; (ii) ASCENIV (Immune Globulin Intravenous, Human – slra 10% Liquid), previously referred to as RI-002,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S. pneumonia infection for an immunoglobulin manufactured to contain standardized antibodies to numerous serotypes of S. pneumonia.</w:t>
      </w:r>
    </w:p>
    <w:p>
      <w:pPr>
        <w:spacing w:after="0" w:line="185" w:lineRule="exact"/>
        <w:rPr>
          <w:sz w:val="20"/>
          <w:szCs w:val="20"/>
          <w:color w:val="auto"/>
        </w:rPr>
      </w:pPr>
    </w:p>
    <w:p>
      <w:pPr>
        <w:ind w:right="160" w:firstLine="607"/>
        <w:spacing w:after="0" w:line="257" w:lineRule="auto"/>
        <w:rPr>
          <w:sz w:val="20"/>
          <w:szCs w:val="20"/>
          <w:color w:val="auto"/>
        </w:rPr>
      </w:pPr>
      <w:r>
        <w:rPr>
          <w:rFonts w:ascii="Arial" w:cs="Arial" w:eastAsia="Arial" w:hAnsi="Arial"/>
          <w:sz w:val="18"/>
          <w:szCs w:val="18"/>
          <w:color w:val="auto"/>
        </w:rPr>
        <w:t>We manufacture our products at an FDA-licensed, 400,000-liter annual capacity plasma fractionation and purification facility located in Boca Raton, Florida (the “Boca Facility”). Based on current production yields, we believe this facility has the potential to produce quantities of our immune globulin (“IG”) products capable of generating more than $250 million in annual revenue as we ramp-up production over the next three to five years. Our products and product candidates are intended to be used by physician specialists focused on caring for immune-compromised patients with or at risk for certain infectious diseases.</w:t>
      </w:r>
    </w:p>
    <w:p>
      <w:pPr>
        <w:spacing w:after="0" w:line="188" w:lineRule="exact"/>
        <w:rPr>
          <w:sz w:val="20"/>
          <w:szCs w:val="20"/>
          <w:color w:val="auto"/>
        </w:rPr>
      </w:pPr>
    </w:p>
    <w:p>
      <w:pPr>
        <w:ind w:right="40" w:firstLine="607"/>
        <w:spacing w:after="0" w:line="287" w:lineRule="auto"/>
        <w:rPr>
          <w:sz w:val="20"/>
          <w:szCs w:val="20"/>
          <w:color w:val="auto"/>
        </w:rPr>
      </w:pPr>
      <w:r>
        <w:rPr>
          <w:rFonts w:ascii="Arial" w:cs="Arial" w:eastAsia="Arial" w:hAnsi="Arial"/>
          <w:sz w:val="16"/>
          <w:szCs w:val="16"/>
          <w:color w:val="auto"/>
        </w:rPr>
        <w:t>Through our ADMA BioCenters subsidiary, we currently operate as an FDA-approved source plasma collection organization and have several facilities located in the U.S. This business unit, which we refer to as our Plasma Collection Centers business segment, provides us with a portion of our blood plasma for the manufacture of our products and product candidates, and also allows us to sell certain quantities of source plasma to others for further manufacturing. As a part of our planned supply chain robustness initiative, we opened a new plasma collection center on June 30, 2020 for which an FDA license is currently pending, and we now have six plasma collection centers in various stages of approval and development, including two that are fully operational and collecting plasma. After giving effect to the year-to-date progress with our plasma collection network expansion, we believe we remain on track to achieve our previously stated objective of opening five to 10 plasma collection centers in the U.S. during the next three to five years.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is sold to third-party customers in the U.S. and in other locations outside the U.S. where we are approved under supply agreements or in the open “spot” market.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firstLine="607"/>
        <w:spacing w:after="0" w:line="259" w:lineRule="auto"/>
        <w:rPr>
          <w:sz w:val="20"/>
          <w:szCs w:val="20"/>
          <w:color w:val="auto"/>
        </w:rPr>
      </w:pPr>
      <w:r>
        <w:rPr>
          <w:rFonts w:ascii="Arial" w:cs="Arial" w:eastAsia="Arial" w:hAnsi="Arial"/>
          <w:sz w:val="18"/>
          <w:szCs w:val="18"/>
          <w:color w:val="auto"/>
        </w:rPr>
        <w:t>We also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and testing services for certain clients.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07"/>
        <w:spacing w:after="0" w:line="287"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 BPC Plasma, Inc. (formerly Biotest Pharmaceuticals Corporation) (“BPC”) had originally received FDA approval for BIVIGAM on December 19, 2012, prior to our acquisition of the Boca Facility and related assets on June 6, 2017 (the “Biotest Transaction”), and product sales had commenced in the first quarter of 2013. On May 9, 2019, the FDA approved the Prior Approval Supplement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firstLine="607"/>
        <w:spacing w:after="0" w:line="272"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177" w:lineRule="exact"/>
        <w:rPr>
          <w:sz w:val="20"/>
          <w:szCs w:val="20"/>
          <w:color w:val="auto"/>
        </w:rPr>
      </w:pPr>
    </w:p>
    <w:p>
      <w:pPr>
        <w:ind w:right="40" w:firstLine="607"/>
        <w:spacing w:after="0" w:line="254" w:lineRule="auto"/>
        <w:rPr>
          <w:sz w:val="20"/>
          <w:szCs w:val="20"/>
          <w:color w:val="auto"/>
        </w:rPr>
      </w:pPr>
      <w:r>
        <w:rPr>
          <w:rFonts w:ascii="Arial" w:cs="Arial" w:eastAsia="Arial" w:hAnsi="Arial"/>
          <w:sz w:val="18"/>
          <w:szCs w:val="18"/>
          <w:color w:val="auto"/>
        </w:rPr>
        <w:t>ASCENIV is approved for the treatment of Primary Immune Deficiency Disorder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We plan to work with the FDA and the immunology and infectious disease community to design a clinical trial to evaluate the use of ASCENIV in this patient population in the near future. Commercial sales of ASCENIV commenced in October of 2019.</w:t>
      </w:r>
    </w:p>
    <w:p>
      <w:pPr>
        <w:sectPr>
          <w:pgSz w:w="11900" w:h="16838" w:orient="portrait"/>
          <w:cols w:equalWidth="0" w:num="1">
            <w:col w:w="11220"/>
          </w:cols>
          <w:pgMar w:left="320" w:top="125" w:right="359" w:bottom="1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firstLine="607"/>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IMPACT OF THE COVID-19 CRISIS</w:t>
      </w:r>
    </w:p>
    <w:p>
      <w:pPr>
        <w:spacing w:after="0" w:line="229" w:lineRule="exact"/>
        <w:rPr>
          <w:sz w:val="20"/>
          <w:szCs w:val="20"/>
          <w:color w:val="auto"/>
        </w:rPr>
      </w:pPr>
    </w:p>
    <w:p>
      <w:pPr>
        <w:ind w:right="140" w:firstLine="607"/>
        <w:spacing w:after="0" w:line="254" w:lineRule="auto"/>
        <w:rPr>
          <w:sz w:val="20"/>
          <w:szCs w:val="20"/>
          <w:color w:val="auto"/>
        </w:rPr>
      </w:pPr>
      <w:r>
        <w:rPr>
          <w:rFonts w:ascii="Arial" w:cs="Arial" w:eastAsia="Arial" w:hAnsi="Arial"/>
          <w:sz w:val="18"/>
          <w:szCs w:val="18"/>
          <w:color w:val="auto"/>
        </w:rPr>
        <w:t>We continue to closely monitor ongoing developments in connection with the COVID-19 global pandemic and its impacts to our commercial and manufacturing operations, including but not limited to potential disruptions to our supply chain operations, including procurement of raw materials and packaging materials, a portion of which are sourced internationally, and testing of finished drug product that is required prior to its availability for commercial sale. Such testing has historically been performed by contract laboratories outside the United States. In addition, travel and other restrictions that have been implemented in the United States have impacted our commercial engagement efforts with respect to some of our products, including BIVIGAM and ASCENIV, as trade shows, industry and medical conferences and other events we had been planning to utilize and exhibit and attend with our staff to increase awareness of our products by physicians and payers remain subject to reduction in scope, rescheduling or outright cancellation due to the pandemic.</w:t>
      </w:r>
    </w:p>
    <w:p>
      <w:pPr>
        <w:spacing w:after="0" w:line="192" w:lineRule="exact"/>
        <w:rPr>
          <w:sz w:val="20"/>
          <w:szCs w:val="20"/>
          <w:color w:val="auto"/>
        </w:rPr>
      </w:pPr>
    </w:p>
    <w:p>
      <w:pPr>
        <w:ind w:right="60" w:firstLine="607"/>
        <w:spacing w:after="0" w:line="287" w:lineRule="auto"/>
        <w:rPr>
          <w:sz w:val="20"/>
          <w:szCs w:val="20"/>
          <w:color w:val="auto"/>
        </w:rPr>
      </w:pPr>
      <w:r>
        <w:rPr>
          <w:rFonts w:ascii="Arial" w:cs="Arial" w:eastAsia="Arial" w:hAnsi="Arial"/>
          <w:sz w:val="16"/>
          <w:szCs w:val="16"/>
          <w:color w:val="auto"/>
        </w:rPr>
        <w:t>We have experienced some delays with our third-party vendors and testing laboratories which perform final drug product GMP release testing. In response to these delays, we have added additional release testing laboratories to our FDA approved consortium listed in our drug approval documents which we believe has adequately addressed this issue. In July 2020, we began receiving FDA lot releases with testing data from our new testing laboratory vendor, and our revenues for the three months ended September 30, 2020 increased by 32% over the immediately preceding three-month period. In addition, due to previous state and local “shelter-in-place” orders, we have been experiencing lower than normal donor collections at our FDA-approved plasma collection center. We were also subject to delays in shipments of source plasma from our contracted third-party suppliers, as well as delays in deliveries for personal protective equipment, reagents and other non-plasma raw materials and supplies used in the manufacture of our products. We have also experienced challenges with respect to our customer engagement initiatives, as our sales and medical affairs field forces face difficulties communicating directly with physicians and other healthcare professionals and the cancellation or postponement of a number of key scientific and medical conferences, further limiting our ability to communicate with potential customers. We have implemented a comprehensive suite of virtual engagement initiatives, though clinician engagement remains lower due to continuing COVID-19-related priorities at U.S. medical centers.</w:t>
      </w:r>
    </w:p>
    <w:p>
      <w:pPr>
        <w:spacing w:after="0" w:line="172" w:lineRule="exact"/>
        <w:rPr>
          <w:sz w:val="20"/>
          <w:szCs w:val="20"/>
          <w:color w:val="auto"/>
        </w:rPr>
      </w:pPr>
    </w:p>
    <w:p>
      <w:pPr>
        <w:ind w:right="200" w:firstLine="607"/>
        <w:spacing w:after="0" w:line="259" w:lineRule="auto"/>
        <w:rPr>
          <w:sz w:val="20"/>
          <w:szCs w:val="20"/>
          <w:color w:val="auto"/>
        </w:rPr>
      </w:pPr>
      <w:r>
        <w:rPr>
          <w:rFonts w:ascii="Arial" w:cs="Arial" w:eastAsia="Arial" w:hAnsi="Arial"/>
          <w:sz w:val="18"/>
          <w:szCs w:val="18"/>
          <w:color w:val="auto"/>
        </w:rPr>
        <w:t>As of the date of this report, we do not believe that the operations and immunoglobulin and plasma products production at our Boca Facility, our contract fill/finishers or our plasma collection facility have been significantly impacted by the COVID-19 pandemic. As a result, as of the date of this report, we currently do not anticipate any material impairments with respect to any of our long-lived assets, including our property and equipment, goodwill or intangible assets.</w:t>
      </w:r>
    </w:p>
    <w:p>
      <w:pPr>
        <w:spacing w:after="0" w:line="187" w:lineRule="exact"/>
        <w:rPr>
          <w:sz w:val="20"/>
          <w:szCs w:val="20"/>
          <w:color w:val="auto"/>
        </w:rPr>
      </w:pPr>
    </w:p>
    <w:p>
      <w:pPr>
        <w:ind w:right="140" w:firstLine="607"/>
        <w:spacing w:after="0" w:line="273" w:lineRule="auto"/>
        <w:rPr>
          <w:sz w:val="20"/>
          <w:szCs w:val="20"/>
          <w:color w:val="auto"/>
        </w:rPr>
      </w:pPr>
      <w:r>
        <w:rPr>
          <w:rFonts w:ascii="Arial" w:cs="Arial" w:eastAsia="Arial" w:hAnsi="Arial"/>
          <w:sz w:val="17"/>
          <w:szCs w:val="17"/>
          <w:color w:val="auto"/>
        </w:rPr>
        <w:t>Although the COVID-19 pandemic has not, to date, materially adversely impacted our capital and financial resources, due to the economic uncertainty that has resulted from the pandemic, and the potential impact of such to our stakeholders, we are unable to predict with certainty any potential impacts to our business. Although we believe the effects of the COVID-19 pandemic on our business and our operations will be temporary, at the present time we are unable to determine the ultimate duration of the pandemic or its long-term effects on, among other things, the global, national or local economies, the capital and credit markets, our workforce, our customers or our suppliers. As a result, we are unable to predict whether the COVID-19 crisis will have a material adverse impact on our business, financial condition, liquidity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07"/>
        <w:spacing w:after="0" w:line="289"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realizable value of accounts receivable, valuation of inventory,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166" w:lineRule="exact"/>
        <w:rPr>
          <w:sz w:val="20"/>
          <w:szCs w:val="20"/>
          <w:color w:val="auto"/>
        </w:rPr>
      </w:pPr>
    </w:p>
    <w:p>
      <w:pPr>
        <w:ind w:right="100" w:firstLine="607"/>
        <w:spacing w:after="0" w:line="257"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elsewhere in this Quarterly Report on Form 10-Q.</w:t>
      </w:r>
    </w:p>
    <w:p>
      <w:pPr>
        <w:sectPr>
          <w:pgSz w:w="11900" w:h="16838" w:orient="portrait"/>
          <w:cols w:equalWidth="0" w:num="1">
            <w:col w:w="11220"/>
          </w:cols>
          <w:pgMar w:left="320" w:top="125" w:right="359" w:bottom="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80" w:firstLine="607"/>
        <w:spacing w:after="0" w:line="272" w:lineRule="auto"/>
        <w:rPr>
          <w:sz w:val="20"/>
          <w:szCs w:val="20"/>
          <w:color w:val="auto"/>
        </w:rPr>
      </w:pPr>
      <w:r>
        <w:rPr>
          <w:rFonts w:ascii="Arial" w:cs="Arial" w:eastAsia="Arial" w:hAnsi="Arial"/>
          <w:sz w:val="17"/>
          <w:szCs w:val="17"/>
          <w:color w:val="auto"/>
        </w:rPr>
        <w:t>Revenues for the nine months ended September 30, 2020 and 2019 are comprised of (i) revenues from the sale of our FDA-approved immunoglobulin products, (ii) product revenues from the sale of human plasma collected from our Plasma Collection Centers business segment, (iii) product revenues from the sale of intermediate fractions, (iv) contract manufacturing and testing revenue from certain clients, and (v) license revenues attributable to the out-licensing of ASCENIV in December 2012 to Biotest AG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amortized into income over the term of the Biotest license, representing a period of approximately 22 years.</w:t>
      </w:r>
    </w:p>
    <w:p>
      <w:pPr>
        <w:spacing w:after="0" w:line="177" w:lineRule="exact"/>
        <w:rPr>
          <w:sz w:val="20"/>
          <w:szCs w:val="20"/>
          <w:color w:val="auto"/>
        </w:rPr>
      </w:pPr>
    </w:p>
    <w:p>
      <w:pPr>
        <w:ind w:right="80" w:firstLine="607"/>
        <w:spacing w:after="0" w:line="291" w:lineRule="auto"/>
        <w:rPr>
          <w:sz w:val="20"/>
          <w:szCs w:val="20"/>
          <w:color w:val="auto"/>
        </w:rPr>
      </w:pPr>
      <w:r>
        <w:rPr>
          <w:rFonts w:ascii="Arial" w:cs="Arial" w:eastAsia="Arial" w:hAnsi="Arial"/>
          <w:sz w:val="16"/>
          <w:szCs w:val="16"/>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immunoglobulin products is generally recognized when the product reaches the customer’s destination, and is recorded net of distributor fees, estimated rebates, price protection arrangements and customer incentives, including prompt pay discounts, wholesaler chargebacks and other wholesaler fees. These estimates are based on historical experience and certain other assumptions, and we believe that such estimates are reasonable. For revenues associated with contract manufacturing and sales of our intermediates, control transfers to the customer and the performance obligation is satisfied when the customer takes possession of the product from the Boca Facility or a third-party warehouse that is utilized by the Company.</w:t>
      </w:r>
    </w:p>
    <w:p>
      <w:pPr>
        <w:spacing w:after="0" w:line="166" w:lineRule="exact"/>
        <w:rPr>
          <w:sz w:val="20"/>
          <w:szCs w:val="20"/>
          <w:color w:val="auto"/>
        </w:rPr>
      </w:pPr>
    </w:p>
    <w:p>
      <w:pPr>
        <w:ind w:right="280" w:firstLine="607"/>
        <w:spacing w:after="0" w:line="279" w:lineRule="auto"/>
        <w:rPr>
          <w:sz w:val="20"/>
          <w:szCs w:val="20"/>
          <w:color w:val="auto"/>
        </w:rPr>
      </w:pPr>
      <w:r>
        <w:rPr>
          <w:rFonts w:ascii="Arial" w:cs="Arial" w:eastAsia="Arial" w:hAnsi="Arial"/>
          <w:sz w:val="17"/>
          <w:szCs w:val="17"/>
          <w:color w:val="auto"/>
        </w:rPr>
        <w:t>Product revenues from the sale of human plasma collected at our plasma collection centers are recognized at the time control of the product has been transferred to the customer, which generally occurs at the time of shipment. Product revenues are recognized at the time of delivery if we retain control of the product during shipment. Payments received from customers where the foregoing revenue recognition criteria have not been satisfied are recorded as deferred revenue, which is reflected as a liability in our consolidated balance sheets.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07"/>
        <w:spacing w:after="0" w:line="263" w:lineRule="auto"/>
        <w:rPr>
          <w:sz w:val="20"/>
          <w:szCs w:val="20"/>
          <w:color w:val="auto"/>
        </w:rPr>
      </w:pPr>
      <w:r>
        <w:rPr>
          <w:rFonts w:ascii="Arial" w:cs="Arial" w:eastAsia="Arial" w:hAnsi="Arial"/>
          <w:sz w:val="18"/>
          <w:szCs w:val="18"/>
          <w:color w:val="auto"/>
        </w:rPr>
        <w:t>For the nine months ended September 30, 2020, three customers represented an aggregate of 82% of our consolidated revenues, with BioCARE, Inc. (“BioCare”), Biolife Plasma Services, L.P. (“Biolife”) and Reliance Life Sciences Pvt Limited (“Reliance”) representing approximately 51%, 17%, and 14%, respectively, of our consolidated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200" w:firstLine="607"/>
        <w:spacing w:after="0" w:line="277" w:lineRule="auto"/>
        <w:rPr>
          <w:sz w:val="20"/>
          <w:szCs w:val="20"/>
          <w:color w:val="auto"/>
        </w:rPr>
      </w:pPr>
      <w:r>
        <w:rPr>
          <w:rFonts w:ascii="Arial" w:cs="Arial" w:eastAsia="Arial" w:hAnsi="Arial"/>
          <w:sz w:val="18"/>
          <w:szCs w:val="18"/>
          <w:color w:val="auto"/>
        </w:rPr>
        <w:t>Accounts receivable are reported at realizable value, net of allowances for contractual credits and doubtful accounts, which are recognized in the period the related revenue is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100" w:firstLine="607"/>
        <w:spacing w:after="0" w:line="255" w:lineRule="auto"/>
        <w:rPr>
          <w:sz w:val="20"/>
          <w:szCs w:val="20"/>
          <w:color w:val="auto"/>
        </w:rPr>
      </w:pPr>
      <w:r>
        <w:rPr>
          <w:rFonts w:ascii="Arial" w:cs="Arial" w:eastAsia="Arial" w:hAnsi="Arial"/>
          <w:sz w:val="18"/>
          <w:szCs w:val="18"/>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Costs of production for ASCENIV and BIVIGAM prior to their FDA approval dates of April 1, 2019 and May 9, 2019, respectively, were not capitalized into inventory but were instead expensed as incurred. In addition, costs associated with the production of conformance or engineering lots that would not qualify as immediately available for commercial sale are charged to cost of product revenue in the period the lots were produced.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07"/>
        <w:spacing w:after="0" w:line="268" w:lineRule="auto"/>
        <w:rPr>
          <w:sz w:val="20"/>
          <w:szCs w:val="20"/>
          <w:color w:val="auto"/>
        </w:rPr>
      </w:pPr>
      <w:r>
        <w:rPr>
          <w:rFonts w:ascii="Arial" w:cs="Arial" w:eastAsia="Arial" w:hAnsi="Arial"/>
          <w:sz w:val="17"/>
          <w:szCs w:val="17"/>
          <w:color w:val="auto"/>
        </w:rPr>
        <w:t xml:space="preserve">All equity-based payments, including grants of stock options and restricted stock units (“RSUs”) are recognized at their estimated fair value at the grant date, and compensation expense is recognized on a straight-line basis over the grantee’s requisite vesting period. During the nine months ended September 30, 2020, we granted RSUs to members of our Board of Directors and certain members of our management and employees representing an aggregate of 361,000 shares of common stock. For the purpose of valuing stock options granted to our employees, directors and officers, we use the Black-Scholes option pricing model. We granted options to purchase an aggregate of 1,398,412 and 1,493,100 shares of common stock during the nine months ended September 30, 2020 and 2019, respectively. To determine the risk-free interest rate, we utilized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In accordance with Accounting Standards Update (“ASU”) No.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we have elected not to establish a forfeiture rate, as stock-based compensation expense related to forfeitures of unvested stock options is fully reversed at the time of forfeiture.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60" w:firstLine="607"/>
        <w:spacing w:after="0" w:line="293" w:lineRule="auto"/>
        <w:rPr>
          <w:sz w:val="20"/>
          <w:szCs w:val="20"/>
          <w:color w:val="auto"/>
        </w:rPr>
      </w:pPr>
      <w:r>
        <w:rPr>
          <w:rFonts w:ascii="Arial" w:cs="Arial" w:eastAsia="Arial" w:hAnsi="Arial"/>
          <w:sz w:val="16"/>
          <w:szCs w:val="16"/>
          <w:color w:val="auto"/>
        </w:rPr>
        <w:t>Our research and development (“R&amp;D”) costs consist of clinical research organization costs, costs related to clinical trials, testing and evaluation of new or alternative products or processes, including the testing and development of a new filling line at one of our third-party fill/finishers for a process that has not been approved by the FDA, studies for potentially extending a product’s approved and labeled expiration dating and other potential label expansions, post-marketing commitment studies for BIVIGAM and ASCENIV, wages, benefits and stock-based compensation for employees directly related to research and development activities and, prior to April 1, 2019, assay development and testing, storage and transportation costs for high-titer plasma used in the manufacture of ASCENIV prior to its approval by the FDA. All research and development costs are expensed as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firstLine="607"/>
        <w:spacing w:after="0" w:line="342" w:lineRule="auto"/>
        <w:rPr>
          <w:sz w:val="20"/>
          <w:szCs w:val="20"/>
          <w:color w:val="auto"/>
        </w:rPr>
      </w:pPr>
      <w:r>
        <w:rPr>
          <w:rFonts w:ascii="Arial" w:cs="Arial" w:eastAsia="Arial" w:hAnsi="Arial"/>
          <w:sz w:val="16"/>
          <w:szCs w:val="16"/>
          <w:color w:val="auto"/>
        </w:rPr>
        <w:t>We assess the recoverability of our long-lived assets, which include property and equipment and finite-lived intangible assets, whenever significant events or changes in circumstances indicate impairment may have occurred. If indicators of impairment exist, projected future undiscounted cash flows</w:t>
      </w:r>
    </w:p>
    <w:p>
      <w:pPr>
        <w:sectPr>
          <w:pgSz w:w="11900" w:h="16838" w:orient="portrait"/>
          <w:cols w:equalWidth="0" w:num="1">
            <w:col w:w="11220"/>
          </w:cols>
          <w:pgMar w:left="320" w:top="125" w:right="359" w:bottom="0" w:gutter="0" w:footer="0" w:header="0"/>
        </w:sectPr>
      </w:pPr>
    </w:p>
    <w:bookmarkStart w:id="22" w:name="page23"/>
    <w:bookmarkEnd w:id="22"/>
    <w:p>
      <w:pPr>
        <w:ind w:right="220"/>
        <w:spacing w:after="0" w:line="263" w:lineRule="auto"/>
        <w:rPr>
          <w:sz w:val="20"/>
          <w:szCs w:val="20"/>
          <w:color w:val="auto"/>
        </w:rPr>
      </w:pPr>
      <w:r>
        <w:rPr>
          <w:rFonts w:ascii="Arial" w:cs="Arial" w:eastAsia="Arial" w:hAnsi="Arial"/>
          <w:sz w:val="18"/>
          <w:szCs w:val="18"/>
          <w:color w:val="auto"/>
        </w:rPr>
        <w:t>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nine months ended September 30, 2020 and 2019, we determined that there was no impairment of our long-lived assets.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0" w:firstLine="607"/>
        <w:spacing w:after="0" w:line="293"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the reporting unit associated with the goodwill is less than its carrying amount, including goodwill and other intangible assets. If we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nine months ended September 30, 2020 and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607"/>
        <w:spacing w:after="0" w:line="272" w:lineRule="auto"/>
        <w:rPr>
          <w:sz w:val="20"/>
          <w:szCs w:val="20"/>
          <w:color w:val="auto"/>
        </w:rPr>
      </w:pPr>
      <w:r>
        <w:rPr>
          <w:rFonts w:ascii="Arial" w:cs="Arial" w:eastAsia="Arial" w:hAnsi="Arial"/>
          <w:sz w:val="17"/>
          <w:szCs w:val="17"/>
          <w:color w:val="auto"/>
        </w:rPr>
        <w:t xml:space="preserve">In June 2016, the Financial Accounting Standards Board (the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(Topic 326) </w:t>
      </w:r>
      <w:r>
        <w:rPr>
          <w:rFonts w:ascii="Arial" w:cs="Arial" w:eastAsia="Arial" w:hAnsi="Arial"/>
          <w:sz w:val="17"/>
          <w:szCs w:val="17"/>
          <w:color w:val="auto"/>
        </w:rPr>
        <w:t>(“ASU 2016-13”), which requires financial assets to be presented at the net amount expected to be collected,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an allowance for credit losses to be deducted from the amortized cost basis of the financial asset such that the net carrying value of the asset is presented as the amount expected to be collected. Under ASU 2016-13, the entity’s statement of operations is required to reflect the measurement of credit losses for newly recognized financial assets, as well as expected increases or decreases in expected credit losses that have taken place during the period. For public business entities, ASU 2016-13 is effective for fiscal years beginning after December 15, 2019. We adopted ASU No. 2016-13 on January 1, 2020, and the adoption of this update did not have a significant impact on our consolidated financial statements.</w:t>
      </w:r>
    </w:p>
    <w:p>
      <w:pPr>
        <w:spacing w:after="0" w:line="177" w:lineRule="exact"/>
        <w:rPr>
          <w:sz w:val="20"/>
          <w:szCs w:val="20"/>
          <w:color w:val="auto"/>
        </w:rPr>
      </w:pPr>
    </w:p>
    <w:p>
      <w:pPr>
        <w:ind w:right="60" w:firstLine="607"/>
        <w:spacing w:after="0" w:line="269"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and Hedging (Topic 815)</w:t>
      </w:r>
      <w:r>
        <w:rPr>
          <w:rFonts w:ascii="Arial" w:cs="Arial" w:eastAsia="Arial" w:hAnsi="Arial"/>
          <w:sz w:val="17"/>
          <w:szCs w:val="17"/>
          <w:color w:val="auto"/>
        </w:rPr>
        <w:t>” (“ASU 2017-11”). ASU 2017-11 changed the classification analysis of certain equity-linked financial instruments (or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w:t>
      </w:r>
      <w:r>
        <w:rPr>
          <w:rFonts w:ascii="Arial" w:cs="Arial" w:eastAsia="Arial" w:hAnsi="Arial"/>
          <w:sz w:val="17"/>
          <w:szCs w:val="17"/>
          <w:i w:val="1"/>
          <w:iCs w:val="1"/>
          <w:color w:val="auto"/>
        </w:rPr>
        <w:t>Debt—Debt with Conversion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Options.</w:t>
      </w:r>
      <w:r>
        <w:rPr>
          <w:rFonts w:ascii="Arial" w:cs="Arial" w:eastAsia="Arial" w:hAnsi="Arial"/>
          <w:sz w:val="17"/>
          <w:szCs w:val="17"/>
          <w:color w:val="auto"/>
        </w:rPr>
        <w:t>” ASU 2017-11 became effective for us on January 1, 2019, and this update did not have a significant impact on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w:t>
      </w:r>
    </w:p>
    <w:p>
      <w:pPr>
        <w:spacing w:after="0" w:line="179" w:lineRule="exact"/>
        <w:rPr>
          <w:sz w:val="20"/>
          <w:szCs w:val="20"/>
          <w:color w:val="auto"/>
        </w:rPr>
      </w:pPr>
    </w:p>
    <w:p>
      <w:pPr>
        <w:ind w:right="80" w:firstLine="607"/>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(“ASU 2016-02”), which requires lessees to recognize assets and liabilities for the rights and obligations created by most leases on their balance sheet. The guidance became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We adopted ASU 2016-02 on January 1, 2019 using the option to recognize the cumulative-effect adjustment, if any, as of the date of application, which was also January 1, 2019. As a result, there was no restatement of comparative periods. We recognized right-to-use assets of approximately $1.4 million and corresponding lease liabilities of approximately $1.6 million at the date of adoption. We also elected the “package of practical expedients,” which permits us to not reassess under the new standard our prior conclusions about lease identification, lease classification and initial direct costs. In addition, we elected the short-term lease recognition exemption for all or embedded leases that qualify.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2020 Compared to Three Months Ended September 30, 2019</w:t>
      </w:r>
    </w:p>
    <w:p>
      <w:pPr>
        <w:spacing w:after="0" w:line="229" w:lineRule="exact"/>
        <w:rPr>
          <w:sz w:val="20"/>
          <w:szCs w:val="20"/>
          <w:color w:val="auto"/>
        </w:rPr>
      </w:pPr>
    </w:p>
    <w:p>
      <w:pPr>
        <w:ind w:right="60" w:firstLine="607"/>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three months ended September 30, 2020, our third fiscal quarter, compared to the three months ended September 30,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191"/>
        </w:trPr>
        <w:tc>
          <w:tcPr>
            <w:tcW w:w="7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6"/>
                <w:szCs w:val="16"/>
                <w:color w:val="auto"/>
              </w:rPr>
            </w:pPr>
          </w:p>
        </w:tc>
      </w:tr>
      <w:tr>
        <w:trPr>
          <w:trHeight w:val="234"/>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20"/>
                <w:szCs w:val="20"/>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10,276,358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7,222,503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3,053,855</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11,855,464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7,916,220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3,939,244</w:t>
            </w: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(1,579,106)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(693,717)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(885,389)</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1,708,391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491,404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1,216,987</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1,218,898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456,899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761,999</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178,838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211,235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(32,397)</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9,115,744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7,197,173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1,918,571</w:t>
            </w:r>
          </w:p>
        </w:tc>
      </w:tr>
      <w:tr>
        <w:trPr>
          <w:trHeight w:val="20"/>
        </w:trPr>
        <w:tc>
          <w:tcPr>
            <w:tcW w:w="7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(13,800,977)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(9,050,428)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(4,750,549)</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(3,091,200)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(2,649,404)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(441,796)</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(25,276)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261,373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(286,649)</w:t>
            </w: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(16,917,453)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(11,438,459)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(5,478,994)</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ectPr>
          <w:pgSz w:w="11900" w:h="16838" w:orient="portrait"/>
          <w:cols w:equalWidth="0" w:num="1">
            <w:col w:w="11240"/>
          </w:cols>
          <w:pgMar w:left="320" w:top="125" w:right="339" w:bottom="0" w:gutter="0" w:footer="0" w:header="0"/>
        </w:sectPr>
      </w:pPr>
    </w:p>
    <w:bookmarkStart w:id="23" w:name="page24"/>
    <w:bookmarkEnd w:id="23"/>
    <w:p>
      <w:pPr>
        <w:ind w:firstLine="607"/>
        <w:spacing w:after="0" w:line="259" w:lineRule="auto"/>
        <w:rPr>
          <w:sz w:val="20"/>
          <w:szCs w:val="20"/>
          <w:color w:val="auto"/>
        </w:rPr>
      </w:pPr>
      <w:r>
        <w:rPr>
          <w:rFonts w:ascii="Arial" w:cs="Arial" w:eastAsia="Arial" w:hAnsi="Arial"/>
          <w:sz w:val="18"/>
          <w:szCs w:val="18"/>
          <w:color w:val="auto"/>
        </w:rPr>
        <w:t>We recorded total revenues of $10.3 million during the three months ended September 30, 2020, as compared to $7.2 million during the three months ended September 30, 2019, an increase of $3.1 million, or approximately 42%. The increase is mainly due to increased sales of our immunoglobulin products generated by our Boca Facility manufacturing operations in 2020 totaling $3.2 million, partially offset by a $0.1 million decrease in plasma revenues generated by our FDA-approved plasma collection facility.</w:t>
      </w:r>
    </w:p>
    <w:p>
      <w:pPr>
        <w:spacing w:after="0" w:line="187" w:lineRule="exact"/>
        <w:rPr>
          <w:sz w:val="20"/>
          <w:szCs w:val="20"/>
          <w:color w:val="auto"/>
        </w:rPr>
      </w:pPr>
    </w:p>
    <w:p>
      <w:pPr>
        <w:jc w:val="both"/>
        <w:ind w:right="20" w:firstLine="607"/>
        <w:spacing w:after="0" w:line="311" w:lineRule="auto"/>
        <w:rPr>
          <w:sz w:val="20"/>
          <w:szCs w:val="20"/>
          <w:color w:val="auto"/>
        </w:rPr>
      </w:pPr>
      <w:r>
        <w:rPr>
          <w:rFonts w:ascii="Arial" w:cs="Arial" w:eastAsia="Arial" w:hAnsi="Arial"/>
          <w:sz w:val="16"/>
          <w:szCs w:val="16"/>
          <w:color w:val="auto"/>
        </w:rPr>
        <w:t>Our revenues for the third quarter of 2020 as compared to the third quarter of 2019 were favorably impacted by the continued commercial scale-up for BIVIGAM and ASCENIV following these products’ FDA approvals on May 9, 2019 and April 1, 2019, respectively, in addition to benefiting from the manufacturing and supply agreement we entered into in January 2020 to produce and sell intermediate fractions to a certain customer.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firstLine="607"/>
        <w:spacing w:after="0" w:line="301" w:lineRule="auto"/>
        <w:rPr>
          <w:sz w:val="20"/>
          <w:szCs w:val="20"/>
          <w:color w:val="auto"/>
        </w:rPr>
      </w:pPr>
      <w:r>
        <w:rPr>
          <w:rFonts w:ascii="Arial" w:cs="Arial" w:eastAsia="Arial" w:hAnsi="Arial"/>
          <w:sz w:val="16"/>
          <w:szCs w:val="16"/>
          <w:color w:val="auto"/>
        </w:rPr>
        <w:t>Cost of product revenue was $11.9 million for the three months ended September 30, 2020, as compared to $7.9 million for the three months ended September 30, 2019. This increase reflects higher product revenue costs in 2020 of $5.9 million corresponding to the increase in immunoglobulin revenues, partially offset by a decrease in unabsorbed manufacturing expenses at the Boca Facility of $2.0 million. As we continue to ramp up our immunoglobulin production at the Boca Facility, we expect further reductions in unabsorbed manufacturing expenses in 2021 and beyond.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80" w:firstLine="607"/>
        <w:spacing w:after="0" w:line="275" w:lineRule="auto"/>
        <w:rPr>
          <w:sz w:val="20"/>
          <w:szCs w:val="20"/>
          <w:color w:val="auto"/>
        </w:rPr>
      </w:pPr>
      <w:r>
        <w:rPr>
          <w:rFonts w:ascii="Arial" w:cs="Arial" w:eastAsia="Arial" w:hAnsi="Arial"/>
          <w:sz w:val="17"/>
          <w:szCs w:val="17"/>
          <w:color w:val="auto"/>
        </w:rPr>
        <w:t xml:space="preserve">R&amp;D expenses totaled $1.7 million for the three months ended September 30, 2020, as compared to $0.5 million for the three months ended September 30, 2019. The increase is primarily due to $0.6 million in costs incurred during the third quarter of 2020 for the testing and development of a new filling line at one of our third-party fill/finishers for a process that has not been approved by the FDA, increased expenses related to clinical studies related to BIVIGAM required by the FDA in the amount of $0.3 million (see Note 9, </w:t>
      </w:r>
      <w:r>
        <w:rPr>
          <w:rFonts w:ascii="Arial" w:cs="Arial" w:eastAsia="Arial" w:hAnsi="Arial"/>
          <w:sz w:val="17"/>
          <w:szCs w:val="17"/>
          <w:i w:val="1"/>
          <w:iCs w:val="1"/>
          <w:color w:val="auto"/>
        </w:rPr>
        <w:t>Post-marketing commitments,</w:t>
      </w:r>
      <w:r>
        <w:rPr>
          <w:rFonts w:ascii="Arial" w:cs="Arial" w:eastAsia="Arial" w:hAnsi="Arial"/>
          <w:sz w:val="17"/>
          <w:szCs w:val="17"/>
          <w:color w:val="auto"/>
        </w:rPr>
        <w:t xml:space="preserve"> to the Consolidated Financial Statements) and $0.2 million for third-party assay development work that was completed during the third quarter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60" w:firstLine="607"/>
        <w:spacing w:after="0" w:line="273" w:lineRule="auto"/>
        <w:rPr>
          <w:sz w:val="20"/>
          <w:szCs w:val="20"/>
          <w:color w:val="auto"/>
        </w:rPr>
      </w:pPr>
      <w:r>
        <w:rPr>
          <w:rFonts w:ascii="Arial" w:cs="Arial" w:eastAsia="Arial" w:hAnsi="Arial"/>
          <w:sz w:val="17"/>
          <w:szCs w:val="17"/>
          <w:color w:val="auto"/>
        </w:rPr>
        <w:t>Plasma center operating expenses were $1.2 million for the three months ended September 30, 2020, as compared to $0.5 million for the three months ended September 30, 2019. Plasma center operating expenses consist of certain general and administrative plasma center costs, including rent, maintenance, utilities, compensation and benefits for center and administrative staff, advertising and promotion expenses and computer software fees related to donor collections. The increase in plasma center operating expenses is mainly attributable to increased staffing and travel expenses related to our plasma center expansion activities, and to increases in donor fees and materials costs related to the opening of our second plasma center on June 30, 2020, along with the other plasma centers for which we have initiated development.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500" w:firstLine="607"/>
        <w:spacing w:after="0" w:line="277" w:lineRule="auto"/>
        <w:rPr>
          <w:sz w:val="20"/>
          <w:szCs w:val="20"/>
          <w:color w:val="auto"/>
        </w:rPr>
      </w:pPr>
      <w:r>
        <w:rPr>
          <w:rFonts w:ascii="Arial" w:cs="Arial" w:eastAsia="Arial" w:hAnsi="Arial"/>
          <w:sz w:val="18"/>
          <w:szCs w:val="18"/>
          <w:color w:val="auto"/>
        </w:rPr>
        <w:t>Amortization expense pertains to the amortization of intangible assets acquired in the Biotest Transaction, and was $0.2 million for the three months ended September 30, 2020 and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00" w:firstLine="607"/>
        <w:spacing w:after="0" w:line="275" w:lineRule="auto"/>
        <w:rPr>
          <w:sz w:val="20"/>
          <w:szCs w:val="20"/>
          <w:color w:val="auto"/>
        </w:rPr>
      </w:pPr>
      <w:r>
        <w:rPr>
          <w:rFonts w:ascii="Arial" w:cs="Arial" w:eastAsia="Arial" w:hAnsi="Arial"/>
          <w:sz w:val="17"/>
          <w:szCs w:val="17"/>
          <w:color w:val="auto"/>
        </w:rPr>
        <w:t>Selling, general and administrative (“SG&amp;A”) expenses were $9.1 million for the three months ended September 30, 2020, an increase of $1.9 million from the three months ended September 30, 2019. The increase was mainly due to higher employee compensation and related expenses of $1.5 million related to staffing increases, largely in support of our commercialization efforts for BIVIGAM and ASCENIV, $0.7 million in marketing and consulting fees associated with our ASCENIV commercialization efforts and $0.4 million in increased insurance expense, partially offset by lower travel and promotional expenses related to the COVID-19 pandemic and reductions in legal fees and other professional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jc w:val="both"/>
        <w:ind w:right="360" w:firstLine="607"/>
        <w:spacing w:after="0" w:line="342" w:lineRule="auto"/>
        <w:rPr>
          <w:sz w:val="20"/>
          <w:szCs w:val="20"/>
          <w:color w:val="auto"/>
        </w:rPr>
      </w:pPr>
      <w:r>
        <w:rPr>
          <w:rFonts w:ascii="Arial" w:cs="Arial" w:eastAsia="Arial" w:hAnsi="Arial"/>
          <w:sz w:val="16"/>
          <w:szCs w:val="16"/>
          <w:color w:val="auto"/>
        </w:rPr>
        <w:t>Our operating loss was $13.8 million for the third quarter of 2020, as compared to $9.1 million for the third quarter of 2019. The $4.8 million increase in operating loss was due to the increases in cost of product revenue and other operating expenses, partially offset by the increase in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60" w:firstLine="607"/>
        <w:spacing w:after="0" w:line="263" w:lineRule="auto"/>
        <w:rPr>
          <w:sz w:val="20"/>
          <w:szCs w:val="20"/>
          <w:color w:val="auto"/>
        </w:rPr>
      </w:pPr>
      <w:r>
        <w:rPr>
          <w:rFonts w:ascii="Arial" w:cs="Arial" w:eastAsia="Arial" w:hAnsi="Arial"/>
          <w:sz w:val="18"/>
          <w:szCs w:val="18"/>
          <w:color w:val="auto"/>
        </w:rPr>
        <w:t>Interest expense was $3.1 million for the three months ended September 30, 2020, as compared to $2.6 million for the three months ended September 30, 2019. Throughout the third quarter of 2020, we had $85.0 million in outstanding principal under our senior credit facility, as compared to $72.5 million during the same period of a year ago (see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20" w:firstLine="607"/>
        <w:spacing w:after="0" w:line="259" w:lineRule="auto"/>
        <w:rPr>
          <w:sz w:val="20"/>
          <w:szCs w:val="20"/>
          <w:color w:val="auto"/>
        </w:rPr>
      </w:pPr>
      <w:r>
        <w:rPr>
          <w:rFonts w:ascii="Arial" w:cs="Arial" w:eastAsia="Arial" w:hAnsi="Arial"/>
          <w:sz w:val="18"/>
          <w:szCs w:val="18"/>
          <w:color w:val="auto"/>
        </w:rPr>
        <w:t>Our net loss was $16.9 million for the three months ended September 30, 2020, as compared to $11.4 million for the three months ended September 30, 2019. The increase in net loss of $5.5 million was primarily due to the increase in operating loss for the quarter of $4.8 million, the increase in interest expense of $0.4 million, and the decrease in interest income of $0.3 million due to the reduction of interest rates that took place during the first quarter of 2020.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2020 Compared to Nine Months Ended September 30, 2019</w:t>
      </w:r>
    </w:p>
    <w:p>
      <w:pPr>
        <w:sectPr>
          <w:pgSz w:w="11900" w:h="16838" w:orient="portrait"/>
          <w:cols w:equalWidth="0" w:num="1">
            <w:col w:w="11220"/>
          </w:cols>
          <w:pgMar w:left="320" w:top="125" w:right="359" w:bottom="0" w:gutter="0" w:footer="0" w:header="0"/>
        </w:sectPr>
      </w:pPr>
    </w:p>
    <w:bookmarkStart w:id="24" w:name="page25"/>
    <w:bookmarkEnd w:id="24"/>
    <w:p>
      <w:pPr>
        <w:spacing w:after="0" w:line="104" w:lineRule="exact"/>
        <w:rPr>
          <w:sz w:val="20"/>
          <w:szCs w:val="20"/>
          <w:color w:val="auto"/>
        </w:rPr>
      </w:pPr>
    </w:p>
    <w:p>
      <w:pPr>
        <w:ind w:right="20" w:firstLine="607"/>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nine months ended September 30, 2020, compared to the nine months ended September 30,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191"/>
        </w:trPr>
        <w:tc>
          <w:tcPr>
            <w:tcW w:w="7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6"/>
                <w:szCs w:val="16"/>
                <w:color w:val="auto"/>
              </w:rPr>
            </w:pPr>
          </w:p>
        </w:tc>
      </w:tr>
      <w:tr>
        <w:trPr>
          <w:trHeight w:val="234"/>
        </w:trPr>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28,263,696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17,312,034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10,951,662</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42,180,319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27,812,635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14,367,684</w:t>
            </w: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(13,916,623)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(10,500,601)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(3,416,022)</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4,893,549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1,879,025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3,014,524</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2,597,444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1,705,498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891,946</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536,514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633,704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(97,190)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25,750,458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18,878,690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6,871,768</w:t>
            </w:r>
          </w:p>
        </w:tc>
      </w:tr>
      <w:tr>
        <w:trPr>
          <w:trHeight w:val="20"/>
        </w:trPr>
        <w:tc>
          <w:tcPr>
            <w:tcW w:w="7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(47,694,588)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(33,597,518)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(14,097,070)</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(8,875,597)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(6,262,489)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(2,613,108)</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(9,962,495)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9,962,495</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11,527,421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(11,527,421)</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Interest and other income, net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229,411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576,795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(347,384)</w:t>
            </w: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(56,340,774)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(37,718,286)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(18,622,488)</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firstLine="607"/>
        <w:spacing w:after="0" w:line="259" w:lineRule="auto"/>
        <w:rPr>
          <w:sz w:val="20"/>
          <w:szCs w:val="20"/>
          <w:color w:val="auto"/>
        </w:rPr>
      </w:pPr>
      <w:r>
        <w:rPr>
          <w:rFonts w:ascii="Arial" w:cs="Arial" w:eastAsia="Arial" w:hAnsi="Arial"/>
          <w:sz w:val="18"/>
          <w:szCs w:val="18"/>
          <w:color w:val="auto"/>
        </w:rPr>
        <w:t>We recorded total revenues of approximately $28.3 million during the nine months ended September 30, 2020, as compared to $17.3 million during the nine months ended September 30, 2019, an increase of $11.0 million, or approximately 63%. The increase is mainly due to increased sales of our immunoglobulin products generated by our Boca Facility manufacturing operations in 2020 totaling $12.0 million, partially offset by a $1.1 million decrease in plasma revenues generated by our FDA-approved plasma collection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20" w:firstLine="607"/>
        <w:spacing w:after="0" w:line="255" w:lineRule="auto"/>
        <w:rPr>
          <w:sz w:val="20"/>
          <w:szCs w:val="20"/>
          <w:color w:val="auto"/>
        </w:rPr>
      </w:pPr>
      <w:r>
        <w:rPr>
          <w:rFonts w:ascii="Arial" w:cs="Arial" w:eastAsia="Arial" w:hAnsi="Arial"/>
          <w:sz w:val="18"/>
          <w:szCs w:val="18"/>
          <w:color w:val="auto"/>
        </w:rPr>
        <w:t>Cost of product revenue was $42.2 million for the nine months ended September 30, 2020, as compared to $27.8 million for the nine months ended September 30, 2019. This increase reflects $7.3 million in production costs incurred for the manufacture of BIVIGAM conformance lots at an increased plasma pool production scale in connection with our planned capacity expansion and other production initiatives and investments at the Boca Facility. Cost of product revenue for the first nine months of 2020 also reflects increases in product revenue costs of approximately $13.0 million related to the increase in revenues, partially offset by a $6.9 million reduction in unabsorbed manufacturing expenses resulting from increased production throughput at the Boca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607"/>
        <w:spacing w:after="0" w:line="255" w:lineRule="auto"/>
        <w:rPr>
          <w:sz w:val="20"/>
          <w:szCs w:val="20"/>
          <w:color w:val="auto"/>
        </w:rPr>
      </w:pPr>
      <w:r>
        <w:rPr>
          <w:rFonts w:ascii="Arial" w:cs="Arial" w:eastAsia="Arial" w:hAnsi="Arial"/>
          <w:sz w:val="18"/>
          <w:szCs w:val="18"/>
          <w:color w:val="auto"/>
        </w:rPr>
        <w:t>R&amp;D expenses totaled $4.9 million for the nine months ended September 30, 2020, as compared to $1.9 million for the nine months ended September 30, 2019. The increase is primarily due to $1.4 million in costs incurred during 2020 for the testing and development of a new filling line at one of our third-party fill/finishers for a process that has not been approved by the FDA, a $0.8 million increase in expenses associated with clinical studies, mainly BIVIGAM post-marketing commitments, $0.4 million of costs incurred during 2020 for a study we commenced to potentially extend ASCENIV’s approved and labeled expiration dating, $0.2 million of expenses in 2020 related to third-party assay development and a $0.2 million non-recurring expense for assistance with a third-party clinical research project.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120" w:firstLine="607"/>
        <w:spacing w:after="0" w:line="257" w:lineRule="auto"/>
        <w:rPr>
          <w:sz w:val="20"/>
          <w:szCs w:val="20"/>
          <w:color w:val="auto"/>
        </w:rPr>
      </w:pPr>
      <w:r>
        <w:rPr>
          <w:rFonts w:ascii="Arial" w:cs="Arial" w:eastAsia="Arial" w:hAnsi="Arial"/>
          <w:sz w:val="18"/>
          <w:szCs w:val="18"/>
          <w:color w:val="auto"/>
        </w:rPr>
        <w:t>Plasma center operating expenses were $2.6 million for the nine months ended September 30, 2020, as compared to $1.7 million for the nine months ended September 30, 2019. The increase in plasma center operating expenses is mainly attributable to a $1.1 million increase in staffing and travel expenses related to our plasma center expansion activities as well as increases in donor fees, testing materials, depreciation and rent totaling $1.3 million. These expense increases were largely offset by increased donor collections and the related absorption of expenses at our FDA-approved plasma collection facility.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right="620" w:firstLine="607"/>
        <w:spacing w:after="0" w:line="277" w:lineRule="auto"/>
        <w:rPr>
          <w:sz w:val="20"/>
          <w:szCs w:val="20"/>
          <w:color w:val="auto"/>
        </w:rPr>
      </w:pPr>
      <w:r>
        <w:rPr>
          <w:rFonts w:ascii="Arial" w:cs="Arial" w:eastAsia="Arial" w:hAnsi="Arial"/>
          <w:sz w:val="18"/>
          <w:szCs w:val="18"/>
          <w:color w:val="auto"/>
        </w:rPr>
        <w:t>Amortization expense for our intangible assets was $0.5 million and $0.6 million for the nine months ended September 30,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0" w:firstLine="607"/>
        <w:spacing w:after="0" w:line="255" w:lineRule="auto"/>
        <w:rPr>
          <w:sz w:val="20"/>
          <w:szCs w:val="20"/>
          <w:color w:val="auto"/>
        </w:rPr>
      </w:pPr>
      <w:r>
        <w:rPr>
          <w:rFonts w:ascii="Arial" w:cs="Arial" w:eastAsia="Arial" w:hAnsi="Arial"/>
          <w:sz w:val="18"/>
          <w:szCs w:val="18"/>
          <w:color w:val="auto"/>
        </w:rPr>
        <w:t>SG&amp;A expenses were $25.8 million for the nine months ended September 30, 2020, an increase of $6.9 million from the nine months ended September 30, 2019. The increase was mainly due to higher employee compensation expenses of $4.2 million related to staffing increases in support of our commercialization efforts for BIVIGAM and ASCENIV as well as the overall growth in the size and scope of our operations. SG&amp;A expenses were also impacted in 2020 by increased insurance expense of $1.2 million and marketing consulting fees incurred in connection with our ASCENIV commercialization efforts of $1.6 million. We expect our SG&amp;A expenses to continue to increase in 2021 as we continue to execute on the various facets of our business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firstLine="607"/>
        <w:spacing w:after="0" w:line="342" w:lineRule="auto"/>
        <w:rPr>
          <w:sz w:val="20"/>
          <w:szCs w:val="20"/>
          <w:color w:val="auto"/>
        </w:rPr>
      </w:pPr>
      <w:r>
        <w:rPr>
          <w:rFonts w:ascii="Arial" w:cs="Arial" w:eastAsia="Arial" w:hAnsi="Arial"/>
          <w:sz w:val="16"/>
          <w:szCs w:val="16"/>
          <w:color w:val="auto"/>
        </w:rPr>
        <w:t>Our operating loss was $47.7 million for the first nine months of 2020, as compared to $33.6 million for the first nine months of 2019. The $14.1 million increase in operating loss was mainly due to the increases in cost of product revenue and other operating expenses, partially offset by the increase in</w:t>
      </w:r>
    </w:p>
    <w:p>
      <w:pPr>
        <w:sectPr>
          <w:pgSz w:w="11900" w:h="16942" w:orient="portrait"/>
          <w:cols w:equalWidth="0" w:num="1">
            <w:col w:w="11240"/>
          </w:cols>
          <w:pgMar w:left="320" w:top="125" w:right="3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00" w:firstLine="607"/>
        <w:spacing w:after="0" w:line="259" w:lineRule="auto"/>
        <w:rPr>
          <w:sz w:val="20"/>
          <w:szCs w:val="20"/>
          <w:color w:val="auto"/>
        </w:rPr>
      </w:pPr>
      <w:r>
        <w:rPr>
          <w:rFonts w:ascii="Arial" w:cs="Arial" w:eastAsia="Arial" w:hAnsi="Arial"/>
          <w:sz w:val="18"/>
          <w:szCs w:val="18"/>
          <w:color w:val="auto"/>
        </w:rPr>
        <w:t>Interest expense was $8.9 million for the nine months ended September 30, 2020, as compared to $6.3 million for the nine months ended September 30, 2019. The increase is mainly due to higher average debt balances in 2020 as compared to 2019 resulting from additional loan proceeds we received from our senior lender in March of 2020 and May of 2019, when we drew down $12.5 million and $27.5 million, respectively, from our senior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Items in the Nine Months Ended September 30, 2019</w:t>
      </w:r>
    </w:p>
    <w:p>
      <w:pPr>
        <w:spacing w:after="0" w:line="225" w:lineRule="exact"/>
        <w:rPr>
          <w:sz w:val="20"/>
          <w:szCs w:val="20"/>
          <w:color w:val="auto"/>
        </w:rPr>
      </w:pPr>
    </w:p>
    <w:p>
      <w:pPr>
        <w:ind w:right="20" w:firstLine="607"/>
        <w:spacing w:after="0" w:line="263" w:lineRule="auto"/>
        <w:rPr>
          <w:sz w:val="20"/>
          <w:szCs w:val="20"/>
          <w:color w:val="auto"/>
        </w:rPr>
      </w:pPr>
      <w:r>
        <w:rPr>
          <w:rFonts w:ascii="Arial" w:cs="Arial" w:eastAsia="Arial" w:hAnsi="Arial"/>
          <w:sz w:val="18"/>
          <w:szCs w:val="18"/>
          <w:color w:val="auto"/>
        </w:rPr>
        <w:t>In connection with the refinancing of our senior credit facility in February of 2019, we incurred a loss on the extinguishment debt of approximately $10.0 million for the retirement of our previously existing credit facility, consisting of a $6.5 million prepayment penalty, and the write-off of $3.5 million of unamortized debt discount related to the previous credit facility.</w:t>
      </w:r>
    </w:p>
    <w:p>
      <w:pPr>
        <w:spacing w:after="0" w:line="184" w:lineRule="exact"/>
        <w:rPr>
          <w:sz w:val="20"/>
          <w:szCs w:val="20"/>
          <w:color w:val="auto"/>
        </w:rPr>
      </w:pPr>
    </w:p>
    <w:p>
      <w:pPr>
        <w:ind w:firstLine="607"/>
        <w:spacing w:after="0" w:line="255" w:lineRule="auto"/>
        <w:rPr>
          <w:sz w:val="20"/>
          <w:szCs w:val="20"/>
          <w:color w:val="auto"/>
        </w:rPr>
      </w:pPr>
      <w:r>
        <w:rPr>
          <w:rFonts w:ascii="Arial" w:cs="Arial" w:eastAsia="Arial" w:hAnsi="Arial"/>
          <w:sz w:val="18"/>
          <w:szCs w:val="18"/>
          <w:color w:val="auto"/>
        </w:rPr>
        <w:t>In connection with the purchase of the Boca Facility and related assets, we agreed to transfer our Marietta, GA and Norcross, GA plasma collection centers to BPC effective January 1, 2019. We had estimated the combined fair value of the two facilities to be $12.6 million, and we recorded a liability in our financial statements for this amount as of the date of the Biotest Transaction. On January 1, 2019, the two plasma collection facilities were transferred to BPC and we recorded a gain on this transfer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80" w:firstLine="607"/>
        <w:spacing w:after="0" w:line="263" w:lineRule="auto"/>
        <w:rPr>
          <w:sz w:val="20"/>
          <w:szCs w:val="20"/>
          <w:color w:val="auto"/>
        </w:rPr>
      </w:pPr>
      <w:r>
        <w:rPr>
          <w:rFonts w:ascii="Arial" w:cs="Arial" w:eastAsia="Arial" w:hAnsi="Arial"/>
          <w:sz w:val="18"/>
          <w:szCs w:val="18"/>
          <w:color w:val="auto"/>
        </w:rPr>
        <w:t>Our net loss was $56.3 million for the nine months ended September 30, 2020, as compared to $37.7 million for the nine months ended September 30, 2019. The increase in net loss of $18.6 million was primarily due to the increase in operating loss for the period of $14.1 million and to the $2.6 million of higher interest expense.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80" w:firstLine="607"/>
        <w:spacing w:after="0" w:line="255" w:lineRule="auto"/>
        <w:rPr>
          <w:sz w:val="20"/>
          <w:szCs w:val="20"/>
          <w:color w:val="auto"/>
        </w:rPr>
      </w:pPr>
      <w:r>
        <w:rPr>
          <w:rFonts w:ascii="Arial" w:cs="Arial" w:eastAsia="Arial" w:hAnsi="Arial"/>
          <w:sz w:val="18"/>
          <w:szCs w:val="18"/>
          <w:color w:val="auto"/>
        </w:rPr>
        <w:t>As of September 30, 2020, we had working capital of $123.1 million, including cash and cash equivalents of $59.7 million, and stockholders’ equity of $71.4 million, as compared to working capital of $71.8 million, including cash and cash equivalents of $26.8 million, and stockholders’ equity of $26.2 million as of December 31, 2019. We have incurred an accumulated deficit of $321.1 million since inception, had negative cash flows from operations of $69.8 million and $56.5 million for the nine months ended September 30, 2020 and 2019, respectively, and had negative cash flows from operations of $76.2 million and $62.7 million for the years ended December 31, 2019 and 2018, respectively. We have funded our operations over the past few years primarily from the sale of our equity and debt securities.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0" w:firstLine="607"/>
        <w:spacing w:after="0" w:line="286" w:lineRule="auto"/>
        <w:rPr>
          <w:sz w:val="20"/>
          <w:szCs w:val="20"/>
          <w:color w:val="auto"/>
        </w:rPr>
      </w:pPr>
      <w:r>
        <w:rPr>
          <w:rFonts w:ascii="Arial" w:cs="Arial" w:eastAsia="Arial" w:hAnsi="Arial"/>
          <w:sz w:val="16"/>
          <w:szCs w:val="16"/>
          <w:color w:val="auto"/>
        </w:rPr>
        <w:t>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before the end of 2021 and, as a result, we expect that we will need to finance our operations through additional equity or debt financings or corporate collaboration and licensing arrangements. Based upon our current projected revenue and expenditures, including capital expenditures and continued implementation of our commercialization and expansion activities, we currently believe that our cash, cash equivalents, projected revenue and accounts receivable will be sufficient to fund our operations, as currently conducted, into the second quarter of 2021. In order to have sufficient cash to fund our operations thereafter, we anticipate raising additional capital before the end of the second quarter of 2021. These estimates and timeframe may change based upon several factors, including the success of our commercial manufacturing ramp-up activities, the acceptability and reimbursement of BIVIGAM and ASCENIV by physicians, patients or payers, and the various financing options that may be available to us. We currently have no firm commitments for additional financing, and there can be no assurances that we will be able to secure additional financing on terms that are acceptable to us, or at all. Furthermore, if our assumptions underlying our estimated expenses and revenues are incorrect, we may have to raise additional capital sooner than currently anticipated.</w:t>
      </w:r>
    </w:p>
    <w:p>
      <w:pPr>
        <w:spacing w:after="0" w:line="167" w:lineRule="exact"/>
        <w:rPr>
          <w:sz w:val="20"/>
          <w:szCs w:val="20"/>
          <w:color w:val="auto"/>
        </w:rPr>
      </w:pPr>
    </w:p>
    <w:p>
      <w:pPr>
        <w:ind w:right="40" w:firstLine="607"/>
        <w:spacing w:after="0" w:line="268" w:lineRule="auto"/>
        <w:rPr>
          <w:sz w:val="20"/>
          <w:szCs w:val="20"/>
          <w:color w:val="auto"/>
        </w:rPr>
      </w:pPr>
      <w:r>
        <w:rPr>
          <w:rFonts w:ascii="Arial" w:cs="Arial" w:eastAsia="Arial" w:hAnsi="Arial"/>
          <w:sz w:val="17"/>
          <w:szCs w:val="17"/>
          <w:color w:val="auto"/>
        </w:rPr>
        <w:t>Our long-term liquidity depends upon our ability to raise additional capital, fund capacity expansion and commercial programs and generate sufficient revenues from our products, several of which have only recently achieved commercial status, to cover our operating expenses and meet our obligations on a timely basis. The COVID-19 pandemic has negatively affected the global economy and created significant volatility and disruption to the financial markets. Failure to secure any necessary financing in a timely manner and on commercially reasonable terms could have a material adverse effect on our business plan and financial performance and we could be forced to delay or discontinue our capacity expansion, commercialization, product development or clinical trial activities, delay or discontinue the approval efforts for any of our product candidates, or potentially cease operations. In addition, we could also be forced to reduce or forgo sales and marketing efforts and forgo attractive business opportunities. Due to numerous risks and uncertainties associated with the COVID-19 pandemic, FDA reviews inspections and approvals related to our products, patient/payer acceptance of our products, ongoing compliance and maintenance requirements and capacity expansion efforts at the Boca Facility,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 and are also subject to the effect of potential new government orders, policies and procedures that we must comply with which are outside of our control. As such, these factors raise substantial doubt about the Company’s ability to continue as a going concern.</w:t>
      </w:r>
    </w:p>
    <w:p>
      <w:pPr>
        <w:spacing w:after="0" w:line="186" w:lineRule="exact"/>
        <w:rPr>
          <w:sz w:val="20"/>
          <w:szCs w:val="20"/>
          <w:color w:val="auto"/>
        </w:rPr>
      </w:pPr>
    </w:p>
    <w:p>
      <w:pPr>
        <w:jc w:val="both"/>
        <w:ind w:right="100" w:firstLine="607"/>
        <w:spacing w:after="0" w:line="311" w:lineRule="auto"/>
        <w:rPr>
          <w:sz w:val="20"/>
          <w:szCs w:val="20"/>
          <w:color w:val="auto"/>
        </w:rPr>
      </w:pPr>
      <w:r>
        <w:rPr>
          <w:rFonts w:ascii="Arial" w:cs="Arial" w:eastAsia="Arial" w:hAnsi="Arial"/>
          <w:sz w:val="16"/>
          <w:szCs w:val="16"/>
          <w:color w:val="auto"/>
        </w:rPr>
        <w:t>We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our stockholders and, in such event, the market value of our common stock may decline. The incurrence of additional indebtedness would result in increased fixed obligations and</w:t>
      </w:r>
    </w:p>
    <w:p>
      <w:pPr>
        <w:sectPr>
          <w:pgSz w:w="11900" w:h="16838" w:orient="portrait"/>
          <w:cols w:equalWidth="0" w:num="1">
            <w:col w:w="11240"/>
          </w:cols>
          <w:pgMar w:left="320" w:top="125" w:right="339" w:bottom="0" w:gutter="0" w:footer="0" w:header="0"/>
        </w:sectPr>
      </w:pPr>
    </w:p>
    <w:bookmarkStart w:id="26" w:name="page27"/>
    <w:bookmarkEnd w:id="26"/>
    <w:p>
      <w:pPr>
        <w:spacing w:after="0" w:line="90"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could also result in covenants that would restrict our operations or other financing alternatives. In addition, we are exploring additional contract manufacturing arrangements and other business development opportunities, which may provide additional liquidity to us.</w:t>
      </w:r>
    </w:p>
    <w:p>
      <w:pPr>
        <w:spacing w:after="0" w:line="146" w:lineRule="exact"/>
        <w:rPr>
          <w:sz w:val="20"/>
          <w:szCs w:val="20"/>
          <w:color w:val="auto"/>
        </w:rPr>
      </w:pPr>
    </w:p>
    <w:p>
      <w:pPr>
        <w:ind w:right="40" w:firstLine="607"/>
        <w:spacing w:after="0" w:line="269" w:lineRule="auto"/>
        <w:rPr>
          <w:sz w:val="20"/>
          <w:szCs w:val="20"/>
          <w:color w:val="auto"/>
        </w:rPr>
      </w:pPr>
      <w:r>
        <w:rPr>
          <w:rFonts w:ascii="Arial" w:cs="Arial" w:eastAsia="Arial" w:hAnsi="Arial"/>
          <w:sz w:val="17"/>
          <w:szCs w:val="17"/>
          <w:color w:val="auto"/>
        </w:rPr>
        <w:t>On August 5, 2020, we entered into an Open Market Sale Agreement (the “Sale Agreement”) with Jefferies LLC, as agent (“Jefferies”), pursuant to which we could offer and sell, from time to time, at our option, through or to Jefferies, up to an aggregate of $50 million of shares of our common stock. On November 5, 2020, we and Jefferies entered into an amendment to the Sale Agreement (as amended, the “Amended Sale Agreement”) to provide for an increase in the aggregate offering amount under the Sale Agreement, such that as of November 5, 2020, we may offer and sell shares having an additional aggregate offering price of up to $20 million under the Amended Sale Agreement. Through October 31, 2020, we sold 7,379,028 shares of our common stock under the Sale Agreement and received net proceeds in the amount of $20.3 million. The net proceeds from this offering are being used for general corporate purposes, which may include (i) the procurement of raw materials for the manufacturing of BIVIGAM and ASCENIV; (ii) supporting the ongoing commercial sales of our IVIG products; (iii) expanding the manufacturing capacity of our Boca Facility, including supply chain functions, and enhancing the robustness of our supply chain oversight; (iv) expanding our plasma collection facility network; and (v) research and development and business development opportunities.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07"/>
        <w:spacing w:after="0" w:line="275" w:lineRule="auto"/>
        <w:rPr>
          <w:sz w:val="20"/>
          <w:szCs w:val="20"/>
          <w:color w:val="auto"/>
        </w:rPr>
      </w:pPr>
      <w:r>
        <w:rPr>
          <w:rFonts w:ascii="Arial" w:cs="Arial" w:eastAsia="Arial" w:hAnsi="Arial"/>
          <w:sz w:val="17"/>
          <w:szCs w:val="17"/>
          <w:color w:val="auto"/>
        </w:rPr>
        <w:t>On March 20, 2020, we drew down the third and final tranche of our existing Credit Agreement and Guaranty, dated February 11, 2019, as amended (the “Perceptive Credit Agreement”), with Perceptive Credit Holdings II, LP (“Perceptive”) and we received proceeds of $12.5 million which are being used for general corporate purposes. Borrowings under the Perceptive Credit Agreement bear interest at a rate per annum equal to the sum of 7.5% (the “Applicable Margin”) plus the greater of (i) one-month LIBOR and (ii) 3.5%; provided, however, that upon, and during the continuance of, an Event of Default, the Applicable Margin shall automatically increase by an additional 400 basis points.</w:t>
      </w:r>
    </w:p>
    <w:p>
      <w:pPr>
        <w:spacing w:after="0" w:line="176" w:lineRule="exact"/>
        <w:rPr>
          <w:sz w:val="20"/>
          <w:szCs w:val="20"/>
          <w:color w:val="auto"/>
        </w:rPr>
      </w:pPr>
    </w:p>
    <w:p>
      <w:pPr>
        <w:ind w:right="100" w:firstLine="607"/>
        <w:spacing w:after="0" w:line="268" w:lineRule="auto"/>
        <w:rPr>
          <w:sz w:val="20"/>
          <w:szCs w:val="20"/>
          <w:color w:val="auto"/>
        </w:rPr>
      </w:pPr>
      <w:r>
        <w:rPr>
          <w:rFonts w:ascii="Arial" w:cs="Arial" w:eastAsia="Arial" w:hAnsi="Arial"/>
          <w:sz w:val="17"/>
          <w:szCs w:val="17"/>
          <w:color w:val="auto"/>
        </w:rPr>
        <w:t>We currently have an outstanding principal balance of $85.0 million under our Credit Agreement with Perceptive, all of which matures on March 1, 2022. We are required to pay interest to Perceptive in the approximate amount of $0.8 million per month. All of our obligations under the Perceptive Credit Agreement are secured by a first-priority lien and security interest in substantially all of our tangible and intangible assets, including intellectual property and all of the equity interests in our subsidiaries. The Perceptive Credit Agreement contains certain representations and warranties, affirmative covenants, negative covenants and conditions that are customarily required for similar financings. The negative covenants restrict or limit our ability to, among other things and subject to certain exceptions contained in the Perceptive Credit Agreement, incur new indebtedness; create liens on assets; engage in certain fundamental corporate changes, such as mergers or acquisitions, or changes to our business activities; make certain Investments or Restricted Payments (each as defined in the Perceptive Credit Agreement); change our fiscal year; pay dividends; repay certain other indebtedness; engage in certain affiliate transactions; or enter into, amend or terminate any other agreements that have the impact of restricting our ability to make loan repayments under the Perceptive Credit Agreement. In addition, we must (i) at all times prior to the Maturity Date maintain a minimum cash balance of $3.0 million; and (ii) as of the last day of each fiscal quarter commencing with the fiscal quarter ending June 30, 2019, report revenues for the trailing 12-month period that exceed the amounts set forth in the Perceptive Credit Agreement, which range from $7.0 million for the fiscal quarter ending June 30, 2019 to $55.0 million for the fiscal quarter ending December 31, 2021. At September 30, 2020, we were in compliance with all of the covenants under the Perceptive Credit Facility.</w:t>
      </w:r>
    </w:p>
    <w:p>
      <w:pPr>
        <w:spacing w:after="0" w:line="184" w:lineRule="exact"/>
        <w:rPr>
          <w:sz w:val="20"/>
          <w:szCs w:val="20"/>
          <w:color w:val="auto"/>
        </w:rPr>
      </w:pPr>
    </w:p>
    <w:p>
      <w:pPr>
        <w:ind w:right="60" w:firstLine="607"/>
        <w:spacing w:after="0" w:line="255" w:lineRule="auto"/>
        <w:rPr>
          <w:sz w:val="20"/>
          <w:szCs w:val="20"/>
          <w:color w:val="auto"/>
        </w:rPr>
      </w:pPr>
      <w:r>
        <w:rPr>
          <w:rFonts w:ascii="Arial" w:cs="Arial" w:eastAsia="Arial" w:hAnsi="Arial"/>
          <w:sz w:val="18"/>
          <w:szCs w:val="18"/>
          <w:color w:val="auto"/>
        </w:rPr>
        <w:t>In February 2020, we completed an underwritten public offering of 27,025,000 shares of our common stock and received net proceeds, after underwriting discounts and other expenses associated with the offering, of approximately $88.7 million. The proceeds from this offering are expected to be used (i) for the procurement of raw materials for the manufacturing of BIVIGAM and ASCENIV; (ii) to support the ongoing commercial sales of BIVIGAM and ASCENIV; (iii) to expand the manufacturing capacity of our Boca Facility and enhance our supply chain capabilities; (iv) to expand our plasma collection facility network; (v) for research and development and business development opportunities; and (vi) for general corporate purposes and other capital expenditures.</w:t>
      </w:r>
    </w:p>
    <w:p>
      <w:pPr>
        <w:spacing w:after="0" w:line="192" w:lineRule="exact"/>
        <w:rPr>
          <w:sz w:val="20"/>
          <w:szCs w:val="20"/>
          <w:color w:val="auto"/>
        </w:rPr>
      </w:pPr>
    </w:p>
    <w:p>
      <w:pPr>
        <w:ind w:right="140" w:firstLine="607"/>
        <w:spacing w:after="0" w:line="263" w:lineRule="auto"/>
        <w:rPr>
          <w:sz w:val="20"/>
          <w:szCs w:val="20"/>
          <w:color w:val="auto"/>
        </w:rPr>
      </w:pPr>
      <w:r>
        <w:rPr>
          <w:rFonts w:ascii="Arial" w:cs="Arial" w:eastAsia="Arial" w:hAnsi="Arial"/>
          <w:sz w:val="18"/>
          <w:szCs w:val="18"/>
          <w:color w:val="auto"/>
        </w:rPr>
        <w:t>We also have $15.0 million in principal amount of indebtedness outstanding under an unsecured subordinated note payable to Biotest, which note bears interest at a rate of 6.0% per annum and matures on June 6, 2022. We are obligated to make semi-annual interest payments to Biotest of approximately $0.5 million, with all principal and unpaid interest due at maturity.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tcPr>
          <w:p>
            <w:pPr>
              <w:ind w:left="62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87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(69,783,522)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(56,541,468)</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(9,126,359)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(2,217,542)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111,832,791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80,010,310</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32,922,910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21,251,300</w:t>
            </w:r>
          </w:p>
        </w:tc>
      </w:tr>
      <w:tr>
        <w:trPr>
          <w:trHeight w:val="216"/>
        </w:trPr>
        <w:tc>
          <w:tcPr>
            <w:tcW w:w="8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Cash and cash equivalents, including restricted cash - beginning of period</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26,752,135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26,754,852</w:t>
            </w:r>
          </w:p>
        </w:tc>
      </w:tr>
      <w:tr>
        <w:trPr>
          <w:trHeight w:val="20"/>
        </w:trPr>
        <w:tc>
          <w:tcPr>
            <w:tcW w:w="8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59,675,045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48,006,152</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160" w:firstLine="607"/>
        <w:spacing w:after="0" w:line="342" w:lineRule="auto"/>
        <w:rPr>
          <w:sz w:val="20"/>
          <w:szCs w:val="20"/>
          <w:color w:val="auto"/>
        </w:rPr>
      </w:pPr>
      <w:r>
        <w:rPr>
          <w:rFonts w:ascii="Arial" w:cs="Arial" w:eastAsia="Arial" w:hAnsi="Arial"/>
          <w:sz w:val="16"/>
          <w:szCs w:val="16"/>
          <w:color w:val="auto"/>
        </w:rPr>
        <w:t>Cash used in operations for the nine months ended September 30, 2020 was $69.8 million, an increase of $13.2 million from the same period of a year ago. The increase is mainly due to the higher net loss for the period, partially offset by lower increases in inventory and accounts receivable. The</w:t>
      </w:r>
    </w:p>
    <w:p>
      <w:pPr>
        <w:sectPr>
          <w:pgSz w:w="11900" w:h="16929" w:orient="portrait"/>
          <w:cols w:equalWidth="0" w:num="1">
            <w:col w:w="11240"/>
          </w:cols>
          <w:pgMar w:left="320" w:top="125" w:right="33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following table illustrates the primary components of our cash flows from operations: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7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8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(56,340,774)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(37,718,286)</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160" w:type="dxa"/>
            <w:vAlign w:val="bottom"/>
          </w:tcPr>
          <w:p>
            <w:pPr>
              <w:spacing w:after="0"/>
              <w:rPr>
                <w:sz w:val="18"/>
                <w:szCs w:val="18"/>
                <w:color w:val="auto"/>
              </w:rPr>
            </w:pPr>
          </w:p>
        </w:tc>
        <w:tc>
          <w:tcPr>
            <w:tcW w:w="940" w:type="dxa"/>
            <w:vAlign w:val="bottom"/>
          </w:tcPr>
          <w:p>
            <w:pPr>
              <w:ind w:left="220"/>
              <w:spacing w:after="0"/>
              <w:rPr>
                <w:sz w:val="20"/>
                <w:szCs w:val="20"/>
                <w:color w:val="auto"/>
              </w:rPr>
            </w:pPr>
            <w:r>
              <w:rPr>
                <w:rFonts w:ascii="Arial" w:cs="Arial" w:eastAsia="Arial" w:hAnsi="Arial"/>
                <w:sz w:val="18"/>
                <w:szCs w:val="18"/>
                <w:color w:val="auto"/>
                <w:w w:val="87"/>
              </w:rPr>
              <w:t>6,126,420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3,518,792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(2,864,617)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(5,923,040)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Changes in inventories</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(16,687,794)</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(21,870,736)</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(1,252,828)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44,081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160" w:type="dxa"/>
            <w:vAlign w:val="bottom"/>
          </w:tcPr>
          <w:p>
            <w:pPr>
              <w:spacing w:after="0"/>
              <w:rPr>
                <w:sz w:val="18"/>
                <w:szCs w:val="18"/>
                <w:color w:val="auto"/>
              </w:rPr>
            </w:pPr>
          </w:p>
        </w:tc>
        <w:tc>
          <w:tcPr>
            <w:tcW w:w="940" w:type="dxa"/>
            <w:vAlign w:val="bottom"/>
          </w:tcPr>
          <w:p>
            <w:pPr>
              <w:ind w:left="220"/>
              <w:spacing w:after="0"/>
              <w:rPr>
                <w:sz w:val="20"/>
                <w:szCs w:val="20"/>
                <w:color w:val="auto"/>
              </w:rPr>
            </w:pPr>
            <w:r>
              <w:rPr>
                <w:rFonts w:ascii="Arial" w:cs="Arial" w:eastAsia="Arial" w:hAnsi="Arial"/>
                <w:sz w:val="18"/>
                <w:szCs w:val="18"/>
                <w:color w:val="auto"/>
                <w:w w:val="87"/>
              </w:rPr>
              <w:t>1,422,652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4,385,874</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(186,581)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1,021,847</w:t>
            </w:r>
          </w:p>
        </w:tc>
      </w:tr>
      <w:tr>
        <w:trPr>
          <w:trHeight w:val="20"/>
        </w:trPr>
        <w:tc>
          <w:tcPr>
            <w:tcW w:w="87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(69,783,522)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(56,541,468)</w:t>
            </w: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3" w:lineRule="exact"/>
        <w:rPr>
          <w:sz w:val="20"/>
          <w:szCs w:val="20"/>
          <w:color w:val="auto"/>
        </w:rPr>
      </w:pPr>
    </w:p>
    <w:p>
      <w:pPr>
        <w:ind w:right="120" w:firstLine="607"/>
        <w:spacing w:after="0" w:line="253" w:lineRule="auto"/>
        <w:rPr>
          <w:sz w:val="20"/>
          <w:szCs w:val="20"/>
          <w:color w:val="auto"/>
        </w:rPr>
      </w:pPr>
      <w:r>
        <w:rPr>
          <w:rFonts w:ascii="Arial" w:cs="Arial" w:eastAsia="Arial" w:hAnsi="Arial"/>
          <w:sz w:val="18"/>
          <w:szCs w:val="18"/>
          <w:color w:val="auto"/>
        </w:rPr>
        <w:t>Net cash used in investing activities for the nine months ended September 30, 2020 and 2019 was $9.1 million and $2.2 million, respectively, primarily consisting of capital expenditures at the Boca Facility, including the purchase and installation of our new filling and packaging machine, and, in the nine months ended September 30, 2020, capital expenditures related to the construction and build-out of new plasma collection facilities. Although we have no specific material commitments for capital expenditures as of September 30, 2020, we expect our total capital expenditures will be between $3.0 million and $6.0 million for the remainder of fiscal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20" w:firstLine="607"/>
        <w:spacing w:after="0" w:line="293" w:lineRule="auto"/>
        <w:rPr>
          <w:sz w:val="20"/>
          <w:szCs w:val="20"/>
          <w:color w:val="auto"/>
        </w:rPr>
      </w:pPr>
      <w:r>
        <w:rPr>
          <w:rFonts w:ascii="Arial" w:cs="Arial" w:eastAsia="Arial" w:hAnsi="Arial"/>
          <w:sz w:val="16"/>
          <w:szCs w:val="16"/>
          <w:color w:val="auto"/>
        </w:rPr>
        <w:t>Cash provided by financing activities for the nine months ended September 30, 2020 was $111.8 million, which is comprised of the net proceeds received from our February 2020 equity offering in the amount of $88.7 million, the $12.5 million of loan proceeds received from the final tranche that was available under our senior credit facility and $10.6 million of net proceeds for the sale of shares of our common stock under the Sale Agreement. Net cash provided by financing activities for the nine months ended September 30, 2019 of $80.0 million reflects $4.2 million related to the refinancing of the Marathon Credit Facility with our current senior credit facility provided by the Perceptive Credit Agreement in February of 2019, the drawdown of $27.5 million under this facility in May of 2019 and the $48.4 million of net proceeds from our May 2019 public offering of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140" w:firstLine="607"/>
        <w:spacing w:after="0" w:line="277" w:lineRule="auto"/>
        <w:rPr>
          <w:sz w:val="20"/>
          <w:szCs w:val="20"/>
          <w:color w:val="auto"/>
        </w:rPr>
      </w:pPr>
      <w:r>
        <w:rPr>
          <w:rFonts w:ascii="Arial" w:cs="Arial" w:eastAsia="Arial" w:hAnsi="Arial"/>
          <w:sz w:val="18"/>
          <w:szCs w:val="18"/>
          <w:color w:val="auto"/>
        </w:rPr>
        <w:t>Inflation or changing prices did not have a significant impact on our net sales, revenues or net loss for the nine months ended September 30, 2020 or in 2019 or 2018.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60" w:firstLine="607"/>
        <w:spacing w:after="0" w:line="287" w:lineRule="auto"/>
        <w:rPr>
          <w:sz w:val="20"/>
          <w:szCs w:val="20"/>
          <w:color w:val="auto"/>
        </w:rPr>
      </w:pPr>
      <w:r>
        <w:rPr>
          <w:rFonts w:ascii="Arial" w:cs="Arial" w:eastAsia="Arial" w:hAnsi="Arial"/>
          <w:sz w:val="16"/>
          <w:szCs w:val="16"/>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U.S. Securities and</w:t>
      </w:r>
    </w:p>
    <w:p>
      <w:pPr>
        <w:spacing w:after="0" w:line="2"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Exchange Commission’s (the “SEC”) rules and forms, and (ii) accumulated and communicated to our management, including our principal executive officer and principal financial officer, as appropriate to allow timely decisions regarding required disclosures.</w:t>
      </w:r>
    </w:p>
    <w:p>
      <w:pPr>
        <w:spacing w:after="0" w:line="185" w:lineRule="exact"/>
        <w:rPr>
          <w:sz w:val="20"/>
          <w:szCs w:val="20"/>
          <w:color w:val="auto"/>
        </w:rPr>
      </w:pPr>
    </w:p>
    <w:p>
      <w:pPr>
        <w:ind w:right="40" w:firstLine="607"/>
        <w:spacing w:after="0" w:line="273" w:lineRule="auto"/>
        <w:rPr>
          <w:sz w:val="20"/>
          <w:szCs w:val="20"/>
          <w:color w:val="auto"/>
        </w:rPr>
      </w:pPr>
      <w:r>
        <w:rPr>
          <w:rFonts w:ascii="Arial" w:cs="Arial" w:eastAsia="Arial" w:hAnsi="Arial"/>
          <w:sz w:val="17"/>
          <w:szCs w:val="17"/>
          <w:color w:val="auto"/>
        </w:rPr>
        <w:t>Under the supervision of and with the participation of our management, including our principal executive officer and principal financial officer, we conducted an evaluation of our disclosure controls and procedures as of September 30, 2020. Based on this evaluation, our principal executive officer and our principal financial officer concluded that our disclosure controls and procedures as of September 30, 2020 were functioning effectively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78" w:lineRule="exact"/>
        <w:rPr>
          <w:sz w:val="20"/>
          <w:szCs w:val="20"/>
          <w:color w:val="auto"/>
        </w:rPr>
      </w:pPr>
    </w:p>
    <w:p>
      <w:pPr>
        <w:ind w:firstLine="607"/>
        <w:spacing w:after="0" w:line="259" w:lineRule="auto"/>
        <w:rPr>
          <w:sz w:val="20"/>
          <w:szCs w:val="20"/>
          <w:color w:val="auto"/>
        </w:rPr>
      </w:pPr>
      <w:r>
        <w:rPr>
          <w:rFonts w:ascii="Arial" w:cs="Arial" w:eastAsia="Arial" w:hAnsi="Arial"/>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60" w:firstLine="607"/>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2020 that have materially affected, or are reasonably likely to materially affect, our internal control over financial reporting.</w:t>
      </w:r>
    </w:p>
    <w:p>
      <w:pPr>
        <w:sectPr>
          <w:pgSz w:w="11900" w:h="16838" w:orient="portrait"/>
          <w:cols w:equalWidth="0" w:num="1">
            <w:col w:w="11240"/>
          </w:cols>
          <w:pgMar w:left="320" w:top="125" w:right="339" w:bottom="37"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300" w:firstLine="607"/>
        <w:spacing w:after="0" w:line="263" w:lineRule="auto"/>
        <w:rPr>
          <w:sz w:val="20"/>
          <w:szCs w:val="20"/>
          <w:color w:val="auto"/>
        </w:rPr>
      </w:pPr>
      <w:r>
        <w:rPr>
          <w:rFonts w:ascii="Arial" w:cs="Arial" w:eastAsia="Arial" w:hAnsi="Arial"/>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Described below are various significant risks and uncertainties that may affect our business. These risks and uncertainties are not the only ones we face.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120" w:firstLine="607"/>
        <w:spacing w:after="0" w:line="255" w:lineRule="auto"/>
        <w:rPr>
          <w:sz w:val="20"/>
          <w:szCs w:val="20"/>
          <w:color w:val="auto"/>
        </w:rPr>
      </w:pPr>
      <w:r>
        <w:rPr>
          <w:rFonts w:ascii="Arial" w:cs="Arial" w:eastAsia="Arial" w:hAnsi="Arial"/>
          <w:sz w:val="18"/>
          <w:szCs w:val="18"/>
          <w:color w:val="auto"/>
        </w:rPr>
        <w:t>Prior to the second half of 2019, we generated a substantial portion of our revenues from the sale of plasma by our plasma collections facilities. Following completion of the Biotest Transaction, we began generating revenues from the sale of our plasma-derived immune globulins which include: BIVIGAM, ASCENIV, Nabi-HB, intermediate fractions and the contract manufacturing of plasma-derived products for a third-party. On May 9, 2019 we received approval from the FDA for BIVIGAM, and the commercial re-launch of this product commenced in August 2019. On April 1, 2019, the FDA approved ASCENIV, formerly referred to as RI-002, and the first commercial sales of this product took place in October 2019. In October 2019, we generated initial sales of our plasma-derived intermediate fractions.</w:t>
      </w:r>
    </w:p>
    <w:p>
      <w:pPr>
        <w:spacing w:after="0" w:line="192" w:lineRule="exact"/>
        <w:rPr>
          <w:sz w:val="20"/>
          <w:szCs w:val="20"/>
          <w:color w:val="auto"/>
        </w:rPr>
      </w:pPr>
    </w:p>
    <w:p>
      <w:pPr>
        <w:ind w:right="160" w:firstLine="607"/>
        <w:spacing w:after="0" w:line="273" w:lineRule="auto"/>
        <w:rPr>
          <w:sz w:val="20"/>
          <w:szCs w:val="20"/>
          <w:color w:val="auto"/>
        </w:rPr>
      </w:pPr>
      <w:r>
        <w:rPr>
          <w:rFonts w:ascii="Arial" w:cs="Arial" w:eastAsia="Arial" w:hAnsi="Arial"/>
          <w:sz w:val="17"/>
          <w:szCs w:val="17"/>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raise additional capital, fund and successfully implement our research and development and commercial programs, establish and build out a commercial sales force, medical affairs organization and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78" w:lineRule="exact"/>
        <w:rPr>
          <w:sz w:val="20"/>
          <w:szCs w:val="20"/>
          <w:color w:val="auto"/>
        </w:rPr>
      </w:pPr>
    </w:p>
    <w:p>
      <w:pPr>
        <w:ind w:right="120" w:firstLine="607"/>
        <w:spacing w:after="0" w:line="269" w:lineRule="auto"/>
        <w:rPr>
          <w:sz w:val="20"/>
          <w:szCs w:val="20"/>
          <w:color w:val="auto"/>
        </w:rPr>
      </w:pPr>
      <w:r>
        <w:rPr>
          <w:rFonts w:ascii="Arial" w:cs="Arial" w:eastAsia="Arial" w:hAnsi="Arial"/>
          <w:sz w:val="17"/>
          <w:szCs w:val="17"/>
          <w:color w:val="auto"/>
        </w:rPr>
        <w:t>We currently anticipate, based upon our projected revenue and expenditures, that our current cash, cash equivalents and accounts receivable, will be sufficient to fund our operations into the second quarter of 2021. This time frame may change based upon how quickly we are able to execute on our commercialization efforts and operational initiatives. However, if the assumptions underlying our estimated revenues and expenses prove to be incorrect, we may have to raise additional capital sooner than we currently expect. We anticipate that we will not be able to generate a sufficient amount of product revenue to achieve profitability before the end of 2021 and, as a result, we anticipate that we will need to finance our operations through additional equity or debt financings or corporate collaboration and licensing arrangements. If we are unable to raise additional capital as needed, we will have to delay, curtail or eliminate our commercialization efforts as well as product development activities.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firstLine="607"/>
        <w:spacing w:after="0" w:line="272" w:lineRule="auto"/>
        <w:rPr>
          <w:sz w:val="20"/>
          <w:szCs w:val="20"/>
          <w:color w:val="auto"/>
        </w:rPr>
      </w:pPr>
      <w:r>
        <w:rPr>
          <w:rFonts w:ascii="Arial" w:cs="Arial" w:eastAsia="Arial" w:hAnsi="Arial"/>
          <w:sz w:val="17"/>
          <w:szCs w:val="17"/>
          <w:color w:val="auto"/>
        </w:rPr>
        <w:t>We have a history of losses and expect to incur substantial losses and negative operating cash flow into fiscal 2021, and we may never achieve or maintain profitability. For the nine months ended September 30, 2020 and 2019, we incurred net losses of $56.3 million and $37.7 million, respectively. For the years ended December 31, 2019 and 2018, we incurred net losses of $48.3 million and $65.7 million, respectively. From our inception in 2004 through September 30, 2020, we have incurred an accumulated deficit of $321.1 million. We expect that we will not be able to generate a sufficient amount of product revenue to achieve profitability before the end of 2021 and, as a result, we expect that we will need to finance our operations through additional equity or debt financings or corporate collaboration and licensing agreements. We also expect to continue to incur significant operating and capital expenditures and anticipate that our operating expenses will increase substantially in the foreseeable future as we:</w:t>
      </w:r>
    </w:p>
    <w:p>
      <w:pPr>
        <w:spacing w:after="0" w:line="17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ectPr>
          <w:pgSz w:w="11900" w:h="16838" w:orient="portrait"/>
          <w:cols w:equalWidth="0" w:num="1">
            <w:col w:w="11240"/>
          </w:cols>
          <w:pgMar w:left="320" w:top="125" w:right="339" w:bottom="0" w:gutter="0" w:footer="0" w:header="0"/>
        </w:sectPr>
      </w:pPr>
    </w:p>
    <w:bookmarkStart w:id="29" w:name="page30"/>
    <w:bookmarkEnd w:id="29"/>
    <w:p>
      <w:pPr>
        <w:ind w:right="80" w:firstLine="607"/>
        <w:spacing w:after="0" w:line="263"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We may not be able to generate these revenues or achieve profitability in the future. These factors raise substantial doubt about our ability to continue as a going concern. Our failure to achieve or maintain profitability could negatively impact the value of our securities.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has significantly affected worldwide economic conditions, and could have a material adverse impact on our business, liquidity, financial condition and results of operations</w:t>
      </w:r>
    </w:p>
    <w:p>
      <w:pPr>
        <w:spacing w:after="0" w:line="170" w:lineRule="exact"/>
        <w:rPr>
          <w:sz w:val="20"/>
          <w:szCs w:val="20"/>
          <w:color w:val="auto"/>
        </w:rPr>
      </w:pPr>
    </w:p>
    <w:p>
      <w:pPr>
        <w:ind w:right="20" w:firstLine="607"/>
        <w:spacing w:after="0" w:line="268" w:lineRule="auto"/>
        <w:rPr>
          <w:sz w:val="20"/>
          <w:szCs w:val="20"/>
          <w:color w:val="auto"/>
        </w:rPr>
      </w:pPr>
      <w:r>
        <w:rPr>
          <w:rFonts w:ascii="Arial" w:cs="Arial" w:eastAsia="Arial" w:hAnsi="Arial"/>
          <w:sz w:val="17"/>
          <w:szCs w:val="17"/>
          <w:color w:val="auto"/>
        </w:rPr>
        <w:t>The COVID-19 pandemic has the potential to adversely impact several aspects of our commercial and manufacturing operations,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at this time, we may experience adverse effects in the future, particularly in light of the recent increase in COVID-19 cases in the State of Florida. For example, our employees becoming ill, the imposition of additional mandatory remote working environments and federal, state and local responses to the COVID-19 virus could materially affect the efficiency and pace of our operations and manufacturing at our Boca Facility. In addition, travel and other restrictions that have been implemented in the United States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are subject to limitations, rescheduling or outright cancellation in response to the pandemic. Also, due to previous state and local “shelter-in-place” orders, we have experienced lower than normal donor collections at our FDA approved plasma collection center. We were also subject to delays in shipments of source plasma from our contracted third-party suppliers, as well as delays in deliveries or price increases for personal protective equipment, reagents and other non-plasma raw materials and supplies used in the manufacture of our products.</w:t>
      </w:r>
    </w:p>
    <w:p>
      <w:pPr>
        <w:spacing w:after="0" w:line="184" w:lineRule="exact"/>
        <w:rPr>
          <w:sz w:val="20"/>
          <w:szCs w:val="20"/>
          <w:color w:val="auto"/>
        </w:rPr>
      </w:pPr>
    </w:p>
    <w:p>
      <w:pPr>
        <w:ind w:right="20" w:firstLine="607"/>
        <w:spacing w:after="0" w:line="272" w:lineRule="auto"/>
        <w:rPr>
          <w:sz w:val="20"/>
          <w:szCs w:val="20"/>
          <w:color w:val="auto"/>
        </w:rPr>
      </w:pPr>
      <w:r>
        <w:rPr>
          <w:rFonts w:ascii="Arial" w:cs="Arial" w:eastAsia="Arial" w:hAnsi="Arial"/>
          <w:sz w:val="17"/>
          <w:szCs w:val="17"/>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sz w:val="20"/>
          <w:szCs w:val="20"/>
          <w:color w:val="auto"/>
        </w:rPr>
      </w:pPr>
    </w:p>
    <w:p>
      <w:pPr>
        <w:ind w:right="120" w:firstLine="607"/>
        <w:spacing w:after="0" w:line="279" w:lineRule="auto"/>
        <w:rPr>
          <w:sz w:val="20"/>
          <w:szCs w:val="20"/>
          <w:color w:val="auto"/>
        </w:rPr>
      </w:pPr>
      <w:r>
        <w:rPr>
          <w:rFonts w:ascii="Arial" w:cs="Arial" w:eastAsia="Arial" w:hAnsi="Arial"/>
          <w:sz w:val="17"/>
          <w:szCs w:val="17"/>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results from operations and prospects.</w:t>
      </w:r>
    </w:p>
    <w:p>
      <w:pPr>
        <w:spacing w:after="0" w:line="171" w:lineRule="exact"/>
        <w:rPr>
          <w:sz w:val="20"/>
          <w:szCs w:val="20"/>
          <w:color w:val="auto"/>
        </w:rPr>
      </w:pPr>
    </w:p>
    <w:p>
      <w:pPr>
        <w:ind w:right="80" w:firstLine="607"/>
        <w:spacing w:after="0" w:line="263" w:lineRule="auto"/>
        <w:rPr>
          <w:sz w:val="20"/>
          <w:szCs w:val="20"/>
          <w:color w:val="auto"/>
        </w:rPr>
      </w:pPr>
      <w:r>
        <w:rPr>
          <w:rFonts w:ascii="Arial" w:cs="Arial" w:eastAsia="Arial" w:hAnsi="Arial"/>
          <w:sz w:val="18"/>
          <w:szCs w:val="18"/>
          <w:color w:val="auto"/>
        </w:rPr>
        <w:t>Although we have built our own fill/finish suite within the Boca Facility, we also intend to continue to utilize third parties to supplement our fill/finish process for final drug substance. In addition, our recently completed fill/finish suite has yet to be validated. Our anticipated reliance on a limited number of third-party manufacturers exposes us to the following risks:</w:t>
      </w:r>
    </w:p>
    <w:p>
      <w:pPr>
        <w:spacing w:after="0" w:line="184" w:lineRule="exact"/>
        <w:rPr>
          <w:sz w:val="20"/>
          <w:szCs w:val="20"/>
          <w:color w:val="auto"/>
        </w:rPr>
      </w:pPr>
    </w:p>
    <w:p>
      <w:pPr>
        <w:ind w:left="660" w:right="18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23" w:lineRule="exact"/>
        <w:rPr>
          <w:rFonts w:ascii="Arial" w:cs="Arial" w:eastAsia="Arial" w:hAnsi="Arial"/>
          <w:sz w:val="16"/>
          <w:szCs w:val="16"/>
          <w:color w:val="auto"/>
        </w:rPr>
      </w:pPr>
    </w:p>
    <w:p>
      <w:pPr>
        <w:ind w:left="660" w:right="3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COVID-19 pandemic could adversely affect our contracted fill/finishers’ operations, supply chain or workforce;</w:t>
      </w:r>
    </w:p>
    <w:p>
      <w:pPr>
        <w:spacing w:after="0" w:line="225" w:lineRule="exact"/>
        <w:rPr>
          <w:rFonts w:ascii="Arial" w:cs="Arial" w:eastAsia="Arial" w:hAnsi="Arial"/>
          <w:sz w:val="18"/>
          <w:szCs w:val="18"/>
          <w:color w:val="auto"/>
        </w:rPr>
      </w:pPr>
    </w:p>
    <w:p>
      <w:pPr>
        <w:ind w:left="660" w:right="2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25" w:lineRule="exact"/>
        <w:rPr>
          <w:rFonts w:ascii="Arial" w:cs="Arial" w:eastAsia="Arial" w:hAnsi="Arial"/>
          <w:sz w:val="18"/>
          <w:szCs w:val="18"/>
          <w:color w:val="auto"/>
        </w:rPr>
      </w:pPr>
    </w:p>
    <w:p>
      <w:pPr>
        <w:ind w:left="660" w:right="4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ectPr>
          <w:pgSz w:w="11900" w:h="16838" w:orient="portrait"/>
          <w:cols w:equalWidth="0" w:num="1">
            <w:col w:w="11200"/>
          </w:cols>
          <w:pgMar w:left="320" w:top="341" w:right="379" w:bottom="0" w:gutter="0" w:footer="0" w:header="0"/>
        </w:sectPr>
      </w:pPr>
    </w:p>
    <w:bookmarkStart w:id="30" w:name="page31"/>
    <w:bookmarkEnd w:id="30"/>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70" w:lineRule="exact"/>
        <w:rPr>
          <w:sz w:val="20"/>
          <w:szCs w:val="20"/>
          <w:color w:val="auto"/>
        </w:rPr>
      </w:pPr>
    </w:p>
    <w:p>
      <w:pPr>
        <w:ind w:right="100" w:firstLine="607"/>
        <w:spacing w:after="0" w:line="301" w:lineRule="auto"/>
        <w:rPr>
          <w:sz w:val="20"/>
          <w:szCs w:val="20"/>
          <w:color w:val="auto"/>
        </w:rPr>
      </w:pPr>
      <w:r>
        <w:rPr>
          <w:rFonts w:ascii="Arial" w:cs="Arial" w:eastAsia="Arial" w:hAnsi="Arial"/>
          <w:sz w:val="16"/>
          <w:szCs w:val="16"/>
          <w:color w:val="auto"/>
        </w:rPr>
        <w:t>Each of these risks could delay or prevent the completion of our finished drug product and the release of finished drug product by the FDA, which could result in higher costs or adversely impact the commercialization of our products. In addition, our contract fill/finishers and our other third-party vendors may source their materials and supplies globally, and are therefore subject to supply disruptions in the event of fire, weather related events such as hurricanes, wind and rain, other acts of God or force majeure events or global health occurrences and emergencies, including the COVID-19 pandemic.</w:t>
      </w:r>
    </w:p>
    <w:p>
      <w:pPr>
        <w:spacing w:after="0" w:line="15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facilities are subject to periodic inspections by the FDA, which, depending on the outcome of such inspection, could result in certain FDA actions, including the issuance of observations, notices, citations or warning letters.</w:t>
      </w:r>
    </w:p>
    <w:p>
      <w:pPr>
        <w:spacing w:after="0" w:line="170" w:lineRule="exact"/>
        <w:rPr>
          <w:sz w:val="20"/>
          <w:szCs w:val="20"/>
          <w:color w:val="auto"/>
        </w:rPr>
      </w:pPr>
    </w:p>
    <w:p>
      <w:pPr>
        <w:ind w:right="40" w:firstLine="607"/>
        <w:spacing w:after="0" w:line="255" w:lineRule="auto"/>
        <w:rPr>
          <w:sz w:val="20"/>
          <w:szCs w:val="20"/>
          <w:color w:val="auto"/>
        </w:rPr>
      </w:pPr>
      <w:r>
        <w:rPr>
          <w:rFonts w:ascii="Arial" w:cs="Arial" w:eastAsia="Arial" w:hAnsi="Arial"/>
          <w:sz w:val="18"/>
          <w:szCs w:val="18"/>
          <w:color w:val="auto"/>
        </w:rPr>
        <w:t>The FDA is authorized to perform inspections of our facilities, including the Boca Facility. At the end of such an inspection, the FDA could issue a Form 483 Notice of Inspectional Observations, which could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w:t>
      </w:r>
    </w:p>
    <w:p>
      <w:pPr>
        <w:spacing w:after="0" w:line="192" w:lineRule="exact"/>
        <w:rPr>
          <w:sz w:val="20"/>
          <w:szCs w:val="20"/>
          <w:color w:val="auto"/>
        </w:rPr>
      </w:pPr>
    </w:p>
    <w:p>
      <w:pPr>
        <w:ind w:right="320" w:firstLine="607"/>
        <w:spacing w:after="0" w:line="275" w:lineRule="auto"/>
        <w:rPr>
          <w:sz w:val="20"/>
          <w:szCs w:val="20"/>
          <w:color w:val="auto"/>
        </w:rPr>
      </w:pPr>
      <w:r>
        <w:rPr>
          <w:rFonts w:ascii="Arial" w:cs="Arial" w:eastAsia="Arial" w:hAnsi="Arial"/>
          <w:sz w:val="17"/>
          <w:szCs w:val="17"/>
          <w:color w:val="auto"/>
        </w:rPr>
        <w:t>Following the completion of the Biotest Transaction, we gained control over the regulatory, quality, general operations and drug substance manufacturing process at the Boca Facility, which was the subject of an outstanding FDA warning letter issued when the Boca Facility was operated by BPC. To address the outstanding warning letter, we worked with a leading consulting firm with extensive experience in remediating compliance and inspection issues related to quality management systems that managed a robust team of subject matter experts in plasma-derived products and biologic drugs to assist us in addressing all identified CMC and cGMP issues and deficiencies.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40" w:firstLine="607"/>
        <w:spacing w:after="0" w:line="273" w:lineRule="auto"/>
        <w:rPr>
          <w:sz w:val="20"/>
          <w:szCs w:val="20"/>
          <w:color w:val="auto"/>
        </w:rPr>
      </w:pPr>
      <w:r>
        <w:rPr>
          <w:rFonts w:ascii="Arial" w:cs="Arial" w:eastAsia="Arial" w:hAnsi="Arial"/>
          <w:sz w:val="17"/>
          <w:szCs w:val="17"/>
          <w:color w:val="auto"/>
        </w:rPr>
        <w:t>We may not be able to timely resolve concerns raised by the FDA as a result of an inspection or without expending significant resources. We are unable to control the timing of FDA inspections, responses, meeting requests, teleconference requests, requests for clarifications and similar regulatory communications, as well as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07"/>
        <w:spacing w:after="0" w:line="269" w:lineRule="auto"/>
        <w:rPr>
          <w:sz w:val="20"/>
          <w:szCs w:val="20"/>
          <w:color w:val="auto"/>
        </w:rPr>
      </w:pPr>
      <w:r>
        <w:rPr>
          <w:rFonts w:ascii="Arial" w:cs="Arial" w:eastAsia="Arial" w:hAnsi="Arial"/>
          <w:sz w:val="17"/>
          <w:szCs w:val="17"/>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human error, employee issues, global health occurrences, such as COVID-19,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82"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right="80" w:firstLine="607"/>
        <w:spacing w:after="0" w:line="289" w:lineRule="auto"/>
        <w:rPr>
          <w:sz w:val="20"/>
          <w:szCs w:val="20"/>
          <w:color w:val="auto"/>
        </w:rPr>
      </w:pPr>
      <w:r>
        <w:rPr>
          <w:rFonts w:ascii="Arial" w:cs="Arial" w:eastAsia="Arial" w:hAnsi="Arial"/>
          <w:sz w:val="16"/>
          <w:szCs w:val="16"/>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biologics license applications,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for any current or future development product candidate may be delayed by several factors, including:</w:t>
      </w:r>
    </w:p>
    <w:p>
      <w:pPr>
        <w:spacing w:after="0" w:line="16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safety issues;</w:t>
      </w:r>
    </w:p>
    <w:p>
      <w:pPr>
        <w:sectPr>
          <w:pgSz w:w="11900" w:h="16838" w:orient="portrait"/>
          <w:cols w:equalWidth="0" w:num="1">
            <w:col w:w="11240"/>
          </w:cols>
          <w:pgMar w:left="320" w:top="125" w:right="339" w:bottom="0" w:gutter="0" w:footer="0" w:header="0"/>
        </w:sectPr>
      </w:pPr>
    </w:p>
    <w:bookmarkStart w:id="31" w:name="page32"/>
    <w:bookmarkEnd w:id="31"/>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temporary suspension resulting from the COVID-19 pandemic.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07"/>
        <w:spacing w:after="0" w:line="272" w:lineRule="auto"/>
        <w:rPr>
          <w:sz w:val="20"/>
          <w:szCs w:val="20"/>
          <w:color w:val="auto"/>
        </w:rPr>
      </w:pPr>
      <w:r>
        <w:rPr>
          <w:rFonts w:ascii="Arial" w:cs="Arial" w:eastAsia="Arial" w:hAnsi="Arial"/>
          <w:sz w:val="17"/>
          <w:szCs w:val="17"/>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would be adversely affected.</w:t>
      </w:r>
    </w:p>
    <w:p>
      <w:pPr>
        <w:spacing w:after="0" w:line="177" w:lineRule="exact"/>
        <w:rPr>
          <w:sz w:val="20"/>
          <w:szCs w:val="20"/>
          <w:color w:val="auto"/>
        </w:rPr>
      </w:pPr>
    </w:p>
    <w:p>
      <w:pPr>
        <w:ind w:firstLine="607"/>
        <w:spacing w:after="0" w:line="273" w:lineRule="auto"/>
        <w:rPr>
          <w:sz w:val="20"/>
          <w:szCs w:val="20"/>
          <w:color w:val="auto"/>
        </w:rPr>
      </w:pPr>
      <w:r>
        <w:rPr>
          <w:rFonts w:ascii="Arial" w:cs="Arial" w:eastAsia="Arial" w:hAnsi="Arial"/>
          <w:sz w:val="17"/>
          <w:szCs w:val="17"/>
          <w:color w:val="auto"/>
        </w:rPr>
        <w:t>In addition, the FDA or an independent institutional review board may suspend our clinical trials at any time if it appears that we are exposing participants to unacceptable health risks or if the FDA finds deficiencies in our IND submissions or the conduct of these trials.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7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20" w:firstLine="607"/>
        <w:spacing w:after="0" w:line="290" w:lineRule="auto"/>
        <w:rPr>
          <w:sz w:val="20"/>
          <w:szCs w:val="20"/>
          <w:color w:val="auto"/>
        </w:rPr>
      </w:pPr>
      <w:r>
        <w:rPr>
          <w:rFonts w:ascii="Arial" w:cs="Arial" w:eastAsia="Arial" w:hAnsi="Arial"/>
          <w:sz w:val="16"/>
          <w:szCs w:val="16"/>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65"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firstLine="607"/>
        <w:spacing w:after="0" w:line="286" w:lineRule="auto"/>
        <w:rPr>
          <w:sz w:val="20"/>
          <w:szCs w:val="20"/>
          <w:color w:val="auto"/>
        </w:rPr>
      </w:pPr>
      <w:r>
        <w:rPr>
          <w:rFonts w:ascii="Arial" w:cs="Arial" w:eastAsia="Arial" w:hAnsi="Arial"/>
          <w:sz w:val="16"/>
          <w:szCs w:val="16"/>
          <w:color w:val="auto"/>
        </w:rPr>
        <w:t>If we are not be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There are numerous FDA personnel assigned to review different aspects of a BLA, and uncertainties can be presented by their ability to exercise judgment and discretion during the review process. The approval process may also be delayed by changes in government regulation, future legislation, diversion of resources for FDA review during the ongoing COVID-19 pandemic or administrative action or changes in FDA policy that occur prior to or during our regulatory review. Delays in obtaining regulatory approvals may: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ectPr>
          <w:pgSz w:w="11900" w:h="16838" w:orient="portrait"/>
          <w:cols w:equalWidth="0" w:num="1">
            <w:col w:w="11220"/>
          </w:cols>
          <w:pgMar w:left="320" w:top="341" w:right="359" w:bottom="173" w:gutter="0" w:footer="0" w:header="0"/>
        </w:sectPr>
      </w:pPr>
    </w:p>
    <w:bookmarkStart w:id="32" w:name="page33"/>
    <w:bookmarkEnd w:id="32"/>
    <w:p>
      <w:pPr>
        <w:ind w:right="80" w:firstLine="607"/>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right="20" w:firstLine="607"/>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95" w:lineRule="exact"/>
        <w:rPr>
          <w:sz w:val="20"/>
          <w:szCs w:val="20"/>
          <w:color w:val="auto"/>
        </w:rPr>
      </w:pPr>
    </w:p>
    <w:p>
      <w:pPr>
        <w:ind w:right="100" w:firstLine="607"/>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developing and expanding commercial operations or balancing our research and development activities with our commercialization activities.</w:t>
      </w:r>
    </w:p>
    <w:p>
      <w:pPr>
        <w:spacing w:after="0" w:line="170" w:lineRule="exact"/>
        <w:rPr>
          <w:sz w:val="20"/>
          <w:szCs w:val="20"/>
          <w:color w:val="auto"/>
        </w:rPr>
      </w:pPr>
    </w:p>
    <w:p>
      <w:pPr>
        <w:ind w:firstLine="607"/>
        <w:spacing w:after="0" w:line="286" w:lineRule="auto"/>
        <w:rPr>
          <w:sz w:val="20"/>
          <w:szCs w:val="20"/>
          <w:color w:val="auto"/>
        </w:rPr>
      </w:pPr>
      <w:r>
        <w:rPr>
          <w:rFonts w:ascii="Arial" w:cs="Arial" w:eastAsia="Arial" w:hAnsi="Arial"/>
          <w:sz w:val="16"/>
          <w:szCs w:val="16"/>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including supply chain constraints directly or indirectly caused by the ongoing COVID-19 pandemic and government responses thereto,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and test products and product candidates, and such parties are, to some extent, outside of our control.</w:t>
      </w:r>
    </w:p>
    <w:p>
      <w:pPr>
        <w:spacing w:after="0" w:line="170" w:lineRule="exact"/>
        <w:rPr>
          <w:sz w:val="20"/>
          <w:szCs w:val="20"/>
          <w:color w:val="auto"/>
        </w:rPr>
      </w:pPr>
    </w:p>
    <w:p>
      <w:pPr>
        <w:ind w:right="140" w:firstLine="607"/>
        <w:spacing w:after="0" w:line="289" w:lineRule="auto"/>
        <w:rPr>
          <w:sz w:val="20"/>
          <w:szCs w:val="20"/>
          <w:color w:val="auto"/>
        </w:rPr>
      </w:pPr>
      <w:r>
        <w:rPr>
          <w:rFonts w:ascii="Arial" w:cs="Arial" w:eastAsia="Arial" w:hAnsi="Arial"/>
          <w:sz w:val="16"/>
          <w:szCs w:val="16"/>
          <w:color w:val="auto"/>
        </w:rPr>
        <w:t>We depend on independent investigators and collaborators, such as universities and medical institutions, contract laboratories, clinical research organizations, contract manufacturers, contract fill/finishers and consultants to conduct our preclinical, clinical trials, CMC testing and other activities under agreements with us. These collaborators are not our employees and we cannot control the amount or timing of resources that they devote to our programs or the impact that the ongoing COVID-19 pandemic will have on such third parties.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66"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may be unable to successfully expand our manufacturing processes to fulfill demand for our products or increase our production capabilities through the addition of new equipment, including if we do not obtain the requisite validation from the FDA.</w:t>
      </w:r>
    </w:p>
    <w:p>
      <w:pPr>
        <w:spacing w:after="0" w:line="146" w:lineRule="exact"/>
        <w:rPr>
          <w:sz w:val="20"/>
          <w:szCs w:val="20"/>
          <w:color w:val="auto"/>
        </w:rPr>
      </w:pPr>
    </w:p>
    <w:p>
      <w:pPr>
        <w:ind w:right="180" w:firstLine="607"/>
        <w:spacing w:after="0" w:line="301" w:lineRule="auto"/>
        <w:rPr>
          <w:sz w:val="20"/>
          <w:szCs w:val="20"/>
          <w:color w:val="auto"/>
        </w:rPr>
      </w:pPr>
      <w:r>
        <w:rPr>
          <w:rFonts w:ascii="Arial" w:cs="Arial" w:eastAsia="Arial" w:hAnsi="Arial"/>
          <w:sz w:val="16"/>
          <w:szCs w:val="16"/>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and have it inspected by the FDA. Given the significant delays that may result during the validation process, including due to any diverted FDA attention during the</w:t>
      </w:r>
    </w:p>
    <w:p>
      <w:pPr>
        <w:sectPr>
          <w:pgSz w:w="11900" w:h="16838" w:orient="portrait"/>
          <w:cols w:equalWidth="0" w:num="1">
            <w:col w:w="11240"/>
          </w:cols>
          <w:pgMar w:left="320" w:top="125" w:right="339" w:bottom="0" w:gutter="0" w:footer="0" w:header="0"/>
        </w:sectPr>
      </w:pPr>
    </w:p>
    <w:bookmarkStart w:id="33" w:name="page34"/>
    <w:bookmarkEnd w:id="33"/>
    <w:p>
      <w:pPr>
        <w:ind w:right="220"/>
        <w:spacing w:after="0" w:line="277" w:lineRule="auto"/>
        <w:rPr>
          <w:sz w:val="20"/>
          <w:szCs w:val="20"/>
          <w:color w:val="auto"/>
        </w:rPr>
      </w:pPr>
      <w:r>
        <w:rPr>
          <w:rFonts w:ascii="Arial" w:cs="Arial" w:eastAsia="Arial" w:hAnsi="Arial"/>
          <w:sz w:val="18"/>
          <w:szCs w:val="18"/>
          <w:color w:val="auto"/>
        </w:rPr>
        <w:t>COVID-19 pandemic, we may experience a significant supply shortage of our products or our production capabilities may be limited until completion of and validation of our facility expansion and new manufacturing equipment.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07"/>
        <w:spacing w:after="0" w:line="269" w:lineRule="auto"/>
        <w:rPr>
          <w:sz w:val="20"/>
          <w:szCs w:val="20"/>
          <w:color w:val="auto"/>
        </w:rPr>
      </w:pPr>
      <w:r>
        <w:rPr>
          <w:rFonts w:ascii="Arial" w:cs="Arial" w:eastAsia="Arial" w:hAnsi="Arial"/>
          <w:sz w:val="17"/>
          <w:szCs w:val="17"/>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 marketing period (after marketing approval) previously unknown adverse events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7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conduct further post-marketing studies or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ind w:right="160" w:firstLine="607"/>
        <w:spacing w:after="0" w:line="259" w:lineRule="auto"/>
        <w:rPr>
          <w:sz w:val="20"/>
          <w:szCs w:val="20"/>
          <w:color w:val="auto"/>
        </w:rPr>
      </w:pPr>
      <w:r>
        <w:rPr>
          <w:rFonts w:ascii="Arial" w:cs="Arial" w:eastAsia="Arial" w:hAnsi="Arial"/>
          <w:sz w:val="18"/>
          <w:szCs w:val="18"/>
          <w:color w:val="auto"/>
        </w:rPr>
        <w:t>For the nine months ended September 30, 2020, three customers represented an aggregate of 82% of our consolidated revenues, with BioCare, Biolife and Reliance representing approximately 51%, 17%, and 14%, respectively, of our consolidated revenues. For the year ended December 31, 2019, three customers represented an aggregate of 70% of our consolidated revenues, with BioCare, Biolife and Sanofi Pasteur S.A. (“Sanofi”) representing approximately 26%, 24%, and 20%, respectively, of our consolidated revenues.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40" w:firstLine="607"/>
        <w:spacing w:after="0" w:line="311" w:lineRule="auto"/>
        <w:rPr>
          <w:sz w:val="20"/>
          <w:szCs w:val="20"/>
          <w:color w:val="auto"/>
        </w:rPr>
      </w:pPr>
      <w:r>
        <w:rPr>
          <w:rFonts w:ascii="Arial" w:cs="Arial" w:eastAsia="Arial" w:hAnsi="Arial"/>
          <w:sz w:val="16"/>
          <w:szCs w:val="16"/>
          <w:color w:val="auto"/>
        </w:rPr>
        <w:t>As of September 30, 2020, three customers represented a total of 80% of our consolidated accounts receivable, with BioCare, Reliance and Biolife representing approximately 51%, 17% and 12%, respectively, of our consolidated accounts receivable. At December 31, 2019, BioCare represented 77% of our consolidated accounts receivable and McKesson Corporation (“McKesson”) represented 13% of our consolidated accounts receivable.</w:t>
      </w:r>
    </w:p>
    <w:p>
      <w:pPr>
        <w:spacing w:after="0" w:line="149" w:lineRule="exact"/>
        <w:rPr>
          <w:sz w:val="20"/>
          <w:szCs w:val="20"/>
          <w:color w:val="auto"/>
        </w:rPr>
      </w:pPr>
    </w:p>
    <w:p>
      <w:pPr>
        <w:ind w:right="80" w:firstLine="607"/>
        <w:spacing w:after="0" w:line="296" w:lineRule="auto"/>
        <w:rPr>
          <w:sz w:val="20"/>
          <w:szCs w:val="20"/>
          <w:color w:val="auto"/>
        </w:rPr>
      </w:pPr>
      <w:r>
        <w:rPr>
          <w:rFonts w:ascii="Arial" w:cs="Arial" w:eastAsia="Arial" w:hAnsi="Arial"/>
          <w:sz w:val="16"/>
          <w:szCs w:val="16"/>
          <w:color w:val="auto"/>
        </w:rPr>
        <w:t>The loss of any key customers or a material change in the revenue generated by any of these customers, with the exception of Sanofi, could have a material adverse effect on our business, results of operations and financial condition. The initial term of our Amended and Restated Plasma Supply Agreement with BPC, pursuant to which we supplied BPC with normal source plasma, expired by its terms on December 31, 2018 and was not renewed, and we fulfilled our commitment under our supply agreement with Sanofi during the year ended December 31, 2019. Moreover, we anticipate deriving increased revenue from BioCare over the next few years. Factors that could influence our relationships with our customers include, among other things:</w:t>
      </w:r>
    </w:p>
    <w:p>
      <w:pPr>
        <w:sectPr>
          <w:pgSz w:w="11900" w:h="16838" w:orient="portrait"/>
          <w:cols w:equalWidth="0" w:num="1">
            <w:col w:w="11240"/>
          </w:cols>
          <w:pgMar w:left="320" w:top="125" w:right="339" w:bottom="0" w:gutter="0" w:footer="0" w:header="0"/>
        </w:sectPr>
      </w:pPr>
    </w:p>
    <w:bookmarkStart w:id="34" w:name="page35"/>
    <w:bookmarkEnd w:id="34"/>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w:t>
      </w:r>
    </w:p>
    <w:p>
      <w:pPr>
        <w:spacing w:after="0" w:line="170" w:lineRule="exact"/>
        <w:rPr>
          <w:sz w:val="20"/>
          <w:szCs w:val="20"/>
          <w:color w:val="auto"/>
        </w:rPr>
      </w:pPr>
    </w:p>
    <w:p>
      <w:pPr>
        <w:ind w:right="100" w:firstLine="607"/>
        <w:spacing w:after="0" w:line="342" w:lineRule="auto"/>
        <w:rPr>
          <w:sz w:val="20"/>
          <w:szCs w:val="20"/>
          <w:color w:val="auto"/>
        </w:rPr>
      </w:pPr>
      <w:r>
        <w:rPr>
          <w:rFonts w:ascii="Arial" w:cs="Arial" w:eastAsia="Arial" w:hAnsi="Arial"/>
          <w:sz w:val="16"/>
          <w:szCs w:val="16"/>
          <w:color w:val="auto"/>
        </w:rPr>
        <w:t>Additionally, an adverse change in the financial condition of BioCare, Biolife, Reliance, McKesson, Cardinal Health or AmerisourceBergen could negatively affect revenue derived from such customer, which in turn could have a material adverse effect on our business and results of operations.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300" w:firstLine="607"/>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160" w:firstLine="607"/>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sz w:val="20"/>
          <w:szCs w:val="20"/>
          <w:color w:val="auto"/>
        </w:rPr>
      </w:pPr>
    </w:p>
    <w:p>
      <w:pPr>
        <w:ind w:right="20" w:firstLine="607"/>
        <w:spacing w:after="0" w:line="296" w:lineRule="auto"/>
        <w:rPr>
          <w:sz w:val="20"/>
          <w:szCs w:val="20"/>
          <w:color w:val="auto"/>
        </w:rPr>
      </w:pPr>
      <w:r>
        <w:rPr>
          <w:rFonts w:ascii="Arial" w:cs="Arial" w:eastAsia="Arial" w:hAnsi="Arial"/>
          <w:sz w:val="16"/>
          <w:szCs w:val="16"/>
          <w:color w:val="auto"/>
        </w:rPr>
        <w:t>Our current product development portfolio consists primarily of label expansion activities for Nabi-HB, BIVIGAM and ASCENIV.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commercialization of ASCENIV, as well as the revenue we may generate from the sale of Nabi-HB, BIVIGAM, contract manufacturing, and intermediates and plasma attributable to the operations of ADMA BioCenters, to support our operations.</w:t>
      </w:r>
    </w:p>
    <w:p>
      <w:pPr>
        <w:spacing w:after="0" w:line="16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60" w:firstLine="607"/>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ectPr>
          <w:pgSz w:w="11900" w:h="16838" w:orient="portrait"/>
          <w:cols w:equalWidth="0" w:num="1">
            <w:col w:w="11240"/>
          </w:cols>
          <w:pgMar w:left="320" w:top="125" w:right="339" w:bottom="0" w:gutter="0" w:footer="0" w:header="0"/>
        </w:sectPr>
      </w:pPr>
    </w:p>
    <w:bookmarkStart w:id="35" w:name="page36"/>
    <w:bookmarkEnd w:id="35"/>
    <w:p>
      <w:pPr>
        <w:ind w:right="20" w:firstLine="607"/>
        <w:spacing w:after="0" w:line="286" w:lineRule="auto"/>
        <w:rPr>
          <w:sz w:val="20"/>
          <w:szCs w:val="20"/>
          <w:color w:val="auto"/>
        </w:rPr>
      </w:pPr>
      <w:r>
        <w:rPr>
          <w:rFonts w:ascii="Arial" w:cs="Arial" w:eastAsia="Arial" w:hAnsi="Arial"/>
          <w:sz w:val="16"/>
          <w:szCs w:val="16"/>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neither be successful in integrating the Biotest Assets into our business nor realize the strategic and financial benefits currently anticipated from the Biotest Transaction.</w:t>
      </w:r>
    </w:p>
    <w:p>
      <w:pPr>
        <w:spacing w:after="0" w:line="170" w:lineRule="exact"/>
        <w:rPr>
          <w:sz w:val="20"/>
          <w:szCs w:val="20"/>
          <w:color w:val="auto"/>
        </w:rPr>
      </w:pPr>
    </w:p>
    <w:p>
      <w:pPr>
        <w:ind w:firstLine="607"/>
        <w:spacing w:after="0" w:line="291" w:lineRule="auto"/>
        <w:rPr>
          <w:sz w:val="20"/>
          <w:szCs w:val="20"/>
          <w:color w:val="auto"/>
        </w:rPr>
      </w:pPr>
      <w:r>
        <w:rPr>
          <w:rFonts w:ascii="Arial" w:cs="Arial" w:eastAsia="Arial" w:hAnsi="Arial"/>
          <w:sz w:val="16"/>
          <w:szCs w:val="16"/>
          <w:color w:val="auto"/>
        </w:rPr>
        <w:t>On June 6, 2017, we completed Biotest Transaction, in which we acquired certain assets (the “Biotest Assets”) of the Therapy Business Unit (“BTBU”) of BPC, which included two FDA-licensed products, Nabi-HB and BIVIGAM, and the Boca Facility. The Biotest Transaction involves the integration of two businesses that previously have operated independently with principal offices in two distinct locations. We continue to expend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 There is also uncertainty as to whether the combined business will be able to operate at a profitable level in the future given the relatively small size of the Biotest Assets and the competitive environment in which we operate.</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Potential difficulties that may be encountered in the integration process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using our cash and other assets efficiently to develop the business on a post-Biotest Transaction basis;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appropriately managing the liabilities of our Company on a post-Biotest Transaction basis;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Biotest Transaction and the operations of our Company on a post-Biotest Transaction basis;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Biotest Transaction; and</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70" w:lineRule="exact"/>
        <w:rPr>
          <w:sz w:val="20"/>
          <w:szCs w:val="20"/>
          <w:color w:val="auto"/>
        </w:rPr>
      </w:pPr>
    </w:p>
    <w:p>
      <w:pPr>
        <w:ind w:firstLine="607"/>
        <w:spacing w:after="0" w:line="259" w:lineRule="auto"/>
        <w:rPr>
          <w:sz w:val="20"/>
          <w:szCs w:val="20"/>
          <w:color w:val="auto"/>
        </w:rPr>
      </w:pPr>
      <w:r>
        <w:rPr>
          <w:rFonts w:ascii="Arial" w:cs="Arial" w:eastAsia="Arial" w:hAnsi="Arial"/>
          <w:sz w:val="18"/>
          <w:szCs w:val="18"/>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170" w:lineRule="exact"/>
        <w:rPr>
          <w:sz w:val="20"/>
          <w:szCs w:val="20"/>
          <w:color w:val="auto"/>
        </w:rPr>
      </w:pPr>
    </w:p>
    <w:p>
      <w:pPr>
        <w:ind w:right="340" w:firstLine="607"/>
        <w:spacing w:after="0" w:line="286" w:lineRule="auto"/>
        <w:rPr>
          <w:sz w:val="20"/>
          <w:szCs w:val="20"/>
          <w:color w:val="auto"/>
        </w:rPr>
      </w:pPr>
      <w:r>
        <w:rPr>
          <w:rFonts w:ascii="Arial" w:cs="Arial" w:eastAsia="Arial" w:hAnsi="Arial"/>
          <w:sz w:val="17"/>
          <w:szCs w:val="17"/>
          <w:color w:val="auto"/>
        </w:rPr>
        <w:t>As part of the consideration for the Biotest Transaction, we agreed to assume certain liabilities of BPC related to BTBU, which exposes us to liabilities that are not within our control and we cannot predict the extent to which these liabilities may arise in the future. Any liabilities that may arise could have a material adverse effect on our business, financial condition, results of operations and stock price.</w:t>
      </w:r>
    </w:p>
    <w:p>
      <w:pPr>
        <w:spacing w:after="0" w:line="165"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The Master Purchase and Sale Agreement, dated as of January 21, 2017 (the “Master Purchase Agreement”) contains indemnification undertakings by the parties thereto for certain losses, including, among other things, indemnification for any losses arising from breaches of its representations, warranties, covenants and agreements in the Master Purchase Agreement. In connection with the Share Transfer, Amendment and Release Agreement among us, BPC, Biotest AG, Biotest US Corporation and The Biotest Divestiture Trust (the “Biotest Trust”) (the “Biotest Transfer Agreement”), we granted a full release to Biotest from any and all past, present or future indemnification claims arising under or in connection with the Master Purchase Agreement. Significant indemnification claims by BPC or its affiliates or breaches by BPC or its affiliates of any indemnity obligations which would have been owed to us under the Master Purchase Agreement prior to the release granted in the Biotest Transfer Agreement could have a material adverse effect on our business, financial condition, results of operations and stock price.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0" w:firstLine="607"/>
        <w:spacing w:after="0" w:line="342" w:lineRule="auto"/>
        <w:rPr>
          <w:sz w:val="20"/>
          <w:szCs w:val="20"/>
          <w:color w:val="auto"/>
        </w:rPr>
      </w:pPr>
      <w:r>
        <w:rPr>
          <w:rFonts w:ascii="Arial" w:cs="Arial" w:eastAsia="Arial" w:hAnsi="Arial"/>
          <w:sz w:val="16"/>
          <w:szCs w:val="16"/>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w:t>
      </w:r>
    </w:p>
    <w:p>
      <w:pPr>
        <w:sectPr>
          <w:pgSz w:w="11900" w:h="16838" w:orient="portrait"/>
          <w:cols w:equalWidth="0" w:num="1">
            <w:col w:w="11220"/>
          </w:cols>
          <w:pgMar w:left="320" w:top="341" w:right="359" w:bottom="0" w:gutter="0" w:footer="0" w:header="0"/>
        </w:sectPr>
      </w:pPr>
    </w:p>
    <w:bookmarkStart w:id="36" w:name="page37"/>
    <w:bookmarkEnd w:id="36"/>
    <w:p>
      <w:pPr>
        <w:ind w:right="60"/>
        <w:spacing w:after="0" w:line="277" w:lineRule="auto"/>
        <w:rPr>
          <w:sz w:val="20"/>
          <w:szCs w:val="20"/>
          <w:color w:val="auto"/>
        </w:rPr>
      </w:pPr>
      <w:r>
        <w:rPr>
          <w:rFonts w:ascii="Arial" w:cs="Arial" w:eastAsia="Arial" w:hAnsi="Arial"/>
          <w:sz w:val="18"/>
          <w:szCs w:val="18"/>
          <w:color w:val="auto"/>
        </w:rPr>
        <w:t>closing of the Biotest Transaction. This release remains effective from and after the closing of the Biotest Transaction. The inability to seek these remedies could have a material adverse effect on our business, financial condition, results of operations and stock price.</w:t>
      </w:r>
    </w:p>
    <w:p>
      <w:pPr>
        <w:spacing w:after="0" w:line="170" w:lineRule="exact"/>
        <w:rPr>
          <w:sz w:val="20"/>
          <w:szCs w:val="20"/>
          <w:color w:val="auto"/>
        </w:rPr>
      </w:pPr>
    </w:p>
    <w:p>
      <w:pPr>
        <w:ind w:right="20" w:firstLine="607"/>
        <w:spacing w:after="0" w:line="279" w:lineRule="auto"/>
        <w:rPr>
          <w:sz w:val="20"/>
          <w:szCs w:val="20"/>
          <w:color w:val="auto"/>
        </w:rPr>
      </w:pPr>
      <w:r>
        <w:rPr>
          <w:rFonts w:ascii="Arial" w:cs="Arial" w:eastAsia="Arial" w:hAnsi="Arial"/>
          <w:sz w:val="17"/>
          <w:szCs w:val="17"/>
          <w:color w:val="auto"/>
        </w:rPr>
        <w:t>In addition, while the Master Purchase Agreement contains certain non-compete clauses, such clauses do not prohibit either the Biotest Guarantors (as defined therein)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due diligence investigation for the Biotest Transaction was inadequate and/or the representations, warranties and indemnification given to us by BPC were inadequate, then it could result in a material adverse effect on our business.</w:t>
      </w:r>
    </w:p>
    <w:p>
      <w:pPr>
        <w:spacing w:after="0" w:line="170" w:lineRule="exact"/>
        <w:rPr>
          <w:sz w:val="20"/>
          <w:szCs w:val="20"/>
          <w:color w:val="auto"/>
        </w:rPr>
      </w:pPr>
    </w:p>
    <w:p>
      <w:pPr>
        <w:ind w:firstLine="607"/>
        <w:spacing w:after="0" w:line="270" w:lineRule="auto"/>
        <w:rPr>
          <w:sz w:val="20"/>
          <w:szCs w:val="20"/>
          <w:color w:val="auto"/>
        </w:rPr>
      </w:pPr>
      <w:r>
        <w:rPr>
          <w:rFonts w:ascii="Arial" w:cs="Arial" w:eastAsia="Arial" w:hAnsi="Arial"/>
          <w:sz w:val="17"/>
          <w:szCs w:val="17"/>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or that issues outside of our control will not later arise or that all material issues which are or could have been discovered would otherwise be covered by the representations and warranties of Biotest and BPC and therefore indemnifiable. In connection with the Biotest Transfer Agreement, we granted a full release to Biotest from any and all past, present or future indemnification claims arising under or in connection with the Master Purchase Agreement. If we failed to identify any important issues, or if it were not possible to uncover all material issues, any such material issue could result in a material adverse effect on our business, financial condition, results of operations and stock price.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Perceptive Credit Facility is subject to acceleration in specified circumstances, which may result in Perceptive taking possession and disposing of any collateral.</w:t>
      </w:r>
    </w:p>
    <w:p>
      <w:pPr>
        <w:spacing w:after="0" w:line="170" w:lineRule="exact"/>
        <w:rPr>
          <w:sz w:val="20"/>
          <w:szCs w:val="20"/>
          <w:color w:val="auto"/>
        </w:rPr>
      </w:pPr>
    </w:p>
    <w:p>
      <w:pPr>
        <w:ind w:firstLine="607"/>
        <w:spacing w:after="0" w:line="286" w:lineRule="auto"/>
        <w:rPr>
          <w:sz w:val="20"/>
          <w:szCs w:val="20"/>
          <w:color w:val="auto"/>
        </w:rPr>
      </w:pPr>
      <w:r>
        <w:rPr>
          <w:rFonts w:ascii="Arial" w:cs="Arial" w:eastAsia="Arial" w:hAnsi="Arial"/>
          <w:sz w:val="16"/>
          <w:szCs w:val="16"/>
          <w:color w:val="auto"/>
        </w:rPr>
        <w:t>On February 11, 2019 (the “Perceptive Closing Date”), we entered into the Perceptive Credit Agreement with Perceptive Credit Holdings II, LP, as the lender and administrative agent (“Perceptive”). The Perceptive Credit Agreement, as amended, provides for a senior secured term loan facility in a principal amount of up to $85.0 million (the “Perceptive Credit Facility”), comprised of (i) a term loan made on the Perceptive Closing Date in the principal amount of $45.0 million, as evidenced by our issuance of a promissory note in favor of Perceptive on the Perceptive Closing Date (the “Perceptive Tranche I Loan”), (ii) a term loan in the principal amount of $27.5 million evidenced by our of a promissory note in favor of Perceptive on May 3, 2019 (the “Perceptive Tranche II Loan”); and (iii) an additional commitment in the principal amount of up to $12.5 million (the “Perceptive Tranche III Loan,” and together with the Perceptive Tranche I Loan and the Perceptive Tranche II Loan, the “Perceptive Loans”) which we drew down on March 20, 2020. The Perceptive Loans each have a maturity date of March 1, 2022, subject to acceleration pursuant to the Perceptive Credit Agreement, including upon an Event of Default (as defined in the Perceptive Credit Agreement). The Perceptive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Perceptive Loans of 4% per annum, the occurrence of an Event of Default could result in, among other things, the termination of commitments under the Perceptive Credit Facility, the declaration that all outstanding Loans are immediately due and payable in whole or in part, and Perceptive taking immediate possession of, and selling, any collateral securing the Perceptive Loans.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40" w:firstLine="607"/>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right="100" w:firstLine="607"/>
        <w:spacing w:after="0" w:line="268" w:lineRule="auto"/>
        <w:rPr>
          <w:sz w:val="20"/>
          <w:szCs w:val="20"/>
          <w:color w:val="auto"/>
        </w:rPr>
      </w:pPr>
      <w:r>
        <w:rPr>
          <w:rFonts w:ascii="Arial" w:cs="Arial" w:eastAsia="Arial" w:hAnsi="Arial"/>
          <w:sz w:val="17"/>
          <w:szCs w:val="17"/>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420" w:firstLine="607"/>
        <w:spacing w:after="0" w:line="342"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versions are approved and marketed or when</w:t>
      </w:r>
    </w:p>
    <w:p>
      <w:pPr>
        <w:sectPr>
          <w:pgSz w:w="11900" w:h="16838" w:orient="portrait"/>
          <w:cols w:equalWidth="0" w:num="1">
            <w:col w:w="11200"/>
          </w:cols>
          <w:pgMar w:left="320" w:top="125" w:right="379" w:bottom="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biosimilars are introduced (even if only for a competing product), there are usually very substantial and rapid declines in a product’s revenues.</w:t>
      </w:r>
    </w:p>
    <w:p>
      <w:pPr>
        <w:spacing w:after="0" w:line="237" w:lineRule="exact"/>
        <w:rPr>
          <w:sz w:val="20"/>
          <w:szCs w:val="20"/>
          <w:color w:val="auto"/>
        </w:rPr>
      </w:pPr>
    </w:p>
    <w:p>
      <w:pPr>
        <w:ind w:right="20" w:firstLine="607"/>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0" w:firstLine="607"/>
        <w:spacing w:after="0" w:line="255" w:lineRule="auto"/>
        <w:rPr>
          <w:sz w:val="20"/>
          <w:szCs w:val="20"/>
          <w:color w:val="auto"/>
        </w:rPr>
      </w:pPr>
      <w:r>
        <w:rPr>
          <w:rFonts w:ascii="Arial" w:cs="Arial" w:eastAsia="Arial" w:hAnsi="Arial"/>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92" w:lineRule="exact"/>
        <w:rPr>
          <w:sz w:val="20"/>
          <w:szCs w:val="20"/>
          <w:color w:val="auto"/>
        </w:rPr>
      </w:pPr>
    </w:p>
    <w:p>
      <w:pPr>
        <w:ind w:right="100" w:firstLine="607"/>
        <w:spacing w:after="0" w:line="277" w:lineRule="auto"/>
        <w:rPr>
          <w:sz w:val="20"/>
          <w:szCs w:val="20"/>
          <w:color w:val="auto"/>
        </w:rPr>
      </w:pPr>
      <w:r>
        <w:rPr>
          <w:rFonts w:ascii="Arial" w:cs="Arial" w:eastAsia="Arial" w:hAnsi="Arial"/>
          <w:sz w:val="18"/>
          <w:szCs w:val="18"/>
          <w:color w:val="auto"/>
        </w:rPr>
        <w:t>There is no assurance that ASCENIV, or any other of our products for which we are issued a patent, will enjoy market exclusivity for the full time period of the respective patent.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firstLine="607"/>
        <w:spacing w:after="0" w:line="285"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60" w:firstLine="607"/>
        <w:spacing w:after="0" w:line="257"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factors may be negatively impacted as a consequence of the COVID-19 pandemic. If we are unable to manage our growth effectively, our business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40" w:firstLine="607"/>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right="100" w:firstLine="607"/>
        <w:spacing w:after="0" w:line="301" w:lineRule="auto"/>
        <w:rPr>
          <w:sz w:val="20"/>
          <w:szCs w:val="20"/>
          <w:color w:val="auto"/>
        </w:rPr>
      </w:pPr>
      <w:r>
        <w:rPr>
          <w:rFonts w:ascii="Arial" w:cs="Arial" w:eastAsia="Arial" w:hAnsi="Arial"/>
          <w:sz w:val="16"/>
          <w:szCs w:val="16"/>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w:t>
      </w:r>
    </w:p>
    <w:p>
      <w:pPr>
        <w:sectPr>
          <w:pgSz w:w="11900" w:h="16838" w:orient="portrait"/>
          <w:cols w:equalWidth="0" w:num="1">
            <w:col w:w="11220"/>
          </w:cols>
          <w:pgMar w:left="320" w:top="125" w:right="359" w:bottom="0" w:gutter="0" w:footer="0" w:header="0"/>
        </w:sectPr>
      </w:pPr>
    </w:p>
    <w:bookmarkStart w:id="38" w:name="page39"/>
    <w:bookmarkEnd w:id="38"/>
    <w:p>
      <w:pPr>
        <w:spacing w:after="0" w:line="271" w:lineRule="auto"/>
        <w:rPr>
          <w:sz w:val="20"/>
          <w:szCs w:val="20"/>
          <w:color w:val="auto"/>
        </w:rPr>
      </w:pPr>
      <w:r>
        <w:rPr>
          <w:rFonts w:ascii="Arial" w:cs="Arial" w:eastAsia="Arial" w:hAnsi="Arial"/>
          <w:sz w:val="17"/>
          <w:szCs w:val="17"/>
          <w:color w:val="auto"/>
        </w:rPr>
        <w:t>environment during the COVID-19 pandemic, the risk of cybersecurity attacks and data breaches, particularly through phishing attempts, may be increased as we and third-parties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20" w:firstLine="607"/>
        <w:spacing w:after="0" w:line="287" w:lineRule="auto"/>
        <w:rPr>
          <w:sz w:val="20"/>
          <w:szCs w:val="20"/>
          <w:color w:val="auto"/>
        </w:rPr>
      </w:pPr>
      <w:r>
        <w:rPr>
          <w:rFonts w:ascii="Arial" w:cs="Arial" w:eastAsia="Arial" w:hAnsi="Arial"/>
          <w:sz w:val="16"/>
          <w:szCs w:val="16"/>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or travel restrictions related to COVID-19 prevent qualified personnel from applying for employment.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6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BioCenters facility, and if we cannot maintain FDA approval for this facility or obtain FDA approval for additional facilities that we create or acquire rights to, we may be adversely affected and may not be able to sell or use this human blood plasma for future commercial purposes.</w:t>
      </w:r>
    </w:p>
    <w:p>
      <w:pPr>
        <w:spacing w:after="0" w:line="184" w:lineRule="exact"/>
        <w:rPr>
          <w:sz w:val="20"/>
          <w:szCs w:val="20"/>
          <w:color w:val="auto"/>
        </w:rPr>
      </w:pPr>
    </w:p>
    <w:p>
      <w:pPr>
        <w:ind w:firstLine="607"/>
        <w:spacing w:after="0" w:line="270" w:lineRule="auto"/>
        <w:rPr>
          <w:sz w:val="20"/>
          <w:szCs w:val="20"/>
          <w:color w:val="auto"/>
        </w:rPr>
      </w:pPr>
      <w:r>
        <w:rPr>
          <w:rFonts w:ascii="Arial" w:cs="Arial" w:eastAsia="Arial" w:hAnsi="Arial"/>
          <w:sz w:val="17"/>
          <w:szCs w:val="17"/>
          <w:color w:val="auto"/>
        </w:rPr>
        <w:t>We intend to maintain FDA approval of our ADMA BioCenters collection facility in Kennesaw, GA for the collection of human blood plasma and we may seek other governmental and regulatory approvals for this facility. We also plan to grow through the building and licensing of additional ADMA BioCenters facilities in various regions of the U.S. Collection facilities are subject to FDA and potentially other governmental and regulatory inspections and extensive regulation, including compliance with current cGMP, FDA and other government approvals, as applicable. Failure to comply with applicable governmental regulations or to receive applicable approvals for our future facilities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currently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4" w:lineRule="exact"/>
        <w:rPr>
          <w:sz w:val="20"/>
          <w:szCs w:val="20"/>
          <w:color w:val="auto"/>
        </w:rPr>
      </w:pPr>
    </w:p>
    <w:p>
      <w:pPr>
        <w:ind w:right="40" w:firstLine="607"/>
        <w:spacing w:after="0" w:line="257" w:lineRule="auto"/>
        <w:rPr>
          <w:sz w:val="20"/>
          <w:szCs w:val="20"/>
          <w:color w:val="auto"/>
        </w:rPr>
      </w:pPr>
      <w:r>
        <w:rPr>
          <w:rFonts w:ascii="Arial" w:cs="Arial" w:eastAsia="Arial" w:hAnsi="Arial"/>
          <w:sz w:val="18"/>
          <w:szCs w:val="18"/>
          <w:color w:val="auto"/>
        </w:rPr>
        <w:t>There are no assurances we will be able to maintain compliance with all FDA or other regulations. Our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right="20" w:firstLine="607"/>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87" w:lineRule="exact"/>
        <w:rPr>
          <w:sz w:val="20"/>
          <w:szCs w:val="20"/>
          <w:color w:val="auto"/>
        </w:rPr>
      </w:pPr>
    </w:p>
    <w:p>
      <w:pPr>
        <w:ind w:right="44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20" w:firstLine="607"/>
        <w:spacing w:after="0" w:line="271" w:lineRule="auto"/>
        <w:rPr>
          <w:sz w:val="20"/>
          <w:szCs w:val="20"/>
          <w:color w:val="auto"/>
        </w:rPr>
      </w:pPr>
      <w:r>
        <w:rPr>
          <w:rFonts w:ascii="Arial" w:cs="Arial" w:eastAsia="Arial" w:hAnsi="Arial"/>
          <w:sz w:val="17"/>
          <w:szCs w:val="17"/>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Federal False Claims Act,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78" w:lineRule="exact"/>
        <w:rPr>
          <w:sz w:val="20"/>
          <w:szCs w:val="20"/>
          <w:color w:val="auto"/>
        </w:rPr>
      </w:pPr>
    </w:p>
    <w:p>
      <w:pPr>
        <w:ind w:firstLine="607"/>
        <w:spacing w:after="0" w:line="301"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w:t>
      </w:r>
    </w:p>
    <w:p>
      <w:pPr>
        <w:sectPr>
          <w:pgSz w:w="11900" w:h="16838" w:orient="portrait"/>
          <w:cols w:equalWidth="0" w:num="1">
            <w:col w:w="11220"/>
          </w:cols>
          <w:pgMar w:left="320" w:top="125" w:right="359" w:bottom="0" w:gutter="0" w:footer="0" w:header="0"/>
        </w:sectPr>
      </w:pPr>
    </w:p>
    <w:bookmarkStart w:id="39" w:name="page40"/>
    <w:bookmarkEnd w:id="39"/>
    <w:p>
      <w:pPr>
        <w:ind w:right="40"/>
        <w:spacing w:after="0" w:line="285" w:lineRule="auto"/>
        <w:rPr>
          <w:sz w:val="20"/>
          <w:szCs w:val="20"/>
          <w:color w:val="auto"/>
        </w:rPr>
      </w:pPr>
      <w:r>
        <w:rPr>
          <w:rFonts w:ascii="Arial" w:cs="Arial" w:eastAsia="Arial" w:hAnsi="Arial"/>
          <w:sz w:val="16"/>
          <w:szCs w:val="16"/>
          <w:color w:val="auto"/>
        </w:rPr>
        <w:t>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issued a proposed rule in February 2019, which aims to eliminate certain Anti-Kickback Statute safe harbor protection for drug rebates.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subject to this “Sunshine Act” and its implementing regulations to U.S.–licensed physicians and teaching hospitals, must be tracked and reported, and will be publicly disclosed. Such “applicable manufacturers” are also required to report certain ownership interests held by physicians and their immediate family members. In 2018, the Sunshine Act was extended to require tracking and reporting of payments and transfers of value to physician assistants, nurse practitioners, and other mid-level practitioners (with reporting requirements going into effect in 2022 for payments and transfers of value made in 2021).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20" w:firstLine="607"/>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7" w:lineRule="exact"/>
        <w:rPr>
          <w:sz w:val="20"/>
          <w:szCs w:val="20"/>
          <w:color w:val="auto"/>
        </w:rPr>
      </w:pPr>
    </w:p>
    <w:p>
      <w:pPr>
        <w:ind w:firstLine="607"/>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87" w:lineRule="exact"/>
        <w:rPr>
          <w:sz w:val="20"/>
          <w:szCs w:val="20"/>
          <w:color w:val="auto"/>
        </w:rPr>
      </w:pPr>
    </w:p>
    <w:p>
      <w:pPr>
        <w:ind w:firstLine="607"/>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40" w:firstLine="607"/>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60" w:firstLine="607"/>
        <w:spacing w:after="0" w:line="254" w:lineRule="auto"/>
        <w:rPr>
          <w:sz w:val="20"/>
          <w:szCs w:val="20"/>
          <w:color w:val="auto"/>
        </w:rPr>
      </w:pPr>
      <w:r>
        <w:rPr>
          <w:rFonts w:ascii="Arial" w:cs="Arial" w:eastAsia="Arial" w:hAnsi="Arial"/>
          <w:sz w:val="18"/>
          <w:szCs w:val="18"/>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192" w:lineRule="exact"/>
        <w:rPr>
          <w:sz w:val="20"/>
          <w:szCs w:val="20"/>
          <w:color w:val="auto"/>
        </w:rPr>
      </w:pPr>
    </w:p>
    <w:p>
      <w:pPr>
        <w:ind w:right="40" w:firstLine="607"/>
        <w:spacing w:after="0" w:line="301" w:lineRule="auto"/>
        <w:rPr>
          <w:sz w:val="20"/>
          <w:szCs w:val="20"/>
          <w:color w:val="auto"/>
        </w:rPr>
      </w:pPr>
      <w:r>
        <w:rPr>
          <w:rFonts w:ascii="Arial" w:cs="Arial" w:eastAsia="Arial" w:hAnsi="Arial"/>
          <w:sz w:val="16"/>
          <w:szCs w:val="16"/>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w:t>
      </w:r>
    </w:p>
    <w:p>
      <w:pPr>
        <w:sectPr>
          <w:pgSz w:w="11900" w:h="16838" w:orient="portrait"/>
          <w:cols w:equalWidth="0" w:num="1">
            <w:col w:w="11240"/>
          </w:cols>
          <w:pgMar w:left="320" w:top="125" w:right="339" w:bottom="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t>or long-term cessation of our manufacturing operations, as well as fines and other sanctions. Any such penalties may have a material adverse effect on our business and results of operations.</w:t>
      </w:r>
    </w:p>
    <w:p>
      <w:pPr>
        <w:spacing w:after="0" w:line="170"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firstLine="607"/>
        <w:spacing w:after="0" w:line="289" w:lineRule="auto"/>
        <w:rPr>
          <w:sz w:val="20"/>
          <w:szCs w:val="20"/>
          <w:color w:val="auto"/>
        </w:rPr>
      </w:pPr>
      <w:r>
        <w:rPr>
          <w:rFonts w:ascii="Arial" w:cs="Arial" w:eastAsia="Arial" w:hAnsi="Arial"/>
          <w:sz w:val="16"/>
          <w:szCs w:val="16"/>
          <w:color w:val="auto"/>
        </w:rPr>
        <w:t>Both before and after the approval of our products, our products, our operations, our facilities, our suppliers and our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166" w:lineRule="exact"/>
        <w:rPr>
          <w:sz w:val="20"/>
          <w:szCs w:val="20"/>
          <w:color w:val="auto"/>
        </w:rPr>
      </w:pPr>
    </w:p>
    <w:p>
      <w:pPr>
        <w:ind w:right="140" w:firstLine="607"/>
        <w:spacing w:after="0" w:line="286" w:lineRule="auto"/>
        <w:rPr>
          <w:sz w:val="20"/>
          <w:szCs w:val="20"/>
          <w:color w:val="auto"/>
        </w:rPr>
      </w:pPr>
      <w:r>
        <w:rPr>
          <w:rFonts w:ascii="Arial" w:cs="Arial" w:eastAsia="Arial" w:hAnsi="Arial"/>
          <w:sz w:val="16"/>
          <w:szCs w:val="16"/>
          <w:color w:val="auto"/>
        </w:rPr>
        <w:t>The regulatory review and approval process of governmental authorities is lengthy, expensive and uncertain. For example, in December 2016, BPC, the owner of BIVIGAM prior to the Biotest Transaction in June 2017, temporarily suspended the commercial production of BIVIGAM in order to focus on the completion of planned improvements to the manufacturing process. We resumed production of BIVIGAM utilizing our now FDA-approved IVIG manufacturing process with two conformance lots in the fourth quarter of 2017 and a third conformance lot in the first quarter of 2018. During the first half of 2018, we qualified and filled the BIVIGAM conformance batches and the product is on stability. In June 2018, we filed a drug substance PAS with the FDA for BIVIGAM to include the ADMA improvements for BIVIGAM and to seek FDA authorization which would enable us to resume commercial scale manufacturing and re-launch and commercialize this product. On December 19, 2018, we received the BIVIGAM CRL for our PAS submission for BIVIGAM drug substance. The BIVIGAM CRL requested certain additional information and clarifications relating to CMC matters contained in our PAS submission for drug substance, including complete resolution of certain manufacturing related deviations, information pertaining to how certain in-process manufacturing samples are taken, as well as updates on certain stability data previously submitted. As the information we believed necessary to address and respond to the matters raised in the BIVIGAM CRL was readily available in our files, on January 7, 2019 we announced that our responses to the BIVIGAM CRL were submitted to the FDA for further review. Subsequent to the January 7, 2019 resubmission to the FDA, we received an information request for a limited number of questions. On May 9, 2019, we received FDA approval for our PAS for BIVIGAM.</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40" w:firstLine="607"/>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07"/>
        <w:spacing w:after="0" w:line="268" w:lineRule="auto"/>
        <w:rPr>
          <w:sz w:val="20"/>
          <w:szCs w:val="20"/>
          <w:color w:val="auto"/>
        </w:rPr>
      </w:pPr>
      <w:r>
        <w:rPr>
          <w:rFonts w:ascii="Arial" w:cs="Arial" w:eastAsia="Arial" w:hAnsi="Arial"/>
          <w:sz w:val="17"/>
          <w:szCs w:val="17"/>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180" w:lineRule="exact"/>
        <w:rPr>
          <w:sz w:val="20"/>
          <w:szCs w:val="20"/>
          <w:color w:val="auto"/>
        </w:rPr>
      </w:pPr>
    </w:p>
    <w:p>
      <w:pPr>
        <w:ind w:right="140" w:firstLine="607"/>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ectPr>
          <w:pgSz w:w="11900" w:h="16838" w:orient="portrait"/>
          <w:cols w:equalWidth="0" w:num="1">
            <w:col w:w="11240"/>
          </w:cols>
          <w:pgMar w:left="320" w:top="125" w:right="339" w:bottom="135" w:gutter="0" w:footer="0" w:header="0"/>
        </w:sectPr>
      </w:pPr>
    </w:p>
    <w:bookmarkStart w:id="41" w:name="page42"/>
    <w:bookmarkEnd w:id="41"/>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right="20" w:firstLine="607"/>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such as COVID-19,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6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firstLine="607"/>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Kennesaw, GA plasma collection facility,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Further, the COVID-19 pandemic has resulted in, and may continue to result in, significant constraints in raw material supply across various different industries, including the supply of plasma. It is possible that in the future, the COVID-19 pandemic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facility.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2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right="60" w:firstLine="607"/>
        <w:spacing w:after="0" w:line="287"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w:t>
      </w:r>
    </w:p>
    <w:p>
      <w:pPr>
        <w:sectPr>
          <w:pgSz w:w="11900" w:h="16838" w:orient="portrait"/>
          <w:cols w:equalWidth="0" w:num="1">
            <w:col w:w="11180"/>
          </w:cols>
          <w:pgMar w:left="320" w:top="125" w:right="399" w:bottom="0" w:gutter="0" w:footer="0" w:header="0"/>
        </w:sectPr>
      </w:pPr>
    </w:p>
    <w:bookmarkStart w:id="42" w:name="page43"/>
    <w:bookmarkEnd w:id="42"/>
    <w:p>
      <w:pPr>
        <w:ind w:right="100"/>
        <w:spacing w:after="0" w:line="286" w:lineRule="auto"/>
        <w:rPr>
          <w:sz w:val="20"/>
          <w:szCs w:val="20"/>
          <w:color w:val="auto"/>
        </w:rPr>
      </w:pPr>
      <w:r>
        <w:rPr>
          <w:rFonts w:ascii="Arial" w:cs="Arial" w:eastAsia="Arial" w:hAnsi="Arial"/>
          <w:sz w:val="17"/>
          <w:szCs w:val="17"/>
          <w:color w:val="auto"/>
        </w:rPr>
        <w:t>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healthcare reform may make it easier for competitors to market biosimilar products.</w:t>
      </w:r>
    </w:p>
    <w:p>
      <w:pPr>
        <w:spacing w:after="0" w:line="237" w:lineRule="exact"/>
        <w:rPr>
          <w:sz w:val="20"/>
          <w:szCs w:val="20"/>
          <w:color w:val="auto"/>
        </w:rPr>
      </w:pPr>
    </w:p>
    <w:p>
      <w:pPr>
        <w:ind w:right="220" w:firstLine="607"/>
        <w:spacing w:after="0" w:line="290"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07"/>
        <w:spacing w:after="0" w:line="284"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182" w:lineRule="exact"/>
        <w:rPr>
          <w:sz w:val="20"/>
          <w:szCs w:val="20"/>
          <w:color w:val="auto"/>
        </w:rPr>
      </w:pPr>
    </w:p>
    <w:p>
      <w:pPr>
        <w:ind w:right="80" w:firstLine="607"/>
        <w:spacing w:after="0" w:line="296" w:lineRule="auto"/>
        <w:rPr>
          <w:sz w:val="20"/>
          <w:szCs w:val="20"/>
          <w:color w:val="auto"/>
        </w:rPr>
      </w:pPr>
      <w:r>
        <w:rPr>
          <w:rFonts w:ascii="Arial" w:cs="Arial" w:eastAsia="Arial" w:hAnsi="Arial"/>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161" w:lineRule="exact"/>
        <w:rPr>
          <w:sz w:val="20"/>
          <w:szCs w:val="20"/>
          <w:color w:val="auto"/>
        </w:rPr>
      </w:pPr>
    </w:p>
    <w:p>
      <w:pPr>
        <w:ind w:firstLine="607"/>
        <w:spacing w:after="0" w:line="286" w:lineRule="auto"/>
        <w:rPr>
          <w:sz w:val="20"/>
          <w:szCs w:val="20"/>
          <w:color w:val="auto"/>
        </w:rPr>
      </w:pPr>
      <w:r>
        <w:rPr>
          <w:rFonts w:ascii="Arial" w:cs="Arial" w:eastAsia="Arial" w:hAnsi="Arial"/>
          <w:sz w:val="16"/>
          <w:szCs w:val="16"/>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80" w:firstLine="607"/>
        <w:spacing w:after="0" w:line="293" w:lineRule="auto"/>
        <w:rPr>
          <w:sz w:val="20"/>
          <w:szCs w:val="20"/>
          <w:color w:val="auto"/>
        </w:rPr>
      </w:pPr>
      <w:r>
        <w:rPr>
          <w:rFonts w:ascii="Arial" w:cs="Arial" w:eastAsia="Arial" w:hAnsi="Arial"/>
          <w:sz w:val="16"/>
          <w:szCs w:val="16"/>
          <w:color w:val="auto"/>
        </w:rPr>
        <w:t>There have been repeated attempts by Congress to repeal or change the Healthcare Reform Law. Further, on January 20, 2017, the new administration signed an Executive Order directing federal agencies with authorities and responsibilities under the ACA to waive, defer, grant exemptions from, or delay the implementation of any provision of the Healthcare Reform Law that would impose a fiscal or regulatory burden on states, individuals, healthcare providers, health insurers, or manufacturers of pharmaceuticals or medical devices. More recently, the U.S. District Court for the Northern District of Texas struck down the Healthcare Reform Law, deeming it unconstitutional given that Congress repealed the individual mandate in 2017. This decision has been stayed pending outcome of an appeal to the U.S. Fifth Circuit Court of Appeals. Although there is no immediate impact on the ACA, we</w:t>
      </w:r>
    </w:p>
    <w:p>
      <w:pPr>
        <w:sectPr>
          <w:pgSz w:w="11900" w:h="16838" w:orient="portrait"/>
          <w:cols w:equalWidth="0" w:num="1">
            <w:col w:w="11240"/>
          </w:cols>
          <w:pgMar w:left="320" w:top="125" w:right="339" w:bottom="0" w:gutter="0" w:footer="0" w:header="0"/>
        </w:sectPr>
      </w:pPr>
    </w:p>
    <w:bookmarkStart w:id="43" w:name="page44"/>
    <w:bookmarkEnd w:id="43"/>
    <w:p>
      <w:pPr>
        <w:ind w:right="240"/>
        <w:spacing w:after="0" w:line="277" w:lineRule="auto"/>
        <w:rPr>
          <w:sz w:val="20"/>
          <w:szCs w:val="20"/>
          <w:color w:val="auto"/>
        </w:rPr>
      </w:pPr>
      <w:r>
        <w:rPr>
          <w:rFonts w:ascii="Arial" w:cs="Arial" w:eastAsia="Arial" w:hAnsi="Arial"/>
          <w:sz w:val="18"/>
          <w:szCs w:val="18"/>
          <w:color w:val="auto"/>
        </w:rPr>
        <w:t>will continue to evaluate the effect that the Healthcare Reform Law and its possible repeal and replacement, or potential total revocation by the Supreme Court of the United States, has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firstLine="607"/>
        <w:spacing w:after="0" w:line="285" w:lineRule="auto"/>
        <w:rPr>
          <w:sz w:val="20"/>
          <w:szCs w:val="20"/>
          <w:color w:val="auto"/>
        </w:rPr>
      </w:pPr>
      <w:r>
        <w:rPr>
          <w:rFonts w:ascii="Arial" w:cs="Arial" w:eastAsia="Arial" w:hAnsi="Arial"/>
          <w:sz w:val="16"/>
          <w:szCs w:val="16"/>
          <w:color w:val="auto"/>
        </w:rPr>
        <w:t>Our operations have consumed substantial amounts of cash since inception. For the nine months ended September 30, 2020 and 2019, we had negative cash flows from operations of $69.8 million and $56.5 million, respectively, and for the years ended December 31, 2019 and 2018, we had negative cash flows from operations of approximately $76.2 million and $62.7 million, respectively. 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In addition, our end-to-end production cycle from procurement of raw materials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before the end of 2021 and, as a result, we expect that we will need to finance our operations through additional equity or debt financings or corporate collaboration and licensing agreements. We currently anticipate, based upon our projected revenue and expenditures, as well as the additional funds we are able to draw down under the Perceptive Credit Facility, that our current cash, cash equivalents and accounts receivable will be sufficient to fund our operations, as currently conducted, into the second quarter of 2021. In order to have sufficient cash to fund our operations thereafter, we will need to raise additional equity or debt financing before the end of the second quarter of 2021. This time frame may change based upon how quickly we are able to execute on our operational initiatives and the various financing options that may be available to us in 2021.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including due to widespread liquidity constraints or significant market instability that could result from the COVID-19 pandemic, we will have to delay, curtail or eliminate our commercialization efforts or our product development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right="60" w:firstLine="607"/>
        <w:spacing w:after="0" w:line="271" w:lineRule="auto"/>
        <w:rPr>
          <w:sz w:val="20"/>
          <w:szCs w:val="20"/>
          <w:color w:val="auto"/>
        </w:rPr>
      </w:pPr>
      <w:r>
        <w:rPr>
          <w:rFonts w:ascii="Arial" w:cs="Arial" w:eastAsia="Arial" w:hAnsi="Arial"/>
          <w:sz w:val="17"/>
          <w:szCs w:val="17"/>
          <w:color w:val="auto"/>
        </w:rPr>
        <w:t>The Perceptive Credit Facility provides for term loans of up to an aggregate principal amount of $85.0 million, all of which has been drawn down and is currently outstanding. Borrowings under the Perceptive Credit Facility bear interest at a rate per annum equal to 7.5% plus the greater of (i) one-month LIBOR and (ii) 3.5%; provided, however, that upon, and during the continuance of, an Event of Default, the interest rate will automatically increase by an additional 400 basis points. We are required to make monthly payments of interest during the term of the Perceptive Credit Facility of approximately $0.8 million, with all principal and unpaid interest due at maturity. The Perceptive Credit Facility has a maturity date of March 1, 2022, subject to acceleration pursuant to the Perceptive Credit Agreement, including upon an Event of Default. All of our obligations under the Perceptive Credit Facility are secured by a first-priority lien and security interest in substantially all of our and our subsidiaries’ tangible and intangible assets, including intellectual property, and all of the equity interests in our subsidiaries.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firstLine="607"/>
        <w:spacing w:after="0" w:line="286" w:lineRule="auto"/>
        <w:rPr>
          <w:sz w:val="20"/>
          <w:szCs w:val="20"/>
          <w:color w:val="auto"/>
        </w:rPr>
      </w:pPr>
      <w:r>
        <w:rPr>
          <w:rFonts w:ascii="Arial" w:cs="Arial" w:eastAsia="Arial" w:hAnsi="Arial"/>
          <w:sz w:val="17"/>
          <w:szCs w:val="17"/>
          <w:color w:val="auto"/>
        </w:rPr>
        <w:t>In addition, we have $15.0 million in principal amount of indebtedness outstanding under an unsecured subordinated note issued by ADMA BioManufacturing to Biotest on June 6, 2017, which note bears interest at a rate of 6.0% per annum and matures on June 6, 2022. We are obligated to make semi-annual interest payments to Biotest of approximately $0.5 million, with all principal and unpaid interest due at maturity.</w:t>
      </w:r>
    </w:p>
    <w:p>
      <w:pPr>
        <w:spacing w:after="0" w:line="165" w:lineRule="exact"/>
        <w:rPr>
          <w:sz w:val="20"/>
          <w:szCs w:val="20"/>
          <w:color w:val="auto"/>
        </w:rPr>
      </w:pPr>
    </w:p>
    <w:p>
      <w:pPr>
        <w:ind w:right="120" w:firstLine="607"/>
        <w:spacing w:after="0" w:line="296" w:lineRule="auto"/>
        <w:rPr>
          <w:sz w:val="20"/>
          <w:szCs w:val="20"/>
          <w:color w:val="auto"/>
        </w:rPr>
      </w:pPr>
      <w:r>
        <w:rPr>
          <w:rFonts w:ascii="Arial" w:cs="Arial" w:eastAsia="Arial" w:hAnsi="Arial"/>
          <w:sz w:val="16"/>
          <w:szCs w:val="16"/>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including as a result of the impact of the COVID-19 pandemic, our creditors would be able to accelerate all of the amounts due and, in the case of the Perceptive Credit Facility, seek to enforce their security interests, which could lead to our creditors taking immediate possession of and selling substantially all of our assets with no return provided to our stockholders.</w:t>
      </w:r>
    </w:p>
    <w:p>
      <w:pPr>
        <w:spacing w:after="0" w:line="1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60" w:firstLine="607"/>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237" w:lineRule="exact"/>
        <w:rPr>
          <w:sz w:val="20"/>
          <w:szCs w:val="20"/>
          <w:color w:val="auto"/>
        </w:rPr>
      </w:pPr>
    </w:p>
    <w:p>
      <w:pPr>
        <w:ind w:right="40" w:firstLine="607"/>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2"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ectPr>
          <w:pgSz w:w="11900" w:h="16838" w:orient="portrait"/>
          <w:cols w:equalWidth="0" w:num="1">
            <w:col w:w="11220"/>
          </w:cols>
          <w:pgMar w:left="320" w:top="125" w:right="359" w:bottom="49" w:gutter="0" w:footer="0" w:header="0"/>
        </w:sectPr>
      </w:pPr>
    </w:p>
    <w:bookmarkStart w:id="44" w:name="page45"/>
    <w:bookmarkEnd w:id="44"/>
    <w:p>
      <w:pPr>
        <w:ind w:right="80" w:firstLine="607"/>
        <w:spacing w:after="0" w:line="255" w:lineRule="auto"/>
        <w:rPr>
          <w:sz w:val="20"/>
          <w:szCs w:val="20"/>
          <w:color w:val="auto"/>
        </w:rPr>
      </w:pPr>
      <w:r>
        <w:rPr>
          <w:rFonts w:ascii="Arial" w:cs="Arial" w:eastAsia="Arial" w:hAnsi="Arial"/>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60" w:firstLine="607"/>
        <w:spacing w:after="0" w:line="270" w:lineRule="auto"/>
        <w:rPr>
          <w:sz w:val="20"/>
          <w:szCs w:val="20"/>
          <w:color w:val="auto"/>
        </w:rPr>
      </w:pPr>
      <w:r>
        <w:rPr>
          <w:rFonts w:ascii="Arial" w:cs="Arial" w:eastAsia="Arial" w:hAnsi="Arial"/>
          <w:sz w:val="17"/>
          <w:szCs w:val="17"/>
          <w:color w:val="auto"/>
        </w:rPr>
        <w:t>We have incurred substantial losses during our history. As of December 31, 2019, we had federal and state NOLs of $175.1 million and $116.2 million, respectively. These NOLs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Cuts and Jobs Act (the “TCJA”) could adversely affect our business and financial condition.</w:t>
      </w:r>
    </w:p>
    <w:p>
      <w:pPr>
        <w:spacing w:after="0" w:line="225" w:lineRule="exact"/>
        <w:rPr>
          <w:sz w:val="20"/>
          <w:szCs w:val="20"/>
          <w:color w:val="auto"/>
        </w:rPr>
      </w:pPr>
    </w:p>
    <w:p>
      <w:pPr>
        <w:ind w:firstLine="607"/>
        <w:spacing w:after="0" w:line="270" w:lineRule="auto"/>
        <w:rPr>
          <w:sz w:val="20"/>
          <w:szCs w:val="20"/>
          <w:color w:val="auto"/>
        </w:rPr>
      </w:pPr>
      <w:r>
        <w:rPr>
          <w:rFonts w:ascii="Arial" w:cs="Arial" w:eastAsia="Arial" w:hAnsi="Arial"/>
          <w:sz w:val="17"/>
          <w:szCs w:val="17"/>
          <w:color w:val="auto"/>
        </w:rPr>
        <w:t>The TCJA, among other things, reduced the corporate tax rate from a top marginal rate of 35% to a flat rate of 21%, limited the tax deduction for interest expense to 30% of adjusted earnings (except for certain small businesses), limited the deduction for net operating losses generated after December 31, 2017 to 80% of current year taxable income and eliminated net operating loss carrybacks, provided immediate deductions for certain new investments instead of deductions for depreciation expense over time and modified or repealed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25"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uncertainties in the equity markets related to the effects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ectPr>
          <w:pgSz w:w="11900" w:h="16838" w:orient="portrait"/>
          <w:cols w:equalWidth="0" w:num="1">
            <w:col w:w="11240"/>
          </w:cols>
          <w:pgMar w:left="320" w:top="125" w:right="339" w:bottom="173" w:gutter="0" w:footer="0" w:header="0"/>
        </w:sectPr>
      </w:pPr>
    </w:p>
    <w:bookmarkStart w:id="45" w:name="page46"/>
    <w:bookmarkEnd w:id="45"/>
    <w:p>
      <w:pPr>
        <w:ind w:right="100" w:firstLine="607"/>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right="20" w:firstLine="607"/>
        <w:spacing w:after="0" w:line="257" w:lineRule="auto"/>
        <w:rPr>
          <w:sz w:val="20"/>
          <w:szCs w:val="20"/>
          <w:color w:val="auto"/>
        </w:rPr>
      </w:pPr>
      <w:r>
        <w:rPr>
          <w:rFonts w:ascii="Arial" w:cs="Arial" w:eastAsia="Arial" w:hAnsi="Arial"/>
          <w:sz w:val="18"/>
          <w:szCs w:val="18"/>
          <w:color w:val="auto"/>
        </w:rPr>
        <w:t>As of November 5, 2020, most of our 94,548,052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88"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300" w:firstLine="607"/>
        <w:spacing w:after="0" w:line="275" w:lineRule="auto"/>
        <w:rPr>
          <w:sz w:val="20"/>
          <w:szCs w:val="20"/>
          <w:color w:val="auto"/>
        </w:rPr>
      </w:pPr>
      <w:r>
        <w:rPr>
          <w:rFonts w:ascii="Arial" w:cs="Arial" w:eastAsia="Arial" w:hAnsi="Arial"/>
          <w:sz w:val="17"/>
          <w:szCs w:val="17"/>
          <w:color w:val="auto"/>
        </w:rPr>
        <w:t>As of September 30, 2020, Perceptive, our directors and executive officers and their affiliates beneficially owned approximately 26%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7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of Directors (the “Board”) to institute a stockholder rights plan, also known as a poison pill, that would work to dilute our stock,</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70" w:lineRule="exact"/>
        <w:rPr>
          <w:sz w:val="20"/>
          <w:szCs w:val="20"/>
          <w:color w:val="auto"/>
        </w:rPr>
      </w:pPr>
    </w:p>
    <w:p>
      <w:pPr>
        <w:ind w:right="60" w:firstLine="607"/>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120" w:firstLine="607"/>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Perceptive Credit Agreement prohibits us from paying dividends. As a result, capital appreciation, if any, of our common stock will be your sole source of gain for the foreseeable future.</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4"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Our Common Stock currently trades on the Nasdaq Global Market under the symbol “ADMA.” If we fail to adhere to Nasdaq’s strict listing criteria, including with respect to stock price, our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280" w:firstLine="607"/>
        <w:spacing w:after="0" w:line="301"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w:t>
      </w:r>
    </w:p>
    <w:p>
      <w:pPr>
        <w:sectPr>
          <w:pgSz w:w="11900" w:h="16838" w:orient="portrait"/>
          <w:cols w:equalWidth="0" w:num="1">
            <w:col w:w="11220"/>
          </w:cols>
          <w:pgMar w:left="320" w:top="125" w:right="359" w:bottom="0" w:gutter="0" w:footer="0" w:header="0"/>
        </w:sectPr>
      </w:pPr>
    </w:p>
    <w:bookmarkStart w:id="46" w:name="page47"/>
    <w:bookmarkEnd w:id="46"/>
    <w:p>
      <w:pPr>
        <w:ind w:right="240"/>
        <w:spacing w:after="0" w:line="296" w:lineRule="auto"/>
        <w:rPr>
          <w:sz w:val="20"/>
          <w:szCs w:val="20"/>
          <w:color w:val="auto"/>
        </w:rPr>
      </w:pPr>
      <w:r>
        <w:rPr>
          <w:rFonts w:ascii="Arial" w:cs="Arial" w:eastAsia="Arial" w:hAnsi="Arial"/>
          <w:sz w:val="16"/>
          <w:szCs w:val="16"/>
          <w:color w:val="auto"/>
        </w:rPr>
        <w:t>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continue to incur increased costs now that we are no longer an “emerging growth company.”</w:t>
      </w:r>
    </w:p>
    <w:p>
      <w:pPr>
        <w:spacing w:after="0" w:line="225" w:lineRule="exact"/>
        <w:rPr>
          <w:sz w:val="20"/>
          <w:szCs w:val="20"/>
          <w:color w:val="auto"/>
        </w:rPr>
      </w:pPr>
    </w:p>
    <w:p>
      <w:pPr>
        <w:ind w:right="20" w:firstLine="607"/>
        <w:spacing w:after="0" w:line="293" w:lineRule="auto"/>
        <w:rPr>
          <w:sz w:val="20"/>
          <w:szCs w:val="20"/>
          <w:color w:val="auto"/>
        </w:rPr>
      </w:pPr>
      <w:r>
        <w:rPr>
          <w:rFonts w:ascii="Arial" w:cs="Arial" w:eastAsia="Arial" w:hAnsi="Arial"/>
          <w:sz w:val="16"/>
          <w:szCs w:val="16"/>
          <w:color w:val="auto"/>
        </w:rPr>
        <w:t>Effective January 1, 2019, we ceased to be an “emerging growth company” as defined by the Jumpstart Our Business Startups Act (the “JOBS Act”). The JOBS Act contains provisions that, among other things, reduce certain reporting requirements for qualifying public companies. As an “emerging growth company,” we took advantage of certain benefits afforded to “emerging growth companies” under Section 7(a)(2)(B) of the Securities Act, which included delaying the adoption of new or revised accounting standards applicable to public companies until such standards would otherwise apply to private companies. As an emerging growth company, we were also exempt from the requirement to have our independent registered public accounting firm provide an attestation report on our internal control over financial reporting pursuant to Section 404 of the Sarbanes-Oxley Act.</w:t>
      </w:r>
    </w:p>
    <w:p>
      <w:pPr>
        <w:spacing w:after="0" w:line="164" w:lineRule="exact"/>
        <w:rPr>
          <w:sz w:val="20"/>
          <w:szCs w:val="20"/>
          <w:color w:val="auto"/>
        </w:rPr>
      </w:pPr>
    </w:p>
    <w:p>
      <w:pPr>
        <w:ind w:right="20" w:firstLine="607"/>
        <w:spacing w:after="0" w:line="273" w:lineRule="auto"/>
        <w:rPr>
          <w:sz w:val="20"/>
          <w:szCs w:val="20"/>
          <w:color w:val="auto"/>
        </w:rPr>
      </w:pPr>
      <w:r>
        <w:rPr>
          <w:rFonts w:ascii="Arial" w:cs="Arial" w:eastAsia="Arial" w:hAnsi="Arial"/>
          <w:sz w:val="17"/>
          <w:szCs w:val="17"/>
          <w:color w:val="auto"/>
        </w:rPr>
        <w:t>Consequently, we have, and will continue to, incur increased costs related to our compliance with Section 404 of the Sarbanes-Oxley Act. For example, in 2018, our Audit Committee retained the services of BDO, a Sarbanes-Oxley advisor, to assist with our internal controls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160" w:firstLine="607"/>
        <w:spacing w:after="0" w:line="257" w:lineRule="auto"/>
        <w:rPr>
          <w:sz w:val="20"/>
          <w:szCs w:val="20"/>
          <w:color w:val="auto"/>
        </w:rPr>
      </w:pPr>
      <w:r>
        <w:rPr>
          <w:rFonts w:ascii="Arial" w:cs="Arial" w:eastAsia="Arial" w:hAnsi="Arial"/>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150,000,000 shares of common stock. As of September 30, 2020, there were 50,976,313 shares remaining available for issuance, after giving effect to 9,407,511 shares of our common stock that were subject to outstanding stock options, RSUs, warrants or other convertible securities as of September 30, 2020 that may be issued by us without stockholder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40" w:firstLine="607"/>
        <w:spacing w:after="0" w:line="308" w:lineRule="auto"/>
        <w:rPr>
          <w:sz w:val="20"/>
          <w:szCs w:val="20"/>
          <w:color w:val="auto"/>
        </w:rPr>
      </w:pPr>
      <w:r>
        <w:rPr>
          <w:rFonts w:ascii="Arial" w:cs="Arial" w:eastAsia="Arial" w:hAnsi="Arial"/>
          <w:sz w:val="17"/>
          <w:szCs w:val="17"/>
          <w:color w:val="auto"/>
        </w:rPr>
        <w:t>The Company is party to the Sale Agreement with Jefferies, dated August 5, 2020, pursuant to which the Company could offer to sell, from time to time through Jefferies, shares of the Company’s common stock (the “Shares”) having an aggregate offering price of up to $50 million.</w:t>
      </w:r>
    </w:p>
    <w:p>
      <w:pPr>
        <w:spacing w:after="0" w:line="146" w:lineRule="exact"/>
        <w:rPr>
          <w:sz w:val="20"/>
          <w:szCs w:val="20"/>
          <w:color w:val="auto"/>
        </w:rPr>
      </w:pPr>
    </w:p>
    <w:p>
      <w:pPr>
        <w:ind w:right="140" w:firstLine="607"/>
        <w:spacing w:after="0" w:line="279" w:lineRule="auto"/>
        <w:rPr>
          <w:sz w:val="20"/>
          <w:szCs w:val="20"/>
          <w:color w:val="auto"/>
        </w:rPr>
      </w:pPr>
      <w:r>
        <w:rPr>
          <w:rFonts w:ascii="Arial" w:cs="Arial" w:eastAsia="Arial" w:hAnsi="Arial"/>
          <w:sz w:val="17"/>
          <w:szCs w:val="17"/>
          <w:color w:val="auto"/>
        </w:rPr>
        <w:t>On November 5, 2020, the Company and Jefferies entered into an amendment to the Sale Agreement (the “Amendment”) to provide for an increase in the aggregate offering amount under the Sale Agreement, such that as of November 5, 2020, the Company may offer and sell Shares having an additional aggregate offering price of up to $20 million under the Sale Agreement, as amended by the Amendment (the “Amended Sale Agreement”), by methods deemed to be an “at the market offering” as defined in Rule 415(a)(4) under the Securities Act of 1933, as amended.</w:t>
      </w:r>
    </w:p>
    <w:p>
      <w:pPr>
        <w:spacing w:after="0" w:line="171" w:lineRule="exact"/>
        <w:rPr>
          <w:sz w:val="20"/>
          <w:szCs w:val="20"/>
          <w:color w:val="auto"/>
        </w:rPr>
      </w:pPr>
    </w:p>
    <w:p>
      <w:pPr>
        <w:ind w:right="20" w:firstLine="607"/>
        <w:spacing w:after="0" w:line="293" w:lineRule="auto"/>
        <w:rPr>
          <w:sz w:val="20"/>
          <w:szCs w:val="20"/>
          <w:color w:val="auto"/>
        </w:rPr>
      </w:pPr>
      <w:r>
        <w:rPr>
          <w:rFonts w:ascii="Arial" w:cs="Arial" w:eastAsia="Arial" w:hAnsi="Arial"/>
          <w:sz w:val="16"/>
          <w:szCs w:val="16"/>
          <w:color w:val="auto"/>
        </w:rPr>
        <w:t>Subject to the terms of the Amended Sale Agreement, Jefferies will use commercially reasonable efforts to sell the Shares from time to time, based upon the Company’s instructions (including any price, time or size limits or other customary parameters or conditions the Company may impose). The Company cannot provide any assurances that it will issue any additional Shares pursuant to the Amended Sale Agreement. The Company will pay Jefferies a commission of up to 3.0% of the gross proceeds from the sale of the Shares, if any. The Company has also agreed to provide Jefferies with customary indemnification rights. The offering of the Shares will terminate upon the earliest of (a) the sale of the maximum number or amount of the Shares permitted to be sold under the Amended Sale Agreement and (b) the termination of the Amended Sale Agreement by the parties thereto.</w:t>
      </w:r>
    </w:p>
    <w:p>
      <w:pPr>
        <w:spacing w:after="0" w:line="164" w:lineRule="exact"/>
        <w:rPr>
          <w:sz w:val="20"/>
          <w:szCs w:val="20"/>
          <w:color w:val="auto"/>
        </w:rPr>
      </w:pPr>
    </w:p>
    <w:p>
      <w:pPr>
        <w:ind w:right="200" w:firstLine="607"/>
        <w:spacing w:after="0" w:line="277" w:lineRule="auto"/>
        <w:rPr>
          <w:sz w:val="20"/>
          <w:szCs w:val="20"/>
          <w:color w:val="auto"/>
        </w:rPr>
      </w:pPr>
      <w:r>
        <w:rPr>
          <w:rFonts w:ascii="Arial" w:cs="Arial" w:eastAsia="Arial" w:hAnsi="Arial"/>
          <w:sz w:val="18"/>
          <w:szCs w:val="18"/>
          <w:color w:val="auto"/>
        </w:rPr>
        <w:t>The foregoing description of the Amended Sale Agreement does not purport to be complete and is qualified in its entirety by reference to the full text of the Amendment, which is filed herewith as Exhibit 1.1 and incorporated by reference herein.</w:t>
      </w:r>
    </w:p>
    <w:p>
      <w:pPr>
        <w:spacing w:after="0" w:line="170" w:lineRule="exact"/>
        <w:rPr>
          <w:sz w:val="20"/>
          <w:szCs w:val="20"/>
          <w:color w:val="auto"/>
        </w:rPr>
      </w:pPr>
    </w:p>
    <w:p>
      <w:pPr>
        <w:ind w:firstLine="607"/>
        <w:spacing w:after="0" w:line="263" w:lineRule="auto"/>
        <w:rPr>
          <w:sz w:val="20"/>
          <w:szCs w:val="20"/>
          <w:color w:val="auto"/>
        </w:rPr>
      </w:pPr>
      <w:r>
        <w:rPr>
          <w:rFonts w:ascii="Arial" w:cs="Arial" w:eastAsia="Arial" w:hAnsi="Arial"/>
          <w:sz w:val="18"/>
          <w:szCs w:val="18"/>
          <w:color w:val="auto"/>
        </w:rPr>
        <w:t>This Quarterly Report on Form 10-Q shall not constitute an offer to sell or the solicitation of an offer to buy the Shares, nor shall there be any offer, solicitation or sale of the Shares in any state or country in which such offer, solicitation or sale would be unlawful prior to registration or qualification under the securities laws of any such state or country.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spacing w:after="0"/>
        <w:rPr>
          <w:rFonts w:ascii="Arial" w:cs="Arial" w:eastAsia="Arial" w:hAnsi="Arial"/>
          <w:sz w:val="16"/>
          <w:szCs w:val="16"/>
          <w:i w:val="1"/>
          <w:iCs w:val="1"/>
          <w:u w:val="single" w:color="auto"/>
          <w:color w:val="0000EE"/>
        </w:rPr>
      </w:pPr>
      <w:hyperlink w:anchor="page1">
        <w:r>
          <w:rPr>
            <w:rFonts w:ascii="Arial" w:cs="Arial" w:eastAsia="Arial" w:hAnsi="Arial"/>
            <w:sz w:val="16"/>
            <w:szCs w:val="16"/>
            <w:i w:val="1"/>
            <w:iCs w:val="1"/>
            <w:u w:val="single" w:color="auto"/>
            <w:color w:val="0000EE"/>
          </w:rPr>
          <w:t>Table of Contents</w:t>
        </w:r>
      </w:hyperlink>
    </w:p>
    <w:p>
      <w:pPr>
        <w:sectPr>
          <w:pgSz w:w="11900" w:h="16838" w:orient="portrait"/>
          <w:cols w:equalWidth="0" w:num="1">
            <w:col w:w="11240"/>
          </w:cols>
          <w:pgMar w:left="320" w:top="125" w:right="339" w:bottom="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the Exhibit Index immediately following the signature page of this Quarterly Report on Form 10-Q.</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60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6180" w:type="dxa"/>
            <w:vAlign w:val="bottom"/>
            <w:gridSpan w:val="2"/>
          </w:tcPr>
          <w:p>
            <w:pPr>
              <w:ind w:left="1920"/>
              <w:spacing w:after="0"/>
              <w:rPr>
                <w:sz w:val="20"/>
                <w:szCs w:val="20"/>
                <w:color w:val="auto"/>
              </w:rPr>
            </w:pPr>
            <w:r>
              <w:rPr>
                <w:rFonts w:ascii="Arial" w:cs="Arial" w:eastAsia="Arial" w:hAnsi="Arial"/>
                <w:sz w:val="18"/>
                <w:szCs w:val="18"/>
                <w:b w:val="1"/>
                <w:bCs w:val="1"/>
                <w:color w:val="auto"/>
              </w:rPr>
              <w:t>ADMA Biologics,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5, 2020</w:t>
            </w:r>
          </w:p>
        </w:tc>
        <w:tc>
          <w:tcPr>
            <w:tcW w:w="6180" w:type="dxa"/>
            <w:vAlign w:val="bottom"/>
            <w:gridSpan w:val="2"/>
          </w:tcPr>
          <w:p>
            <w:pPr>
              <w:ind w:left="1920"/>
              <w:spacing w:after="0"/>
              <w:rPr>
                <w:sz w:val="20"/>
                <w:szCs w:val="20"/>
                <w:color w:val="auto"/>
              </w:rPr>
            </w:pPr>
            <w:r>
              <w:rPr>
                <w:rFonts w:ascii="Arial" w:cs="Arial" w:eastAsia="Arial" w:hAnsi="Arial"/>
                <w:sz w:val="18"/>
                <w:szCs w:val="18"/>
                <w:color w:val="auto"/>
              </w:rPr>
              <w:t>By: /s/ Adam S. Grossman</w:t>
            </w:r>
          </w:p>
        </w:tc>
      </w:tr>
      <w:tr>
        <w:trPr>
          <w:trHeight w:val="195"/>
        </w:trPr>
        <w:tc>
          <w:tcPr>
            <w:tcW w:w="37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Adam S. Grossman</w:t>
            </w:r>
          </w:p>
        </w:tc>
      </w:tr>
      <w:tr>
        <w:trPr>
          <w:trHeight w:val="230"/>
        </w:trPr>
        <w:tc>
          <w:tcPr>
            <w:tcW w:w="3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648"/>
        </w:trPr>
        <w:tc>
          <w:tcPr>
            <w:tcW w:w="3720" w:type="dxa"/>
            <w:vAlign w:val="bottom"/>
          </w:tcPr>
          <w:p>
            <w:pPr>
              <w:spacing w:after="0"/>
              <w:rPr>
                <w:sz w:val="20"/>
                <w:szCs w:val="20"/>
                <w:color w:val="auto"/>
              </w:rPr>
            </w:pPr>
            <w:r>
              <w:rPr>
                <w:rFonts w:ascii="Arial" w:cs="Arial" w:eastAsia="Arial" w:hAnsi="Arial"/>
                <w:sz w:val="18"/>
                <w:szCs w:val="18"/>
                <w:color w:val="auto"/>
              </w:rPr>
              <w:t>Date: November 5, 2020</w:t>
            </w:r>
          </w:p>
        </w:tc>
        <w:tc>
          <w:tcPr>
            <w:tcW w:w="6180" w:type="dxa"/>
            <w:vAlign w:val="bottom"/>
            <w:gridSpan w:val="2"/>
          </w:tcPr>
          <w:p>
            <w:pPr>
              <w:ind w:left="1920"/>
              <w:spacing w:after="0"/>
              <w:rPr>
                <w:sz w:val="20"/>
                <w:szCs w:val="20"/>
                <w:color w:val="auto"/>
              </w:rPr>
            </w:pPr>
            <w:r>
              <w:rPr>
                <w:rFonts w:ascii="Arial" w:cs="Arial" w:eastAsia="Arial" w:hAnsi="Arial"/>
                <w:sz w:val="18"/>
                <w:szCs w:val="18"/>
                <w:color w:val="auto"/>
              </w:rPr>
              <w:t>By: /s/ Brian Lenz</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0</wp:posOffset>
            </wp:positionV>
            <wp:extent cx="24942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98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i w:val="1"/>
          <w:iCs w:val="1"/>
          <w:u w:val="single" w:color="auto"/>
          <w:color w:val="0000EE"/>
        </w:rPr>
      </w:pPr>
      <w:hyperlink w:anchor="page1">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4" w:lineRule="auto"/>
        <w:tabs>
          <w:tab w:leader="none" w:pos="1320" w:val="left"/>
        </w:tabs>
        <w:rPr>
          <w:sz w:val="20"/>
          <w:szCs w:val="20"/>
          <w:color w:val="auto"/>
        </w:rPr>
      </w:pPr>
      <w:r>
        <w:rPr>
          <w:rFonts w:ascii="Arial" w:cs="Arial" w:eastAsia="Arial" w:hAnsi="Arial"/>
          <w:sz w:val="36"/>
          <w:szCs w:val="36"/>
          <w:b w:val="1"/>
          <w:bCs w:val="1"/>
          <w:color w:val="auto"/>
          <w:vertAlign w:val="superscript"/>
        </w:rPr>
        <w:t>Exhibit</w:t>
      </w:r>
      <w:r>
        <w:rPr>
          <w:sz w:val="20"/>
          <w:szCs w:val="20"/>
          <w:color w:val="auto"/>
        </w:rPr>
        <w:tab/>
      </w:r>
      <w:r>
        <w:rPr>
          <w:rFonts w:ascii="Arial" w:cs="Arial" w:eastAsia="Arial" w:hAnsi="Arial"/>
          <w:sz w:val="18"/>
          <w:szCs w:val="18"/>
          <w:b w:val="1"/>
          <w:bCs w:val="1"/>
          <w:color w:val="auto"/>
        </w:rPr>
        <w:t>Description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686" w:gutter="0" w:footer="0" w:header="0"/>
        </w:sectPr>
      </w:pPr>
    </w:p>
    <w:p>
      <w:pPr>
        <w:spacing w:after="0" w:line="236"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1.1*</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5.1*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23.1*</w:t>
        </w:r>
      </w:hyperlink>
    </w:p>
    <w:p>
      <w:pPr>
        <w:spacing w:after="0" w:line="333" w:lineRule="exact"/>
        <w:rPr>
          <w:sz w:val="20"/>
          <w:szCs w:val="20"/>
          <w:color w:val="auto"/>
        </w:rPr>
      </w:pPr>
    </w:p>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31.1*</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31.2*</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32.1**</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32.2**</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rFonts w:ascii="Arial" w:cs="Arial" w:eastAsia="Arial" w:hAnsi="Arial"/>
          <w:sz w:val="16"/>
          <w:szCs w:val="16"/>
          <w:color w:val="0000EE"/>
        </w:rPr>
      </w:pPr>
      <w:hyperlink w:anchor="page49">
        <w:r>
          <w:rPr>
            <w:rFonts w:ascii="Arial" w:cs="Arial" w:eastAsia="Arial" w:hAnsi="Arial"/>
            <w:sz w:val="16"/>
            <w:szCs w:val="16"/>
            <w:u w:val="single" w:color="auto"/>
            <w:color w:val="0000EE"/>
          </w:rPr>
          <w:t>Amendment to Open Market Sale Agreement</w:t>
        </w:r>
      </w:hyperlink>
      <w:r>
        <w:rPr>
          <w:rFonts w:ascii="Arial" w:cs="Arial" w:eastAsia="Arial" w:hAnsi="Arial"/>
          <w:sz w:val="26"/>
          <w:szCs w:val="26"/>
          <w:u w:val="single" w:color="auto"/>
          <w:color w:val="0000EE"/>
          <w:vertAlign w:val="superscript"/>
        </w:rPr>
        <w:t>SM</w:t>
      </w:r>
      <w:hyperlink w:anchor="page49">
        <w:r>
          <w:rPr>
            <w:rFonts w:ascii="Arial" w:cs="Arial" w:eastAsia="Arial" w:hAnsi="Arial"/>
            <w:sz w:val="16"/>
            <w:szCs w:val="16"/>
            <w:u w:val="single" w:color="auto"/>
            <w:color w:val="0000EE"/>
          </w:rPr>
          <w:t>, dated November 5, 2020, by and between ADMA Biologics, Inc. and Jefferies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-182245</wp:posOffset>
            </wp:positionV>
            <wp:extent cx="713232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0"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Opinion of Morgan, Lewis &amp; Bockius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-121920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Consent of Morgan, Lewis &amp; Bockius LLP (included in Exhibit 5.1).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-121920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580"/>
        <w:spacing w:after="0" w:line="277" w:lineRule="auto"/>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Certification of Principal Executive Officer pursuant to Rules 13a-14(a) and 15d-14(a), as adopted pursuant to Section 302 of the</w:t>
        </w:r>
      </w:hyperlink>
      <w:r>
        <w:rPr>
          <w:rFonts w:ascii="Arial" w:cs="Arial" w:eastAsia="Arial" w:hAnsi="Arial"/>
          <w:sz w:val="18"/>
          <w:szCs w:val="18"/>
          <w:u w:val="single" w:color="auto"/>
          <w:color w:val="0000EE"/>
        </w:rPr>
        <w:t xml:space="preserve"> </w:t>
      </w:r>
      <w:hyperlink w:anchor="page52">
        <w:r>
          <w:rPr>
            <w:rFonts w:ascii="Arial" w:cs="Arial" w:eastAsia="Arial" w:hAnsi="Arial"/>
            <w:sz w:val="18"/>
            <w:szCs w:val="18"/>
            <w:u w:val="single" w:color="auto"/>
            <w:color w:val="0000EE"/>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-293370</wp:posOffset>
            </wp:positionV>
            <wp:extent cx="71323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ind w:right="620"/>
        <w:spacing w:after="0" w:line="277" w:lineRule="auto"/>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Certification of Principal Financial Officer pursuant to Rules 13a-14(a) and 15d-14(a), as adopted pursuant to Section 302 of the</w:t>
        </w:r>
      </w:hyperlink>
      <w:r>
        <w:rPr>
          <w:rFonts w:ascii="Arial" w:cs="Arial" w:eastAsia="Arial" w:hAnsi="Arial"/>
          <w:sz w:val="18"/>
          <w:szCs w:val="18"/>
          <w:u w:val="single" w:color="auto"/>
          <w:color w:val="0000EE"/>
        </w:rPr>
        <w:t xml:space="preserve"> </w:t>
      </w:r>
      <w:hyperlink w:anchor="page53">
        <w:r>
          <w:rPr>
            <w:rFonts w:ascii="Arial" w:cs="Arial" w:eastAsia="Arial" w:hAnsi="Arial"/>
            <w:sz w:val="18"/>
            <w:szCs w:val="18"/>
            <w:u w:val="single" w:color="auto"/>
            <w:color w:val="0000EE"/>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-293370</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ind w:right="380"/>
        <w:spacing w:after="0" w:line="277" w:lineRule="auto"/>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Certification of Principal Executive Officer pursuant to 18 U.S.C Section 1350, as adopted pursuant to Section 906 of the Sarbanes-</w:t>
        </w:r>
      </w:hyperlink>
      <w:hyperlink w:anchor="page54">
        <w:r>
          <w:rPr>
            <w:rFonts w:ascii="Arial" w:cs="Arial" w:eastAsia="Arial" w:hAnsi="Arial"/>
            <w:sz w:val="18"/>
            <w:szCs w:val="18"/>
            <w:u w:val="single" w:color="auto"/>
            <w:color w:val="0000EE"/>
          </w:rPr>
          <w:t>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-293370</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spacing w:after="0" w:line="277" w:lineRule="auto"/>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Certification of Principal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-293370</wp:posOffset>
            </wp:positionV>
            <wp:extent cx="71323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following materials from ADMA Biologics, Inc.’s Form 10-Q for the quarter ended September 30, 2020, formatted in Extensible Business Reporting Language (XBRL): (i) Condensed Consolidated Balance Sheets as of September 30, 2020 (Unaudited) and December 31, 2019, (ii) Condensed Consolidated Statements of Operations (Unaudited) for the three and nine months ended September 30, 2020 and 2019, (iii) Condensed Consolidated Statements of Changes in Stockholders' Equity (Unaudited) for the three and nine months ended September 30, 2020 and 2019, (iv) Condensed Consolidated Statements of Cash Flows (Unaudited) for the nine months ended September 30, 2020 and 2019, and (v)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-845820</wp:posOffset>
            </wp:positionV>
            <wp:extent cx="7132320" cy="8229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620" w:space="720"/>
            <w:col w:w="9880"/>
          </w:cols>
          <w:pgMar w:left="320" w:top="337" w:right="359" w:bottom="686" w:gutter="0" w:footer="0" w:header="0"/>
          <w:type w:val="continuous"/>
        </w:sectPr>
      </w:pPr>
    </w:p>
    <w:p>
      <w:pPr>
        <w:ind w:left="1340" w:hanging="1332"/>
        <w:spacing w:after="0"/>
        <w:tabs>
          <w:tab w:leader="none" w:pos="1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5540" w:right="3920" w:hanging="5532"/>
        <w:spacing w:after="0" w:line="527" w:lineRule="auto"/>
        <w:tabs>
          <w:tab w:leader="none" w:pos="2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accordance with SEC Release 33-8238, Exhibit 32.1 and 32.2 are being furnished and not filed.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686"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 TO THE OPEN MARKET SALE AGREEMENT</w:t>
      </w:r>
      <w:r>
        <w:rPr>
          <w:rFonts w:ascii="Arial" w:cs="Arial" w:eastAsia="Arial" w:hAnsi="Arial"/>
          <w:sz w:val="29"/>
          <w:szCs w:val="29"/>
          <w:b w:val="1"/>
          <w:bCs w:val="1"/>
          <w:u w:val="single" w:color="auto"/>
          <w:color w:val="auto"/>
          <w:vertAlign w:val="superscript"/>
        </w:rPr>
        <w:t>SM</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9" w:lineRule="exact"/>
        <w:rPr>
          <w:sz w:val="20"/>
          <w:szCs w:val="20"/>
          <w:color w:val="auto"/>
        </w:rPr>
      </w:pPr>
    </w:p>
    <w:p>
      <w:pPr>
        <w:ind w:right="200" w:firstLine="648"/>
        <w:spacing w:after="0"/>
        <w:rPr>
          <w:sz w:val="20"/>
          <w:szCs w:val="20"/>
          <w:color w:val="auto"/>
        </w:rPr>
      </w:pPr>
      <w:r>
        <w:rPr>
          <w:rFonts w:ascii="Arial" w:cs="Arial" w:eastAsia="Arial" w:hAnsi="Arial"/>
          <w:sz w:val="16"/>
          <w:szCs w:val="16"/>
          <w:color w:val="auto"/>
        </w:rPr>
        <w:t>This Amendment No. 1 to the Open Market Sale Agreement</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as of the date first written above by ADMA Biologics,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Jefferies LLC as sales agent and/or principal (the “</w:t>
      </w:r>
      <w:r>
        <w:rPr>
          <w:rFonts w:ascii="Arial" w:cs="Arial" w:eastAsia="Arial" w:hAnsi="Arial"/>
          <w:sz w:val="16"/>
          <w:szCs w:val="16"/>
          <w:b w:val="1"/>
          <w:bCs w:val="1"/>
          <w:color w:val="auto"/>
        </w:rPr>
        <w:t>Agent</w:t>
      </w:r>
      <w:r>
        <w:rPr>
          <w:rFonts w:ascii="Arial" w:cs="Arial" w:eastAsia="Arial" w:hAnsi="Arial"/>
          <w:sz w:val="16"/>
          <w:szCs w:val="16"/>
          <w:color w:val="auto"/>
        </w:rPr>
        <w:t>”) that together are the parties to</w:t>
      </w:r>
    </w:p>
    <w:p>
      <w:pPr>
        <w:ind w:right="280"/>
        <w:spacing w:after="0" w:line="219" w:lineRule="auto"/>
        <w:rPr>
          <w:sz w:val="20"/>
          <w:szCs w:val="20"/>
          <w:color w:val="auto"/>
        </w:rPr>
      </w:pPr>
      <w:r>
        <w:rPr>
          <w:rFonts w:ascii="Arial" w:cs="Arial" w:eastAsia="Arial" w:hAnsi="Arial"/>
          <w:sz w:val="17"/>
          <w:szCs w:val="17"/>
          <w:color w:val="auto"/>
        </w:rPr>
        <w:t>that certain Open Market Sale Agreement</w:t>
      </w:r>
      <w:r>
        <w:rPr>
          <w:rFonts w:ascii="Arial" w:cs="Arial" w:eastAsia="Arial" w:hAnsi="Arial"/>
          <w:sz w:val="28"/>
          <w:szCs w:val="28"/>
          <w:color w:val="auto"/>
          <w:vertAlign w:val="superscript"/>
        </w:rPr>
        <w:t>SM</w:t>
      </w:r>
      <w:r>
        <w:rPr>
          <w:rFonts w:ascii="Arial" w:cs="Arial" w:eastAsia="Arial" w:hAnsi="Arial"/>
          <w:sz w:val="17"/>
          <w:szCs w:val="17"/>
          <w:color w:val="auto"/>
        </w:rPr>
        <w:t>, dated August 5, 2020 (the “</w:t>
      </w:r>
      <w:r>
        <w:rPr>
          <w:rFonts w:ascii="Arial" w:cs="Arial" w:eastAsia="Arial" w:hAnsi="Arial"/>
          <w:sz w:val="17"/>
          <w:szCs w:val="17"/>
          <w:b w:val="1"/>
          <w:bCs w:val="1"/>
          <w:color w:val="auto"/>
        </w:rPr>
        <w:t>Original Agreement</w:t>
      </w:r>
      <w:r>
        <w:rPr>
          <w:rFonts w:ascii="Arial" w:cs="Arial" w:eastAsia="Arial" w:hAnsi="Arial"/>
          <w:sz w:val="17"/>
          <w:szCs w:val="17"/>
          <w:color w:val="auto"/>
        </w:rPr>
        <w:t>”). All capitalized terms not defined herein shall have the meanings ascribed to them in the Original Agreement. The parties hereto, intending to be legally bound, hereby agree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preamble to the Original Agreement is hereby deleted in its entirety and replaced with the following:</w:t>
      </w:r>
    </w:p>
    <w:p>
      <w:pPr>
        <w:spacing w:after="0" w:line="221" w:lineRule="exact"/>
        <w:rPr>
          <w:sz w:val="20"/>
          <w:szCs w:val="20"/>
          <w:color w:val="auto"/>
        </w:rPr>
      </w:pPr>
    </w:p>
    <w:p>
      <w:pPr>
        <w:ind w:left="620" w:right="60"/>
        <w:spacing w:after="0" w:line="261" w:lineRule="auto"/>
        <w:rPr>
          <w:sz w:val="20"/>
          <w:szCs w:val="20"/>
          <w:color w:val="auto"/>
        </w:rPr>
      </w:pPr>
      <w:r>
        <w:rPr>
          <w:rFonts w:ascii="Arial" w:cs="Arial" w:eastAsia="Arial" w:hAnsi="Arial"/>
          <w:sz w:val="18"/>
          <w:szCs w:val="18"/>
          <w:color w:val="auto"/>
        </w:rPr>
        <w:t>“ADMA Biologics,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subject to the terms and conditions stated herein, to issue and sell from time to time through Jefferies LLC, as sales agent and/or principal (the “</w:t>
      </w:r>
      <w:r>
        <w:rPr>
          <w:rFonts w:ascii="Arial" w:cs="Arial" w:eastAsia="Arial" w:hAnsi="Arial"/>
          <w:sz w:val="18"/>
          <w:szCs w:val="18"/>
          <w:b w:val="1"/>
          <w:bCs w:val="1"/>
          <w:color w:val="auto"/>
        </w:rPr>
        <w:t>Agent</w:t>
      </w:r>
      <w:r>
        <w:rPr>
          <w:rFonts w:ascii="Arial" w:cs="Arial" w:eastAsia="Arial" w:hAnsi="Arial"/>
          <w:sz w:val="18"/>
          <w:szCs w:val="18"/>
          <w:color w:val="auto"/>
        </w:rPr>
        <w:t>”), shares of the Company’s common stock, par value $0.0001 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having an aggregate offering price of up to $70.0 million on the terms set forth in this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4" w:lineRule="exact"/>
        <w:rPr>
          <w:sz w:val="20"/>
          <w:szCs w:val="20"/>
          <w:color w:val="auto"/>
        </w:rPr>
      </w:pPr>
    </w:p>
    <w:p>
      <w:pPr>
        <w:ind w:left="220" w:right="640" w:hanging="212"/>
        <w:spacing w:after="0" w:line="277"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definition of “Maximum Program Amount” in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of the Original Agreement is hereby deleted in its entirety and replaced with the following:</w:t>
      </w:r>
    </w:p>
    <w:p>
      <w:pPr>
        <w:spacing w:after="0" w:line="166" w:lineRule="exact"/>
        <w:rPr>
          <w:sz w:val="20"/>
          <w:szCs w:val="20"/>
          <w:color w:val="auto"/>
        </w:rPr>
      </w:pPr>
    </w:p>
    <w:p>
      <w:pPr>
        <w:ind w:left="660" w:right="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Program Amount</w:t>
      </w:r>
      <w:r>
        <w:rPr>
          <w:rFonts w:ascii="Arial" w:cs="Arial" w:eastAsia="Arial" w:hAnsi="Arial"/>
          <w:sz w:val="17"/>
          <w:szCs w:val="17"/>
          <w:color w:val="auto"/>
        </w:rPr>
        <w:t>” means Common Shares with an aggregate Sales Price of the lesser of (a) $70.0 million, (b) the number or dollar amount of Common Shares registered under the effective Registration Statement (defined below) pursuant to which the offering is being made, (c) the number of authorized but unissued Common Shares (less Common Shares issuable upon exercise, conversion or exchange of any outstanding securities of the Company or otherwise reserved from the Company’s authorized capital stock), (d) the number or dollar amount of Common Shares permitted to be sold under Form S-3 (including General Instruction I.B.6 thereof, if applicable), or (e) the number or dollar amount of Common Shares for which the Company has filed a Prospectus (defined below).”</w:t>
      </w:r>
    </w:p>
    <w:p>
      <w:pPr>
        <w:spacing w:after="0" w:line="177" w:lineRule="exact"/>
        <w:rPr>
          <w:sz w:val="20"/>
          <w:szCs w:val="20"/>
          <w:color w:val="auto"/>
        </w:rPr>
      </w:pPr>
    </w:p>
    <w:p>
      <w:pPr>
        <w:ind w:left="220" w:right="660" w:hanging="212"/>
        <w:spacing w:after="0" w:line="263" w:lineRule="auto"/>
        <w:tabs>
          <w:tab w:leader="none" w:pos="2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shall file a Prospectus Supplement pursuant to Rule 424(b) under the Securities Act reflecting this Amendment anddisclose this Amendment in a Current Report on Form 8-K or in its Quarterly Report on Form 10-Q for the quarter ended September 30, 2020 within one (1) Business Day following the date hereof.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hanging="452"/>
        <w:spacing w:after="0" w:line="28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Company agrees to pay all costs, fees and expenses incurred in connection with entering into this Amendment and the performance of the Company’s obligations under the Original Agreement as amended by this Amendment and the transactions contemplated hereby and thereby, including without limitation, (i) all filing fees, attorneys’ fees and expenses incurred by the Company or any Agent in connection with qualifying or registering (or obtaining exemptions from the qualification or registration of) all or any part of the Shares authorized by this Amendment for offer and sale under the state securities or blue sky laws or the provincial securities laws of Canada, and, if requested by an Agent, preparing and printing a “Blue Sky Survey” or memorandum and a “Canadian wrapper” and any supplements thereto, advising the Agent of such qualifications, registrations, determinations and exemptions and (ii) the reasonable fees and disbursements of the Agent’s counsel, including the reasonable fees and expenses of counsel for the Agent in connection with, FINRA review, if any, and approval of the Agent’s participation in the offering and distribution of the Shares authorized by this Amendment. The fees and disbursements of Agent’s counsel pursuant to subsections (i) and (ii) above shall not exceed $50,000. For the avoidance of doubt, the $50,000 of fees and disbursements of Agent’s counsel that may become payable by the Company hereunder shall be in addition to the fees and disbursements of Agent’s counsel in connection with entering into the Original Agreement that were payable by the Company under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of the Agreement and up to $15,000 of fees and disbursements of Agent’s Counsel that may become payable by the Company pursuant to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of the Agreement in connection with each Triggering Event Date on which the Company is required to provide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of the Agreement; provided, however, that the Company’s filing of a Quarterly Report on Form 10-Q for the quarter ended September 30, 2020 shall not constitute a Triggering Event Date for purposes of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of the Agreement.</w:t>
      </w:r>
    </w:p>
    <w:p>
      <w:pPr>
        <w:spacing w:after="0" w:line="167" w:lineRule="exact"/>
        <w:rPr>
          <w:rFonts w:ascii="Arial" w:cs="Arial" w:eastAsia="Arial" w:hAnsi="Arial"/>
          <w:sz w:val="16"/>
          <w:szCs w:val="16"/>
          <w:color w:val="auto"/>
        </w:rPr>
      </w:pPr>
    </w:p>
    <w:p>
      <w:pPr>
        <w:ind w:left="460" w:right="320" w:hanging="452"/>
        <w:spacing w:after="0" w:line="25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the Agent that as of the date of this Amendment, this Amendment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spacing w:after="0" w:line="187" w:lineRule="exact"/>
        <w:rPr>
          <w:rFonts w:ascii="Arial" w:cs="Arial" w:eastAsia="Arial" w:hAnsi="Arial"/>
          <w:sz w:val="18"/>
          <w:szCs w:val="18"/>
          <w:color w:val="auto"/>
        </w:rPr>
      </w:pPr>
    </w:p>
    <w:p>
      <w:pPr>
        <w:ind w:left="460" w:right="20" w:hanging="452"/>
        <w:spacing w:after="0" w:line="253"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Amendment, together with the Original Agreement, constitutes the entire agreement of the parties hereto and supersedes all prior written or oral and all contemporaneous oral agreements, understandings and negotiations with respect to the subject matter hereof. This Amendment may not be amended or modified unless in writing by all the parties hereto, and no condition herein (express or implied) may be waived unless waived in writing by each party whom the condition is meant to benefit. The invalidity or unenforceability of any provision contained herein shall not affect the validity or enforceability of any other provision hereof. If any provision of this Amendment is for any reason determined to be invalid or unenforceable, there shall be deemed to be made such minor changes (and only such minor changes) as are necessary to make it valid and enforceable. All references in the Original Agreement to the “Agreement” shall mean the Original Agreement as amended by this Amendment; provided, however, that all references to “date of this Agreement” in the Original Agreement shall continue to refer to the date of the Original Agreement.</w:t>
      </w:r>
    </w:p>
    <w:p>
      <w:pPr>
        <w:sectPr>
          <w:pgSz w:w="11900" w:h="16838" w:orient="portrait"/>
          <w:cols w:equalWidth="0" w:num="1">
            <w:col w:w="11240"/>
          </w:cols>
          <w:pgMar w:left="320" w:top="121" w:right="339" w:bottom="23"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0" w:right="40" w:hanging="452"/>
        <w:spacing w:after="0" w:line="288"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Amendment shall be governed by and construed in accordance with the internal laws of the State of New York applicable to agreements made and to be performed in such state. Any legal suit, action or proceeding arising out of or based upon this Amendment or the transactions contemplated hereby or by the Original Agreement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8" w:lineRule="exact"/>
        <w:rPr>
          <w:rFonts w:ascii="Arial" w:cs="Arial" w:eastAsia="Arial" w:hAnsi="Arial"/>
          <w:sz w:val="16"/>
          <w:szCs w:val="16"/>
          <w:color w:val="auto"/>
        </w:rPr>
      </w:pPr>
    </w:p>
    <w:p>
      <w:pPr>
        <w:ind w:left="460" w:hanging="452"/>
        <w:spacing w:after="0" w:line="273"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Amendment may be executed in any number of counterparts, each of which shall be deemed to be an original, but all such counterparts shall together constitute one and the same instrument. Delivery of an executed amendment by one party to the other may be made by facsimile, electronic mail or other transmission method as permitted by applicable law, and the parties hereto agree that any counterpart so delivered shall be deemed to have been duly and validly delivered and be valid and effective for all purposes.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If the foregoing correctly sets forth the understanding between the Company and the Agent, please so indicate in the space provided below for that purpose, whereupon this Amendment shall constitute a binding amendment to the Original Agreement between the Company and the Agent.</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Magarro</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800" w:type="dxa"/>
            <w:vAlign w:val="bottom"/>
          </w:tcPr>
          <w:p>
            <w:pPr>
              <w:ind w:left="40"/>
              <w:spacing w:after="0" w:line="195" w:lineRule="exact"/>
              <w:rPr>
                <w:sz w:val="20"/>
                <w:szCs w:val="20"/>
                <w:color w:val="auto"/>
              </w:rPr>
            </w:pPr>
            <w:r>
              <w:rPr>
                <w:rFonts w:ascii="Arial" w:cs="Arial" w:eastAsia="Arial" w:hAnsi="Arial"/>
                <w:sz w:val="18"/>
                <w:szCs w:val="18"/>
                <w:color w:val="auto"/>
              </w:rPr>
              <w:t>Michael Magarro</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0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as of the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first-above 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14605</wp:posOffset>
            </wp:positionV>
            <wp:extent cx="17830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Adam Grossman</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Amendment No. 1 to the Open Market Sale Agreement</w:t>
      </w:r>
      <w:r>
        <w:rPr>
          <w:rFonts w:ascii="Arial" w:cs="Arial" w:eastAsia="Arial" w:hAnsi="Arial"/>
          <w:sz w:val="29"/>
          <w:szCs w:val="29"/>
          <w:i w:val="1"/>
          <w:iCs w:val="1"/>
          <w:color w:val="auto"/>
          <w:vertAlign w:val="superscript"/>
        </w:rPr>
        <w:t>SM</w:t>
      </w:r>
      <w:r>
        <w:rPr>
          <w:rFonts w:ascii="Arial" w:cs="Arial" w:eastAsia="Arial" w:hAnsi="Arial"/>
          <w:sz w:val="18"/>
          <w:szCs w:val="18"/>
          <w:i w:val="1"/>
          <w:iCs w:val="1"/>
          <w:color w:val="auto"/>
        </w:rPr>
        <w:t>]</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59915"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5991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November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ADMA Biologics,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465 State Route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Ramsey, NJ 07446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ADMA Biologics, Inc. Registration Statement on Form S-3 (333-234107)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540"/>
        <w:spacing w:after="0" w:line="270" w:lineRule="auto"/>
        <w:rPr>
          <w:sz w:val="20"/>
          <w:szCs w:val="20"/>
          <w:color w:val="auto"/>
        </w:rPr>
      </w:pPr>
      <w:r>
        <w:rPr>
          <w:rFonts w:ascii="Arial" w:cs="Arial" w:eastAsia="Arial" w:hAnsi="Arial"/>
          <w:sz w:val="17"/>
          <w:szCs w:val="17"/>
          <w:color w:val="auto"/>
        </w:rPr>
        <w:t>We have acted as counsel to ADMA Biologics, Inc., a Delaware corporation (the “Company”), in connection with the filing of a prospectus supplement, dated November 5, 2020 (the “Prospectus”), by the Company with the Securities and Exchange Commission (the “Commission”) on November 5, 2020 pursuant to Rule 424(b)(5) of the Securities Act of 1933, as amended (the “Act”), relating to the offer and sale by the Company of up to $20,000,000 aggregate offering amount of shares (the “Shares”) of the Company’s common stock, par value $0.0001 per share (the “Common Stock”), in an “at the market offering” as defined in Rule 415(a)(4) of the Act in accordance with the Open Market Sale AgreementSM, dated August 5, 2020 (the “Sale Agreement”), by and between the Company and Jefferies LLC (the “Agent”), as amended by Amendment No. 1 to the Open Market Sale AgreementSM, dated as of November 5, 2020, by and between the Company and the Agent (“Amendment No. 1,” and together with the Sale Agreement, as amended, the “Amended Sale Agreement”), pursuant to the referenced Registration Statement on Form S-3 (No. 333-234107) (the “Registration Statement”) filed with the Commission on October 4, 2019 and declared effective on October 15, 2019.</w:t>
      </w:r>
    </w:p>
    <w:p>
      <w:pPr>
        <w:spacing w:after="0" w:line="181" w:lineRule="exact"/>
        <w:rPr>
          <w:sz w:val="20"/>
          <w:szCs w:val="20"/>
          <w:color w:val="auto"/>
        </w:rPr>
      </w:pPr>
    </w:p>
    <w:p>
      <w:pPr>
        <w:ind w:right="120" w:firstLine="540"/>
        <w:spacing w:after="0" w:line="311" w:lineRule="auto"/>
        <w:rPr>
          <w:sz w:val="20"/>
          <w:szCs w:val="20"/>
          <w:color w:val="auto"/>
        </w:rPr>
      </w:pPr>
      <w:r>
        <w:rPr>
          <w:rFonts w:ascii="Arial" w:cs="Arial" w:eastAsia="Arial" w:hAnsi="Arial"/>
          <w:sz w:val="16"/>
          <w:szCs w:val="16"/>
          <w:color w:val="auto"/>
        </w:rPr>
        <w:t>As to all matters of fact (including factual conclusions and characterizations and descriptions of purpose, intention or other state of mind), we have relied, with your permission, entirely upon written actions by the Board of Directors of the Company and certificates of certain officers of the Company and have assumed, without independent inquiry, the accuracy of those certificates and written actions by the Board of Directors of the Company.</w:t>
      </w:r>
    </w:p>
    <w:p>
      <w:pPr>
        <w:spacing w:after="0" w:line="149" w:lineRule="exact"/>
        <w:rPr>
          <w:sz w:val="20"/>
          <w:szCs w:val="20"/>
          <w:color w:val="auto"/>
        </w:rPr>
      </w:pPr>
    </w:p>
    <w:p>
      <w:pPr>
        <w:jc w:val="both"/>
        <w:ind w:right="620" w:firstLine="540"/>
        <w:spacing w:after="0" w:line="301" w:lineRule="auto"/>
        <w:rPr>
          <w:sz w:val="20"/>
          <w:szCs w:val="20"/>
          <w:color w:val="auto"/>
        </w:rPr>
      </w:pPr>
      <w:r>
        <w:rPr>
          <w:rFonts w:ascii="Arial" w:cs="Arial" w:eastAsia="Arial" w:hAnsi="Arial"/>
          <w:sz w:val="16"/>
          <w:szCs w:val="16"/>
          <w:color w:val="auto"/>
        </w:rPr>
        <w:t>As counsel to the Company, in rendering the opinions hereinafter expressed, we have examined and relied upon originals or copies of such corporate records, agreements, documents and instruments as we have deemed necessary or advisable for purposes of this opinion, including (i) the certificate of incorporation and bylaws of the Company, (ii) the Registration Statement and the exhibits thereto filed with the Commission, (iii) the Prospectus, (iv) the Amended Sale Agreement and (v) the written actions of the Board of Directors of the Company referenced above.</w:t>
      </w:r>
    </w:p>
    <w:p>
      <w:pPr>
        <w:spacing w:after="0" w:line="157" w:lineRule="exact"/>
        <w:rPr>
          <w:sz w:val="20"/>
          <w:szCs w:val="20"/>
          <w:color w:val="auto"/>
        </w:rPr>
      </w:pPr>
    </w:p>
    <w:p>
      <w:pPr>
        <w:ind w:right="60" w:firstLine="540"/>
        <w:spacing w:after="0" w:line="286" w:lineRule="auto"/>
        <w:rPr>
          <w:sz w:val="20"/>
          <w:szCs w:val="20"/>
          <w:color w:val="auto"/>
        </w:rPr>
      </w:pPr>
      <w:r>
        <w:rPr>
          <w:rFonts w:ascii="Arial" w:cs="Arial" w:eastAsia="Arial" w:hAnsi="Arial"/>
          <w:sz w:val="17"/>
          <w:szCs w:val="17"/>
          <w:color w:val="auto"/>
        </w:rPr>
        <w:t>This opinion is limited solely to the Delaware General Corporation Law without regard to choice of law, to the extent that the same may apply to or govern the transactions contemplated by the Registration Statement. We express no opinion as to the effect of events occurring, circumstances arising, or changes of law becoming effective or occurring, after the date hereof on the matters addressed in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945515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113665</wp:posOffset>
            </wp:positionV>
            <wp:extent cx="2459990" cy="5740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5999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ADMA Biologics,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220" w:firstLine="540"/>
        <w:spacing w:after="0" w:line="263" w:lineRule="auto"/>
        <w:rPr>
          <w:sz w:val="20"/>
          <w:szCs w:val="20"/>
          <w:color w:val="auto"/>
        </w:rPr>
      </w:pPr>
      <w:r>
        <w:rPr>
          <w:rFonts w:ascii="Arial" w:cs="Arial" w:eastAsia="Arial" w:hAnsi="Arial"/>
          <w:sz w:val="18"/>
          <w:szCs w:val="18"/>
          <w:color w:val="auto"/>
        </w:rPr>
        <w:t>Based on such examination and subject to the foregoing, we are of the opinion that the Shares, when issued by the Company and delivered by the Company against payment therefor as contemplated by the Amended Sale Agreement, and an Issuance Notice (as defined in the Amended Sale Agreement), will be validly issued, fully paid and non-assessable.</w:t>
      </w:r>
    </w:p>
    <w:p>
      <w:pPr>
        <w:spacing w:after="0" w:line="184" w:lineRule="exact"/>
        <w:rPr>
          <w:sz w:val="20"/>
          <w:szCs w:val="20"/>
          <w:color w:val="auto"/>
        </w:rPr>
      </w:pPr>
    </w:p>
    <w:p>
      <w:pPr>
        <w:ind w:right="60" w:firstLine="540"/>
        <w:spacing w:after="0" w:line="275" w:lineRule="auto"/>
        <w:rPr>
          <w:sz w:val="20"/>
          <w:szCs w:val="20"/>
          <w:color w:val="auto"/>
        </w:rPr>
      </w:pPr>
      <w:r>
        <w:rPr>
          <w:rFonts w:ascii="Arial" w:cs="Arial" w:eastAsia="Arial" w:hAnsi="Arial"/>
          <w:sz w:val="17"/>
          <w:szCs w:val="17"/>
          <w:color w:val="auto"/>
        </w:rPr>
        <w:t>We hereby consent to the filing of this opinion letter as Exhibit 5.1 to the Registration Statement and to the reference to us under the caption “Legal Matters” in the Prospectus. In giving this consent, we do not admit that we are in the category of persons whose consent is required under Section 7 of the Act, or the rules and regulations of the Commission thereunder. In rendering this opinion, we are opining only as to the specific legal issues expressly set forth herein, and no opinion shall be inferred as to any other matter or matters. This opinion is intended solely for use in connection with the issuance and sale of the Shares subject to the Registration Statement and is not to be relied upon for any other purpose.</w:t>
      </w:r>
    </w:p>
    <w:p>
      <w:pPr>
        <w:spacing w:after="0" w:line="1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Morgan, Lewis &amp; Bockius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460" w:right="300" w:hanging="452"/>
        <w:spacing w:after="0" w:line="26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00" w:hanging="452"/>
        <w:spacing w:after="0" w:line="263"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20" w:right="100" w:hanging="453"/>
        <w:spacing w:after="0" w:line="263"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20" w:hanging="453"/>
        <w:spacing w:after="0" w:line="263"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20" w:right="580" w:hanging="453"/>
        <w:spacing w:after="0" w:line="342" w:lineRule="auto"/>
        <w:tabs>
          <w:tab w:leader="none" w:pos="9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00" w:hanging="453"/>
        <w:spacing w:after="0" w:line="263"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53"/>
        <w:spacing w:after="0" w:line="277"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520" w:hanging="453"/>
        <w:spacing w:after="0" w:line="277" w:lineRule="auto"/>
        <w:tabs>
          <w:tab w:leader="none" w:pos="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November 5,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720" w:type="dxa"/>
            <w:vAlign w:val="bottom"/>
          </w:tcPr>
          <w:p>
            <w:pPr>
              <w:spacing w:after="0"/>
              <w:rPr>
                <w:sz w:val="16"/>
                <w:szCs w:val="16"/>
                <w:color w:val="auto"/>
              </w:rPr>
            </w:pPr>
          </w:p>
        </w:tc>
        <w:tc>
          <w:tcPr>
            <w:tcW w:w="2480" w:type="dxa"/>
            <w:vAlign w:val="bottom"/>
          </w:tcPr>
          <w:p>
            <w:pPr>
              <w:ind w:left="19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ADMA Biologics, Inc.;</w:t>
      </w:r>
    </w:p>
    <w:p>
      <w:pPr>
        <w:spacing w:after="0" w:line="225" w:lineRule="exact"/>
        <w:rPr>
          <w:rFonts w:ascii="Arial" w:cs="Arial" w:eastAsia="Arial" w:hAnsi="Arial"/>
          <w:sz w:val="18"/>
          <w:szCs w:val="18"/>
          <w:color w:val="auto"/>
        </w:rPr>
      </w:pPr>
    </w:p>
    <w:p>
      <w:pPr>
        <w:jc w:val="both"/>
        <w:ind w:left="460" w:right="300" w:hanging="452"/>
        <w:spacing w:after="0" w:line="263"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right="280" w:hanging="452"/>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300" w:hanging="452"/>
        <w:spacing w:after="0" w:line="263"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20" w:right="100" w:hanging="453"/>
        <w:spacing w:after="0" w:line="263"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right="420" w:hanging="453"/>
        <w:spacing w:after="0" w:line="263"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20" w:right="580" w:hanging="453"/>
        <w:spacing w:after="0" w:line="342" w:lineRule="auto"/>
        <w:tabs>
          <w:tab w:leader="none" w:pos="9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20" w:right="100" w:hanging="453"/>
        <w:spacing w:after="0" w:line="263"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20" w:hanging="453"/>
        <w:spacing w:after="0" w:line="277"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520" w:hanging="453"/>
        <w:spacing w:after="0" w:line="277" w:lineRule="auto"/>
        <w:tabs>
          <w:tab w:leader="none" w:pos="9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November 5,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720" w:type="dxa"/>
            <w:vAlign w:val="bottom"/>
          </w:tcPr>
          <w:p>
            <w:pPr>
              <w:spacing w:after="0"/>
              <w:rPr>
                <w:sz w:val="16"/>
                <w:szCs w:val="16"/>
                <w:color w:val="auto"/>
              </w:rPr>
            </w:pPr>
          </w:p>
        </w:tc>
        <w:tc>
          <w:tcPr>
            <w:tcW w:w="2480" w:type="dxa"/>
            <w:vAlign w:val="bottom"/>
          </w:tcPr>
          <w:p>
            <w:pPr>
              <w:ind w:left="19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the Quarterly Report of ADMA Biologics, Inc., a Delaware corporation (the “Company”), on Form 10-Q for the quarter ended September 30, 2020,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87" w:lineRule="exact"/>
        <w:rPr>
          <w:sz w:val="20"/>
          <w:szCs w:val="20"/>
          <w:color w:val="auto"/>
        </w:rPr>
      </w:pPr>
    </w:p>
    <w:p>
      <w:pPr>
        <w:ind w:left="920" w:hanging="453"/>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660" w:hanging="453"/>
        <w:spacing w:after="0" w:line="277" w:lineRule="auto"/>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November 5,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720" w:type="dxa"/>
            <w:vAlign w:val="bottom"/>
          </w:tcPr>
          <w:p>
            <w:pPr>
              <w:spacing w:after="0"/>
              <w:rPr>
                <w:sz w:val="16"/>
                <w:szCs w:val="16"/>
                <w:color w:val="auto"/>
              </w:rPr>
            </w:pPr>
          </w:p>
        </w:tc>
        <w:tc>
          <w:tcPr>
            <w:tcW w:w="2480" w:type="dxa"/>
            <w:vAlign w:val="bottom"/>
          </w:tcPr>
          <w:p>
            <w:pPr>
              <w:ind w:left="19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connection with the Quarterly Report of ADMA Biologics, Inc., a Delaware corporation (the “Company”), on Form 10-Q for the quarter ended September 30, 2020, as filed with the Securities and Exchange Commission on the date hereof (the “Report”), I, Brian Lenz, Chief Financial Officer of the Company, hereby certify, pursuant to 18 U.S.C. § 1350, as adopted pursuant to Section 906 of the Sarbanes-Oxley Act of 2002, that to my knowledge:</w:t>
      </w:r>
    </w:p>
    <w:p>
      <w:pPr>
        <w:spacing w:after="0" w:line="149" w:lineRule="exact"/>
        <w:rPr>
          <w:sz w:val="20"/>
          <w:szCs w:val="20"/>
          <w:color w:val="auto"/>
        </w:rPr>
      </w:pPr>
    </w:p>
    <w:p>
      <w:pPr>
        <w:ind w:left="920" w:hanging="453"/>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20" w:right="660" w:hanging="453"/>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November 5, 2020</w:t>
            </w: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3720" w:type="dxa"/>
            <w:vAlign w:val="bottom"/>
          </w:tcPr>
          <w:p>
            <w:pPr>
              <w:spacing w:after="0"/>
              <w:rPr>
                <w:sz w:val="16"/>
                <w:szCs w:val="16"/>
                <w:color w:val="auto"/>
              </w:rPr>
            </w:pPr>
          </w:p>
        </w:tc>
        <w:tc>
          <w:tcPr>
            <w:tcW w:w="2480" w:type="dxa"/>
            <w:vAlign w:val="bottom"/>
          </w:tcPr>
          <w:p>
            <w:pPr>
              <w:ind w:left="1920"/>
              <w:spacing w:after="0" w:line="195"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Brian Lenz</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w w:val="93"/>
              </w:rPr>
              <w:t>Executive Vice President and Chief Financial Officer</w:t>
            </w: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2"/>
    </w:lvl>
  </w:abstractNum>
  <w:abstractNum w:abstractNumId="7">
    <w:nsid w:val="79838CB2"/>
    <w:multiLevelType w:val="hybridMultilevel"/>
    <w:lvl w:ilvl="0">
      <w:lvlJc w:val="left"/>
      <w:lvlText w:val="%1."/>
      <w:numFmt w:val="decimal"/>
      <w:start w:val="4"/>
    </w:lvl>
  </w:abstractNum>
  <w:abstractNum w:abstractNumId="8">
    <w:nsid w:val="4353D0CD"/>
    <w:multiLevelType w:val="hybridMultilevel"/>
    <w:lvl w:ilvl="0">
      <w:lvlJc w:val="left"/>
      <w:lvlText w:val="%1."/>
      <w:numFmt w:val="decimal"/>
      <w:start w:val="6"/>
    </w:lvl>
  </w:abstractNum>
  <w:abstractNum w:abstractNumId="9">
    <w:nsid w:val="B03E0C6"/>
    <w:multiLevelType w:val="hybridMultilevel"/>
    <w:lvl w:ilvl="0">
      <w:lvlJc w:val="left"/>
      <w:lvlText w:val="(%1)"/>
      <w:numFmt w:val="lowerRoman"/>
      <w:start w:val="2"/>
    </w:lvl>
  </w:abstractNum>
  <w:abstractNum w:abstractNumId="10">
    <w:nsid w:val="189A769B"/>
    <w:multiLevelType w:val="hybridMultilevel"/>
    <w:lvl w:ilvl="0">
      <w:lvlJc w:val="left"/>
      <w:lvlText w:val="%1"/>
      <w:numFmt w:val="upperLetter"/>
      <w:start w:val="61"/>
    </w:lvl>
  </w:abstractNum>
  <w:abstractNum w:abstractNumId="11">
    <w:nsid w:val="54E49EB4"/>
    <w:multiLevelType w:val="hybridMultilevel"/>
    <w:lvl w:ilvl="0">
      <w:lvlJc w:val="left"/>
      <w:lvlText w:val="%1."/>
      <w:numFmt w:val="decimal"/>
      <w:start w:val="7"/>
    </w:lvl>
  </w:abstractNum>
  <w:abstractNum w:abstractNumId="12">
    <w:nsid w:val="71F32454"/>
    <w:multiLevelType w:val="hybridMultilevel"/>
    <w:lvl w:ilvl="0">
      <w:lvlJc w:val="left"/>
      <w:lvlText w:val="%1."/>
      <w:numFmt w:val="decimal"/>
      <w:start w:val="8"/>
    </w:lvl>
  </w:abstractNum>
  <w:abstractNum w:abstractNumId="13">
    <w:nsid w:val="2CA88611"/>
    <w:multiLevelType w:val="hybridMultilevel"/>
    <w:lvl w:ilvl="0">
      <w:lvlJc w:val="left"/>
      <w:lvlText w:val="(%1)"/>
      <w:numFmt w:val="lowerRoman"/>
      <w:start w:val="5"/>
    </w:lvl>
  </w:abstractNum>
  <w:abstractNum w:abstractNumId="14">
    <w:nsid w:val="836C40E"/>
    <w:multiLevelType w:val="hybridMultilevel"/>
    <w:lvl w:ilvl="0">
      <w:lvlJc w:val="left"/>
      <w:lvlText w:val="%1."/>
      <w:numFmt w:val="decimal"/>
      <w:start w:val="9"/>
    </w:lvl>
  </w:abstractNum>
  <w:abstractNum w:abstractNumId="15">
    <w:nsid w:val="2901D82"/>
    <w:multiLevelType w:val="hybridMultilevel"/>
    <w:lvl w:ilvl="0">
      <w:lvlJc w:val="left"/>
      <w:lvlText w:val="%1."/>
      <w:numFmt w:val="decimal"/>
      <w:start w:val="10"/>
    </w:lvl>
  </w:abstractNum>
  <w:abstractNum w:abstractNumId="16">
    <w:nsid w:val="3A95F874"/>
    <w:multiLevelType w:val="hybridMultilevel"/>
    <w:lvl w:ilvl="0">
      <w:lvlJc w:val="left"/>
      <w:lvlText w:val="%1."/>
      <w:numFmt w:val="decimal"/>
      <w:start w:val="11"/>
    </w:lvl>
  </w:abstractNum>
  <w:abstractNum w:abstractNumId="17">
    <w:nsid w:val="8138641"/>
    <w:multiLevelType w:val="hybridMultilevel"/>
    <w:lvl w:ilvl="0">
      <w:lvlJc w:val="left"/>
      <w:lvlText w:val="%1."/>
      <w:numFmt w:val="decimal"/>
      <w:start w:val="12"/>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04"/>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2"/>
    </w:lvl>
  </w:abstractNum>
  <w:abstractNum w:abstractNumId="35">
    <w:nsid w:val="5E884ADC"/>
    <w:multiLevelType w:val="hybridMultilevel"/>
    <w:lvl w:ilvl="0">
      <w:lvlJc w:val="left"/>
      <w:lvlText w:val="%1."/>
      <w:numFmt w:val="decimal"/>
      <w:start w:val="3"/>
    </w:lvl>
  </w:abstractNum>
  <w:abstractNum w:abstractNumId="36">
    <w:nsid w:val="51EAD36B"/>
    <w:multiLevelType w:val="hybridMultilevel"/>
    <w:lvl w:ilvl="0">
      <w:lvlJc w:val="left"/>
      <w:lvlText w:val="%1."/>
      <w:numFmt w:val="decimal"/>
      <w:start w:val="4"/>
    </w:lvl>
  </w:abstractNum>
  <w:abstractNum w:abstractNumId="37">
    <w:nsid w:val="2D517796"/>
    <w:multiLevelType w:val="hybridMultilevel"/>
    <w:lvl w:ilvl="0">
      <w:lvlJc w:val="left"/>
      <w:lvlText w:val="%1."/>
      <w:numFmt w:val="decimal"/>
      <w:start w:val="7"/>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2020-11-05T17:14:52Z</dcterms:created>
  <dcterms:modified xsi:type="dcterms:W3CDTF">2020-11-05T17:14:52Z</dcterms:modified>
</cp:coreProperties>
</file>