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5" w:lineRule="exact"/>
        <w:rPr>
          <w:sz w:val="24"/>
          <w:szCs w:val="24"/>
          <w:color w:val="auto"/>
        </w:rPr>
      </w:pPr>
    </w:p>
    <w:p>
      <w:pPr>
        <w:ind w:left="660" w:right="1920" w:hanging="652"/>
        <w:spacing w:after="0" w:line="261"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June 30, 2022</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220" w:right="1900" w:hanging="212"/>
        <w:spacing w:after="0" w:line="253" w:lineRule="auto"/>
        <w:tabs>
          <w:tab w:leader="none" w:pos="66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001-36728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ADMA BIOLOGICS,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60" w:type="dxa"/>
            <w:vAlign w:val="bottom"/>
            <w:gridSpan w:val="3"/>
          </w:tcPr>
          <w:p>
            <w:pPr>
              <w:jc w:val="center"/>
              <w:ind w:right="2980"/>
              <w:spacing w:after="0"/>
              <w:rPr>
                <w:sz w:val="20"/>
                <w:szCs w:val="20"/>
                <w:color w:val="auto"/>
              </w:rPr>
            </w:pPr>
            <w:r>
              <w:rPr>
                <w:rFonts w:ascii="Times New Roman" w:cs="Times New Roman" w:eastAsia="Times New Roman" w:hAnsi="Times New Roman"/>
                <w:sz w:val="18"/>
                <w:szCs w:val="18"/>
                <w:color w:val="auto"/>
                <w:w w:val="98"/>
              </w:rPr>
              <w:t>Delaware</w:t>
            </w:r>
          </w:p>
        </w:tc>
        <w:tc>
          <w:tcPr>
            <w:tcW w:w="37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5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720" w:type="dxa"/>
            <w:vAlign w:val="bottom"/>
          </w:tcPr>
          <w:p>
            <w:pPr>
              <w:spacing w:after="0"/>
              <w:rPr>
                <w:sz w:val="24"/>
                <w:szCs w:val="24"/>
                <w:color w:val="auto"/>
              </w:rPr>
            </w:pPr>
          </w:p>
        </w:tc>
        <w:tc>
          <w:tcPr>
            <w:tcW w:w="480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28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(201) 478-5552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70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8980" w:val="left"/>
          <w:tab w:leader="none" w:pos="96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5, 2022, there were 196,357,149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82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2022 (Unaudited) and December 31, 2021</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 June</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7620" w:type="dxa"/>
            <w:vAlign w:val="bottom"/>
            <w:tcBorders>
              <w:top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 2022 and 2021</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and Six</w:t>
            </w:r>
          </w:p>
        </w:tc>
        <w:tc>
          <w:tcPr>
            <w:tcW w:w="5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26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2022 and 2021</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Six Months Ended June 30, 2022</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7580" w:type="dxa"/>
            <w:vAlign w:val="bottom"/>
            <w:tcBorders>
              <w:top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680" w:type="dxa"/>
            <w:vAlign w:val="bottom"/>
            <w:tcBorders>
              <w:top w:val="single" w:sz="8" w:color="CCEEFF"/>
            </w:tcBorders>
            <w:gridSpan w:val="3"/>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2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2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spacing w:after="0" w:line="212" w:lineRule="auto"/>
        <w:rPr>
          <w:sz w:val="20"/>
          <w:szCs w:val="20"/>
          <w:color w:val="auto"/>
        </w:rPr>
      </w:pPr>
      <w:r>
        <w:rPr>
          <w:rFonts w:ascii="Times New Roman" w:cs="Times New Roman" w:eastAsia="Times New Roman" w:hAnsi="Times New Roman"/>
          <w:sz w:val="18"/>
          <w:szCs w:val="18"/>
          <w:color w:val="auto"/>
        </w:rPr>
        <w:t>This Quarterly Report on Form 10-Q includes our trademarks, trade names and service marks, such as “ASCENIV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“Nabi-HB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“BIVIGAM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which are protected under applicable intellectual property laws and are the property of ADMA Biologics, Inc., or its subsidiaries. Solely for convenience, trademarks, trade names and service marks referred to in this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76"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BIVIGAM and ASCENIV on a commercial scale and further commercialize these products as a result of their approval by the U.S. Food and Drug Administration (the “FDA”) in 2019;</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commercial infrastructure and commercialize our current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6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 for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customers and vendors and their compliance with applicable regulatory requirements;</w:t>
      </w:r>
    </w:p>
    <w:p>
      <w:pPr>
        <w:spacing w:after="0" w:line="22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BIVIGAM, ASCENIV and Nabi-HB, for any purpose, including FDA-approved indications, by physicians, patients or payers;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evaluate the clinical and regulatory paths to grow the ASCENIV franchise through expanded FDA-approved uses;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regulatory and business review processes and timing by such governmental and regulatory agencies of our business and regulatory submissions;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concerning our products and product candidates;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hyperimmune and immune globulin (“IG”) products to other comparably run hyperimmune and immune globulin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ASCENIV and BIVIGAM to provide meaningful clinical improvement for patients living with Primary Immune Deficiency</w:t>
      </w:r>
    </w:p>
    <w:p>
      <w:pPr>
        <w:spacing w:after="0" w:line="27" w:lineRule="exact"/>
        <w:rPr>
          <w:sz w:val="20"/>
          <w:szCs w:val="20"/>
          <w:color w:val="auto"/>
        </w:rPr>
      </w:pPr>
    </w:p>
    <w:p>
      <w:pPr>
        <w:ind w:left="660" w:right="440"/>
        <w:spacing w:after="0" w:line="260" w:lineRule="auto"/>
        <w:rPr>
          <w:sz w:val="20"/>
          <w:szCs w:val="20"/>
          <w:color w:val="auto"/>
        </w:rPr>
      </w:pPr>
      <w:r>
        <w:rPr>
          <w:rFonts w:ascii="Times New Roman" w:cs="Times New Roman" w:eastAsia="Times New Roman" w:hAnsi="Times New Roman"/>
          <w:sz w:val="18"/>
          <w:szCs w:val="18"/>
          <w:color w:val="auto"/>
        </w:rPr>
        <w:t>Disease, Primary Humoral Immunodeficiency Disease (“PIDD” or “PI”) or other immune deficiencies or any other condition for which the products may be prescribed or evaluated;</w:t>
      </w:r>
    </w:p>
    <w:p>
      <w:pPr>
        <w:spacing w:after="0" w:line="181" w:lineRule="exact"/>
        <w:rPr>
          <w:sz w:val="20"/>
          <w:szCs w:val="20"/>
          <w:color w:val="auto"/>
        </w:rPr>
      </w:pPr>
    </w:p>
    <w:p>
      <w:pPr>
        <w:ind w:left="660" w:right="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with increasing competition from other antiviral therapies and to generate meaningful revenues from this product;</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5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third-party contractor capabilities and vertical integration strategy;</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revenues, expenses, capital requirements, timing to profitability and positive cash flows and the need for and availability of additional financing;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w:t>
      </w:r>
    </w:p>
    <w:p>
      <w:pPr>
        <w:spacing w:after="0" w:line="225"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of our existing products as well as our expectations of market acceptance of ASCENIV and BIVIGAM;</w:t>
      </w:r>
    </w:p>
    <w:p>
      <w:pPr>
        <w:spacing w:after="0" w:line="161"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coronavirus COVID-19 pandemic or other pandemics on our business, financial condition, liquidity and results of operations, and our ability to continue operations in the same manner as previously conducted prior to the macroeconomic effects of the COVID-19 pandemic;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domestic and global economic conditions including, but not limited to, supply chain constraints, inflationary pressures or performance.</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2021 and in this Quarterly Report on Form 10-Q for the quarter ended June 30, 2022.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52,415,053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51,089,118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18,883,847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28,576,857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146,075,459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124,724,091</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5,399,928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4,339,245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222,774,287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208,729,311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54,951,267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50,935,074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1,371,092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1,728,768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3,529,509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3,529,509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to use assets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10,550,236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7,262,658</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3,755,938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4,067,404</w:t>
            </w: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296,932,329</w:t>
            </w:r>
          </w:p>
        </w:tc>
        <w:tc>
          <w:tcPr>
            <w:tcW w:w="20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276,252,724</w:t>
            </w:r>
          </w:p>
        </w:tc>
        <w:tc>
          <w:tcPr>
            <w:tcW w:w="100" w:type="dxa"/>
            <w:vAlign w:val="bottom"/>
            <w:shd w:val="clear" w:color="auto" w:fill="CCEEFF"/>
          </w:tcPr>
          <w:p>
            <w:pPr>
              <w:spacing w:after="0"/>
              <w:rPr>
                <w:sz w:val="22"/>
                <w:szCs w:val="22"/>
                <w:color w:val="auto"/>
              </w:rPr>
            </w:pPr>
          </w:p>
        </w:tc>
      </w:tr>
      <w:tr>
        <w:trPr>
          <w:trHeight w:val="210"/>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11,388,048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12,429,409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15,961,070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17,214,988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142,834</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579,661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591,084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28,071,613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30,378,315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payable, net of discount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139,810,931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94,866,239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1,904,448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1,975,865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10,870,907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7,462,388</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373,903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397,351</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182,531,802</w:t>
            </w:r>
          </w:p>
        </w:tc>
        <w:tc>
          <w:tcPr>
            <w:tcW w:w="20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135,080,158</w:t>
            </w:r>
          </w:p>
        </w:tc>
        <w:tc>
          <w:tcPr>
            <w:tcW w:w="100" w:type="dxa"/>
            <w:vAlign w:val="bottom"/>
            <w:shd w:val="clear" w:color="auto" w:fill="CCEEFF"/>
          </w:tcPr>
          <w:p>
            <w:pPr>
              <w:spacing w:after="0"/>
              <w:rPr>
                <w:sz w:val="19"/>
                <w:szCs w:val="19"/>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 voting, $0.0001 par value, 300,000,000 shares authorized, 196,356,232 and 195,813,817 shares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19,581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565,266,375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553,265,706</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(450,885,484)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(412,112,721)</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114,400,527</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141,172,566</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296,932,329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276,252,724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33,869,298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17,794,881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62,936,683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33,807,791</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revenue</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35,709</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71,417</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71,417</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33,905,007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17,830,590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63,008,100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33,879,208</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26,135,614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18,832,624</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51,576,660</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36,602,746</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7,769,393</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(1,002,034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11,431,440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(2,723,538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1,158,866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1,497,497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2,146,515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3,921,486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2,803,326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7,896,075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5,045,669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178,838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357,676</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357,676</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10,438,168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25,669,997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20,472,083</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16,944,132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14,579,198</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35,421,245</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28,021,943</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tcPr>
          <w:p>
            <w:pPr>
              <w:spacing w:after="0"/>
              <w:rPr>
                <w:sz w:val="19"/>
                <w:szCs w:val="19"/>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(9,174,739)</w:t>
            </w:r>
          </w:p>
        </w:tc>
        <w:tc>
          <w:tcPr>
            <w:tcW w:w="1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(15,581,232)</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(23,989,805)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(30,745,481)</w:t>
            </w:r>
          </w:p>
        </w:tc>
      </w:tr>
      <w:tr>
        <w:trPr>
          <w:trHeight w:val="216"/>
        </w:trPr>
        <w:tc>
          <w:tcPr>
            <w:tcW w:w="5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35,337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27,985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(4,573,015)</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(3,246,680)</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(7,962,053)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(6,442,430)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(6,669,941)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tcPr>
          <w:p>
            <w:pPr>
              <w:spacing w:after="0"/>
              <w:rPr>
                <w:sz w:val="19"/>
                <w:szCs w:val="19"/>
                <w:color w:val="auto"/>
              </w:rPr>
            </w:pPr>
          </w:p>
        </w:tc>
        <w:tc>
          <w:tcPr>
            <w:tcW w:w="13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(19,421)</w:t>
            </w:r>
          </w:p>
        </w:tc>
        <w:tc>
          <w:tcPr>
            <w:tcW w:w="16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(83,317)</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(186,301)</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(125,318)</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(4,590,167</w:t>
            </w:r>
          </w:p>
        </w:tc>
        <w:tc>
          <w:tcPr>
            <w:tcW w:w="2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(3,324,071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(14,782,958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(6,539,763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(13,764,906)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(18,905,303)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(38,772,763)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(37,285,244)</w:t>
            </w:r>
          </w:p>
        </w:tc>
      </w:tr>
      <w:tr>
        <w:trPr>
          <w:trHeight w:val="210"/>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10"/>
        </w:trPr>
        <w:tc>
          <w:tcPr>
            <w:tcW w:w="59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196,353,185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127,416,126</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196,113,888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121,571,501</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2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195,813,817</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19,581</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553,265,706</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(412,112,721)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141,172,566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1,641,388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1,641,388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9,569,604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9,569,604</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and retired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533,712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(442,690)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(442,636)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(25,007,857)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(25,007,857)</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196,347,529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564,034,008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(437,120,578)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126,933,065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1,191,047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1,191,047</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and retired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41,321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(13,764,906)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(13,764,906)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196,356,232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565,266,375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(450,885,484)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114,400,527</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700" w:type="dxa"/>
            <w:vAlign w:val="bottom"/>
            <w:gridSpan w:val="9"/>
          </w:tcPr>
          <w:p>
            <w:pPr>
              <w:ind w:left="36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62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8"/>
        </w:trPr>
        <w:tc>
          <w:tcPr>
            <w:tcW w:w="4620" w:type="dxa"/>
            <w:vAlign w:val="bottom"/>
          </w:tcPr>
          <w:p>
            <w:pPr>
              <w:spacing w:after="0"/>
              <w:rPr>
                <w:sz w:val="18"/>
                <w:szCs w:val="18"/>
                <w:color w:val="auto"/>
              </w:rPr>
            </w:pPr>
          </w:p>
        </w:tc>
        <w:tc>
          <w:tcPr>
            <w:tcW w:w="27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104,902,888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428,704,039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(340,465,103)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88,249,426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781,397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781,397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 of offering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18,080,708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41,910,707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41,912,515</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 for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taxes and retired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61,385</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(59,311)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(18,379,941)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(18,379,941)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123,044,981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471,336,826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(358,845,044)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112,504,086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805,189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805,189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net of offering expenses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8,827,045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17,188,677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17,189,560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(18,905,303)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(18,905,303)</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131,872,026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489,330,692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 (377,750,347)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111,593,532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(38,772,763)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(37,285,244)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2,555,622</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78,135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in kind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1,586,586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908,151</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6,669,941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(71,417)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9,693,011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(10,307,304)</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(21,351,368)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(18,164,144)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(1,060,683)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(2,655,397)</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(144,657)</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(1,041,361)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(4,906,244)</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(1,461,621)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2,980,534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(254,991)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(65,984)</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(38,844,181)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(65,491,363)</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(6,782,169)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(7,046,735)</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(6,782,169)</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(7,046,735)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59,102,075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refinancing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note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on vested Restricted Stock Units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(401,315)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(59,311)</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(18,034)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(16,860)</w:t>
            </w:r>
          </w:p>
        </w:tc>
      </w:tr>
      <w:tr>
        <w:trPr>
          <w:trHeight w:val="223"/>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(2,378,366)</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top w:val="single" w:sz="8" w:color="CCEEFF"/>
            </w:tcBorders>
          </w:tcPr>
          <w:p>
            <w:pPr>
              <w:spacing w:after="0"/>
              <w:rPr>
                <w:sz w:val="19"/>
                <w:szCs w:val="19"/>
                <w:color w:val="auto"/>
              </w:rPr>
            </w:pPr>
          </w:p>
        </w:tc>
        <w:tc>
          <w:tcPr>
            <w:tcW w:w="8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46,952,285</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59,025,904</w:t>
            </w:r>
          </w:p>
        </w:tc>
        <w:tc>
          <w:tcPr>
            <w:tcW w:w="100" w:type="dxa"/>
            <w:vAlign w:val="bottom"/>
            <w:tcBorders>
              <w:top w:val="single" w:sz="8" w:color="CCEEFF"/>
            </w:tcBorders>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1,325,935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(13,512,194)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51,089,118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55,921,152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52,415,053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42,408,958</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9" w:lineRule="exact"/>
        <w:rPr>
          <w:sz w:val="20"/>
          <w:szCs w:val="20"/>
          <w:color w:val="auto"/>
        </w:rPr>
      </w:pPr>
    </w:p>
    <w:p>
      <w:pPr>
        <w:ind w:right="80" w:firstLine="607"/>
        <w:spacing w:after="0" w:line="261" w:lineRule="auto"/>
        <w:rPr>
          <w:sz w:val="20"/>
          <w:szCs w:val="20"/>
          <w:color w:val="auto"/>
        </w:rPr>
      </w:pPr>
      <w:r>
        <w:rPr>
          <w:rFonts w:ascii="Times New Roman" w:cs="Times New Roman" w:eastAsia="Times New Roman" w:hAnsi="Times New Roman"/>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firstLine="607"/>
        <w:spacing w:after="0" w:line="254" w:lineRule="auto"/>
        <w:rPr>
          <w:sz w:val="20"/>
          <w:szCs w:val="20"/>
          <w:color w:val="auto"/>
        </w:rPr>
      </w:pPr>
      <w:r>
        <w:rPr>
          <w:rFonts w:ascii="Times New Roman" w:cs="Times New Roman" w:eastAsia="Times New Roman" w:hAnsi="Times New Roman"/>
          <w:sz w:val="18"/>
          <w:szCs w:val="18"/>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of BTBU, including the U.S. Food and Drug Administration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ten plasma collection facilities in various stages of approval and development located throughout the U.S., six of which hold an approved license with the FDA, with two additional collection facilities in operation and collecting plasma presently under FDA licensing preparation and review and another two facilities under construction.</w:t>
      </w:r>
    </w:p>
    <w:p>
      <w:pPr>
        <w:spacing w:after="0" w:line="188" w:lineRule="exact"/>
        <w:rPr>
          <w:sz w:val="20"/>
          <w:szCs w:val="20"/>
          <w:color w:val="auto"/>
        </w:rPr>
      </w:pPr>
    </w:p>
    <w:p>
      <w:pPr>
        <w:ind w:right="40" w:firstLine="607"/>
        <w:spacing w:after="0" w:line="253" w:lineRule="auto"/>
        <w:rPr>
          <w:sz w:val="20"/>
          <w:szCs w:val="20"/>
          <w:color w:val="auto"/>
        </w:rPr>
      </w:pPr>
      <w:r>
        <w:rPr>
          <w:rFonts w:ascii="Times New Roman" w:cs="Times New Roman" w:eastAsia="Times New Roman" w:hAnsi="Times New Roman"/>
          <w:sz w:val="18"/>
          <w:szCs w:val="18"/>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94"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As of June 30, 2022, the Company had working capital of $194.7 million, including $52.4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together with the remaining available funds under the distribution agreement entered into in September of 2021 (see Note 8) and the net proceeds received and expected to be received from the refinancing of the Company’s senior debt on March 23, 2022 (see Note 7), will be sufficient to fund ADMA’s operations, as currently conducted, into the first quarter of 2024, at which time the Company believes it will begin to generate positive cash flow from operations. These estimates may change based upon several factors, including the success of the Company’s commercial efforts with respect to the sale of its products, whether or not the assumptions underlying the Company’s projected revenues and expenses are correct and the acceptability of ADMA’s immune globulin products by physicians, patients or payers. There can be no assurance that the Company’s approved products will be commercially viable, or that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 The Company is also continuing to evaluate a variety of strategic alternatives through its ongoing engagement with Morgan Stanley as a financial advisor.</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0" w:lineRule="exact"/>
        <w:rPr>
          <w:sz w:val="20"/>
          <w:szCs w:val="20"/>
          <w:color w:val="auto"/>
        </w:rPr>
      </w:pP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should be read in conjunction with the annual audited consolidated financial statements and notes thereto as of and for the year ended December 31, 2021 included in the Company’s Annual Report on Form 10-K filed with the U.S. Securities and Exchange Commission (the “SEC”) on March 24, 2022. The accompanying consolidated balance sheet as of December 31, 2021 was derived from the audited financial statements as of and for the year ended December 31, 2021.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June 30, 2022, its results of operations and changes in stockholders’ equity for the three and six months ended June 30, 2022 and 2021 and cash flows for the six months ended June 30, 2022 and 2021.</w:t>
      </w:r>
    </w:p>
    <w:p>
      <w:pPr>
        <w:spacing w:after="0" w:line="17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7) approximates fair value due to the variable interest rate on this debt.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Accounts receivable is reported at realizable value, net of allowances for contractual credits and doubtful accounts in the amount of $0.1 million and $0.2 million at June 30, 2022 and December 31, 2021, respectively, which are recognized in the period the related revenue is recorded. </w:t>
      </w:r>
      <w:r>
        <w:rPr>
          <w:rFonts w:ascii="Times New Roman" w:cs="Times New Roman" w:eastAsia="Times New Roman" w:hAnsi="Times New Roman"/>
          <w:sz w:val="18"/>
          <w:szCs w:val="18"/>
          <w:color w:val="212529"/>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extends credit to its customers based upon an evaluation of each customer’s financial condition and credit history. Evaluations of the financial condition and associated credit risk of customers are performed on an ongoing basis. </w:t>
      </w:r>
      <w:r>
        <w:rPr>
          <w:rFonts w:ascii="Times New Roman" w:cs="Times New Roman" w:eastAsia="Times New Roman" w:hAnsi="Times New Roman"/>
          <w:sz w:val="18"/>
          <w:szCs w:val="18"/>
          <w:color w:val="000000"/>
        </w:rPr>
        <w:t>Based on these evaluations, the Company has concluded that its credit risk 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minimal. At June 30, 2022, three customers accounted for an aggregate of 84% of the Company’s total accounts receivable, and at December 31, 2021, three customers accounted for approximately 94% of the Company’s total accounts receivable.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Inventories</w:t>
      </w:r>
    </w:p>
    <w:p>
      <w:pPr>
        <w:spacing w:after="0" w:line="227" w:lineRule="exact"/>
        <w:rPr>
          <w:sz w:val="20"/>
          <w:szCs w:val="20"/>
          <w:color w:val="auto"/>
        </w:rPr>
      </w:pPr>
    </w:p>
    <w:p>
      <w:pPr>
        <w:ind w:right="60" w:firstLine="607"/>
        <w:spacing w:after="0" w:line="256" w:lineRule="auto"/>
        <w:rPr>
          <w:sz w:val="20"/>
          <w:szCs w:val="20"/>
          <w:color w:val="auto"/>
        </w:rPr>
      </w:pPr>
      <w:r>
        <w:rPr>
          <w:rFonts w:ascii="Times New Roman" w:cs="Times New Roman" w:eastAsia="Times New Roman" w:hAnsi="Times New Roman"/>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187" w:lineRule="exact"/>
        <w:rPr>
          <w:sz w:val="20"/>
          <w:szCs w:val="20"/>
          <w:color w:val="auto"/>
        </w:rPr>
      </w:pPr>
    </w:p>
    <w:p>
      <w:pPr>
        <w:ind w:right="40" w:firstLine="607"/>
        <w:spacing w:after="0" w:line="254"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June 30, 2022 and December 31, 2021 was $3.5 million. All of the Company’s goodwill is attributable to its ADMA BioManufacturing business segment and is related to the Biotest Transaction.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2021 did not result in a goodwill impairment charge, and the Company did not record any impairment charges related to goodwill for the six months ended June 30,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six months ended June 30, 2022 and 2021, the Company determined that there was no impairment of its long-lived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Revenues for the three and six months ended June 30, 2022 and 2021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two customers represented an aggregate of 73% of the Company’s consolidated revenues. For the six months ended June 30, 2021, five customers represented an aggregate of 85% of the Company’s consolidated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Per Common Share</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as well as Restricted Stock Units (“RSUs”). Potentially dilutive common stock is excluded from the diluted loss per common share computation to the extent that it would be anti-dilutive. As a result, no potentially dilutive securities are included in the computation of any of the accompanying diluted loss per share amounts in the accompanying condensed consolidated financial statements as the Company reported a net loss for all periods presented. For the six months ended June 30, 2022 and 2021, the following securities were excluded from the calculation of diluted loss per common share because of their anti-dilutive effects: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8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8,504,179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6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4,742,383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686,133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4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13,556,898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4,528,160</w:t>
            </w:r>
          </w:p>
        </w:tc>
        <w:tc>
          <w:tcPr>
            <w:tcW w:w="0" w:type="dxa"/>
            <w:vAlign w:val="bottom"/>
          </w:tcPr>
          <w:p>
            <w:pPr>
              <w:spacing w:after="0"/>
              <w:rPr>
                <w:sz w:val="1"/>
                <w:szCs w:val="1"/>
                <w:color w:val="auto"/>
              </w:rPr>
            </w:pPr>
          </w:p>
        </w:tc>
      </w:tr>
      <w:tr>
        <w:trPr>
          <w:trHeight w:val="27"/>
        </w:trPr>
        <w:tc>
          <w:tcPr>
            <w:tcW w:w="36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26,803,460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12,997,322</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840" w:type="dxa"/>
            <w:vAlign w:val="bottom"/>
            <w:vMerge w:val="restart"/>
          </w:tcPr>
          <w:p>
            <w:pPr>
              <w:jc w:val="right"/>
              <w:ind w:right="2699"/>
              <w:spacing w:after="0"/>
              <w:rPr>
                <w:sz w:val="20"/>
                <w:szCs w:val="20"/>
                <w:color w:val="auto"/>
              </w:rPr>
            </w:pPr>
            <w:r>
              <w:rPr>
                <w:rFonts w:ascii="Times New Roman" w:cs="Times New Roman" w:eastAsia="Times New Roman" w:hAnsi="Times New Roman"/>
                <w:sz w:val="14"/>
                <w:szCs w:val="14"/>
                <w:color w:val="auto"/>
              </w:rPr>
              <w:t>8</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60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600" w:type="dxa"/>
            <w:vAlign w:val="bottom"/>
            <w:tcBorders>
              <w:bottom w:val="single" w:sz="8" w:color="auto"/>
            </w:tcBorders>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Pursuant to ASU No. 2016-09, </w:t>
      </w:r>
      <w:r>
        <w:rPr>
          <w:rFonts w:ascii="Times New Roman" w:cs="Times New Roman" w:eastAsia="Times New Roman" w:hAnsi="Times New Roman"/>
          <w:sz w:val="18"/>
          <w:szCs w:val="18"/>
          <w:i w:val="1"/>
          <w:iCs w:val="1"/>
          <w:color w:val="auto"/>
        </w:rPr>
        <w:t>Improvements to Employee Share-Based Payment Accounting (Topic 718)</w:t>
      </w:r>
      <w:r>
        <w:rPr>
          <w:rFonts w:ascii="Times New Roman" w:cs="Times New Roman" w:eastAsia="Times New Roman" w:hAnsi="Times New Roman"/>
          <w:sz w:val="18"/>
          <w:szCs w:val="18"/>
          <w:color w:val="auto"/>
        </w:rPr>
        <w:t>, the Company has elected not to establish a forfeiture rate, as stock-based compensation expense related to forfeitures of unvested stock options is fully reversed at the time of forfeiture.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2017 and for previous periods as it relates to the Company’s net operating loss carryforwards.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June 30, 2022 and December 31, 2021, and during the three and six months ended June 30, 2022 and 2021, the Company recognized no adjustments for uncertain tax positions.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38,321,843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36,755,720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51,136,409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58,968,535</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56,617,207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28,999,836</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146,075,459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124,724,091</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 All other activities and materials associated with the production of inventories used in research and development activities are expensed as incurred.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Work-in-process inventory primarily consists of bulk drug substance and unlabeled filled vials of the Company’s immunoglobulin products.</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at June 30, 2022 and December 31,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1"/>
                <w:szCs w:val="21"/>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related to Nabi-HB</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4,100,046</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2,977,415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1,122,631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2,684,554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1,415,492</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Rights to intermediates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658,960</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248,461</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907,421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594,145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313,276</w:t>
            </w:r>
          </w:p>
        </w:tc>
      </w:tr>
      <w:tr>
        <w:trPr>
          <w:trHeight w:val="256"/>
        </w:trPr>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5,007,467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3,636,375</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1,371,092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5,007,467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intangible assets were acquired in the Biotest Transaction. Amortization expense related to these intangible assets was $0.4 million for the six months ended June 30, 2022 and 2021 and $0.2 million for the three months ended June 30, 2022 and 2021. Estimated future aggregate amortization expense is expected to be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357,676</w:t>
            </w:r>
          </w:p>
        </w:tc>
      </w:tr>
      <w:tr>
        <w:trPr>
          <w:trHeight w:val="216"/>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w:t>
            </w: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715,352</w:t>
            </w:r>
          </w:p>
        </w:tc>
      </w:tr>
      <w:tr>
        <w:trPr>
          <w:trHeight w:val="216"/>
        </w:trPr>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298,064</w:t>
            </w:r>
          </w:p>
        </w:tc>
      </w:tr>
      <w:tr>
        <w:trPr>
          <w:trHeight w:val="39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8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summarized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17,919,714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16,702,991</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equipment and computer software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4,082,462</w:t>
            </w:r>
          </w:p>
        </w:tc>
      </w:tr>
      <w:tr>
        <w:trPr>
          <w:trHeight w:val="216"/>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4,364,091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3,389,140</w:t>
            </w: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4,830,287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5,496,222</w:t>
            </w:r>
          </w:p>
        </w:tc>
      </w:tr>
      <w:tr>
        <w:trPr>
          <w:trHeight w:val="216"/>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11,129,639</w:t>
            </w: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4,339,441</w:t>
            </w:r>
          </w:p>
        </w:tc>
      </w:tr>
      <w:tr>
        <w:trPr>
          <w:trHeight w:val="223"/>
        </w:trPr>
        <w:tc>
          <w:tcPr>
            <w:tcW w:w="8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19,096,164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19,067,032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71,176,031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64,206,927</w:t>
            </w:r>
          </w:p>
        </w:tc>
      </w:tr>
      <w:tr>
        <w:trPr>
          <w:trHeight w:val="223"/>
        </w:trPr>
        <w:tc>
          <w:tcPr>
            <w:tcW w:w="8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(16,224,764)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(13,271,853)</w:t>
            </w:r>
          </w:p>
        </w:tc>
      </w:tr>
      <w:tr>
        <w:trPr>
          <w:trHeight w:val="216"/>
        </w:trPr>
        <w:tc>
          <w:tcPr>
            <w:tcW w:w="836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54,951,267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50,935,074</w:t>
            </w:r>
          </w:p>
        </w:tc>
        <w:tc>
          <w:tcPr>
            <w:tcW w:w="100" w:type="dxa"/>
            <w:vAlign w:val="bottom"/>
            <w:tcBorders>
              <w:top w:val="single" w:sz="8" w:color="CCEEFF"/>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5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for the three months ended June 30, 2022 and 2021 of $1.5 million and $1.1 million, respectively, and for the six months ended June 30, 2022 and 2021 of $3.0 million and $2.2 million,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 at June 30, 2022 and December 31, 2021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distribution fees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4,739,651</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1,951,768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4,066,109</w:t>
            </w: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Accrued testing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1,189,970</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1,167,072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3,030,193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15,961,070</w:t>
            </w:r>
          </w:p>
        </w:tc>
        <w:tc>
          <w:tcPr>
            <w:tcW w:w="12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17,214,988</w:t>
            </w:r>
          </w:p>
        </w:tc>
        <w:tc>
          <w:tcPr>
            <w:tcW w:w="0" w:type="dxa"/>
            <w:vAlign w:val="bottom"/>
          </w:tcPr>
          <w:p>
            <w:pPr>
              <w:spacing w:after="0"/>
              <w:rPr>
                <w:sz w:val="1"/>
                <w:szCs w:val="1"/>
                <w:color w:val="auto"/>
              </w:rPr>
            </w:pPr>
          </w:p>
        </w:tc>
      </w:tr>
      <w:tr>
        <w:trPr>
          <w:trHeight w:val="20"/>
        </w:trPr>
        <w:tc>
          <w:tcPr>
            <w:tcW w:w="8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2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9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summary of outstanding senior notes payable is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152,795,660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discount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(12,984,729)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(5,133,761)</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139,810,931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94,866,239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the Company’s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$0.6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Borrowings under the Hayfin Credit Agreement bear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 1.25%, plus an applicable margin of 9.5% (the “Applicable Margin”); provided, however, that upon, and during the continuance of, an Event of Default, the Applicable Margin shall increase by an additional 3% per annum. On the last day of each calendar month or quarter during the term of the Hayfin Credit Facility, the Company will pay accrued interest to Hayfin. The rate of interest in effect as of the Hayfin Closing Date and through June 30, 2022 was 10.75%. The Company is also permitted to pay “in kind” a portion of the interest on the Hayfin Loans for each monthly or quarterly interest period in an amount equal to 2.5% per annum, which is added to the principal amount of the outstanding debt under the Hayfin Credit Facility. From the Hayfin Closing Date through June 30, 2022, approximately $1.0 million of interest was paid in kind and added to the balance of the outstanding Hayfin Loans.</w:t>
      </w:r>
    </w:p>
    <w:p>
      <w:pPr>
        <w:spacing w:after="0" w:line="37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202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the Hayfin Maturity Date, the Company will pay Hayfin the entire outstanding principal amount underlying the Hayfin Loans and any accrued and unpaid interest thereon, as well as an exit fee of 1.0% of the outstanding principal amount being paid. This exit fee is recorded separately as a non-current liability on the accompanying condensed consolidated balance sheet as of June 30, 2022. Prior to the Hayfin Maturity Date, there are no scheduled principal payments on the Hayfin Loans. The Company may prepay outstanding principal on the Hayfin Loans at any time and from time to time upon five business days’ prior written notice, subject to the payment to Hayfin of, (A) any accrued but unpaid interest on the prepaid principal amount plus (B) an early prepayment fee in the amount equal to (i) 7.0% of the prepaid principal amount, if prepaid on or prior to the first anniversary of the Hayfin Closing Date, (ii) 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or payment of principal on the Hayfin Maturity Date, the Company is also required to pay the exit fee.</w:t>
      </w:r>
    </w:p>
    <w:p>
      <w:pPr>
        <w:spacing w:after="0" w:line="194"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other certain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w:t>
      </w:r>
    </w:p>
    <w:p>
      <w:pPr>
        <w:spacing w:after="0" w:line="5" w:lineRule="exact"/>
        <w:rPr>
          <w:sz w:val="20"/>
          <w:szCs w:val="20"/>
          <w:color w:val="auto"/>
        </w:rPr>
      </w:pPr>
    </w:p>
    <w:p>
      <w:pPr>
        <w:ind w:right="320" w:firstLine="8"/>
        <w:spacing w:after="0" w:line="253"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each fiscal quarter commencing with the fiscal quarter ended June 30, 2022, report IVIG product and related revenues for the trailing 12-month period that exceed the amounts set forth in the Hayfin Credit Agreement, which range from $75.0 million for the fiscal quarter ended June 30, 2022 to $250.0 million for the fiscal quarter ended December 31, 2026. As of June 30, 2022, the Company was in compliance with all of the covenants contained in the Hayfin Credit Agreement.</w:t>
      </w:r>
    </w:p>
    <w:p>
      <w:pPr>
        <w:spacing w:after="0" w:line="18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As consideration for the Hayfin Credit Agreement, the Company issued to various entities affiliated with Hayfin, on the Hayfin Closing Date,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upfront fee and exit fee paid or payable to Hayfin, the expenses incurred by the Company in connection with this transaction and the value of the Hayfin Warrants, the Company recognized an aggregate discount on the Hayfin Loans in the amount of $13.4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the Hayfin Closing Date and as of June 30, 2022 was approximately 13.0%.</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$0.0001, par value per share. There were no shares of preferred stock outstanding at June 30, 2022 and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Company was authorized to issue 300,000,000 shares of its common stock, $0.0001 par value per share, and 196,356,232 and 195,813,817 shares of common stock were outstanding as of June 30, 2022 and December 31, 2021, respectively. After giving effect to the 50,523,424 shares reserved for outstanding warrants and awards issued or reserved for future issuance under the Company’s equity incentive plans, as of June 30, 2022 there were 53,120,344 shares of common stock available for issuance.</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September 3, 2021, the Company entered into a distribution agreement with Raymond James &amp; Associates, Inc., as agent (“Agent”), pursuant to which the Company may offer and sell, from time to time, at its option, through or to the Agent, up to an aggregate of $50 million of shares of the Company’s common stock (the “Distribution Agreement”). The Company intends to use any net proceeds from the sale of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The Company currently has approximately $42.8 million of shares available to sell under the Distribution Agreement. There were no sales under the Distribution Agreement during the six months ended June 30, 2022.</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August 5, 2020, the Company entered into an open market sale agreement (as amended from time to time, the “Sale Agreement”) with Jefferies LLC (“Jefferies”),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increases in the aggregate offering amount under the Sale Agreement such that the Company could sell shares having an aggregate offering price of up to $105.4 million under the Sale Agreement, as amended. During the six months ended June 30, 2021, the Company issued and sold 26,907,753 shares of common stock under the Sale Agreement and received net proceeds of $59.1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In connection with the Hayfin Credit Agreement that the Company entered into on March 23, 2022 (see Note 7), the Company issued the Hayfin Warrants to purchase 9,103,047 shares of the Company’s common stock. The Hayfin Warrants were valued at $9.6 million using the Black-Scholes option-pricing model assuming an expected term of seven years, a volatility of 68.1%, a dividend yield of 0% and a risk-free rate of interest of 2.36%. During the six months ended June 30, 2022, outstanding warrants to purchase 74,309 shares of the Company’s common stock expired in accordance with the terms of the warrants. At June 30, 2022, the Company had outstanding warrants to purchase an aggregate of 13,556,898 shares of common stock, with a weighted-average exercise price of $2.00 per share. At December 31, 2021, the Company had outstanding warrants to purchase an aggregate of 4,528,160 shares of common stock, with a weighted average exercise price of $2.82 per share and expiration dates ranging between June 2022 and December 2030.</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fair value of stock options granted under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5.5 - 6.3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5.5 - 6.3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1.72-1.73%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0.80-1.14%</w:t>
            </w:r>
          </w:p>
        </w:tc>
      </w:tr>
    </w:tbl>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21, 2022, the Company’s stockholders approved the ADMA Biologics, Inc. 2022 Compensation Plan (the “2022 Equity Plan”). Approval of the 2022 Equity Plan resulted in approximately 18 million additional shares of the Company’s common stock being reserved for future awards. During the six months ended June 30, 2022 and 2021, the Company granted options to purchase an aggregate of 1,194,032 and 1,658,050 shares of common stock, respectively, to its directors and employees. The weighted average remaining contractual life of stock options outstanding and expected to vest at June 30, 2022 is 6.5 years. The weighted average remaining contractual life of stock options exercisable at June 30, 2022 is 5.4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option activity under the Company’s equity incentive plans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7,862,722</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(19,371)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(533,204)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1,194,032</w:t>
            </w:r>
          </w:p>
        </w:tc>
        <w:tc>
          <w:tcPr>
            <w:tcW w:w="2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June 30, 2022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8,504,179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r>
        <w:trPr>
          <w:trHeight w:val="210"/>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5,825,013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$3.3 million of unrecognized compensation expense related to options granted under the Company’s equity incentive plans, which is expected to be recognized over a weighted-average period of 2.4 years.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granted RSUs representing an aggregate of 1,109,266 and 542,244 shares, respectively, to certain management employees of the Company and to members of its Board of Directors. These RSUs generally vest annually over a period of four years for employees and semi-annually over a period of one year for directors. During the six months ended June 30, 2022, there were 812,016 shares of common stock which vested in connection with grants of RSUs, including 254,745 milestone-based RSUs that vested in connection with the refinancing of the Company’s senior credit facility (see Note 7) and 382,117 milestone-based RSUs that vested in connection with the Company achieving a targeted gross margin for its BIVIGAM product during the six months ended June 30, 2022.With respect to the vested RSUs, 269,601 shares valued at approximately $0.4 million were withheld by the Company to cover employees’ tax liabilities. These shares have been retired by the Company and were no longer outstanding as of June 30, 2022. A summary of the Company’s unvested RSU activity and related information is as follows: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45"/>
        </w:trPr>
        <w:tc>
          <w:tcPr>
            <w:tcW w:w="8600" w:type="dxa"/>
            <w:vAlign w:val="bottom"/>
          </w:tcPr>
          <w:p>
            <w:pPr>
              <w:spacing w:after="0"/>
              <w:rPr>
                <w:sz w:val="21"/>
                <w:szCs w:val="21"/>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4,485,133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1,109,266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(812,016)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4,742,383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98"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 had $5.1 million of unrecognized compensation expense related to unvested RSUs granted under the Company’s equity incentive plans, which is expected to be recognized over a weighted-average period of 2.7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stock-based compensation expense for all awards granted under the Company’s equity incentive plans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19,615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665,836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1,254,327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98,319</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83,237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196,382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160,098</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1,191,047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805,189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2,832,435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The Company leases an office building and equipment from Areth, LLC (“Areth”) pursuant to an agreement for services effective as of January 1, 2016, as amended from time to time. Rent expense for the six months ended June 30, 2022 and 2021 amounted to $60,000. Areth is a company controlled by Dr. Jerrold B. Grossman, the Vice Chairman of the Company’s Board of Directors, and Adam S. Grossman, the Company’s President and Chief Executive Officer. The Company also reimburses Areth for office and building-related (common area) expenses, equipment and certain other operational expenses, which were not material to the condensed consolidated financial statements for the three and six months ended June 30, 2022 and 2021.</w:t>
      </w:r>
    </w:p>
    <w:p>
      <w:pPr>
        <w:spacing w:after="0" w:line="16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the Company purchased certain specialized medical equipment and services related to the Company’s plasma collection centers, as well as personal protective equipment, from GenesisBPS and its affiliates (“Genesis”), aggregating to $0.1 million. Genesis is owned by Dr. Grossman and Adam Grossman.</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See Note 7 for a discussion of the Company’s former credit facility and related transactions with Perceptive, a holder of more than 5% of the Company’s common stock during the six months ended June 30, 2022.</w:t>
      </w:r>
    </w:p>
    <w:p>
      <w:pPr>
        <w:spacing w:after="0" w:line="15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Legal Matters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COVID-19 Pandemic</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continues to monitor the ongoing developments related to the COVID-19 pandemic, including the emergence of the Delta and Omicron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a combination of previous state and local “shelter-in-place” orders, as well as government stimulus packages, persisting social distancing measures and varying roll-outs of vaccinations by state, the Company has experienced lower than normal donor collections at its FDA approved plasma collection centers.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is subject to supply chain delays as a result of certain of its suppliers diverting significant resources towards the rapid development and distribution of COVID-19 vaccines and, as a result, the Company has elected to carry more raw materials inventory than it has in the past.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pandemic could also impact the Company’s ability to interact with the FDA or other regulatory authorities and may result in delays in the conduct of inspections or review of pending applications or submissions. Although the Company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80"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revenue attributable to international customers was approximately 7% and 14%, respectively, of the Company’s total revenues. As the Company seeks to grow this aspect of its business, it may also be subject to the impacts of the COVID-19 pandemic in locations outside the United States.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Although the COVID-19 pandemic has not, to date, materially adversely impacted the Company’s capital and financial resources, because the Company is unable to determine the ultimate severity or duration of the COVID-19 pandemic or other pandemics or their long-term effects on, among other things, the global, national or local economies, the capital and credit markets or the Company’s workforce, customers or our suppliers, at this time the Company is unable to predict whether COVID-19 or other pandemics will have a material adverse impact on the Company’s business, financial condition, liquidity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Commitments</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could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are subject to the pricing terms in effect for RSV plasma purchased from other plasma collection centers owned by Grifols.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Effective as of May 12, 2021, the Company and Grifols amended the foregoing 2017 Plasma Purchase Agreement whereby, among other things, the term of the agreement was extended through December 31, 2022, while certain historical provisions were deleted. In order to maintain a reliable supply of raw material plasma thereafter, the Company has executed additional agreements with multiple third-party suppliers of NSP to supplement the 2017 Plasma Purchase Agreement. The Company has also increased its number of planned plasma collection center buildouts such that the Company expects to have ten FDA-approved plasma collection centers in operation by the end of 2023, while also continuing to increase its plasma collection capabilities at its ADMA BioCenters plasma collection centers business segment.</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purchases substantially all of its raw material plasma from Grifols. For the six months ended June 30, 2022, plasma purchases from Grifols totaled $22.8 million, or approximately 66% of the Company’s total inventory purchases. For the six months ended June 30, 2021, plasma purchases from Grifols totaled approximately $17.5 million, representing approximately 67% of the Company’s total inventory purchases.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Commitments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to incur expenses of approximately $3.0 million to $4.0 million to complete these studies, with both studies to be completed by June of 2023.</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FDA’s approval of ASCENIV on April 1, 2019, the Company is required to perform a pediatric study to evaluate the safety and efficacy of ASCENIV in children and adolescents. The Company expects to incur expenses of approximately $2 million to complete this study, which is required to be completed by June of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Contracts</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Mr. Grossman and with Brian Lenz, its Executive Vice President, Chief Financial Officer and General Manager, ADMA BioCenters.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On September 28, 2021, following the approval of the Company’s Board of Directors upon recommendation of the Compensation Committee of the Board of Directors, and in consultation with an independent compensation consultant, the Company implemented a retention incentive program, consisting of cash payments and awards of RSUs (see Note 8), to the Company’s management, including Mr. Grossman and Mr. Lenz, and to certain other employees. The purpose of the retention program is to promote and ensure business continuity and provide an incentive to the Company’s executive management and certain other employees considering the operational challenges presented by the ongoing COVID-19 pandemic and the competitive work environment in which the Company operates as an FDA regulated manufacturer of specialized biologic therapies. The retention awards were granted considering the nationwide labor shortages and the increased employee turnover rates that the Company, its pharmaceutical peers and other companies outside of the Company’s industry have reported experiencing.</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cash portion of the retention program consists of two tranches. The first tranche was paid to employees on September 30, 2021 in the amount of $1.3 million, and the second tranche aggregating to approximately $1.3 million was paid on June 15, 2022. Based on the terms of the retention agreements the Company entered into with each applicable executive and employee, approximately $0.8 million of each tranche is being recognized over the retention service period, which began on October 1, 2021 and ends on December 31, 2022, with the remainder having been recognized as expense when paid.</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2022. The Company does not anticipate recognizing any significant losses relating to these arrangements.</w:t>
      </w:r>
    </w:p>
    <w:p>
      <w:pPr>
        <w:spacing w:after="0" w:line="176"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 The Plasma Collection Centers segment as of June 30, 2022 consists of ten plasma collection facilities located throughout the U.S., six of which hold FDA licenses, with two additional plasma collection centers in operation and collecting plasma and the remaining two facilities under construction.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600" w:type="dxa"/>
            <w:vAlign w:val="bottom"/>
            <w:tcBorders>
              <w:top w:val="single" w:sz="8" w:color="auto"/>
            </w:tcBorders>
            <w:gridSpan w:val="4"/>
          </w:tcPr>
          <w:p>
            <w:pPr>
              <w:ind w:left="80"/>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5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32,120,119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1,749,179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33,905,007</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24,287,122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1,848,492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26,135,614</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(445,248)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(4,020,799)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(4,708,692)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(9,174,739)</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(4,572,035)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(4,590,167)</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(463,044)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(4,021,135)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(9,280,727)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(13,764,906)</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220,052,465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34,078,909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42,800,955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296,932,329</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1,159,732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564,396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1,724,283</w:t>
            </w:r>
          </w:p>
        </w:tc>
      </w:tr>
      <w:tr>
        <w:trPr>
          <w:trHeight w:val="421"/>
        </w:trPr>
        <w:tc>
          <w:tcPr>
            <w:tcW w:w="35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160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5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16,347,880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1,447,001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17,830,590</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17,382,292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1,450,332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18,832,624</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(8,337,405)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(2,794,219)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(4,449,608)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(15,581,232)</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(78,793)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(3,244,912)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(3,324,071)</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(8,416,198)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(2,794,585)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(7,694,520)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(18,905,303)</w:t>
            </w:r>
          </w:p>
        </w:tc>
      </w:tr>
      <w:tr>
        <w:trPr>
          <w:trHeight w:val="216"/>
        </w:trPr>
        <w:tc>
          <w:tcPr>
            <w:tcW w:w="3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169,799,509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20,593,411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42,420,872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232,813,792</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268,927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1,325,994</w:t>
            </w:r>
          </w:p>
        </w:tc>
      </w:tr>
      <w:tr>
        <w:trPr>
          <w:trHeight w:val="552"/>
        </w:trPr>
        <w:tc>
          <w:tcPr>
            <w:tcW w:w="3520" w:type="dxa"/>
            <w:vAlign w:val="bottom"/>
          </w:tcPr>
          <w:p>
            <w:pPr>
              <w:spacing w:after="0"/>
              <w:rPr>
                <w:sz w:val="24"/>
                <w:szCs w:val="24"/>
                <w:color w:val="auto"/>
              </w:rPr>
            </w:pPr>
          </w:p>
        </w:tc>
        <w:tc>
          <w:tcPr>
            <w:tcW w:w="2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5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6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5"/>
          </w:tcPr>
          <w:p>
            <w:pPr>
              <w:ind w:left="44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580" w:type="dxa"/>
            <w:vAlign w:val="bottom"/>
            <w:tcBorders>
              <w:top w:val="single" w:sz="8" w:color="auto"/>
            </w:tcBorders>
            <w:gridSpan w:val="5"/>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57,848,744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5,087,939</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63,008,100</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46,500,902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5,075,758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51,576,660</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(4,720,538)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(7,883,894)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(11,385,373)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(23,989,805)</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(8,044,889)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(8,113,017)</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(6,669,941)</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(4,787,600)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(7,884,960)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(26,100,203)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(38,772,763)</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4,197,263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6,782,169</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2,271,683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1,041,899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3,314,500</w:t>
            </w:r>
          </w:p>
        </w:tc>
      </w:tr>
      <w:tr>
        <w:trPr>
          <w:trHeight w:val="421"/>
        </w:trPr>
        <w:tc>
          <w:tcPr>
            <w:tcW w:w="3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5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40" w:type="dxa"/>
            <w:vAlign w:val="bottom"/>
            <w:gridSpan w:val="5"/>
          </w:tcPr>
          <w:p>
            <w:pPr>
              <w:ind w:left="44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158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BioManufacturing</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Centers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2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29,768,923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4,038,868</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33,879,208</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32,832,049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3,770,697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36,602,746</w:t>
            </w:r>
          </w:p>
        </w:tc>
      </w:tr>
      <w:tr>
        <w:trPr>
          <w:trHeight w:val="216"/>
        </w:trPr>
        <w:tc>
          <w:tcPr>
            <w:tcW w:w="3560" w:type="dxa"/>
            <w:vAlign w:val="bottom"/>
          </w:tcPr>
          <w:p>
            <w:pPr>
              <w:spacing w:after="0"/>
              <w:rPr>
                <w:sz w:val="18"/>
                <w:szCs w:val="18"/>
                <w:color w:val="auto"/>
              </w:rPr>
            </w:pPr>
          </w:p>
        </w:tc>
        <w:tc>
          <w:tcPr>
            <w:tcW w:w="242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5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(17,843,093)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(4,765,060)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(8,137,328)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(30,745,481)</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(100,307)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(6,438,706)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(6,539,763)</w:t>
            </w:r>
          </w:p>
        </w:tc>
      </w:tr>
      <w:tr>
        <w:trPr>
          <w:trHeight w:val="216"/>
        </w:trPr>
        <w:tc>
          <w:tcPr>
            <w:tcW w:w="3560" w:type="dxa"/>
            <w:vAlign w:val="bottom"/>
          </w:tcPr>
          <w:p>
            <w:pPr>
              <w:spacing w:after="0"/>
              <w:rPr>
                <w:sz w:val="18"/>
                <w:szCs w:val="18"/>
                <w:color w:val="auto"/>
              </w:rPr>
            </w:pPr>
          </w:p>
        </w:tc>
        <w:tc>
          <w:tcPr>
            <w:tcW w:w="2420" w:type="dxa"/>
            <w:vAlign w:val="bottom"/>
            <w:gridSpan w:val="2"/>
          </w:tcPr>
          <w:p>
            <w:pPr>
              <w:spacing w:after="0"/>
              <w:rPr>
                <w:sz w:val="18"/>
                <w:szCs w:val="18"/>
                <w:color w:val="auto"/>
              </w:rPr>
            </w:pPr>
          </w:p>
        </w:tc>
        <w:tc>
          <w:tcPr>
            <w:tcW w:w="11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5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(17,943,400)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(4,765,810)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(14,576,034)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(37,285,244)</w:t>
            </w:r>
          </w:p>
        </w:tc>
      </w:tr>
      <w:tr>
        <w:trPr>
          <w:trHeight w:val="216"/>
        </w:trPr>
        <w:tc>
          <w:tcPr>
            <w:tcW w:w="3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2,725,432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4,321,303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7,046,735</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2,065,307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486,918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2,555,622</w:t>
            </w:r>
          </w:p>
        </w:tc>
      </w:tr>
      <w:tr>
        <w:trPr>
          <w:trHeight w:val="414"/>
        </w:trPr>
        <w:tc>
          <w:tcPr>
            <w:tcW w:w="8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Net revenues according to geographic area, based on the location of where the product is shipped, is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31,274,844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15,424,839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58,590,995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29,102,848</w:t>
            </w:r>
          </w:p>
        </w:tc>
        <w:tc>
          <w:tcPr>
            <w:tcW w:w="100" w:type="dxa"/>
            <w:vAlign w:val="bottom"/>
            <w:shd w:val="clear" w:color="auto" w:fill="CCEEFF"/>
          </w:tcPr>
          <w:p>
            <w:pPr>
              <w:spacing w:after="0"/>
              <w:rPr>
                <w:sz w:val="18"/>
                <w:szCs w:val="18"/>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2,630,163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2,405,751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4,417,105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4,776,360</w:t>
            </w:r>
          </w:p>
        </w:tc>
      </w:tr>
      <w:tr>
        <w:trPr>
          <w:trHeight w:val="256"/>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42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33,905,007</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17,830,590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63,008,100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33,879,208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560" w:type="dxa"/>
            <w:vAlign w:val="bottom"/>
          </w:tcPr>
          <w:p>
            <w:pPr>
              <w:spacing w:after="0"/>
              <w:rPr>
                <w:sz w:val="24"/>
                <w:szCs w:val="24"/>
                <w:color w:val="auto"/>
              </w:rPr>
            </w:pPr>
          </w:p>
        </w:tc>
        <w:tc>
          <w:tcPr>
            <w:tcW w:w="24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5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62"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 OBLIGATIONS</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2032. The Company’s lease agreements do not contain any material residual value guarantees or material restrictive covenants.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of 13%. The Company’s lease expense is recognized on a straight-line basis over the lease term and is reflected in Plasma center operating expenses and Selling, general and administrative expenses. Aggregate lease expense for the Company’s leases for the three months ended June 30, 2022 and 2021 was approximately $0.5 million and $0.4 million, respectively. Aggregate lease expense for the Company’s leases for the six months ended June 30, 2022 and 2021 was approximately $0.9 million and $0.6 million, respectively. Cash paid for the Company’s leases for the three months ended June 30, 2022 and 2021 was approximately $0.4 million and $0.6 million, respectively. Cash paid for the Company’s leases for the six months ended June 30, 2022 and 2021 was approximately $0.8 million.</w:t>
      </w:r>
    </w:p>
    <w:p>
      <w:pPr>
        <w:spacing w:after="0" w:line="1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Including a finance lease the Company entered into in June 2018, the Company has aggregate lease liabilities of $11.5 million and $8.1 million as of June 30, 2022 and December 31, 2021, respectively, which are comprised primarily of the leases for the Company’s plasma collection centers and a warehouse lease for raw material storage related to the Company’s immunoglobulin manufacturing operations. The Company’s operating leases have a weighted average remaining term of 9.1 years. Scheduled payments under the Company’s lease obligations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jc w:val="right"/>
              <w:ind w:right="3790"/>
              <w:spacing w:after="0"/>
              <w:rPr>
                <w:sz w:val="20"/>
                <w:szCs w:val="20"/>
                <w:color w:val="auto"/>
              </w:rPr>
            </w:pPr>
            <w:r>
              <w:rPr>
                <w:rFonts w:ascii="Times New Roman" w:cs="Times New Roman" w:eastAsia="Times New Roman" w:hAnsi="Times New Roman"/>
                <w:sz w:val="18"/>
                <w:szCs w:val="18"/>
                <w:color w:val="auto"/>
              </w:rPr>
              <w:t>Remainder of 2022</w:t>
            </w:r>
          </w:p>
        </w:tc>
        <w:tc>
          <w:tcPr>
            <w:tcW w:w="40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945,228</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w w:val="98"/>
              </w:rPr>
              <w:t>Year ended December 31, 2023</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2,247,057</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Times New Roman" w:cs="Times New Roman" w:eastAsia="Times New Roman" w:hAnsi="Times New Roman"/>
                <w:sz w:val="18"/>
                <w:szCs w:val="18"/>
                <w:color w:val="auto"/>
              </w:rPr>
              <w:t>2024</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2,223,314</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rPr>
              <w:t>2025</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2,246,432</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1,996,036</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rPr>
              <w:t>2027</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2,040,690</w:t>
            </w:r>
          </w:p>
        </w:tc>
        <w:tc>
          <w:tcPr>
            <w:tcW w:w="100" w:type="dxa"/>
            <w:vAlign w:val="bottom"/>
          </w:tcPr>
          <w:p>
            <w:pPr>
              <w:spacing w:after="0"/>
              <w:rPr>
                <w:sz w:val="18"/>
                <w:szCs w:val="18"/>
                <w:color w:val="auto"/>
              </w:rPr>
            </w:pPr>
          </w:p>
        </w:tc>
      </w:tr>
      <w:tr>
        <w:trPr>
          <w:trHeight w:val="223"/>
        </w:trPr>
        <w:tc>
          <w:tcPr>
            <w:tcW w:w="6160" w:type="dxa"/>
            <w:vAlign w:val="bottom"/>
            <w:tcBorders>
              <w:bottom w:val="single" w:sz="8" w:color="CCEEFF"/>
            </w:tcBorders>
            <w:shd w:val="clear" w:color="auto" w:fill="CCEEFF"/>
          </w:tcPr>
          <w:p>
            <w:pPr>
              <w:jc w:val="right"/>
              <w:ind w:right="3790"/>
              <w:spacing w:after="0"/>
              <w:rPr>
                <w:sz w:val="20"/>
                <w:szCs w:val="20"/>
                <w:color w:val="auto"/>
              </w:rPr>
            </w:pPr>
            <w:r>
              <w:rPr>
                <w:rFonts w:ascii="Times New Roman" w:cs="Times New Roman" w:eastAsia="Times New Roman" w:hAnsi="Times New Roman"/>
                <w:sz w:val="18"/>
                <w:szCs w:val="18"/>
                <w:color w:val="auto"/>
              </w:rPr>
              <w:t>Thereafter</w:t>
            </w:r>
          </w:p>
        </w:tc>
        <w:tc>
          <w:tcPr>
            <w:tcW w:w="3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8,238,571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16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rPr>
              <w:t>Total payments</w:t>
            </w:r>
          </w:p>
        </w:tc>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19,937,328</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jc w:val="right"/>
              <w:ind w:right="3790"/>
              <w:spacing w:after="0"/>
              <w:rPr>
                <w:sz w:val="20"/>
                <w:szCs w:val="20"/>
                <w:color w:val="auto"/>
              </w:rPr>
            </w:pPr>
            <w:r>
              <w:rPr>
                <w:rFonts w:ascii="Times New Roman" w:cs="Times New Roman" w:eastAsia="Times New Roman" w:hAnsi="Times New Roman"/>
                <w:sz w:val="18"/>
                <w:szCs w:val="18"/>
                <w:color w:val="auto"/>
              </w:rPr>
              <w:t>Less: imputed interest</w:t>
            </w:r>
          </w:p>
        </w:tc>
        <w:tc>
          <w:tcPr>
            <w:tcW w:w="3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(8,486,760)</w:t>
            </w:r>
          </w:p>
        </w:tc>
      </w:tr>
      <w:tr>
        <w:trPr>
          <w:trHeight w:val="223"/>
        </w:trPr>
        <w:tc>
          <w:tcPr>
            <w:tcW w:w="6160" w:type="dxa"/>
            <w:vAlign w:val="bottom"/>
          </w:tcPr>
          <w:p>
            <w:pPr>
              <w:jc w:val="right"/>
              <w:ind w:right="3790"/>
              <w:spacing w:after="0"/>
              <w:rPr>
                <w:sz w:val="20"/>
                <w:szCs w:val="20"/>
                <w:color w:val="auto"/>
              </w:rPr>
            </w:pPr>
            <w:r>
              <w:rPr>
                <w:rFonts w:ascii="Times New Roman" w:cs="Times New Roman" w:eastAsia="Times New Roman" w:hAnsi="Times New Roman"/>
                <w:sz w:val="18"/>
                <w:szCs w:val="18"/>
                <w:color w:val="auto"/>
              </w:rPr>
              <w:t>Current portion</w:t>
            </w: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(579,661)</w:t>
            </w:r>
          </w:p>
        </w:tc>
      </w:tr>
      <w:tr>
        <w:trPr>
          <w:trHeight w:val="257"/>
        </w:trPr>
        <w:tc>
          <w:tcPr>
            <w:tcW w:w="6160" w:type="dxa"/>
            <w:vAlign w:val="bottom"/>
            <w:tcBorders>
              <w:bottom w:val="single" w:sz="8" w:color="CCEEFF"/>
            </w:tcBorders>
            <w:shd w:val="clear" w:color="auto" w:fill="CCEEFF"/>
          </w:tcPr>
          <w:p>
            <w:pPr>
              <w:jc w:val="right"/>
              <w:ind w:right="3790"/>
              <w:spacing w:after="0"/>
              <w:rPr>
                <w:sz w:val="20"/>
                <w:szCs w:val="20"/>
                <w:color w:val="auto"/>
              </w:rPr>
            </w:pPr>
            <w:r>
              <w:rPr>
                <w:rFonts w:ascii="Times New Roman" w:cs="Times New Roman" w:eastAsia="Times New Roman" w:hAnsi="Times New Roman"/>
                <w:sz w:val="18"/>
                <w:szCs w:val="18"/>
                <w:color w:val="auto"/>
              </w:rPr>
              <w:t>Balance at June 30, 2022</w:t>
            </w:r>
          </w:p>
        </w:tc>
        <w:tc>
          <w:tcPr>
            <w:tcW w:w="3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10,870,907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DISCLOSURE OF CASH FLOW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for the six months ended June 30, 2022 and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5,989,332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5,534,279</w:t>
            </w:r>
          </w:p>
        </w:tc>
      </w:tr>
      <w:tr>
        <w:trPr>
          <w:trHeight w:val="210"/>
        </w:trPr>
        <w:tc>
          <w:tcPr>
            <w:tcW w:w="5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3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3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1,164,319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1,005,546</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Right-to-use assets in exchange for lease obligations</w:t>
            </w:r>
          </w:p>
        </w:tc>
        <w:tc>
          <w:tcPr>
            <w:tcW w:w="3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3,660,890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2,844,875</w:t>
            </w:r>
          </w:p>
        </w:tc>
      </w:tr>
      <w:tr>
        <w:trPr>
          <w:trHeight w:val="20"/>
        </w:trPr>
        <w:tc>
          <w:tcPr>
            <w:tcW w:w="5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issued in connection with notes payable</w:t>
            </w:r>
          </w:p>
        </w:tc>
        <w:tc>
          <w:tcPr>
            <w:tcW w:w="3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9,569,604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64"/>
        </w:trPr>
        <w:tc>
          <w:tcPr>
            <w:tcW w:w="5460" w:type="dxa"/>
            <w:vAlign w:val="bottom"/>
          </w:tcPr>
          <w:p>
            <w:pPr>
              <w:spacing w:after="0"/>
              <w:rPr>
                <w:sz w:val="24"/>
                <w:szCs w:val="24"/>
                <w:color w:val="auto"/>
              </w:rPr>
            </w:pPr>
          </w:p>
        </w:tc>
        <w:tc>
          <w:tcPr>
            <w:tcW w:w="322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2021, filed on March 24, 2022 (the “2021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w:t>
      </w:r>
    </w:p>
    <w:p>
      <w:pPr>
        <w:spacing w:after="0" w:line="189"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We may also seek to develop a pipeline of plasma-derived therapeutics, including but not limited to, a product based on our most recently approved patent application under U.S. Patent No. 10,259,865 related to methods of treatment and prevention of S. pneumonia infection for an immunoglobulin manufactured to contain standardized antibodies to numerous serotypes of S. pneumoniae. In May 2022, the United States Patent and Trademark Office issued U.S. Pat. No. 11,339,206 (the “‘206 Patent”). The ‘206 Patent relates to methods of treating respiratory infections and expands ADMA’s estate of patents encompassing its proprietary immunotherapeutic compositions. In particular, the ‘206 Patent encompasses use of standardized, hyperimmune globulin for treating respiratory infections including those caused by respiratory syncytial virus (“RSV”), coronavirus, influenza virus, parainfluenza virus, and metapneumovirus. Our products and product candidates are intended to be used by physician specialists focused on caring for immune-compromised patients with or at risk for certain infectious diseases.</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Florida with a peak annual source plasma processing capability of up to 600,000 liters (the “Boca Facility”). Based on current production yields, our completed and ongoing supply chain enhancements and capacity expansion initiatives, we believe this facility has the potential to produce quantities of our immune globulin (“IG”) products to generate more than $250 million in annual revenue beginning in 2024 and potentially in excess of $300 million of annual revenue thereafter, as well as achieving profitability during the first quarter of 2024, as we ramp-up production over the next two to four years. Based on our early 2022 revenue growth and gross margin trends, we have increased our total annual revenue target to greater than $130 million for fiscal year 2022.</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six FDA-licensed source plasma collection facilities in the U.S., with two additional collection facilities in operation and collecting plasma presently under FDA licensing preparation and review and another two facilities under construction. This business unit, which we refer to as our Plasma Collection Centers business segment, provides us with a portion of our blood plasma for the manufacture of our products and product candidates, and also allows us to sell certain quantities of source plasma to customers for further manufacturing. As a part of our planned supply chain robustness initiative, we have opened four new plasma collection centers during the past 12 months, and we now have ten plasma collection centers in various stages of approval and development, including eight that are operational and collecting plasma. In addition, one of our FDA-approved plasma collection centers also has approvals from the Korean Ministry of Food and Drug Safety (“MFDS”), as well as FDA approval to operate a Hepatitis B immunization program. After giving effect to the progress we made in 2021 and thus far in 2022 with our plasma collection network expansion, we believe we remain on track to achieve our goal of having ten plasma collection centers licensed by the FDA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third-party clients. We also provide laboratory contracting services to certain customers and anticipate providing contract filling, labeling and packaging services in light of the FDA approval of our in-house fill-finish capabilities.</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the Boca Facility (the “Biotest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BIVIGAM</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allows us to produce BIVIGAM at an expanded capacity, utilizing the same equipment, release testing assays and labor force, and has had a favorable impact on our gross margins and operating results.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ASCENIV</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8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work with the FDA and the immunology and infectious disease community to design an appropriate clinical trial to evaluate the use of ASCENIV in this patient population. Commercial sales of ASCENIV commenced in October of 2019 and our commercial efforts are focused on the labeled indication of patients with PIDD.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Nabi-HB</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POTENTIAL IMPACT OF COVID-19</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continue to monitor the ongoing developments related to the COVID-19 pandemic, including the emergence of the Delta, Omicron and BA.2 variants and other resistant strains of the coronavirus, and its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Due to a combination of previous state and local “shelter-in-place” orders, as well as government stimulus packages, persisting social distancing measures and varying roll-outs of vaccinations by state, we had experienced lower than normal donor collections at our FDA approved plasma collection centers. We were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are subject to supply chain delays as a result of certain of our suppliers diverting significant resources towards the rapid development and distribution of COVID-19 vaccines and, as a result, we have elected to carry more raw materials inventory than we have in the past. The COVID-19 pandemic has also impacted, to a certain degree, our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our ability to communicate with potential customers. We have implemented a comprehensive suite of virtual engagement initiatives; however, clinician engagement has been reduced due to rapidly evolving COVID-19 priorities at U.S. medical centers.</w:t>
      </w:r>
    </w:p>
    <w:p>
      <w:pPr>
        <w:spacing w:after="0" w:line="19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pandemic could also impact our ability to interact with the FDA or other regulatory authorities and may result in delays in the conduct of inspections or review of pending applications or submissions. Although we received several FDA approvals and two FDA inspections of the Boca Facility were completed during the year ended December 31, 2021, no assurances can be provided as to the timing for completion of any other regulatory submissions or applications that may be impacted by restrictions related to COVID-19.</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and 2021, our revenue attributable to international customers was approximately 7% and 14%, respectively, of our total revenues. As we seek to grow this aspect of our business, we may also be subject to the impacts of the COVID-19 pandemic in locations outside the United States.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the COVID-19 pandemic has not, to date, materially adversely impacted our capital and financial resources, because we are unable to determine the ultimate severity or duration of the pandemic or its long-term effects on, among other things, the global, national or local economies, the capital and credit markets or our workforce, customers or suppliers, at this time we are unable to predict whether COVID-19, or any known or future variant or government order, will have a material adverse impact on our business, financial condition, liquidity and results of operations. After the COVID-19 global pandemic has settled, we may continue to experience adverse impacts to our business as a result of evolving macroeconomic factors, including general economic uncertainty, unemployment rates, inflationary pressures and any actual economic recession that has occurred or may occur in the future.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20" w:firstLine="675"/>
        <w:spacing w:after="0" w:line="256" w:lineRule="auto"/>
        <w:rPr>
          <w:sz w:val="20"/>
          <w:szCs w:val="20"/>
          <w:color w:val="auto"/>
        </w:rPr>
      </w:pPr>
      <w:r>
        <w:rPr>
          <w:rFonts w:ascii="Times New Roman" w:cs="Times New Roman" w:eastAsia="Times New Roman" w:hAnsi="Times New Roman"/>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the 2021 10-K. Estimates and assumptions used in projecting future liquidity and capital requirements are described in Note 1 to the condensed consolidated financial statements appearing elsewhere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Historically, adjustments to these estimates to reflect actual results or updated expectations have not been material to our overall business. However, two of our primary immunoglobulin products, ASCENIV and BIVIGAM, were only approved for commercial sale by the FDA in 2019, and as such our historical experience with rebates with respect to these products is limited.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While our results of operations to date have not required any material adjustment due to this risk, the lag time between when this obligation is initially recorded and ultimately settled could potentially materially impact our revenues and our results of operations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and Valuation of Warrants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Any changes in the foregoing Black-Scholes assumptions, or if we were to elect to utilize an alternative method for valuing stock options granted to employees, directors and officers, could potentially impact our stock-based compensation expense and our results of operations.</w:t>
      </w:r>
    </w:p>
    <w:p>
      <w:pPr>
        <w:spacing w:after="0" w:line="187"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We also use the Black-Scholes option valuation model for the purpose of estimating the fair value of warrants we issue from time to time in connection with the issuance of notes payable. Changes in our Black-Scholes assumptions, or if we were to utilize an alternative method for valuing warrants issued to our lenders, could impact our interest expense and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six months ended June 30, 2022 and 2021, we determined that there was no impairment of our long-lived assets. Examples of events or circumstances that may be indicative of impairment that would require the use of significant judgment by management include:</w:t>
      </w:r>
    </w:p>
    <w:p>
      <w:pPr>
        <w:spacing w:after="0" w:line="18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of the asset.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continued cash flow losses.</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660" w:right="34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six months ended June 30, 2022 and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Based on our history of losses, at this time we have not included future projected taxable income as a source of income to recognize our deferred tax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three months ended June 30, 2022, our second fiscal quarter, compared to the three months ended June 30, 2021:</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Index</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194"/>
        </w:trPr>
        <w:tc>
          <w:tcPr>
            <w:tcW w:w="3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r>
      <w:tr>
        <w:trPr>
          <w:trHeight w:val="245"/>
        </w:trPr>
        <w:tc>
          <w:tcPr>
            <w:tcW w:w="3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33,905,007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17,830,590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16,074,417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80" w:type="dxa"/>
            <w:vAlign w:val="bottom"/>
          </w:tcPr>
          <w:p>
            <w:pPr>
              <w:spacing w:after="0"/>
              <w:rPr>
                <w:sz w:val="19"/>
                <w:szCs w:val="19"/>
                <w:color w:val="auto"/>
              </w:rPr>
            </w:pPr>
          </w:p>
        </w:tc>
        <w:tc>
          <w:tcPr>
            <w:tcW w:w="12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26,135,614</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18,832,624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7,302,990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7,769,393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(1,002,034)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8,771,427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1,158,866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(285,480)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3,921,486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2,803,326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1,118,160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178,838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10,438,168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1,532,254</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(9,174,739)</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(15,581,232)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6,406,493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(4,573,015)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(3,246,680)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(1,326,335)</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9"/>
                <w:szCs w:val="19"/>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(17,152)</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(77,391)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60,239</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(13,764,906</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(18,905,303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5,140,397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recorded total revenues of $33.9 million during the three months ended June 30, 2022, as compared to $17.8 million during the three months ended June 30, 2021, an increase of $16.1 million, or approximately 90%. The increase is due to increased sales of immunoglobulin products generated by our Boca Facility manufacturing operations in 2022, primarily ASCENIV and BIVIGAM, of $15.8 million, as we continue to expand our customer base for BIVIGAM and experience increased physician, payer and patient acceptance and utilization of ASCENIV. We also benefitted from an increase in sales of normal source plasma through ADMA BioCenters of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was $26.1 million for the three months ended June 30, 2022, as compared to $18.8 million for the three months ended June 30, 2021. This increase is primarily attributable to increased product revenue costs related to the sale of our immunoglobulin products of $5.8 million and increased product revenue costs related to our ADMA BioCenters business segment in the amount of $0.4 million. We also experienced an increase in unabsorbed manufacturing expenses of approximately $0.8 million in the second quarter of 2022 as compared to the same period of year ago, which is indicative of certain inflationary pressures being experienced by our industry for labor, materials, freight, fuel surcharges and third-party services.</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we had gross profit of $7.8 million, as compared to a gross loss of $1.0 million for the same period of a year ago. This gross profit improvement of $8.8 million was primarily due to a more favorable mix of our higher margin products, notably ASCENIV, as well as the benefits we have begun to realize from our expanded plasma pool production scale process, allowing for a 4,400-liter plasma pool for the manufacture of our BIVIGAM IVIG product, which was approved by the FDA in the second quarter of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totaled $0.9 million for the second quarter of 2022, as compared to $1.2 million for the second quarter of 2021. The decrease is primarily due to lower expenditures related to certain of our post-marketing commitments we have with the FDA, specifically the ASCENIV and BIVIGAM pediatric studies (see Note 10 to the consolidated financial statements), for which we anticipate increased expenses in the second half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Subsequent to June 30, 2021, we opened four additional plasma collection centers. As a result, for the three months ended June 30, 2022 we had increases in donor fees of $2.6 million, compensation and benefits of $1.3 million, softgoods and supplies of $0.7 million, donor testing expenses of $0.6 million, depreciation of $0.3 million, advertising of $0.1 million and rent of $0.1 million. These increases were largely offset by a four-fold increase in plasma collections in 2022, resulting in an additional $5.0 million of costs that were capitalized into inventory.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pertains to the amortization of intangible assets acquired in the Biotest Transaction and was $0.2 million for the three months ended June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were $12.0 million for the three months ended June 30, 2022, an increase of $1.5 million from the three months ended June 30, 2021. The increase reflects higher employee compensation and related expenses, including travel, relocation and recruiting, in the amount of $1.3 million due to increased headcount associated with the overall size and scope of the organization and the stepped-up commercialization efforts for BIVIGAM and ASCENIV, increased insurance expense of $0.4 million and increased expenses for market data and intelligence fees of $0.3 million to support the BIVIGAM and ASCENIV commercialization efforts and $0.1 million of increased marketing/advertising expenses. These costs were partially offset by the severance obligation recognized in the second quarter of 2021 of $0.8 million related to the resignation of the Company’s former chief medical officer, with no comparable amount in fiscal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operating loss was $9.2 million for the second quarter of 2022, as compared to $15.6 million for the second quarter of 2021. The $6.4 million decrease in operating loss was mainly due to the improved gross profit of $8.8 million and lower R&amp;D expenses, partially offset by the increases in plasma center operating expenses and SG&amp;A.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June 30, 2022 was $4.6 million, as compared to $3.2 million for the three months ended June 30, 2021. The increase is mainly due to approximately $52.8 million of additional debt principal resulting from the refinancing of our senior credit facility on March 23, 2022 (see Note 7 to the consolidated financial statements and “Liquidity and Capital Resources”). We expect our interest expense to continue to increase during the remainder of 2022 and thereafter due to rising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net loss was $13.8 million for the second quarter of 2022, as compared to $18.9 million for the second quarter of 2021. The $5.1 million decrease in net loss was mainly due to the narrowed operating loss, partially offset by the increase in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six months ended June 30, 2022 compared to the six months ended June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4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194"/>
        </w:trPr>
        <w:tc>
          <w:tcPr>
            <w:tcW w:w="4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63,008,100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33,879,208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29,128,892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51,576,660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36,602,746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14,973,914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11,431,440</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(2,723,538)</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2,146,515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(649,018)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7,896,075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5,045,669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2,850,406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25,669,997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20,472,083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5,197,914</w:t>
            </w:r>
          </w:p>
        </w:tc>
        <w:tc>
          <w:tcPr>
            <w:tcW w:w="0" w:type="dxa"/>
            <w:vAlign w:val="bottom"/>
          </w:tcPr>
          <w:p>
            <w:pPr>
              <w:spacing w:after="0"/>
              <w:rPr>
                <w:sz w:val="1"/>
                <w:szCs w:val="1"/>
                <w:color w:val="auto"/>
              </w:rPr>
            </w:pPr>
          </w:p>
        </w:tc>
      </w:tr>
      <w:tr>
        <w:trPr>
          <w:trHeight w:val="27"/>
        </w:trPr>
        <w:tc>
          <w:tcPr>
            <w:tcW w:w="43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(23,989,805)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(30,745,481)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6,755,676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(7,962,053)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(6,442,430)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(1,519,623)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(6,669,941)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(6,669,941)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(150,964)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(53,631)</w:t>
            </w:r>
          </w:p>
        </w:tc>
        <w:tc>
          <w:tcPr>
            <w:tcW w:w="0" w:type="dxa"/>
            <w:vAlign w:val="bottom"/>
          </w:tcPr>
          <w:p>
            <w:pPr>
              <w:spacing w:after="0"/>
              <w:rPr>
                <w:sz w:val="1"/>
                <w:szCs w:val="1"/>
                <w:color w:val="auto"/>
              </w:rPr>
            </w:pPr>
          </w:p>
        </w:tc>
      </w:tr>
      <w:tr>
        <w:trPr>
          <w:trHeight w:val="27"/>
        </w:trPr>
        <w:tc>
          <w:tcPr>
            <w:tcW w:w="43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(38,772,763)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(37,285,244)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(1,487,519)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940" w:type="dxa"/>
            <w:vAlign w:val="bottom"/>
            <w:vMerge w:val="restart"/>
          </w:tcPr>
          <w:p>
            <w:pPr>
              <w:jc w:val="right"/>
              <w:ind w:right="1548"/>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3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3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recorded total revenues of $63.0 million during the six months ended June 30, 2022, as compared to $33.9 million during the three months ended June 30, 2021, an increase of $29.1 million, or approximately 86%. The increase is due to increased sales of immunoglobulin products generated by our Boca Facility manufacturing operations in 2022, primarily ASCENIV and BIVIGAM, of $28.1 million. We also benefitted from increased sales of normal source plasma through ADMA BioCenters of $1.0 million.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revenues of $63.0 million for the first six months of 2022 includes sales of normal source plasma through ADMA BioCenters of $5.1 million (see Note 11 to the consolidated financial statements). In 2023 and beyond, we expect that substantially all of the plasma collected at our plasma collection facilities will be utilized in our Boca Facility manufacturing operations. Therefore, we do not expect any significant revenue from the sale of normal source plasma beginning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Cost of product revenue was $51.6 million for the six months ended June 30, 2022, as compared to $36.6 million for the six months ended June 30, 2021. This increase of $15.0 million is primarily attributable to increased product revenue costs related to the sale of our immunoglobulin products of $11.0 million and increased product revenue costs related to our ADMA BioCenters business segment in the amount of $1.3 million. In addition, we also experienced an increase in other manufacturing expenses of approximately $2.7 million in the first half of 2022 as compared to the same period of year ago.</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gross profit of $11.4 million for the six months ended June 30, 2022 represents an improvement over the same period of a year ago of $14.2 million and is mainly due to the improved margins we are experiencing with BIVIGAM at the larger plasma pool production scale, and to the increased relative contribution of ASCENIV to our total revenues. As a result, we achieved a gross margin of 18.1% for the first six months of 2022, as compared to a negative gross margin for the first six months of 2021. We consider consolidated gross margin to be an important performance metric that we will monitor during the second half of 2022 and beyond.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R&amp;D expenses totaled $1.5 million for the six months ended June 30, 2022, as compared to $2.1 million for the six months ended June 30, 2021. The decrease is primarily due to reduced compensation costs, including stock-based compensation, of $0.5 million associated with R&amp;D activities due to the resignation of our former Chief Medical and Scientific Officer in the second quarter of 2021, and to $0.1 million of lower expenses related to BIVIGAM clinical studies which are part of our FDA post-marketing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first six months of 2022, we had seven plasma collection centers in operation, excluding our eighth plasma collection center that opened on June 30, 2022, as compared to four plasma collection centers in operation during the first six months of 2021. As a result, plasma center operating expenses increased by $2.9 million in the first six months of 2022 as compared to the same period of a year ago. The increase is mainly comprised of higher donor fees in the amount $4.7 million, employee compensation and benefits of $2.5 million, softgoods and supplies of $1.4 million, donor testing expenses of $1.0 million, depreciation expense of $0.6 million, software maintenance and professional services of $0.3 million, shipping and freight costs of $0.2 million, advertising expenses of $0.2 million, utilities of $0.2 million and rent of $0.2 million, partially offset by significantly increased donor collections which had the impact of reducing our operating expenses by $8.5 million, as such expenses were charged to inventory for future manufacturing or sales. As we continue our planned expansion with the goal of having ten plasma collection centers licensed by the FDA by the end of 2023, we expect our plasma center operating expenses to continue to increase.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pertains to the amortization of intangible assets acquired in the Biotest Transaction and was $0.4 million for the six months ended June 30, 2022 and 2021.</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SG&amp;A expenses were $25.7 million for the six months ended June 30, 2022, an increase of $5.2 million from the six months ended June 30, 2021. The increase reflects $1.3 million of professional fees incurred in connection with the Morgan Stanley strategic alternatives process in 2022 with no comparable amount in 2021. In addition, we had an increase in employee compensation and related expenses, including travel, relocating and recruiting, in the amount of $3.7 million due to increased headcount, increased insurance expense of $0.7 million, and increases in advertising/marketing expense of $0.3 million, software maintenance fees of $0.2 million and utilities of $0.1 million. These costs were partially offset by the absence of the $0.8 million severance obligation recognized in 2021 in connection with the resignation of our former chief medical officer and $0.5 million of third-party market intelligence fees for a one-time project related to ASCENIV that concluded in the first quarter of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operating loss was $24.0 million for the first six months of 2022, as compared to $30.7 million for the first six months of 2021. The $6.8 million decrease in operating loss was mainly due to the improved gross profit of $14.2 million and lower R&amp;D expenses, largely offset by the increases in plasma center operating expenses and SG&amp;A.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increase in interest expense of $1.5 million for the six months ended June 30, 2022 as compared to the same period of a year ago was mainly due to the additional indebtedness resulting from the refinancing of our senior credit facility on March 23, 2022 (see “Liquidity and Capital Resources”). Because our new senior credit facility allows us to pay “in kind” a portion of our monthly interest obligation, we expect our principal debt balance, along with the associated interest, to increase each reporting period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refinancing of our senior credit facility on March 23, 2022, we incurred a loss on the extinguishment of debt in the amount of $6.7 million as a result of the redemption premium we paid to retire our previously existing credit facility in the amount of $2.0 million, and the write-off of unamortized debt discount of $4.7 million related to that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net loss was $38.8 million for the six months ended June 30, 2022, as compared to $37.3 million for the six months ended June 30, 2021, as the $6.8 million decrease in loss from operations for the period was more than offset by the loss on extinguishment of debt in 2022 of $6.7 million, with no comparable amount in 2021, and the increase in interest expense resulting from our increased debt principal balance and rising interest rates.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June 30, 2022, we had working capital of $194.7 million, primarily consisting of $146.1 million of inventory, cash and cash equivalents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$52.4 million and accounts receivable of $18.9 million, partially offset by accounts payable and accrued expenses of $27.3 million, as compared to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of $178.4 million, primarily consisting of $124.7 million of inventory, cash and cash equivalents of $51.1 million and accounts receivable of $28.6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partially offset by $29.6 million of accounts payable and accrued expenses, as of December 31, 2021. We have incurred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$450.9 million since inception, had negative cash flows from operations of $38.8 million and $65.5 million for the six months ended June 30,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respectively, and had negative cash flows from operations of $112.4 million and $102.0 million for the years ended December 31, 2021 and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We have funded our operations over the past few years primarily from the sale of our equity and debt securities. Our material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are primarily comprised of:</w:t>
      </w:r>
    </w:p>
    <w:p>
      <w:pPr>
        <w:spacing w:after="0" w:line="207"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raw material plasma and other raw materials necessary to maintain and scale up our manufacturing operations;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w:t>
      </w:r>
    </w:p>
    <w:p>
      <w:pPr>
        <w:spacing w:after="0" w:line="9" w:lineRule="exact"/>
        <w:rPr>
          <w:rFonts w:ascii="Times New Roman" w:cs="Times New Roman" w:eastAsia="Times New Roman" w:hAnsi="Times New Roman"/>
          <w:sz w:val="18"/>
          <w:szCs w:val="18"/>
          <w:color w:val="auto"/>
        </w:rPr>
      </w:pPr>
    </w:p>
    <w:p>
      <w:pPr>
        <w:ind w:left="1300" w:right="140" w:hanging="320"/>
        <w:spacing w:after="0" w:line="26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the building of additional plasma collection facilities and for equipment upgrades and capacity expansion at the Boca Facility;</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 donor fees and plasma center supplies;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programs and continued commercialization efforts;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Boca Facility maintenance, repairs and supplies;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required post-marketing clinical trials for our FDA-approved products.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our end-to-end production cycle time from procurement of raw materials to commercial release of finished product can take between seven and 12 months or potentially longer, requiring substantial inventories of raw material plasma and other manufacturing materials and single use disposables.</w:t>
      </w:r>
    </w:p>
    <w:p>
      <w:pPr>
        <w:spacing w:after="0" w:line="162"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18"/>
          <w:szCs w:val="18"/>
          <w:color w:val="auto"/>
        </w:rPr>
        <w:t>We expect that we will not be able to generate a sufficient amount of product revenue to achieve profitability until the beginning of 2024. We currently anticipate, based upon our projected revenue and expenditures, that our current cash, cash equivalents and accounts receivable, including the proceeds received and expected to be received from the refinancing of our senior credit facility as discussed below, along with the remaining amounts available under the distribution agreement for the sale of our common stock also discussed below, will be sufficient to fund our operations, as currently conducted, into the first quarter of 2024, at which time we believe we will begin to generate positive cash flow from operations. This time frame may change based on several factors, including the success of our commercial efforts with respect to the sale of our products and the acceptability of our immune globulin products by physicians, patients or payers, and whether or not the assumptions underlying our projected revenues and expenses are correct. If we are unable to raise additional capital if needed, including due to widespread liquidity constraints or significant market instability that could result from the COVID-19 pandemic, inflationary pressures or other factors beyond our control, we may have to delay, curtail or eliminate some of our commercialization efforts or product development activities. We are also continuing to evaluate a variety of strategic alternatives through our ongoing engagement with Morgan Stanley as a financial advisor.</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23, 2022, (the “Hayfin Closing Date”) we and all of our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The obligation of the lenders to make the Hayfin Delayed Draw Loan expires on March 22, 2023, and is subject to the satisfaction of certain conditions, including, but not limited to, our meeting certain 12-month revenue targets as set forth in the Hayfin Credit Agreement. The Hayfin Credit Facility has a maturity date of March 23, 2027 (the “Hayfin Maturity Date”), subject to acceleration pursuant to the Hayfin Credit Agreement, including upon an Event of Default (as defined in the Hayfin Credit Agreement).</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$0.6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The remainder of the proceeds received or to be received from the Hayfin Loans will be used for working capital and other general corporate purposes.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Borrowings under the Hayfin Credit Agreement currently bear interest at the adjusted Term SOFR for either a one-month or three-month tenor, as elected by us, and subject to a floor of 1.25%, plus an applicable margin of 9.5% (the “Applicable Margin”); provided, however, that upon, and during the continuance of, an Event of Default, the Applicable Margin shall increase by an additional 3% per annum. We will also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As a result, our outstanding debt principal on the Hayfin loans will increase each month as long as we elect to continue to pay a portion of our interest obligation “in kind.” On the Hayfin Closing Date and through June 30, 2022, our interest rate was 10.75%. On the last day of each calendar month or quarter during the term of the Hayfin Credit Facility, we are required to pay accrued interest to Hayfin of approximately $1.1 million per month or $3.2 million per quarter, after giving effect to the “in kind” interest of 2.5% per annum, but without giving effect to the Hayfin Delayed Draw Loan.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interest obligations under the Hayfin credit agreement are subject to variable interest rates based on the Term SOFR in effect at the beginning of each monthly interest period. With the global rise in interest rates, we expect our interest rate and our monthly cash interest obligation to increase over the remainder of fiscal 2022 and potentially into 2023 and beyond. For example, our stated interest rate, which was 10.75% for the month of June 2022, increased to approximately 11.125% for the month of July and is expected to be approximately 11.95% for the month of August.</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the Hayfin Maturity Date, we will pay Hayfin the entire outstanding principal amount underlying the Hayfin Loans and any accrued and unpaid interest thereon, as well as an exit fee of 1.0% of the outstanding principal amount being paid. Prior to the Hayfin Maturity Date, there are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 prepayment fee in the amount equal to (i) 7.0% of the prepaid principal amount, if prepaid on or prior to the first anniversary of the Hayfin Closing Date,</w:t>
      </w:r>
    </w:p>
    <w:p>
      <w:pPr>
        <w:spacing w:after="0" w:line="3" w:lineRule="exact"/>
        <w:rPr>
          <w:sz w:val="20"/>
          <w:szCs w:val="20"/>
          <w:color w:val="auto"/>
        </w:rPr>
      </w:pPr>
    </w:p>
    <w:p>
      <w:pPr>
        <w:ind w:right="40" w:firstLine="8"/>
        <w:spacing w:after="0" w:line="253"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we are required to pay the 1.0% exit fee for the amount of principal being paid.</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commencing with the fiscal quarter ending June 30, 2022,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 As of June 30, 2022, we were in compliance with all of the financial covenants contained in the Hayfin Credit Agreement.</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October 25, 2021, we completed an underwritten public offering whereby we issued 57.5 million shares of our common stock and received gross proceeds of $57.5 million. Net proceeds, after underwriting discounts and expenses associated with the offering, were approximately $53.8 million, and were used (i) to advance the commercial sales of our FDA approved products through the procurement of raw materials for the manufacturing of BIVIGAM and ASCENIV; (ii) to expand our plasma collection facility network; (iii) to scale up the manufacturing capacity of the Boca Facility and make continuous improvements in order to adhere to cGMP compliance; (iv) to explore business development opportunities; and (v) for general corporate purposes and other capital expenditures.</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We currently have approximately $42.8 million of shares available to sell under the Distribution Agreement.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Index</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tc>
        <w:tc>
          <w:tcPr>
            <w:tcW w:w="120" w:type="dxa"/>
            <w:vAlign w:val="bottom"/>
          </w:tcPr>
          <w:p>
            <w:pPr>
              <w:spacing w:after="0"/>
              <w:rPr>
                <w:sz w:val="24"/>
                <w:szCs w:val="24"/>
                <w:color w:val="auto"/>
              </w:rPr>
            </w:pPr>
          </w:p>
        </w:tc>
        <w:tc>
          <w:tcPr>
            <w:tcW w:w="2440" w:type="dxa"/>
            <w:vAlign w:val="bottom"/>
            <w:gridSpan w:val="5"/>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(38,844,181)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(65,491,363)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(6,782,169)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(7,046,735)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46,952,285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59,025,904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1,325,935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(13,512,194)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51,089,118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55,921,152</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52,415,053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42,408,958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3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Cash used in operations for the six months ended June 30, 2022 was $38.8 million, a decrease of $26.6 million from the same period of a year ago, mainly due to reductions in accounts receivable and a lower net loss after non-cash items. The following table illustrates the primary components of our cash flows from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(38,772,763)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(37,285,244)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14,720,818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5,057,077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9,693,011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(10,307,304)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(21,351,368)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(18,164,144)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(1,060,683)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(2,655,397)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(2,502,982)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(1,925,710)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(210,641)</w:t>
            </w:r>
          </w:p>
        </w:tc>
      </w:tr>
      <w:tr>
        <w:trPr>
          <w:trHeight w:val="27"/>
        </w:trPr>
        <w:tc>
          <w:tcPr>
            <w:tcW w:w="8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(38,844,181)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(65,491,363)</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and 2021 was $6.8 million and $7.0 million, respectively, consisting of capital expenditures for the construction and buildout of new plasma collection centers and related equipment and capital expenditures at the Boca Facility. We expect our total capital expenditures will be between $5.0 million and $10.0 million for the remainder of fiscal 2022, mainly for continued plasma collection center expansion.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of $47.0 million for the six months ended June 30, 2022 and mainly consisted of proceeds received from the Hayfin Credit Facility, net of payments to retire our previously existing credit facility with Perceptive. Cash provided by financing activities of $59.0 million for the six months ended June 30, 2021 was mainly comprised of net proceeds received from the issuance of our common stock (see Note 8 to the consolidated financial statements).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Although inflation or changing prices did not have a significant impact on our revenues or net loss for the year ended December 31, 2020 or the first six months of 2021, inflation did impact a number of facets of our business during the year ended December 31, 2021 and the first six months of 2022 at both of our business segments. We experienced price increases for, among other items, certain raw materials, consumable supplies, services for repairs and maintenance of our facilities, shipping and freight charges, fuel surcharges and labor costs. We expect this trend to continue at least into the second half of 2022 or longer, which could have a significant impact on our future results of operations. In addition, some of our plasma purchase agreements provide for annual price increases that are tied to various consumer price indices, which have resulted in higher than historical percentage price increases and has resulted in and is expected to continue to result in higher source plasma and other raw material and supplies costs in 2022 and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June 30, 2022. Based on this evaluation, our principal executive officer and our principal financial officer concluded that our disclosure controls and procedures as of June 30, 2022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June 30, 2022 that have materially affected, or are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2" w:lineRule="exact"/>
        <w:rPr>
          <w:sz w:val="20"/>
          <w:szCs w:val="20"/>
          <w:color w:val="auto"/>
        </w:rPr>
      </w:pPr>
    </w:p>
    <w:p>
      <w:pPr>
        <w:ind w:left="660" w:right="3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may, in the future, need to raise additional capital to operate our business, which may not be available on favorable terms, if at all.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not profitable and may never become profitable.</w:t>
      </w:r>
    </w:p>
    <w:p>
      <w:pPr>
        <w:spacing w:after="0" w:line="225"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or other pandemics and efforts to reduce their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our business segments and our facilities are subject to periodic inspections by the FDA, which, depending on the outcome of such inspections, could result in certain FDA actions, including the issuance of observations, notices, citations or warning letters.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business.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researchers, developers and vendors to develop, manufacture, supply materials for or test our products and product candidates, and such parties are outside of our control.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6"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365" w:lineRule="exact"/>
        <w:rPr>
          <w:sz w:val="20"/>
          <w:szCs w:val="20"/>
          <w:color w:val="auto"/>
        </w:rPr>
      </w:pPr>
    </w:p>
    <w:p>
      <w:pPr>
        <w:ind w:left="660" w:right="1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payers and patients do not accept and use our current products or our future product candidates, our ability to generate revenue from these products will be materially impaired.</w:t>
      </w:r>
    </w:p>
    <w:p>
      <w:pPr>
        <w:spacing w:after="0" w:line="16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credit facility with Hayfin Services LLP (“Hayfin”) is subject to acceleration in specified circumstances, which may result in Hayfin taking possession and disposing of any collateral.</w:t>
      </w:r>
    </w:p>
    <w:p>
      <w:pPr>
        <w:spacing w:after="0" w:line="161"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which could harm our business and reputation.</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61"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funding and may be unable to raise capital in the future, which would force us to delay, curtail or eliminate one or more of our research and development programs or potentially modify our ongoing operations, commercialization efforts and expansion plans, as well as impact the overall business plan for the organization.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may fluctuate in a way that is disproportionate to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date, we have a history of losses and have historically needed to raise, and in the future may be required to raise, additional capital to operate our business.</w:t>
      </w:r>
    </w:p>
    <w:p>
      <w:pPr>
        <w:spacing w:after="0" w:line="15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currently anticipate, based upon our projected revenue and expenditures, that our current cash, cash equivalents and accounts receivable, including the proceeds received and expected to be received from the refinancing of our senior credit facility and the amount of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We are also continuing to evaluate a variety of strategic alternatives through our ongoing engagement with Morgan Stanley as a financial advisor. We anticipate that we will not be able to generate a sufficient amount of product revenue to achieve profitability until the beginning of 2024. If we are unable to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Historically, the major source of our cash has been from proceeds from various public offerings of our common stock and the issuance of debt securities. The actual amount of cash that we will need is subject to many factors. There can be no assurances that additional financing will be available if needed or that management will be able to obtain financing on terms acceptable to us or that we will become profitable and generate positive operating cash flow.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not profitable and may never become profitable.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history of losses and expect to incur substantial losses and negative operating cash flows into fiscal 2023, and we may never achieve or maintain profitability. For the six months ended June 30, 2022 and 2021, we incurred net losses of $38.8 million and $37.3 million, respectively, and for the years ended December 31, 2021 and 2020, we incurred net losses of $71.6 million and $75.7 million, respectively. From our inception in 2004 through June 30, 2022, we have incurred an accumulated deficit of $450.9 million.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commercialization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build out our plasma center network;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4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production capacity at the Boca Facility.</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As a result, we will need to generate significant revenues in order to achieve and maintain profitability. We may not be able to generate these revenues or achieve profitability in the future.</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5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COVID-19 pandemic, including the Delta and Omicron variants and other resistant, mutating and emerging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availability of and quality of our products. Further, in certain instances and geographic regions, we may experience decreased customer engagement (for example, as a result of a temporary shutdown of a customer’s facilities resulting from the COVID-19 pandemic or the continuation of no in-person meetings) could impact our results of operations.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virtual attendance or outright cancellation in response to the pandemic. Also, due to a combination of previous state and local “shelter-in-place” orders, as well as government stimulus packages, amongst other initiatives, we have experienced, and may experience in the future, lower than expected donor collections at our FDA-licensed plasma collection centers. We were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have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 After the COVID-19 global pandemic has settled, we may continue to experience adverse impacts to our business as a result of evolving macroeconomic factors, including general economic uncertainty, unemployment rates, high inflation, recessionary pressures and any actual economic recession that has occurred or may occur in the future.</w:t>
      </w:r>
    </w:p>
    <w:p>
      <w:pPr>
        <w:spacing w:after="0" w:line="20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the pandemic or the restrictions resulting from the outbreak,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the pandemic that may otherwise adversely impact our supply chains or the quality of the resulting products or supplies. Depending on the change, we may need to obtain FDA pre-approval or otherwise provide the FDA with a notification of the change.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or our partners are conducting clinical trials, the pandemic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may require that we consult with relevant review and ethics committees, IRBs, and the FDA. The foregoing may also impact the integrity of our study data. The effects of the COVID-19 pandemic may also increase the need for clinical trial patient monitoring and regulatory reporting of adverse effects. The pandemic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that may be impacted by restrictions related to COVID-19 or other circumstances unknown to us presently or that are out of our direct control. Due to the potential impact of the COVID-19 outbreak on clinical trials, drug development, and manufacturing, the FDA issued a number of guidances specifically concerning COVID-19, including guidance with respect to blood and blood components. The FDA’s guidance is continually evolving.</w:t>
      </w:r>
    </w:p>
    <w:p>
      <w:pPr>
        <w:spacing w:after="0" w:line="19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COVID-19 pandemic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recently issued guidance regarding this requirement. This and any future changes in law may require that we change our internal processes and procedures to ensure continued compliance. Additionally, the previous guidelines that were issued by public health authorities or any new or changing recommendations or guidelines may still impact the demand for or usage as well as the prescriptions of our IVIG products.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and results from operations.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Although we have received FDA approval for the fill/finish suite we built at the Boca Facility, we also intend to continue to utilize third parties to supplement our fill/finish process for final drug substance. Our anticipated reliance on a limited number of third-party manufacturers exposes us to the following risks:</w:t>
      </w:r>
    </w:p>
    <w:p>
      <w:pPr>
        <w:spacing w:after="0" w:line="176" w:lineRule="exact"/>
        <w:rPr>
          <w:sz w:val="20"/>
          <w:szCs w:val="20"/>
          <w:color w:val="auto"/>
        </w:rPr>
      </w:pPr>
    </w:p>
    <w:p>
      <w:pPr>
        <w:ind w:left="820" w:right="4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61" w:lineRule="exact"/>
        <w:rPr>
          <w:rFonts w:ascii="Times New Roman" w:cs="Times New Roman" w:eastAsia="Times New Roman" w:hAnsi="Times New Roman"/>
          <w:sz w:val="18"/>
          <w:szCs w:val="18"/>
          <w:color w:val="auto"/>
        </w:rPr>
      </w:pPr>
    </w:p>
    <w:p>
      <w:pPr>
        <w:ind w:left="820" w:right="22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fill/finisher would have to be educated in, or develop substantially equivalent processes for, the production of our products and product candidates;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49" w:lineRule="exact"/>
        <w:rPr>
          <w:sz w:val="20"/>
          <w:szCs w:val="20"/>
          <w:color w:val="auto"/>
        </w:rPr>
      </w:pPr>
    </w:p>
    <w:p>
      <w:pPr>
        <w:ind w:left="820" w:hanging="812"/>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contracted fill/finishers’ operations, supply chain or workforce;</w:t>
      </w:r>
    </w:p>
    <w:p>
      <w:pPr>
        <w:spacing w:after="0" w:line="225" w:lineRule="exact"/>
        <w:rPr>
          <w:rFonts w:ascii="Times New Roman" w:cs="Times New Roman" w:eastAsia="Times New Roman" w:hAnsi="Times New Roman"/>
          <w:sz w:val="18"/>
          <w:szCs w:val="18"/>
          <w:color w:val="auto"/>
        </w:rPr>
      </w:pPr>
    </w:p>
    <w:p>
      <w:pPr>
        <w:ind w:left="820" w:right="140" w:hanging="812"/>
        <w:spacing w:after="0" w:line="266"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third-party fill/finishers might be unable to timely provide finished drug product in sufficient quantity  to meet our commercial needs;</w:t>
      </w:r>
    </w:p>
    <w:p>
      <w:pPr>
        <w:spacing w:after="0" w:line="225" w:lineRule="exact"/>
        <w:rPr>
          <w:sz w:val="20"/>
          <w:szCs w:val="20"/>
          <w:color w:val="auto"/>
        </w:rPr>
      </w:pPr>
    </w:p>
    <w:p>
      <w:pPr>
        <w:ind w:left="820" w:hanging="812"/>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inspection procedures and required tests appropriately;</w:t>
      </w:r>
    </w:p>
    <w:p>
      <w:pPr>
        <w:spacing w:after="0" w:line="225" w:lineRule="exact"/>
        <w:rPr>
          <w:rFonts w:ascii="Times New Roman" w:cs="Times New Roman" w:eastAsia="Times New Roman" w:hAnsi="Times New Roman"/>
          <w:sz w:val="18"/>
          <w:szCs w:val="18"/>
          <w:color w:val="auto"/>
        </w:rPr>
      </w:pPr>
    </w:p>
    <w:p>
      <w:pPr>
        <w:ind w:left="820" w:right="280" w:hanging="812"/>
        <w:spacing w:after="0" w:line="266"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75" w:lineRule="exact"/>
        <w:rPr>
          <w:rFonts w:ascii="Times New Roman" w:cs="Times New Roman" w:eastAsia="Times New Roman" w:hAnsi="Times New Roman"/>
          <w:sz w:val="18"/>
          <w:szCs w:val="18"/>
          <w:color w:val="auto"/>
        </w:rPr>
      </w:pPr>
    </w:p>
    <w:p>
      <w:pPr>
        <w:ind w:left="820" w:right="420" w:hanging="812"/>
        <w:spacing w:after="0" w:line="257"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p>
      <w:pPr>
        <w:spacing w:after="0" w:line="1"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fill/finishers could breach or terminate their agreements with us; and</w:t>
      </w:r>
    </w:p>
    <w:p>
      <w:pPr>
        <w:spacing w:after="0" w:line="206" w:lineRule="exact"/>
        <w:rPr>
          <w:rFonts w:ascii="Times New Roman" w:cs="Times New Roman" w:eastAsia="Times New Roman" w:hAnsi="Times New Roman"/>
          <w:sz w:val="18"/>
          <w:szCs w:val="18"/>
          <w:color w:val="auto"/>
        </w:rPr>
      </w:pPr>
    </w:p>
    <w:p>
      <w:pPr>
        <w:ind w:left="820" w:right="320" w:hanging="812"/>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of these risks could delay or prevent the completion of our finished drug product and the release of finished drug product by us or the FDA, which could result in higher costs or adversely impact the commercialization of our products.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88"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and our suppliers and contractors may be unable to comply with our specifications, cGMP requirements and with other FDA, state, and foreign regulatory requirements for commercial and clinical supply. The FDA is authorized to perform inspections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8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suspension resulting from the COVID-19 pandemic.</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could be adversely affected.</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ectPr>
          <w:pgSz w:w="11900" w:h="16838" w:orient="portrait"/>
          <w:cols w:equalWidth="0" w:num="1">
            <w:col w:w="11240"/>
          </w:cols>
          <w:pgMar w:left="320" w:top="116"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ind w:right="68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5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Other issues that may impact our clinical trials and that could delay or prevent our ability to receive marketing approval or commercialize our product candidates, include:</w:t>
      </w:r>
    </w:p>
    <w:p>
      <w:pPr>
        <w:spacing w:after="0" w:line="162" w:lineRule="exact"/>
        <w:rPr>
          <w:sz w:val="20"/>
          <w:szCs w:val="20"/>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requiring us to perform additional or unanticipated clinical trials to obtain approval or becoming subject to additional post-marketing testing, surveillance, or REMS requirements to maintain regulatory approval;</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inadequate quality of our product candidates or other materials necessary to conduct clinical trials;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Flaws in our clinical trial design that are not discoverable until the clinical trial has progressed;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make changes to our product candidates that require additional testing or that cause our product candidates to perform differently than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policies that may impact our ability to obtain raw materials and/or finished product for commercialization;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taking longer than we anticipate to make decisions on our products or product candidates; and</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demonstrate that a product or product candidate provides an advantage over current standards of care or current or future competitive therapies in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19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revenues from,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8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4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8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 the approval of ASCENIV, there can be no assurance that we will be successful in further developing and expanding commercial operations or balancing our research and development activities with our commercialization activities.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9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2565" cy="8890"/>
                    </a:xfrm>
                    <a:prstGeom prst="rect">
                      <a:avLst/>
                    </a:prstGeom>
                    <a:noFill/>
                  </pic:spPr>
                </pic:pic>
              </a:graphicData>
            </a:graphic>
          </wp:anchor>
        </w:drawing>
      </w:r>
    </w:p>
    <w:p>
      <w:pPr>
        <w:spacing w:after="0" w:line="14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expand our manufacturing processes to fulfill demand for our products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our production capabilities through the addition of new equipment, including if we do not obtain requisite approval from the FDA.</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 COVID-19 pandemic, we may experience a significant supply shortage of our products or our production capabilities may be limited until completion of and validation of our facility expansion and new manufacturing equipment.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90"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or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980" w:right="84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further post-marketing studies or clinical trials, implement risk mitigation strategies, or to issue corrective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healthcare programs, consent decrees, or corporate integrity agreements;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5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two customers, BioCARE, Inc. (“BioCare”) and Priority Healthcare Distribution, Inc. (“Curascript”), represented an aggregate of 73% of our consolidated revenues. For the year ended December 31, 2021, four customers, BioCare, Reliance Life Sciences Pvt Limited (“Reliance”), Curascript and AmerisourceBergen Corporation, represented an aggregate of 81% of our consolidated revenues.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June 30, 2022, three customers, BioCare, Healix Infusion Therapy, LLC, and Reliance, represented an aggregate of 84% of our consolidated accounts receivable. As of December 31, 2021, three customers, Curascript, BioCare and Reliance, represented a total of 94% of our consolidated accounts receivable.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a sufficient quantity of our products in a timely manner to meet our customers’ requirements; and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left="660" w:right="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and government responses thereto on our customers and their businesses, operations and financial condition.</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5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current product development portfolio consists primarily of label expansion activities for Nabi-HB, BIVIGAM and ASCENIV, as well as expanding our IP estate with patents issued for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5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19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and will be amended by the California Privacy Rights Act, effective January 1, 2023.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Hayfin Credit Facility is subject to acceleration in specified circumstances, which may result in Hayfin taking possession and disposing of any collateral.</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March 22, 2023 is subject to the satisfaction of certain conditions, including but not limited to, our meeting certain 12-month revenue targets as set forth in the Hayfin Credit Agreement. The Hayfin Credit Facility has a maturity date of March 23, 2027 (the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59"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87"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There is no assurance that ASCENIV, or any other of our products for which we are issued a patent, will enjoy market exclusivity for the full time period of the respective patent.</w:t>
      </w:r>
    </w:p>
    <w:p>
      <w:pPr>
        <w:spacing w:after="0" w:line="1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which could harm our business and reputation.</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and retain a substantial number of qualified personnel, our ability to sustain and grow our business may be harmed.</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create or acquire rights to, we may be adversely affected and may not be able to sell or use this human blood plasma for future commercial purposes.</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intend to maintain FDA approval of our ADMA BioCenters collection facilities for the collection of human blood plasma and we may seek other governmental and regulatory approvals for these facilities.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w:t>
      </w:r>
    </w:p>
    <w:p>
      <w:pPr>
        <w:spacing w:after="0" w:line="18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7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civil and criminal Federal False Claims Act, the civil monetary penalty statute, requirements regarding the reporting and repayment of overpayments, other fraud and abuse laws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states, including the State of Florida with respect to the manufacture and marketing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discount safe harbor.</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physicians, physician assistants, nurse practitioners, clinical nurse specialists and certified registered nurse anesthetists and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9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87"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 or product candidates could harm our business.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8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2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Additionally, our supply contract with Grifols for the purchase of normal source plasma (“NSP”) expires December 31, 2022. There can be no assurances that we will be able to obtain NSP from other third-party suppliers or be able to collect NSP in the same quantities, or at all, through our ADMA BioCenters plasma collection facilities at a cost that is comparable to the price we currently pay to Grifols for NSP. If our costs to obtain NSP through collections at our ADMA BioCenters plasma collection facilities or from other third-party suppliers are higher than what we currently pay to Grifols, our liquidity and results of operations could be adversely impacted.</w:t>
      </w:r>
    </w:p>
    <w:p>
      <w:pPr>
        <w:spacing w:after="0" w:line="179"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75"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biosimilar pathway established as part of healthcare reform may make it easier for competitors to market biosimilar products.</w:t>
      </w:r>
    </w:p>
    <w:p>
      <w:pPr>
        <w:spacing w:after="0" w:line="22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U.S. may adversely affect our business.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9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For the six months ended June 30, 2022 and 2021, we had negative cash flows from operations of $38.8 million and $65.5 million, and for the years ended December 31, 2021 and 2020, we had negative cash flows from operations of approximately $112.4 million and $102.0 million, respectively. We expect to continue to spend substantial amounts on procurement of raw material plasma and other raw materials necessary to scale up our manufacturing operations, commercial product launches, capacity expansion at the Boca Facility and building additional plasma collection facilities.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as a result,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including the proceeds received and expected to be received from the refinancing of our senior credit facility, along with the remaining funds available under the distribution agreement for the sale of our common stock (see “Liquidity and Capital Resources”), will be sufficient to fund our operations, as currently conducted, into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If we are unable to raise additional capital if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to us in amounts sufficient to enable us to make interest or principal payments on our indebtedness when due.</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Hayfin Credit Facility provides for a senior secured term loan facility in an aggregate principal amount of up to $175.0 million, of which $150.0 million has been drawn down and is currently outstanding. Borrowings under the Hayfin Credit Facility bear interest at a rate per annum equal to</w:t>
      </w:r>
    </w:p>
    <w:p>
      <w:pPr>
        <w:ind w:right="80"/>
        <w:spacing w:after="0" w:line="252" w:lineRule="auto"/>
        <w:rPr>
          <w:sz w:val="20"/>
          <w:szCs w:val="20"/>
          <w:color w:val="auto"/>
        </w:rPr>
      </w:pPr>
      <w:r>
        <w:rPr>
          <w:rFonts w:ascii="Times New Roman" w:cs="Times New Roman" w:eastAsia="Times New Roman" w:hAnsi="Times New Roman"/>
          <w:sz w:val="18"/>
          <w:szCs w:val="18"/>
          <w:color w:val="auto"/>
        </w:rPr>
        <w:t>9.5% plus the greater of (i) one- or three-month SOFR as we elect and (ii) 1.25%, as more fully described in “Liquidity and Capital Resources”; provided, however, that upon, and during the continuance of, an Event of Default, the interest rate will automatically increase by an additional 300 basis points. We are currently required to make monthly payments of interest during the term of the Hayfin Credit Facility of approximately $1.1 million, with all principal and unpaid interest due at maturity. The Hayfin Credit Facility has a maturity date of March 23, 2027, subject to acceleration pursuant to the Hayfin Credit Agreement, including upon an Event of Default. All of our obligations under the Hayfin Credit Facility are secured by a first-priority lien and security interest in substantially all of our and our subsidiaries’ tangible and intangible assets, including intellectual property, and all of the equity interests in our subsidiaries.</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3"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3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2021, we had federal and state NOLs of $299.9 million and $185.0 million, respectively. Federal and State NOLs of approximately $55.2 million and $77.8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equity markets related to the effects of the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 decision by federal, state or local business regulatory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BIVIGAM and ASCENIV;</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August 5, 2022, most of our 196,357,149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As of June 30, 2022, Perceptive, Stonepine Capital Management, LLC, Caligan LP, NWQ Investment Management Company, LLC and our directors and executive officers and their affiliates owned approximately 26%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stock regulations may affect your ability to sell our common stock.</w:t>
      </w:r>
    </w:p>
    <w:p>
      <w:pPr>
        <w:spacing w:after="0" w:line="22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June 30, 2022, there were 53,120,344 shares remaining available for issuance, after giving effect to 26,803,460 shares of our common stock that were subject to outstanding stock options, RSUs and warrants as of June 30, 2022 that may be issued by us without stockholder approval, as well as an additional 23,719,964 shares reserved for the future issuance of awards under our equity compensation plans.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02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1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ADMA Biologics,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Date:August 10, 2022</w:t>
      </w:r>
      <w:r>
        <w:rPr>
          <w:sz w:val="20"/>
          <w:szCs w:val="20"/>
          <w:color w:val="auto"/>
        </w:rPr>
        <w:tab/>
      </w:r>
      <w:r>
        <w:rPr>
          <w:rFonts w:ascii="Times New Roman" w:cs="Times New Roman" w:eastAsia="Times New Roman" w:hAnsi="Times New Roman"/>
          <w:sz w:val="18"/>
          <w:szCs w:val="18"/>
          <w:color w:val="auto"/>
        </w:rPr>
        <w:t>By: /s/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Name:Adam S. Grossman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Title:President and Chief Executive Officer</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Date:August 10, 2022</w:t>
      </w:r>
      <w:r>
        <w:rPr>
          <w:sz w:val="20"/>
          <w:szCs w:val="20"/>
          <w:color w:val="auto"/>
        </w:rPr>
        <w:tab/>
      </w:r>
      <w:r>
        <w:rPr>
          <w:rFonts w:ascii="Times New Roman" w:cs="Times New Roman" w:eastAsia="Times New Roman" w:hAnsi="Times New Roman"/>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Lenz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6" w:right="6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540" w:type="dxa"/>
            <w:vAlign w:val="bottom"/>
            <w:gridSpan w:val="7"/>
          </w:tcPr>
          <w:p>
            <w:pPr>
              <w:spacing w:after="0"/>
              <w:rPr>
                <w:sz w:val="20"/>
                <w:szCs w:val="20"/>
                <w:color w:val="auto"/>
              </w:rPr>
            </w:pPr>
            <w:r>
              <w:rPr>
                <w:rFonts w:ascii="Times New Roman" w:cs="Times New Roman" w:eastAsia="Times New Roman" w:hAnsi="Times New Roman"/>
                <w:sz w:val="14"/>
                <w:szCs w:val="14"/>
                <w:i w:val="1"/>
                <w:iCs w:val="1"/>
                <w:color w:val="auto"/>
              </w:rPr>
              <w:t>Index</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2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92"/>
        </w:trPr>
        <w:tc>
          <w:tcPr>
            <w:tcW w:w="154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Exhibit Number</w:t>
            </w: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 w:type="dxa"/>
            <w:vAlign w:val="bottom"/>
            <w:gridSpan w:val="4"/>
            <w:shd w:val="clear" w:color="auto" w:fill="CCEEFF"/>
          </w:tcPr>
          <w:p>
            <w:pPr>
              <w:ind w:left="240"/>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70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ADMA Biologics, Inc. 2022 Equity Compensation Plan (incorporated by reference to Exhibit 10.1 to the Company’s Current Report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970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 Form 8-K, filed with the SEC on June 21,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40" w:type="dxa"/>
            <w:vAlign w:val="bottom"/>
            <w:gridSpan w:val="5"/>
          </w:tcPr>
          <w:p>
            <w:pPr>
              <w:ind w:left="24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7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adopted pursuant to Section 302 of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0" w:type="dxa"/>
            <w:vAlign w:val="bottom"/>
          </w:tcPr>
          <w:p>
            <w:pPr>
              <w:spacing w:after="0"/>
              <w:rPr>
                <w:sz w:val="1"/>
                <w:szCs w:val="1"/>
                <w:color w:val="auto"/>
              </w:rPr>
            </w:pPr>
          </w:p>
        </w:tc>
      </w:tr>
      <w:tr>
        <w:trPr>
          <w:trHeight w:val="176"/>
        </w:trPr>
        <w:tc>
          <w:tcPr>
            <w:tcW w:w="740" w:type="dxa"/>
            <w:vAlign w:val="bottom"/>
            <w:gridSpan w:val="5"/>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70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as adopted pursuant to Section 302 of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970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400" w:type="dxa"/>
            <w:vAlign w:val="bottom"/>
            <w:gridSpan w:val="6"/>
          </w:tcPr>
          <w:p>
            <w:pPr>
              <w:ind w:left="24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15"/>
                <w:szCs w:val="15"/>
                <w:color w:val="auto"/>
              </w:rPr>
            </w:pPr>
          </w:p>
        </w:tc>
        <w:tc>
          <w:tcPr>
            <w:tcW w:w="97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176"/>
        </w:trPr>
        <w:tc>
          <w:tcPr>
            <w:tcW w:w="1400" w:type="dxa"/>
            <w:vAlign w:val="bottom"/>
            <w:gridSpan w:val="6"/>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40" w:type="dxa"/>
            <w:vAlign w:val="bottom"/>
            <w:shd w:val="clear" w:color="auto" w:fill="CCEEFF"/>
          </w:tcPr>
          <w:p>
            <w:pPr>
              <w:spacing w:after="0"/>
              <w:rPr>
                <w:sz w:val="15"/>
                <w:szCs w:val="15"/>
                <w:color w:val="auto"/>
              </w:rPr>
            </w:pPr>
          </w:p>
        </w:tc>
        <w:tc>
          <w:tcPr>
            <w:tcW w:w="970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970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40" w:type="dxa"/>
            <w:vAlign w:val="bottom"/>
            <w:gridSpan w:val="4"/>
          </w:tcPr>
          <w:p>
            <w:pPr>
              <w:ind w:left="24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The following materials from ADMA Biologics, Inc.’s Form 10-Q for the quarter ended June 30, 2022, formatted in Extensible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Business Reporting Language (XBRL): (i) Condensed Consolidated Balance Sheets as of June 30, 2022 (Unaudited) and December</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31, 2021, (ii) Condensed Consolidated Statements of Operations (Unaudited) for the three and six months ended June 30, 2022 and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2021, (iii) Condensed Consolidated Statements of Changes in Stockholders' Equity (Unaudited) for the three and six months ended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June 30, 2022 and 2021, (iv) Condensed Consolidated Statements of Cash Flows (Unaudited) for the six months ended June 30,</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2022 and 2021, and (v) Notes to (Unaudited) Condensed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700" w:hanging="1463"/>
        <w:spacing w:after="0"/>
        <w:tabs>
          <w:tab w:leader="none" w:pos="1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4230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SEC Release 33-8238, Exhibit 32.1 and 32.2 are being furnished and not filed.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Adam S. Grossman, certify that:</w:t>
      </w:r>
    </w:p>
    <w:p>
      <w:pPr>
        <w:spacing w:after="0" w:line="24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S. Grossman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Brian Lenz, certify that:</w:t>
      </w:r>
    </w:p>
    <w:p>
      <w:pPr>
        <w:spacing w:after="0" w:line="24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Lenz</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 (Principal Financial and Accounting</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ADMA Biologics, Inc., a Delaware corporation (the “Company”), on Form 10-Q for the quarter ended June 30, 2022,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21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8"/>
        </w:trPr>
        <w:tc>
          <w:tcPr>
            <w:tcW w:w="3640" w:type="dxa"/>
            <w:vAlign w:val="bottom"/>
          </w:tcPr>
          <w:p>
            <w:pPr>
              <w:spacing w:after="0"/>
              <w:rPr>
                <w:sz w:val="17"/>
                <w:szCs w:val="17"/>
                <w:color w:val="auto"/>
              </w:rPr>
            </w:pPr>
          </w:p>
        </w:tc>
        <w:tc>
          <w:tcPr>
            <w:tcW w:w="2560" w:type="dxa"/>
            <w:vAlign w:val="bottom"/>
          </w:tcPr>
          <w:p>
            <w:pPr>
              <w:ind w:left="20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3640" w:type="dxa"/>
            <w:vAlign w:val="bottom"/>
          </w:tcPr>
          <w:p>
            <w:pPr>
              <w:spacing w:after="0"/>
              <w:rPr>
                <w:sz w:val="18"/>
                <w:szCs w:val="18"/>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44"/>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THE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20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ADMA Biologics, Inc., a Delaware corporation (the “Company”), on Form 10-Q for the quarter ended June 30, 2022,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216"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Lenz</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 (Principal Financial and Accounting</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1)"/>
      <w:numFmt w:val="lowerRoman"/>
      <w:start w:val="2"/>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9"/>
    </w:lvl>
  </w:abstractNum>
  <w:abstractNum w:abstractNumId="11">
    <w:nsid w:val="54E49EB4"/>
    <w:multiLevelType w:val="hybridMultilevel"/>
    <w:lvl w:ilvl="0">
      <w:lvlJc w:val="left"/>
      <w:lvlText w:val="%1."/>
      <w:numFmt w:val="decimal"/>
      <w:start w:val="10"/>
    </w:lvl>
  </w:abstractNum>
  <w:abstractNum w:abstractNumId="12">
    <w:nsid w:val="71F32454"/>
    <w:multiLevelType w:val="hybridMultilevel"/>
    <w:lvl w:ilvl="0">
      <w:lvlJc w:val="left"/>
      <w:lvlText w:val="%1."/>
      <w:numFmt w:val="decimal"/>
      <w:start w:val="11"/>
    </w:lvl>
  </w:abstractNum>
  <w:abstractNum w:abstractNumId="13">
    <w:nsid w:val="2CA88611"/>
    <w:multiLevelType w:val="hybridMultilevel"/>
    <w:lvl w:ilvl="0">
      <w:lvlJc w:val="left"/>
      <w:lvlText w:val="%1."/>
      <w:numFmt w:val="decimal"/>
      <w:start w:val="12"/>
    </w:lvl>
  </w:abstractNum>
  <w:abstractNum w:abstractNumId="14">
    <w:nsid w:val="836C40E"/>
    <w:multiLevelType w:val="hybridMultilevel"/>
    <w:lvl w:ilvl="0">
      <w:lvlJc w:val="left"/>
      <w:lvlText w:val="%1."/>
      <w:numFmt w:val="decimal"/>
      <w:start w:val="13"/>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lowerRoman"/>
      <w:start w:val="2"/>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lvl w:ilvl="1">
      <w:lvlJc w:val="left"/>
      <w:lvlText w:val="%2"/>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41" Type="http://schemas.openxmlformats.org/officeDocument/2006/relationships/hyperlink" Target="https://www.sec.gov/Archives/edgar/data/1368514/000114036122023666/brhc1003896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2022-08-10T17:14:38Z</dcterms:created>
  <dcterms:modified xsi:type="dcterms:W3CDTF">2022-08-10T17:14:38Z</dcterms:modified>
</cp:coreProperties>
</file>