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20, 2021</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ADMA BIOLOGICS,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460" w:type="dxa"/>
            <w:vAlign w:val="bottom"/>
            <w:tcBorders>
              <w:bottom w:val="single" w:sz="8" w:color="auto"/>
            </w:tcBorders>
          </w:tcPr>
          <w:p>
            <w:pPr>
              <w:jc w:val="center"/>
              <w:ind w:right="610"/>
              <w:spacing w:after="0"/>
              <w:rPr>
                <w:sz w:val="20"/>
                <w:szCs w:val="20"/>
                <w:color w:val="auto"/>
              </w:rPr>
            </w:pPr>
            <w:r>
              <w:rPr>
                <w:rFonts w:ascii="Arial" w:cs="Arial" w:eastAsia="Arial" w:hAnsi="Arial"/>
                <w:sz w:val="18"/>
                <w:szCs w:val="18"/>
                <w:color w:val="auto"/>
                <w:w w:val="89"/>
              </w:rPr>
              <w:t>Delaware</w:t>
            </w:r>
          </w:p>
        </w:tc>
        <w:tc>
          <w:tcPr>
            <w:tcW w:w="29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color w:val="auto"/>
              </w:rPr>
              <w:t>001-36728</w:t>
            </w:r>
          </w:p>
        </w:tc>
        <w:tc>
          <w:tcPr>
            <w:tcW w:w="386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color w:val="auto"/>
              </w:rPr>
              <w:t>56-2590442</w:t>
            </w:r>
          </w:p>
        </w:tc>
      </w:tr>
      <w:tr>
        <w:trPr>
          <w:trHeight w:val="230"/>
        </w:trPr>
        <w:tc>
          <w:tcPr>
            <w:tcW w:w="4460" w:type="dxa"/>
            <w:vAlign w:val="bottom"/>
          </w:tcPr>
          <w:p>
            <w:pPr>
              <w:jc w:val="center"/>
              <w:ind w:right="610"/>
              <w:spacing w:after="0"/>
              <w:rPr>
                <w:sz w:val="20"/>
                <w:szCs w:val="20"/>
                <w:color w:val="auto"/>
              </w:rPr>
            </w:pPr>
            <w:r>
              <w:rPr>
                <w:rFonts w:ascii="Arial" w:cs="Arial" w:eastAsia="Arial" w:hAnsi="Arial"/>
                <w:sz w:val="18"/>
                <w:szCs w:val="18"/>
                <w:color w:val="auto"/>
                <w:w w:val="92"/>
              </w:rPr>
              <w:t>(State or other jurisdiction of incorporation)</w:t>
            </w:r>
          </w:p>
        </w:tc>
        <w:tc>
          <w:tcPr>
            <w:tcW w:w="2920" w:type="dxa"/>
            <w:vAlign w:val="bottom"/>
          </w:tcPr>
          <w:p>
            <w:pPr>
              <w:jc w:val="center"/>
              <w:ind w:right="410"/>
              <w:spacing w:after="0"/>
              <w:rPr>
                <w:sz w:val="20"/>
                <w:szCs w:val="20"/>
                <w:color w:val="auto"/>
              </w:rPr>
            </w:pPr>
            <w:r>
              <w:rPr>
                <w:rFonts w:ascii="Arial" w:cs="Arial" w:eastAsia="Arial" w:hAnsi="Arial"/>
                <w:sz w:val="18"/>
                <w:szCs w:val="18"/>
                <w:color w:val="auto"/>
                <w:w w:val="92"/>
              </w:rPr>
              <w:t>(Commission File Number)</w:t>
            </w:r>
          </w:p>
        </w:tc>
        <w:tc>
          <w:tcPr>
            <w:tcW w:w="3860" w:type="dxa"/>
            <w:vAlign w:val="bottom"/>
          </w:tcPr>
          <w:p>
            <w:pPr>
              <w:jc w:val="center"/>
              <w:ind w:left="90"/>
              <w:spacing w:after="0"/>
              <w:rPr>
                <w:sz w:val="20"/>
                <w:szCs w:val="20"/>
                <w:color w:val="auto"/>
              </w:rPr>
            </w:pPr>
            <w:r>
              <w:rPr>
                <w:rFonts w:ascii="Arial" w:cs="Arial" w:eastAsia="Arial" w:hAnsi="Arial"/>
                <w:sz w:val="18"/>
                <w:szCs w:val="18"/>
                <w:color w:val="auto"/>
                <w:w w:val="94"/>
              </w:rPr>
              <w:t>(IRS Employer Identification No.)</w:t>
            </w:r>
          </w:p>
        </w:tc>
      </w:tr>
      <w:tr>
        <w:trPr>
          <w:trHeight w:val="452"/>
        </w:trPr>
        <w:tc>
          <w:tcPr>
            <w:tcW w:w="446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color w:val="auto"/>
                <w:w w:val="88"/>
              </w:rPr>
              <w:t>465 State Route 17, Ramsey, New Jersey</w:t>
            </w:r>
          </w:p>
        </w:tc>
        <w:tc>
          <w:tcPr>
            <w:tcW w:w="29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07446</w:t>
            </w:r>
          </w:p>
        </w:tc>
      </w:tr>
      <w:tr>
        <w:trPr>
          <w:trHeight w:val="230"/>
        </w:trPr>
        <w:tc>
          <w:tcPr>
            <w:tcW w:w="4460" w:type="dxa"/>
            <w:vAlign w:val="bottom"/>
          </w:tcPr>
          <w:p>
            <w:pPr>
              <w:jc w:val="center"/>
              <w:ind w:left="970"/>
              <w:spacing w:after="0"/>
              <w:rPr>
                <w:sz w:val="20"/>
                <w:szCs w:val="20"/>
                <w:color w:val="auto"/>
              </w:rPr>
            </w:pPr>
            <w:r>
              <w:rPr>
                <w:rFonts w:ascii="Arial" w:cs="Arial" w:eastAsia="Arial" w:hAnsi="Arial"/>
                <w:sz w:val="18"/>
                <w:szCs w:val="18"/>
                <w:color w:val="auto"/>
                <w:w w:val="92"/>
              </w:rPr>
              <w:t>(Address of principal executive offices)</w:t>
            </w:r>
          </w:p>
        </w:tc>
        <w:tc>
          <w:tcPr>
            <w:tcW w:w="2920" w:type="dxa"/>
            <w:vAlign w:val="bottom"/>
          </w:tcPr>
          <w:p>
            <w:pPr>
              <w:spacing w:after="0"/>
              <w:rPr>
                <w:sz w:val="20"/>
                <w:szCs w:val="20"/>
                <w:color w:val="auto"/>
              </w:rPr>
            </w:pPr>
          </w:p>
        </w:tc>
        <w:tc>
          <w:tcPr>
            <w:tcW w:w="3860" w:type="dxa"/>
            <w:vAlign w:val="bottom"/>
          </w:tcPr>
          <w:p>
            <w:pPr>
              <w:jc w:val="center"/>
              <w:ind w:right="1530"/>
              <w:spacing w:after="0"/>
              <w:rPr>
                <w:sz w:val="20"/>
                <w:szCs w:val="20"/>
                <w:color w:val="auto"/>
              </w:rPr>
            </w:pPr>
            <w:r>
              <w:rPr>
                <w:rFonts w:ascii="Arial" w:cs="Arial" w:eastAsia="Arial" w:hAnsi="Arial"/>
                <w:sz w:val="18"/>
                <w:szCs w:val="18"/>
                <w:color w:val="auto"/>
                <w:w w:val="94"/>
              </w:rPr>
              <w:t>(Zip Code)</w:t>
            </w: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(201) 478-5552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6"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ADMA</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r>
        <w:trPr>
          <w:trHeight w:val="22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Preferred Share Purchase Rights</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r>
        <w:trPr>
          <w:trHeight w:val="351"/>
        </w:trPr>
        <w:tc>
          <w:tcPr>
            <w:tcW w:w="37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r>
        <w:trPr>
          <w:trHeight w:val="163"/>
        </w:trPr>
        <w:tc>
          <w:tcPr>
            <w:tcW w:w="378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tcPr>
          <w:p>
            <w:pPr>
              <w:spacing w:after="0"/>
              <w:rPr>
                <w:sz w:val="14"/>
                <w:szCs w:val="14"/>
                <w:color w:val="auto"/>
              </w:rPr>
            </w:pPr>
          </w:p>
        </w:tc>
      </w:tr>
      <w:tr>
        <w:trPr>
          <w:trHeight w:val="183"/>
        </w:trPr>
        <w:tc>
          <w:tcPr>
            <w:tcW w:w="378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535"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ADMA Biologics, Inc. (the “Company”) preliminarily estimates that its total revenue for the quarter ended September 30, 2021 will be between $20.0 million and $20.5 million. The Company also preliminarily estimates that its cash balance as of September 30, 2021 was approximately $34 million and that its accounts receivable balance as of September 30, 2021 was approximately $20 million. These preliminary financial metrics represent the most current information available to the Company’s management, as financial closing procedures for the quarter ended September 30, 2021 are not yet complete. These estimates are not a comprehensive statement of the Company’s financial results for the quarter ended September 30, 2021 and actual results may differ materially from these estimates as a result of the completion of normal quarter-end accounting procedures and adjustments, including the execution of the Company’s internal control over financial reporting, the completion of the preparation and review of the Company’s financial statements for the quarter ended September 30, 2021 and the subsequent occurrence or identification of events prior to the formal issuance of the third quarter financial results.</w:t>
      </w:r>
    </w:p>
    <w:p>
      <w:pPr>
        <w:spacing w:after="0" w:line="20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The information in Item 2.02 of this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Equity Offering</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October 20, 2021, the Company issued a press release announcing that it has commenced an underwritten public offering of its common stock. The Company intends to grant the underwriters of the offering a 30-day option to purchase up to an additional 15 percent of the number of shares of common stock sold in connection with the offering. A copy of the press release is attached to this Current Report on Form 8-K as Exhibit 99.1 and is incorporated into this Item 8.01 by reference.</w:t>
      </w:r>
    </w:p>
    <w:p>
      <w:pPr>
        <w:spacing w:after="0" w:line="214"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Neither the disclosures on this Current Report on Form 8-K nor the exhibits hereto shall constitute an offer to sell or the solicitation of an offer to buy the securities described herein and therein, nor shall there be any sale of such securities in any state or jurisdiction in which such an offer, solicitation or sale would be unlawful prior to registration or qualification under the securities laws of any such state or jurisdiction.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is currently evaluating a variety of strategic and financing alternatives and have engaged Morgan Stanley as a financial advisor in connection with certain of those strategic alternatives.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 Update</w:t>
      </w:r>
    </w:p>
    <w:p>
      <w:pPr>
        <w:spacing w:after="0" w:line="25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 following risk factor is provided to update and supplement the risk factors of the Company previously disclosed under the heading “Risk Factors” in the Company’s Annual Report on Form 10-K for the fiscal year ended December 31, 2020 and in the Company’s Quarterly Reports on Form 10-Q for the quarters ended March 31, 2021 and June 30, 2021.</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“To date, we have generated limited product revenues, have a history of losses and will need to raise additional capital to operate our business, which may not be available on favorable terms, if at all.</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long-term liquidity depends upon our ability to grow our commercial programs, expand our commercial operations at the Boca Facility, improve our supply-chain capabilities, improve production yields, provide more control and visibility for timing of commercial product releases, raise additional capital, fund and successfully implement our research and development and commercial programs, establish and build out a commercial sales force, medical affairs organization and commercial infrastructure and meet our ongoing obligations. In addition, our end-to-end production cycle from procurement of raw materials to commercial release of finished product can take between seven and 12 months or potentially longer, requiring substantial investments in raw material plasma and other manufacturing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both"/>
        <w:spacing w:after="0" w:line="287" w:lineRule="auto"/>
        <w:rPr>
          <w:sz w:val="20"/>
          <w:szCs w:val="20"/>
          <w:color w:val="auto"/>
        </w:rPr>
      </w:pPr>
      <w:r>
        <w:rPr>
          <w:rFonts w:ascii="Arial" w:cs="Arial" w:eastAsia="Arial" w:hAnsi="Arial"/>
          <w:sz w:val="16"/>
          <w:szCs w:val="16"/>
          <w:color w:val="auto"/>
        </w:rPr>
        <w:t>We currently anticipate, based upon our projected revenue and expenditures, that our current cash, cash equivalents and accounts receivable, together with the estimated net proceeds of this offering, as well as our plans to refinance and expand our existing debt, will be sufficient to fund our operations to cash flow positive, anticipated to be achieved no later than the first quarter of 2024. This time frame may change based upon how quickly we are able to execute on our commercialization efforts and operational initiatives. However, if the assumptions underlying our estimated revenues and expenses prove to be incorrect, we may have to raise additional capital sooner than we currently expect. We anticipate that we will not be able to generate a sufficient amount of product revenue to achieve profitability until the beginning of 2024 and, as a result, we anticipate that we will need to continue to finance our operations through additional equity or debt financings, refinancing or expansion of our existing debt, or corporate collaboration and licensing arrangements. If we are unable to raise additional capital as needed, we will have to delay, curtail or eliminate our commercialization efforts as well as product development activities. Even if we are able to raise additional capital, such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the auditor’s report on our financial statements for the year ended December 31, 2020 includes a going concern paragraph. To date, our products have not generated significant revenue. As a result, we have suffered recurring losses and require significant additional cash resources to execute our business plan. These losses are expected to continue for an extended period of time. These factors raise substantial doubt about our ability to continue as a going concern beyond one year from the date of this prospectus supplement. The accompanying financial statements have been prepared on a going concern basis, which contemplates the realization of assets and the satisfaction of liabilities in the normal course of business. The financial statements do not include any adjustments relating to the recoverability and classification of asset amounts or the classification of liabilities that might be necessary should we be unable to continue as a going concern within one year after the date the financial statements are issued.</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that we will need to raise additional capital in order to continue to execute our business plan in the future. Historically, the major source of our cash has been from proceeds from various public and private offerings of our common stock. The actual amount of cash that we will need is subject to many factors. There can be no assurances that additional financing will be available when needed or that management will be able to obtain financing on terms acceptable to us or that we will become profitable and generate positive operating cash flow. If we are unable to raise sufficient additional funds, we will have to scale back our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Current Report on Form 8-K contains “forward-looking statements” pursuant to the safe harbor provisions of the Private Securities Litigation Reform Act of 1995, about the Company. Forward-looking statements include, without limitation, any statement that may predict, forecast, indicate, or imply future results, performance or achievements, and may contain such words as “estimate,” “project,” “intend,” “forecast,” “target,” “anticipate,” “plan,” “planning,” “expect,” “believe,” “will,” “should,” “could,” “would,” “may,” or, in each case, their negative, or words or expressions of similar meaning. These forward-looking statements include, but are not limited to, statements about the Company’s preliminary revenue for the quarter ended September 30, 2021 and discussions about the underwritten public offering. Actual events or results may differ materially from those described in this press release due to a number of important factors. Current and prospective security holders are cautioned that there also can be no assurance that the forward-looking statements included in this press release will prove to be accurate. Except to the extent required by applicable laws or rules, the Company does not undertake any obligation to update any forward-looking statements or to announce revisions to any of the forward-looking statements. Forward-looking statements are subject to many risks, uncertainties and other factors that could cause our actual results, and the timing of certain events, to differ materially from any future results expressed or implied by the forward-looking statements, including, but not limited to, the risks and uncertainties described in our filings with the U.S. Securities and Exchange Commission, including our most recent reports on Form 10-K, 10-Q and 8-K, and any amendments thereto.</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1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840" w:type="dxa"/>
            <w:vAlign w:val="bottom"/>
          </w:tcPr>
          <w:p>
            <w:pPr>
              <w:spacing w:after="0"/>
              <w:rPr>
                <w:sz w:val="20"/>
                <w:szCs w:val="20"/>
                <w:color w:val="auto"/>
              </w:rPr>
            </w:pPr>
          </w:p>
        </w:tc>
        <w:tc>
          <w:tcPr>
            <w:tcW w:w="9260" w:type="dxa"/>
            <w:vAlign w:val="bottom"/>
          </w:tcPr>
          <w:p>
            <w:pPr>
              <w:spacing w:after="0"/>
              <w:rPr>
                <w:sz w:val="20"/>
                <w:szCs w:val="20"/>
                <w:color w:val="auto"/>
              </w:rPr>
            </w:pPr>
          </w:p>
        </w:tc>
      </w:tr>
      <w:tr>
        <w:trPr>
          <w:trHeight w:val="418"/>
        </w:trPr>
        <w:tc>
          <w:tcPr>
            <w:tcW w:w="114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101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412"/>
        </w:trPr>
        <w:tc>
          <w:tcPr>
            <w:tcW w:w="840" w:type="dxa"/>
            <w:vAlign w:val="bottom"/>
            <w:gridSpan w:val="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30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Press Release, dated October 20, 2021</w:t>
            </w:r>
          </w:p>
        </w:tc>
      </w:tr>
      <w:tr>
        <w:trPr>
          <w:trHeight w:val="237"/>
        </w:trPr>
        <w:tc>
          <w:tcPr>
            <w:tcW w:w="32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9"/>
              </w:rPr>
              <w:t>104</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 the Inline XBRL document)</w:t>
            </w:r>
          </w:p>
        </w:tc>
      </w:tr>
      <w:tr>
        <w:trPr>
          <w:trHeight w:val="425"/>
        </w:trPr>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u w:val="single" w:color="auto"/>
          <w:color w:val="auto"/>
        </w:rPr>
        <w:t>SIGNATURE</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October 20, 2021</w:t>
      </w:r>
      <w:r>
        <w:rPr>
          <w:sz w:val="20"/>
          <w:szCs w:val="20"/>
          <w:color w:val="auto"/>
        </w:rPr>
        <w:tab/>
      </w:r>
      <w:r>
        <w:rPr>
          <w:rFonts w:ascii="Arial" w:cs="Arial" w:eastAsia="Arial" w:hAnsi="Arial"/>
          <w:sz w:val="17"/>
          <w:szCs w:val="17"/>
          <w:color w:val="auto"/>
        </w:rPr>
        <w:t>ADMA Biologics,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Brian Lenz</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165100</wp:posOffset>
            </wp:positionV>
            <wp:extent cx="1645920" cy="454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59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Announces Proposed Public Offering of Common Stock</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RAMSEY, N.J. and BOCA RATON, FL, October 20, 2021 - ADMA Biologics, Inc. (Nasdaq: ADMA) (“ADMA” or the “Company”), an end-to-end commercial biopharmaceutical company dedicated to manufacturing, marketing and developing specialty plasma-derived biologics, today announced that it intends to offer shares of its common stock for sale in an underwritten public offering. The Company intends to grant the underwriters of the offering a 30-day option to purchase up to an additional 15 percent of the number of shares of common stock sold in connection with the offering. The proposed offering is subject to market and other conditions, and there can be no assurance as to whether or when the offering may be completed, or as to the actual size or terms of the offering.</w:t>
      </w:r>
    </w:p>
    <w:p>
      <w:pPr>
        <w:spacing w:after="0" w:line="192"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ADMA intends to use the net proceeds from this offering (i) to advance the commercial sales of its U.S. Food and Drug Administration (FDA)-approved products through the procurement of raw materials for the manufacturing of BIVIGAM</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ASCENIV™; (ii) to expand its plasma collection facility network; (iii) to scale up the manufacturing capacity of its Boca Raton facility and to make continuous improvements in order to adhere to current Good Manufacturing Practice (cGMP) compliance; (iv) to explore business development opportunities; and (v) for general corporate purposes and other capital expenditures.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Raymond James &amp; Associates, Inc. and Cantor Fitzgerald &amp; Co. are acting as joint book-running managers of the proposed offering.</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securities described above are being offered by the Company pursuant to a “shelf” registration statement on Form S-3 (File No. 333-256643) previously filed with the Securities and Exchange Commission (“SEC”) and declared effective by the SEC on August 3, 2021. The preliminary prospectus supplement and the accompanying prospectus relating to the offering will be filed with the SEC and will be available on the SEC’s website at www.sec.gov. Electronic copies of the preliminary prospectus supplement and the accompanying prospectus relating to the offering may be obtained, when available, from Raymond James &amp; Associates, Inc., Attention: Equity Syndicate, 880 Carillon Parkway, St. Petersburg, Florida 33716, or by telephone at (800) 248-8863, or e-mail at prospectus@raymondjames.com, or from Cantor Fitzgerald &amp; Co., Attn: Capital Markets, 499 Park Avenue, 4th Floor, New York, New York 10022 or by email at prospectus@cantor.com.</w:t>
      </w:r>
    </w:p>
    <w:p>
      <w:pPr>
        <w:spacing w:after="0" w:line="19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Before investing in the offering, you should read in their entirety the preliminary prospectus supplement and its accompanying prospectus to be filed with the SEC, and the other documents that the Company has filed with the SEC that will be incorporated by reference in the prospectus supplement and its accompanying prospectus, which will provide more information about the Company and the offering.</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press release shall not constitute an offer to sell or the solicitation of an offer to buy any securities described herein, nor shall there be any sale of these securities in any state or jurisdiction in which such offer, solicitation or sale would be unlawful prior to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ADMA Biologics, Inc. (ADMA)</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ADMA Biologics is an end-to-end commercial biopharmaceutical company dedicated to manufacturing, marketing and developing specialty plasma-derived biologics for the treatment of immunodeficient patients at risk for infection and others at risk for certain infectious diseases. ADMA currently manufactures and markets three United States Food and Drug Administration (FDA)-approved plasma-derived biologics for the treatment of immune deficiencies and the prevention of certain infectious diseases: ASCENIV™ (immune globulin intravenous, human – slra 10% liquid) for the treatment of primary humoral immunodeficiency (PI); BIVIGAM</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(immune globulin intravenous, human) for the treatment of PI; and NABI-HB</w:t>
      </w:r>
      <w:r>
        <w:rPr>
          <w:rFonts w:ascii="Arial" w:cs="Arial" w:eastAsia="Arial" w:hAnsi="Arial"/>
          <w:sz w:val="26"/>
          <w:szCs w:val="26"/>
          <w:color w:val="auto"/>
          <w:vertAlign w:val="superscript"/>
        </w:rPr>
        <w:t>®</w:t>
      </w:r>
      <w:r>
        <w:rPr>
          <w:rFonts w:ascii="Arial" w:cs="Arial" w:eastAsia="Arial" w:hAnsi="Arial"/>
          <w:sz w:val="16"/>
          <w:szCs w:val="16"/>
          <w:color w:val="auto"/>
        </w:rPr>
        <w:t xml:space="preserve"> (hepatitis B immune globulin, human) to provide enhanced immunity against the hepatitis B virus. ADMA manufactures its immune globulin products at its FDA-licensed plasma fractionation and purification facility located in Boca Raton, Florida. Through its ADMA BioCenters subsidiary, ADMA also operates as an FDA-approved source plasma collector in the U.S., which provides a portion of its blood plasma for the manufacture of its products. ADMA’s mission is to manufacture, market and develop specialty plasma-derived, human immune globulins targeted to niche patient populations for the treatment and prevention of certain infectious diseases and management of immune compromised patient populations who suffer from an underlying immune deficiency, or who may be immune compromised for other medical reasons. ADMA has received U.S. Patents: 9,107,906, 9,714,283, 9,815,886, 9,969,793 and 10,259,865 related to certain aspects of its products and product candidates. For more information, please visit </w:t>
      </w:r>
      <w:r>
        <w:rPr>
          <w:rFonts w:ascii="Arial" w:cs="Arial" w:eastAsia="Arial" w:hAnsi="Arial"/>
          <w:sz w:val="16"/>
          <w:szCs w:val="16"/>
          <w:u w:val="single" w:color="auto"/>
          <w:color w:val="auto"/>
        </w:rPr>
        <w:t>www.admabiologics.com</w:t>
      </w:r>
      <w:r>
        <w:rPr>
          <w:rFonts w:ascii="Arial" w:cs="Arial" w:eastAsia="Arial" w:hAnsi="Arial"/>
          <w:sz w:val="16"/>
          <w:szCs w:val="16"/>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press release contains “forward-looking statements” pursuant to the safe harbor provisions of the Private Securities Litigation Reform Act of 1995, about ADMA Biologics, Inc. (“we,” “our” or the “Company”). Forward-looking statements include, without limitation, any statement that may predict, forecast, indicate, or imply future results, performance or achievements, and may contain such words as “estimate,” “project,” “intend,” “forecast,” “target,” “anticipate,” “plan,” “planning,” “expect,” “believe,” “will,” “is likely,” “will likely,” “should,” “could,” “would,” “may,” or, in each case, their negative, or words or expressions of similar meaning. These forward-looking statements include statements about the offering, ADMA’s intention to grant the underwriters a 30-day option to purchase additional shares in the offering, and ADMA’s intended use of proceeds generated from the offering. Actual events or results may differ materially from those described in this document due to a number of important factors. Current and prospective security holders are cautioned that there also can be no assurance that the forward-looking statements included in this press release will prove to be accurate. Except to the extent required by applicable laws or rules, ADMA does not undertake any obligation to update any forward-looking statements or to announce revisions to any of the forward-looking statements. Forward-looking statements are subject to many risks, uncertainties and other factors that could cause our actual results, and the timing of certain events, to differ materially from any future results expressed or implied by the forward-looking statements, including, but not limited to, risks and uncertainties related to market conditions and satisfaction of customary closing conditions related to the public offering and the risks and uncertainties described in our filings with the U.S. Securities and Exchange Commission, including our most recent reports on Form 10-K, 10-Q and 8-K, and any amendments thereto.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Skyler Bloom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Director, Investor Relations and Corporate Strategy | 201-478-5552 | </w:t>
      </w:r>
      <w:r>
        <w:rPr>
          <w:rFonts w:ascii="Arial" w:cs="Arial" w:eastAsia="Arial" w:hAnsi="Arial"/>
          <w:sz w:val="18"/>
          <w:szCs w:val="18"/>
          <w:u w:val="single" w:color="auto"/>
          <w:color w:val="auto"/>
        </w:rPr>
        <w:t>sbloom@admabio.com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Michelle Pappanastos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Senior Managing Director, Argot Partners | 212-600-1902 | </w:t>
      </w:r>
      <w:r>
        <w:rPr>
          <w:rFonts w:ascii="Arial" w:cs="Arial" w:eastAsia="Arial" w:hAnsi="Arial"/>
          <w:sz w:val="18"/>
          <w:szCs w:val="18"/>
          <w:u w:val="single" w:color="auto"/>
          <w:color w:val="auto"/>
        </w:rPr>
        <w:t>michelle@argotpartners.com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2021-10-20T15:28:26Z</dcterms:created>
  <dcterms:modified xsi:type="dcterms:W3CDTF">2021-10-20T15:28:26Z</dcterms:modified>
</cp:coreProperties>
</file>