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13D</w:t>
      </w:r>
    </w:p>
    <w:p>
      <w:pPr>
        <w:spacing w:after="0" w:line="243" w:lineRule="exact"/>
        <w:rPr>
          <w:sz w:val="24"/>
          <w:szCs w:val="24"/>
          <w:color w:val="auto"/>
        </w:rPr>
      </w:pPr>
    </w:p>
    <w:p>
      <w:pPr>
        <w:jc w:val="center"/>
        <w:ind w:left="360" w:right="23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__)*</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000899104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David Johnson</w:t>
      </w:r>
    </w:p>
    <w:p>
      <w:pPr>
        <w:spacing w:after="0" w:line="15" w:lineRule="exact"/>
        <w:rPr>
          <w:sz w:val="24"/>
          <w:szCs w:val="24"/>
          <w:color w:val="auto"/>
        </w:rPr>
      </w:pPr>
    </w:p>
    <w:p>
      <w:pPr>
        <w:ind w:left="4820"/>
        <w:spacing w:after="0"/>
        <w:rPr>
          <w:sz w:val="20"/>
          <w:szCs w:val="20"/>
          <w:color w:val="auto"/>
        </w:rPr>
      </w:pPr>
      <w:r>
        <w:rPr>
          <w:rFonts w:ascii="Arial" w:cs="Arial" w:eastAsia="Arial" w:hAnsi="Arial"/>
          <w:sz w:val="20"/>
          <w:szCs w:val="20"/>
          <w:color w:val="auto"/>
        </w:rPr>
        <w:t>Caligan Partners LP</w:t>
      </w:r>
    </w:p>
    <w:p>
      <w:pPr>
        <w:ind w:left="4780"/>
        <w:spacing w:after="0"/>
        <w:rPr>
          <w:sz w:val="20"/>
          <w:szCs w:val="20"/>
          <w:color w:val="auto"/>
        </w:rPr>
      </w:pPr>
      <w:r>
        <w:rPr>
          <w:rFonts w:ascii="Arial" w:cs="Arial" w:eastAsia="Arial" w:hAnsi="Arial"/>
          <w:sz w:val="20"/>
          <w:szCs w:val="20"/>
          <w:color w:val="auto"/>
        </w:rPr>
        <w:t>590 Madison Avenue</w:t>
      </w:r>
    </w:p>
    <w:p>
      <w:pPr>
        <w:ind w:left="4760"/>
        <w:spacing w:after="0"/>
        <w:rPr>
          <w:sz w:val="20"/>
          <w:szCs w:val="20"/>
          <w:color w:val="auto"/>
        </w:rPr>
      </w:pPr>
      <w:r>
        <w:rPr>
          <w:rFonts w:ascii="Arial" w:cs="Arial" w:eastAsia="Arial" w:hAnsi="Arial"/>
          <w:sz w:val="20"/>
          <w:szCs w:val="20"/>
          <w:color w:val="auto"/>
        </w:rPr>
        <w:t>New York, NY 10022</w:t>
      </w:r>
    </w:p>
    <w:p>
      <w:pPr>
        <w:ind w:left="5060"/>
        <w:spacing w:after="0"/>
        <w:rPr>
          <w:sz w:val="20"/>
          <w:szCs w:val="20"/>
          <w:color w:val="auto"/>
        </w:rPr>
      </w:pPr>
      <w:r>
        <w:rPr>
          <w:rFonts w:ascii="Arial" w:cs="Arial" w:eastAsia="Arial" w:hAnsi="Arial"/>
          <w:sz w:val="20"/>
          <w:szCs w:val="20"/>
          <w:color w:val="auto"/>
        </w:rPr>
        <w:t>(646) 859-8204</w:t>
      </w:r>
    </w:p>
    <w:p>
      <w:pPr>
        <w:spacing w:after="0" w:line="227" w:lineRule="exact"/>
        <w:rPr>
          <w:sz w:val="24"/>
          <w:szCs w:val="24"/>
          <w:color w:val="auto"/>
        </w:rPr>
      </w:pPr>
    </w:p>
    <w:p>
      <w:pPr>
        <w:ind w:left="4900"/>
        <w:spacing w:after="0"/>
        <w:rPr>
          <w:sz w:val="20"/>
          <w:szCs w:val="20"/>
          <w:color w:val="auto"/>
        </w:rPr>
      </w:pPr>
      <w:r>
        <w:rPr>
          <w:rFonts w:ascii="Arial" w:cs="Arial" w:eastAsia="Arial" w:hAnsi="Arial"/>
          <w:sz w:val="20"/>
          <w:szCs w:val="20"/>
          <w:color w:val="auto"/>
        </w:rPr>
        <w:t>Eleazer Klein, Esq.</w:t>
      </w:r>
    </w:p>
    <w:p>
      <w:pPr>
        <w:spacing w:after="0" w:line="15" w:lineRule="exact"/>
        <w:rPr>
          <w:sz w:val="24"/>
          <w:szCs w:val="24"/>
          <w:color w:val="auto"/>
        </w:rPr>
      </w:pPr>
    </w:p>
    <w:p>
      <w:pPr>
        <w:ind w:left="4740"/>
        <w:spacing w:after="0"/>
        <w:rPr>
          <w:sz w:val="20"/>
          <w:szCs w:val="20"/>
          <w:color w:val="auto"/>
        </w:rPr>
      </w:pPr>
      <w:r>
        <w:rPr>
          <w:rFonts w:ascii="Arial" w:cs="Arial" w:eastAsia="Arial" w:hAnsi="Arial"/>
          <w:sz w:val="20"/>
          <w:szCs w:val="20"/>
          <w:color w:val="auto"/>
        </w:rPr>
        <w:t>Adriana Schwartz, Esq.</w:t>
      </w:r>
    </w:p>
    <w:p>
      <w:pPr>
        <w:ind w:left="4600"/>
        <w:spacing w:after="0"/>
        <w:rPr>
          <w:sz w:val="20"/>
          <w:szCs w:val="20"/>
          <w:color w:val="auto"/>
        </w:rPr>
      </w:pPr>
      <w:r>
        <w:rPr>
          <w:rFonts w:ascii="Arial" w:cs="Arial" w:eastAsia="Arial" w:hAnsi="Arial"/>
          <w:sz w:val="20"/>
          <w:szCs w:val="20"/>
          <w:color w:val="auto"/>
        </w:rPr>
        <w:t>Schulte Roth &amp; Zabel LLP</w:t>
      </w:r>
    </w:p>
    <w:p>
      <w:pPr>
        <w:ind w:left="4960"/>
        <w:spacing w:after="0"/>
        <w:rPr>
          <w:sz w:val="20"/>
          <w:szCs w:val="20"/>
          <w:color w:val="auto"/>
        </w:rPr>
      </w:pPr>
      <w:r>
        <w:rPr>
          <w:rFonts w:ascii="Arial" w:cs="Arial" w:eastAsia="Arial" w:hAnsi="Arial"/>
          <w:sz w:val="20"/>
          <w:szCs w:val="20"/>
          <w:color w:val="auto"/>
        </w:rPr>
        <w:t>919 Third Avenue</w:t>
      </w:r>
    </w:p>
    <w:p>
      <w:pPr>
        <w:ind w:left="4800"/>
        <w:spacing w:after="0"/>
        <w:rPr>
          <w:sz w:val="20"/>
          <w:szCs w:val="20"/>
          <w:color w:val="auto"/>
        </w:rPr>
      </w:pPr>
      <w:r>
        <w:rPr>
          <w:rFonts w:ascii="Arial" w:cs="Arial" w:eastAsia="Arial" w:hAnsi="Arial"/>
          <w:sz w:val="20"/>
          <w:szCs w:val="20"/>
          <w:color w:val="auto"/>
        </w:rPr>
        <w:t>New York, NY 10022</w:t>
      </w:r>
    </w:p>
    <w:p>
      <w:pPr>
        <w:ind w:left="5000"/>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Authorized to Receive Notices and Communications)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February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38" w:lineRule="exact"/>
        <w:rPr>
          <w:sz w:val="24"/>
          <w:szCs w:val="24"/>
          <w:color w:val="auto"/>
        </w:rPr>
      </w:pPr>
    </w:p>
    <w:p>
      <w:pPr>
        <w:ind w:right="100"/>
        <w:spacing w:after="0" w:line="287"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(Page 1 of 7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ind w:right="320" w:firstLine="8"/>
        <w:spacing w:after="0" w:line="297"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9"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ectPr>
          <w:pgSz w:w="11900" w:h="16838" w:orient="portrait"/>
          <w:cols w:equalWidth="0" w:num="1">
            <w:col w:w="11200"/>
          </w:cols>
          <w:pgMar w:left="320" w:top="4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000899104</w:t>
            </w:r>
          </w:p>
        </w:tc>
        <w:tc>
          <w:tcPr>
            <w:tcW w:w="6360" w:type="dxa"/>
            <w:vAlign w:val="bottom"/>
          </w:tcPr>
          <w:p>
            <w:pPr>
              <w:ind w:left="320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7 Pages</w:t>
            </w:r>
          </w:p>
        </w:tc>
        <w:tc>
          <w:tcPr>
            <w:tcW w:w="0" w:type="dxa"/>
            <w:vAlign w:val="bottom"/>
          </w:tcPr>
          <w:p>
            <w:pPr>
              <w:spacing w:after="0"/>
              <w:rPr>
                <w:sz w:val="1"/>
                <w:szCs w:val="1"/>
                <w:color w:val="auto"/>
              </w:rPr>
            </w:pPr>
          </w:p>
        </w:tc>
      </w:tr>
      <w:tr>
        <w:trPr>
          <w:trHeight w:val="351"/>
        </w:trPr>
        <w:tc>
          <w:tcPr>
            <w:tcW w:w="17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1</w:t>
            </w:r>
          </w:p>
        </w:tc>
        <w:tc>
          <w:tcPr>
            <w:tcW w:w="6360" w:type="dxa"/>
            <w:vAlign w:val="bottom"/>
          </w:tcPr>
          <w:p>
            <w:pPr>
              <w:ind w:left="6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60" w:type="dxa"/>
            <w:vAlign w:val="bottom"/>
            <w:vMerge w:val="continue"/>
          </w:tcPr>
          <w:p>
            <w:pPr>
              <w:spacing w:after="0"/>
              <w:rPr>
                <w:sz w:val="14"/>
                <w:szCs w:val="14"/>
                <w:color w:val="auto"/>
              </w:rPr>
            </w:pPr>
          </w:p>
        </w:tc>
        <w:tc>
          <w:tcPr>
            <w:tcW w:w="6360" w:type="dxa"/>
            <w:vAlign w:val="bottom"/>
            <w:vMerge w:val="restart"/>
          </w:tcPr>
          <w:p>
            <w:pPr>
              <w:ind w:left="380"/>
              <w:spacing w:after="0"/>
              <w:rPr>
                <w:sz w:val="20"/>
                <w:szCs w:val="20"/>
                <w:color w:val="auto"/>
              </w:rPr>
            </w:pPr>
            <w:r>
              <w:rPr>
                <w:rFonts w:ascii="Arial" w:cs="Arial" w:eastAsia="Arial" w:hAnsi="Arial"/>
                <w:sz w:val="20"/>
                <w:szCs w:val="20"/>
                <w:color w:val="auto"/>
              </w:rPr>
              <w:t>Caligan Partners LP</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7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2</w:t>
            </w:r>
          </w:p>
        </w:tc>
        <w:tc>
          <w:tcPr>
            <w:tcW w:w="6360" w:type="dxa"/>
            <w:vAlign w:val="bottom"/>
          </w:tcPr>
          <w:p>
            <w:pPr>
              <w:ind w:left="6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636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7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120" w:type="dxa"/>
            <w:vAlign w:val="bottom"/>
          </w:tcPr>
          <w:p>
            <w:pPr>
              <w:ind w:left="210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-868045</wp:posOffset>
            </wp:positionV>
            <wp:extent cx="7132320" cy="5349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ind w:left="1820" w:hanging="1033"/>
        <w:spacing w:after="0" w:line="180" w:lineRule="auto"/>
        <w:tabs>
          <w:tab w:leader="none" w:pos="1820" w:val="left"/>
        </w:tabs>
        <w:numPr>
          <w:ilvl w:val="0"/>
          <w:numId w:val="2"/>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SOURCE OF FUNDS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440" w:type="dxa"/>
            <w:vAlign w:val="bottom"/>
          </w:tcPr>
          <w:p>
            <w:pPr>
              <w:ind w:left="4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gridSpan w:val="3"/>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6</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20"/>
                <w:szCs w:val="20"/>
                <w:color w:val="auto"/>
                <w:w w:val="89"/>
              </w:rPr>
              <w:t>Delaware</w:t>
            </w:r>
          </w:p>
        </w:tc>
        <w:tc>
          <w:tcPr>
            <w:tcW w:w="6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00" w:type="dxa"/>
            <w:vAlign w:val="bottom"/>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88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8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14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88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1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restart"/>
          </w:tcPr>
          <w:p>
            <w:pPr>
              <w:ind w:left="360"/>
              <w:spacing w:after="0"/>
              <w:rPr>
                <w:sz w:val="20"/>
                <w:szCs w:val="20"/>
                <w:color w:val="auto"/>
              </w:rPr>
            </w:pPr>
            <w:r>
              <w:rPr>
                <w:rFonts w:ascii="Arial" w:cs="Arial" w:eastAsia="Arial" w:hAnsi="Arial"/>
                <w:sz w:val="20"/>
                <w:szCs w:val="20"/>
                <w:color w:val="auto"/>
              </w:rPr>
              <w:t>10,893,237 shares of Common Stock</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70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1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700" w:type="dxa"/>
            <w:vAlign w:val="bottom"/>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88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1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1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80" w:type="dxa"/>
            <w:vAlign w:val="bottom"/>
          </w:tcPr>
          <w:p>
            <w:pPr>
              <w:spacing w:after="0"/>
              <w:rPr>
                <w:sz w:val="9"/>
                <w:szCs w:val="9"/>
                <w:color w:val="auto"/>
              </w:rPr>
            </w:pPr>
          </w:p>
        </w:tc>
        <w:tc>
          <w:tcPr>
            <w:tcW w:w="688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80" w:type="dxa"/>
            <w:vAlign w:val="bottom"/>
            <w:vMerge w:val="restart"/>
          </w:tcPr>
          <w:p>
            <w:pPr>
              <w:ind w:left="360"/>
              <w:spacing w:after="0"/>
              <w:rPr>
                <w:sz w:val="20"/>
                <w:szCs w:val="20"/>
                <w:color w:val="auto"/>
              </w:rPr>
            </w:pPr>
            <w:r>
              <w:rPr>
                <w:rFonts w:ascii="Arial" w:cs="Arial" w:eastAsia="Arial" w:hAnsi="Arial"/>
                <w:sz w:val="20"/>
                <w:szCs w:val="20"/>
                <w:color w:val="auto"/>
              </w:rPr>
              <w:t>10,893,237 shares of Common Stock</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696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8100" w:type="dxa"/>
            <w:vAlign w:val="bottom"/>
            <w:gridSpan w:val="3"/>
            <w:vMerge w:val="restart"/>
          </w:tcPr>
          <w:p>
            <w:pPr>
              <w:ind w:left="440"/>
              <w:spacing w:after="0"/>
              <w:rPr>
                <w:sz w:val="20"/>
                <w:szCs w:val="20"/>
                <w:color w:val="auto"/>
              </w:rPr>
            </w:pPr>
            <w:r>
              <w:rPr>
                <w:rFonts w:ascii="Arial" w:cs="Arial" w:eastAsia="Arial" w:hAnsi="Arial"/>
                <w:sz w:val="20"/>
                <w:szCs w:val="20"/>
                <w:color w:val="auto"/>
              </w:rPr>
              <w:t>10,893,237 shares of Common Stock</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81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440" w:type="dxa"/>
            <w:vAlign w:val="bottom"/>
          </w:tcPr>
          <w:p>
            <w:pPr>
              <w:ind w:left="5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960" w:type="dxa"/>
            <w:vAlign w:val="bottom"/>
            <w:tcBorders>
              <w:bottom w:val="single" w:sz="8" w:color="auto"/>
            </w:tcBorders>
            <w:gridSpan w:val="2"/>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1140" w:type="dxa"/>
            <w:vAlign w:val="bottom"/>
            <w:vMerge w:val="restart"/>
          </w:tcPr>
          <w:p>
            <w:pPr>
              <w:ind w:left="440"/>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20"/>
                <w:szCs w:val="20"/>
                <w:color w:val="auto"/>
              </w:rPr>
              <w:t>IA, PN</w:t>
            </w:r>
          </w:p>
        </w:tc>
        <w:tc>
          <w:tcPr>
            <w:tcW w:w="6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CUSIP No. 000899104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00" w:type="dxa"/>
            <w:vAlign w:val="bottom"/>
          </w:tcPr>
          <w:p>
            <w:pPr>
              <w:ind w:left="2020"/>
              <w:spacing w:after="0"/>
              <w:rPr>
                <w:sz w:val="20"/>
                <w:szCs w:val="20"/>
                <w:color w:val="auto"/>
              </w:rPr>
            </w:pPr>
            <w:r>
              <w:rPr>
                <w:rFonts w:ascii="Arial" w:cs="Arial" w:eastAsia="Arial" w:hAnsi="Arial"/>
                <w:sz w:val="18"/>
                <w:szCs w:val="18"/>
                <w:b w:val="1"/>
                <w:bCs w:val="1"/>
                <w:color w:val="auto"/>
              </w:rPr>
              <w:t>SCHEDULE 13D</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w w:val="83"/>
              </w:rPr>
              <w:t>Page 3 of 7 Pages</w:t>
            </w:r>
          </w:p>
        </w:tc>
        <w:tc>
          <w:tcPr>
            <w:tcW w:w="0" w:type="dxa"/>
            <w:vAlign w:val="bottom"/>
          </w:tcPr>
          <w:p>
            <w:pPr>
              <w:spacing w:after="0"/>
              <w:rPr>
                <w:sz w:val="1"/>
                <w:szCs w:val="1"/>
                <w:color w:val="auto"/>
              </w:rPr>
            </w:pPr>
          </w:p>
        </w:tc>
      </w:tr>
      <w:tr>
        <w:trPr>
          <w:trHeight w:val="662"/>
        </w:trPr>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3"/>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1</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NAME OF REPORTING PERSON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880" w:type="dxa"/>
            <w:vAlign w:val="bottom"/>
            <w:gridSpan w:val="3"/>
            <w:vMerge w:val="restart"/>
          </w:tcPr>
          <w:p>
            <w:pPr>
              <w:ind w:left="380"/>
              <w:spacing w:after="0"/>
              <w:rPr>
                <w:sz w:val="20"/>
                <w:szCs w:val="20"/>
                <w:color w:val="auto"/>
              </w:rPr>
            </w:pPr>
            <w:r>
              <w:rPr>
                <w:rFonts w:ascii="Arial" w:cs="Arial" w:eastAsia="Arial" w:hAnsi="Arial"/>
                <w:sz w:val="20"/>
                <w:szCs w:val="20"/>
                <w:color w:val="auto"/>
              </w:rPr>
              <w:t>David Johnson</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880" w:type="dxa"/>
            <w:vAlign w:val="bottom"/>
            <w:gridSpan w:val="3"/>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gridSpan w:val="3"/>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720" w:type="dxa"/>
            <w:vAlign w:val="bottom"/>
            <w:tcBorders>
              <w:left w:val="single" w:sz="8" w:color="auto"/>
              <w:right w:val="single" w:sz="8" w:color="auto"/>
            </w:tcBorders>
            <w:vMerge w:val="restart"/>
          </w:tcPr>
          <w:p>
            <w:pPr>
              <w:jc w:val="center"/>
              <w:spacing w:after="0" w:line="320" w:lineRule="exact"/>
              <w:rPr>
                <w:sz w:val="20"/>
                <w:szCs w:val="20"/>
                <w:color w:val="auto"/>
              </w:rPr>
            </w:pPr>
            <w:r>
              <w:rPr>
                <w:rFonts w:ascii="Arial" w:cs="Arial" w:eastAsia="Arial" w:hAnsi="Arial"/>
                <w:sz w:val="29"/>
                <w:szCs w:val="29"/>
                <w:b w:val="1"/>
                <w:bCs w:val="1"/>
                <w:color w:val="auto"/>
                <w:w w:val="98"/>
              </w:rPr>
              <w:t>2</w:t>
            </w:r>
          </w:p>
        </w:tc>
        <w:tc>
          <w:tcPr>
            <w:tcW w:w="40" w:type="dxa"/>
            <w:vAlign w:val="bottom"/>
          </w:tcPr>
          <w:p>
            <w:pPr>
              <w:spacing w:after="0"/>
              <w:rPr>
                <w:sz w:val="21"/>
                <w:szCs w:val="21"/>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CHECK THE APPROPRIATE BOX IF A MEMBER OF A GROUP</w:t>
            </w:r>
          </w:p>
        </w:tc>
        <w:tc>
          <w:tcPr>
            <w:tcW w:w="1600" w:type="dxa"/>
            <w:vAlign w:val="bottom"/>
            <w:tcBorders>
              <w:right w:val="single" w:sz="8" w:color="auto"/>
            </w:tcBorders>
            <w:vMerge w:val="restart"/>
          </w:tcPr>
          <w:p>
            <w:pPr>
              <w:ind w:left="580"/>
              <w:spacing w:after="0" w:line="320"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r>
              <w:rPr>
                <w:rFonts w:ascii="Arial" w:cs="Arial" w:eastAsia="Arial" w:hAnsi="Arial"/>
                <w:sz w:val="22"/>
                <w:szCs w:val="22"/>
                <w:color w:val="auto"/>
              </w:rPr>
              <w:t xml:space="preserve"> (b)</w:t>
            </w: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29"/>
                <w:szCs w:val="29"/>
                <w:color w:val="auto"/>
              </w:rPr>
              <w:t>x</w:t>
            </w:r>
          </w:p>
        </w:tc>
        <w:tc>
          <w:tcPr>
            <w:tcW w:w="0" w:type="dxa"/>
            <w:vAlign w:val="bottom"/>
          </w:tcPr>
          <w:p>
            <w:pPr>
              <w:spacing w:after="0"/>
              <w:rPr>
                <w:sz w:val="1"/>
                <w:szCs w:val="1"/>
                <w:color w:val="auto"/>
              </w:rPr>
            </w:pPr>
          </w:p>
        </w:tc>
      </w:tr>
      <w:tr>
        <w:trPr>
          <w:trHeight w:val="244"/>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3</w:t>
            </w:r>
          </w:p>
        </w:tc>
        <w:tc>
          <w:tcPr>
            <w:tcW w:w="4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w w:val="92"/>
              </w:rPr>
              <w:t>SEC USE ONLY</w:t>
            </w:r>
          </w:p>
        </w:tc>
        <w:tc>
          <w:tcPr>
            <w:tcW w:w="67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720" w:type="dxa"/>
            <w:vAlign w:val="bottom"/>
            <w:tcBorders>
              <w:left w:val="single" w:sz="8" w:color="auto"/>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SOURCE OF FUNDS</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20"/>
                <w:szCs w:val="20"/>
                <w:color w:val="auto"/>
              </w:rPr>
              <w:t>AF</w:t>
            </w:r>
          </w:p>
        </w:tc>
        <w:tc>
          <w:tcPr>
            <w:tcW w:w="670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670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40" w:type="dxa"/>
            <w:vAlign w:val="bottom"/>
          </w:tcPr>
          <w:p>
            <w:pPr>
              <w:spacing w:after="0"/>
              <w:rPr>
                <w:sz w:val="17"/>
                <w:szCs w:val="17"/>
                <w:color w:val="auto"/>
              </w:rPr>
            </w:pPr>
          </w:p>
        </w:tc>
        <w:tc>
          <w:tcPr>
            <w:tcW w:w="7880" w:type="dxa"/>
            <w:vAlign w:val="bottom"/>
            <w:gridSpan w:val="3"/>
            <w:vMerge w:val="restart"/>
          </w:tcPr>
          <w:p>
            <w:pPr>
              <w:ind w:left="6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600" w:type="dxa"/>
            <w:vAlign w:val="bottom"/>
            <w:tcBorders>
              <w:right w:val="single" w:sz="8" w:color="auto"/>
            </w:tcBorders>
          </w:tcPr>
          <w:p>
            <w:pPr>
              <w:ind w:left="5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8"/>
              </w:rPr>
              <w:t>6</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CITIZENSHIP OR PLACE OF ORGANIZATION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880" w:type="dxa"/>
            <w:vAlign w:val="bottom"/>
            <w:gridSpan w:val="3"/>
            <w:vMerge w:val="restart"/>
          </w:tcPr>
          <w:p>
            <w:pPr>
              <w:ind w:left="380"/>
              <w:spacing w:after="0"/>
              <w:rPr>
                <w:sz w:val="20"/>
                <w:szCs w:val="20"/>
                <w:color w:val="auto"/>
              </w:rPr>
            </w:pPr>
            <w:r>
              <w:rPr>
                <w:rFonts w:ascii="Arial" w:cs="Arial" w:eastAsia="Arial" w:hAnsi="Arial"/>
                <w:sz w:val="20"/>
                <w:szCs w:val="20"/>
                <w:color w:val="auto"/>
              </w:rPr>
              <w:t>United States</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880" w:type="dxa"/>
            <w:vAlign w:val="bottom"/>
            <w:gridSpan w:val="3"/>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10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7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100" w:type="dxa"/>
            <w:vAlign w:val="bottom"/>
          </w:tcPr>
          <w:p>
            <w:pPr>
              <w:spacing w:after="0"/>
              <w:rPr>
                <w:sz w:val="9"/>
                <w:szCs w:val="9"/>
                <w:color w:val="auto"/>
              </w:rPr>
            </w:pPr>
          </w:p>
        </w:tc>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vMerge w:val="restart"/>
          </w:tcPr>
          <w:p>
            <w:pPr>
              <w:ind w:left="340"/>
              <w:spacing w:after="0"/>
              <w:rPr>
                <w:sz w:val="20"/>
                <w:szCs w:val="20"/>
                <w:color w:val="auto"/>
              </w:rPr>
            </w:pPr>
            <w:r>
              <w:rPr>
                <w:rFonts w:ascii="Arial" w:cs="Arial" w:eastAsia="Arial" w:hAnsi="Arial"/>
                <w:sz w:val="20"/>
                <w:szCs w:val="20"/>
                <w:color w:val="auto"/>
              </w:rPr>
              <w:t>10,893,237 shares of Common Stock</w:t>
            </w: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70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9"/>
                <w:szCs w:val="9"/>
                <w:color w:val="auto"/>
              </w:rPr>
            </w:pPr>
          </w:p>
        </w:tc>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70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100" w:type="dxa"/>
            <w:vAlign w:val="bottom"/>
          </w:tcPr>
          <w:p>
            <w:pPr>
              <w:spacing w:after="0"/>
              <w:rPr>
                <w:sz w:val="9"/>
                <w:szCs w:val="9"/>
                <w:color w:val="auto"/>
              </w:rPr>
            </w:pPr>
          </w:p>
        </w:tc>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700" w:type="dxa"/>
            <w:vAlign w:val="bottom"/>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700" w:type="dxa"/>
            <w:vAlign w:val="bottom"/>
            <w:vMerge w:val="restart"/>
          </w:tcPr>
          <w:p>
            <w:pPr>
              <w:ind w:left="340"/>
              <w:spacing w:after="0"/>
              <w:rPr>
                <w:sz w:val="20"/>
                <w:szCs w:val="20"/>
                <w:color w:val="auto"/>
              </w:rPr>
            </w:pPr>
            <w:r>
              <w:rPr>
                <w:rFonts w:ascii="Arial" w:cs="Arial" w:eastAsia="Arial" w:hAnsi="Arial"/>
                <w:sz w:val="20"/>
                <w:szCs w:val="20"/>
                <w:color w:val="auto"/>
              </w:rPr>
              <w:t>10,893,237 shares of Common Stock</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6800" w:type="dxa"/>
            <w:vAlign w:val="bottom"/>
            <w:tcBorders>
              <w:bottom w:val="single" w:sz="8" w:color="auto"/>
            </w:tcBorders>
            <w:gridSpan w:val="2"/>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AGGREGATE AMOUNT BENEFICIALLY OWNED BY EACH PERSON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880" w:type="dxa"/>
            <w:vAlign w:val="bottom"/>
            <w:gridSpan w:val="3"/>
            <w:vMerge w:val="restart"/>
          </w:tcPr>
          <w:p>
            <w:pPr>
              <w:ind w:left="380"/>
              <w:spacing w:after="0"/>
              <w:rPr>
                <w:sz w:val="20"/>
                <w:szCs w:val="20"/>
                <w:color w:val="auto"/>
              </w:rPr>
            </w:pPr>
            <w:r>
              <w:rPr>
                <w:rFonts w:ascii="Arial" w:cs="Arial" w:eastAsia="Arial" w:hAnsi="Arial"/>
                <w:sz w:val="20"/>
                <w:szCs w:val="20"/>
                <w:color w:val="auto"/>
              </w:rPr>
              <w:t>10,893,237 shares of Common Stock</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880" w:type="dxa"/>
            <w:vAlign w:val="bottom"/>
            <w:gridSpan w:val="3"/>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40" w:type="dxa"/>
            <w:vAlign w:val="bottom"/>
          </w:tcPr>
          <w:p>
            <w:pPr>
              <w:spacing w:after="0"/>
              <w:rPr>
                <w:sz w:val="17"/>
                <w:szCs w:val="17"/>
                <w:color w:val="auto"/>
              </w:rPr>
            </w:pPr>
          </w:p>
        </w:tc>
        <w:tc>
          <w:tcPr>
            <w:tcW w:w="7880" w:type="dxa"/>
            <w:vAlign w:val="bottom"/>
            <w:gridSpan w:val="3"/>
            <w:vMerge w:val="restart"/>
          </w:tcPr>
          <w:p>
            <w:pPr>
              <w:ind w:left="60"/>
              <w:spacing w:after="0"/>
              <w:rPr>
                <w:sz w:val="20"/>
                <w:szCs w:val="20"/>
                <w:color w:val="auto"/>
              </w:rPr>
            </w:pPr>
            <w:r>
              <w:rPr>
                <w:rFonts w:ascii="Arial" w:cs="Arial" w:eastAsia="Arial" w:hAnsi="Arial"/>
                <w:sz w:val="16"/>
                <w:szCs w:val="16"/>
                <w:color w:val="auto"/>
              </w:rPr>
              <w:t>CHECK IF THE AGGREGATE AMOUNT IN ROW (11) EXCLUDES CERTAIN SHARES</w:t>
            </w:r>
          </w:p>
        </w:tc>
        <w:tc>
          <w:tcPr>
            <w:tcW w:w="1600" w:type="dxa"/>
            <w:vAlign w:val="bottom"/>
            <w:tcBorders>
              <w:right w:val="single" w:sz="8" w:color="auto"/>
            </w:tcBorders>
          </w:tcPr>
          <w:p>
            <w:pPr>
              <w:ind w:left="7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800" w:type="dxa"/>
            <w:vAlign w:val="bottom"/>
            <w:tcBorders>
              <w:bottom w:val="single" w:sz="8" w:color="auto"/>
            </w:tcBorders>
            <w:gridSpan w:val="2"/>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PERCENT OF CLASS REPRESENTED BY AMOUNT IN ROW (11)</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380"/>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70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gridSpan w:val="2"/>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40" w:type="dxa"/>
            <w:vAlign w:val="bottom"/>
          </w:tcPr>
          <w:p>
            <w:pPr>
              <w:spacing w:after="0"/>
              <w:rPr>
                <w:sz w:val="20"/>
                <w:szCs w:val="20"/>
                <w:color w:val="auto"/>
              </w:rPr>
            </w:pPr>
          </w:p>
        </w:tc>
        <w:tc>
          <w:tcPr>
            <w:tcW w:w="7880" w:type="dxa"/>
            <w:vAlign w:val="bottom"/>
            <w:gridSpan w:val="3"/>
          </w:tcPr>
          <w:p>
            <w:pPr>
              <w:ind w:left="60"/>
              <w:spacing w:after="0"/>
              <w:rPr>
                <w:sz w:val="20"/>
                <w:szCs w:val="20"/>
                <w:color w:val="auto"/>
              </w:rPr>
            </w:pPr>
            <w:r>
              <w:rPr>
                <w:rFonts w:ascii="Arial" w:cs="Arial" w:eastAsia="Arial" w:hAnsi="Arial"/>
                <w:sz w:val="16"/>
                <w:szCs w:val="16"/>
                <w:color w:val="auto"/>
              </w:rPr>
              <w:t>TYPE OF REPORTING PERSON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20"/>
                <w:szCs w:val="20"/>
                <w:color w:val="auto"/>
              </w:rPr>
              <w:t>IN</w:t>
            </w:r>
          </w:p>
        </w:tc>
        <w:tc>
          <w:tcPr>
            <w:tcW w:w="670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670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000899104</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SECURITY AND ISSUER</w:t>
      </w:r>
    </w:p>
    <w:p>
      <w:pPr>
        <w:spacing w:after="0" w:line="239" w:lineRule="exact"/>
        <w:rPr>
          <w:sz w:val="20"/>
          <w:szCs w:val="20"/>
          <w:color w:val="auto"/>
        </w:rPr>
      </w:pPr>
    </w:p>
    <w:p>
      <w:pPr>
        <w:jc w:val="both"/>
        <w:ind w:left="1360" w:right="100"/>
        <w:spacing w:after="0" w:line="297" w:lineRule="auto"/>
        <w:rPr>
          <w:sz w:val="20"/>
          <w:szCs w:val="20"/>
          <w:color w:val="auto"/>
        </w:rPr>
      </w:pPr>
      <w:r>
        <w:rPr>
          <w:rFonts w:ascii="Arial" w:cs="Arial" w:eastAsia="Arial" w:hAnsi="Arial"/>
          <w:sz w:val="19"/>
          <w:szCs w:val="19"/>
          <w:color w:val="auto"/>
        </w:rPr>
        <w:t>This statement on Schedule 13D (the “</w:t>
      </w:r>
      <w:r>
        <w:rPr>
          <w:rFonts w:ascii="Arial" w:cs="Arial" w:eastAsia="Arial" w:hAnsi="Arial"/>
          <w:sz w:val="19"/>
          <w:szCs w:val="19"/>
          <w:u w:val="single" w:color="auto"/>
          <w:color w:val="auto"/>
        </w:rPr>
        <w:t>Schedule 13D</w:t>
      </w:r>
      <w:r>
        <w:rPr>
          <w:rFonts w:ascii="Arial" w:cs="Arial" w:eastAsia="Arial" w:hAnsi="Arial"/>
          <w:sz w:val="19"/>
          <w:szCs w:val="19"/>
          <w:color w:val="auto"/>
        </w:rPr>
        <w:t>”) relates to the shares of the Common Stock, par value $0.0001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ADMA Biologics,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The Issuer’s principal executive offices are located at 465 State Route 17, Ramsey, New Jersey 07446.</w:t>
      </w:r>
    </w:p>
    <w:p>
      <w:pPr>
        <w:spacing w:after="0" w:line="155"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IDENTITY AND BACKGROUND</w:t>
      </w:r>
    </w:p>
    <w:p>
      <w:pPr>
        <w:spacing w:after="0" w:line="239" w:lineRule="exact"/>
        <w:rPr>
          <w:sz w:val="20"/>
          <w:szCs w:val="20"/>
          <w:color w:val="auto"/>
        </w:rPr>
      </w:pPr>
    </w:p>
    <w:p>
      <w:pPr>
        <w:ind w:left="1360" w:hanging="1249"/>
        <w:spacing w:after="0"/>
        <w:tabs>
          <w:tab w:leader="none" w:pos="1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statement is filed by:</w:t>
      </w:r>
    </w:p>
    <w:p>
      <w:pPr>
        <w:spacing w:after="0" w:line="233" w:lineRule="exact"/>
        <w:rPr>
          <w:rFonts w:ascii="Arial" w:cs="Arial" w:eastAsia="Arial" w:hAnsi="Arial"/>
          <w:sz w:val="22"/>
          <w:szCs w:val="22"/>
          <w:color w:val="auto"/>
        </w:rPr>
      </w:pPr>
    </w:p>
    <w:p>
      <w:pPr>
        <w:jc w:val="both"/>
        <w:ind w:left="1360" w:right="100" w:hanging="7"/>
        <w:spacing w:after="0" w:line="238" w:lineRule="auto"/>
        <w:tabs>
          <w:tab w:leader="none" w:pos="1638" w:val="left"/>
        </w:tabs>
        <w:numPr>
          <w:ilvl w:val="1"/>
          <w:numId w:val="3"/>
        </w:numPr>
        <w:rPr>
          <w:rFonts w:ascii="Arial" w:cs="Arial" w:eastAsia="Arial" w:hAnsi="Arial"/>
          <w:sz w:val="22"/>
          <w:szCs w:val="22"/>
          <w:color w:val="auto"/>
        </w:rPr>
      </w:pPr>
      <w:r>
        <w:rPr>
          <w:rFonts w:ascii="Arial" w:cs="Arial" w:eastAsia="Arial" w:hAnsi="Arial"/>
          <w:sz w:val="22"/>
          <w:szCs w:val="22"/>
          <w:color w:val="auto"/>
        </w:rPr>
        <w:t>Caligan Partners LP, a Delaware limited partnership (“</w:t>
      </w:r>
      <w:r>
        <w:rPr>
          <w:rFonts w:ascii="Arial" w:cs="Arial" w:eastAsia="Arial" w:hAnsi="Arial"/>
          <w:sz w:val="22"/>
          <w:szCs w:val="22"/>
          <w:u w:val="single" w:color="auto"/>
          <w:color w:val="auto"/>
        </w:rPr>
        <w:t>Caligan</w:t>
      </w:r>
      <w:r>
        <w:rPr>
          <w:rFonts w:ascii="Arial" w:cs="Arial" w:eastAsia="Arial" w:hAnsi="Arial"/>
          <w:sz w:val="22"/>
          <w:szCs w:val="22"/>
          <w:color w:val="auto"/>
        </w:rPr>
        <w:t>”), which serves indirectly as the investment manager to Caligan Partners Master Fund LP, a Cayman Islands limited partnership (the “</w:t>
      </w:r>
      <w:r>
        <w:rPr>
          <w:rFonts w:ascii="Arial" w:cs="Arial" w:eastAsia="Arial" w:hAnsi="Arial"/>
          <w:sz w:val="22"/>
          <w:szCs w:val="22"/>
          <w:u w:val="single" w:color="auto"/>
          <w:color w:val="auto"/>
        </w:rPr>
        <w:t>Caligan Fund</w:t>
      </w:r>
      <w:r>
        <w:rPr>
          <w:rFonts w:ascii="Arial" w:cs="Arial" w:eastAsia="Arial" w:hAnsi="Arial"/>
          <w:sz w:val="22"/>
          <w:szCs w:val="22"/>
          <w:color w:val="auto"/>
        </w:rPr>
        <w:t>”), and managed accounts (the “</w:t>
      </w:r>
      <w:r>
        <w:rPr>
          <w:rFonts w:ascii="Arial" w:cs="Arial" w:eastAsia="Arial" w:hAnsi="Arial"/>
          <w:sz w:val="22"/>
          <w:szCs w:val="22"/>
          <w:u w:val="single" w:color="auto"/>
          <w:color w:val="auto"/>
        </w:rPr>
        <w:t>Caligan Accounts</w:t>
      </w:r>
      <w:r>
        <w:rPr>
          <w:rFonts w:ascii="Arial" w:cs="Arial" w:eastAsia="Arial" w:hAnsi="Arial"/>
          <w:sz w:val="22"/>
          <w:szCs w:val="22"/>
          <w:color w:val="auto"/>
        </w:rPr>
        <w:t>”), with respect to the shares of Common Stock held by the Caligan Fund and the Caligan Accounts; and</w:t>
      </w:r>
    </w:p>
    <w:p>
      <w:pPr>
        <w:spacing w:after="0" w:line="211" w:lineRule="exact"/>
        <w:rPr>
          <w:rFonts w:ascii="Arial" w:cs="Arial" w:eastAsia="Arial" w:hAnsi="Arial"/>
          <w:sz w:val="22"/>
          <w:szCs w:val="22"/>
          <w:color w:val="auto"/>
        </w:rPr>
      </w:pPr>
    </w:p>
    <w:p>
      <w:pPr>
        <w:jc w:val="both"/>
        <w:ind w:left="1360" w:right="100" w:hanging="7"/>
        <w:spacing w:after="0" w:line="297" w:lineRule="auto"/>
        <w:tabs>
          <w:tab w:leader="none" w:pos="1709" w:val="left"/>
        </w:tabs>
        <w:numPr>
          <w:ilvl w:val="1"/>
          <w:numId w:val="3"/>
        </w:numPr>
        <w:rPr>
          <w:rFonts w:ascii="Arial" w:cs="Arial" w:eastAsia="Arial" w:hAnsi="Arial"/>
          <w:sz w:val="19"/>
          <w:szCs w:val="19"/>
          <w:color w:val="auto"/>
        </w:rPr>
      </w:pPr>
      <w:r>
        <w:rPr>
          <w:rFonts w:ascii="Arial" w:cs="Arial" w:eastAsia="Arial" w:hAnsi="Arial"/>
          <w:sz w:val="19"/>
          <w:szCs w:val="19"/>
          <w:color w:val="auto"/>
        </w:rPr>
        <w:t>David Johnson, the Partner of Caligan and Managing Member of Caligan Partners GP LLC, the general partner of Caligan (“</w:t>
      </w:r>
      <w:r>
        <w:rPr>
          <w:rFonts w:ascii="Arial" w:cs="Arial" w:eastAsia="Arial" w:hAnsi="Arial"/>
          <w:sz w:val="19"/>
          <w:szCs w:val="19"/>
          <w:u w:val="single" w:color="auto"/>
          <w:color w:val="auto"/>
        </w:rPr>
        <w:t>Mr. Johnson</w:t>
      </w:r>
      <w:r>
        <w:rPr>
          <w:rFonts w:ascii="Arial" w:cs="Arial" w:eastAsia="Arial" w:hAnsi="Arial"/>
          <w:sz w:val="19"/>
          <w:szCs w:val="19"/>
          <w:color w:val="auto"/>
        </w:rPr>
        <w:t>”, together with Caligan and Caligan Partners GP, LLC, the “</w:t>
      </w:r>
      <w:r>
        <w:rPr>
          <w:rFonts w:ascii="Arial" w:cs="Arial" w:eastAsia="Arial" w:hAnsi="Arial"/>
          <w:sz w:val="19"/>
          <w:szCs w:val="19"/>
          <w:u w:val="single" w:color="auto"/>
          <w:color w:val="auto"/>
        </w:rPr>
        <w:t>Caligan Parties</w:t>
      </w:r>
      <w:r>
        <w:rPr>
          <w:rFonts w:ascii="Arial" w:cs="Arial" w:eastAsia="Arial" w:hAnsi="Arial"/>
          <w:sz w:val="19"/>
          <w:szCs w:val="19"/>
          <w:color w:val="auto"/>
        </w:rPr>
        <w:t>”), with respect to the shares of Common Stock held by the Caligan Fund and the Caligan Accounts.</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Each of the foregoing is referred to as a “</w:t>
      </w:r>
      <w:r>
        <w:rPr>
          <w:rFonts w:ascii="Arial" w:cs="Arial" w:eastAsia="Arial" w:hAnsi="Arial"/>
          <w:sz w:val="21"/>
          <w:szCs w:val="21"/>
          <w:u w:val="single" w:color="auto"/>
          <w:color w:val="auto"/>
        </w:rPr>
        <w:t>Reporting Person</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Reporting Persons</w:t>
      </w:r>
      <w:r>
        <w:rPr>
          <w:rFonts w:ascii="Arial" w:cs="Arial" w:eastAsia="Arial" w:hAnsi="Arial"/>
          <w:sz w:val="21"/>
          <w:szCs w:val="21"/>
          <w:color w:val="auto"/>
        </w:rPr>
        <w:t>.”</w:t>
      </w:r>
    </w:p>
    <w:p>
      <w:pPr>
        <w:spacing w:after="0" w:line="245" w:lineRule="exact"/>
        <w:rPr>
          <w:sz w:val="20"/>
          <w:szCs w:val="20"/>
          <w:color w:val="auto"/>
        </w:rPr>
      </w:pPr>
    </w:p>
    <w:p>
      <w:pPr>
        <w:ind w:left="1360" w:right="120" w:hanging="1249"/>
        <w:spacing w:after="0" w:line="250" w:lineRule="auto"/>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principal business address of each of the Caligan Parties is 590 Madison Avenue, New York, New York 10022.</w:t>
      </w:r>
    </w:p>
    <w:p>
      <w:pPr>
        <w:spacing w:after="0" w:line="201" w:lineRule="exact"/>
        <w:rPr>
          <w:rFonts w:ascii="Arial" w:cs="Arial" w:eastAsia="Arial" w:hAnsi="Arial"/>
          <w:sz w:val="22"/>
          <w:szCs w:val="22"/>
          <w:color w:val="auto"/>
        </w:rPr>
      </w:pPr>
    </w:p>
    <w:p>
      <w:pPr>
        <w:ind w:left="1360" w:hanging="1249"/>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principal business of each of the Caligan Parties is investment management.</w:t>
      </w:r>
    </w:p>
    <w:p>
      <w:pPr>
        <w:spacing w:after="0" w:line="233" w:lineRule="exact"/>
        <w:rPr>
          <w:rFonts w:ascii="Arial" w:cs="Arial" w:eastAsia="Arial" w:hAnsi="Arial"/>
          <w:sz w:val="22"/>
          <w:szCs w:val="22"/>
          <w:color w:val="auto"/>
        </w:rPr>
      </w:pPr>
    </w:p>
    <w:p>
      <w:pPr>
        <w:ind w:left="1360" w:right="120" w:hanging="1249"/>
        <w:spacing w:after="0" w:line="250" w:lineRule="auto"/>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During the last five years, none of the Caligan Parties have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left="1360" w:right="100" w:hanging="1249"/>
        <w:spacing w:after="0" w:line="252" w:lineRule="auto"/>
        <w:tabs>
          <w:tab w:leader="none" w:pos="1360" w:val="left"/>
        </w:tabs>
        <w:numPr>
          <w:ilvl w:val="0"/>
          <w:numId w:val="4"/>
        </w:numPr>
        <w:rPr>
          <w:rFonts w:ascii="Arial" w:cs="Arial" w:eastAsia="Arial" w:hAnsi="Arial"/>
          <w:sz w:val="21"/>
          <w:szCs w:val="21"/>
          <w:color w:val="auto"/>
        </w:rPr>
      </w:pPr>
      <w:r>
        <w:rPr>
          <w:rFonts w:ascii="Arial" w:cs="Arial" w:eastAsia="Arial" w:hAnsi="Arial"/>
          <w:sz w:val="21"/>
          <w:szCs w:val="21"/>
          <w:color w:val="auto"/>
        </w:rPr>
        <w:t>During the last five years, none of the Caligan Parties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0" w:lineRule="exact"/>
        <w:rPr>
          <w:rFonts w:ascii="Arial" w:cs="Arial" w:eastAsia="Arial" w:hAnsi="Arial"/>
          <w:sz w:val="21"/>
          <w:szCs w:val="21"/>
          <w:color w:val="auto"/>
        </w:rPr>
      </w:pPr>
    </w:p>
    <w:p>
      <w:pPr>
        <w:ind w:left="1360" w:right="140" w:hanging="1249"/>
        <w:spacing w:after="0" w:line="250" w:lineRule="auto"/>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Caligan is a Delaware limited partnership. Mr. Johnson is a United States citizen. Caligan Partners GP LLC is a Delaware limited liability company.</w:t>
      </w:r>
    </w:p>
    <w:p>
      <w:pPr>
        <w:spacing w:after="0" w:line="196"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SOURCE AND AMOUNT OF FUNDS OR OTHER CONSIDERATION</w:t>
      </w:r>
    </w:p>
    <w:p>
      <w:pPr>
        <w:spacing w:after="0" w:line="239" w:lineRule="exact"/>
        <w:rPr>
          <w:sz w:val="20"/>
          <w:szCs w:val="20"/>
          <w:color w:val="auto"/>
        </w:rPr>
      </w:pPr>
    </w:p>
    <w:p>
      <w:pPr>
        <w:jc w:val="both"/>
        <w:ind w:left="1360" w:right="100"/>
        <w:spacing w:after="0" w:line="257" w:lineRule="auto"/>
        <w:rPr>
          <w:sz w:val="20"/>
          <w:szCs w:val="20"/>
          <w:color w:val="auto"/>
        </w:rPr>
      </w:pPr>
      <w:r>
        <w:rPr>
          <w:rFonts w:ascii="Arial" w:cs="Arial" w:eastAsia="Arial" w:hAnsi="Arial"/>
          <w:sz w:val="21"/>
          <w:szCs w:val="21"/>
          <w:color w:val="auto"/>
        </w:rPr>
        <w:t>The Reporting Persons used a total of approximately $14,126,851.78 (excluding brokerage commissions) to acquire the Common Stock reported herein. The source of the funds used to acquire the Common Stock reported herein was the working capital of the Caligan Fund and the Caligan Accounts.</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000899104</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PURPOSE OF TRANSACTION</w:t>
      </w:r>
    </w:p>
    <w:p>
      <w:pPr>
        <w:spacing w:after="0" w:line="239" w:lineRule="exact"/>
        <w:rPr>
          <w:sz w:val="20"/>
          <w:szCs w:val="20"/>
          <w:color w:val="auto"/>
        </w:rPr>
      </w:pPr>
    </w:p>
    <w:p>
      <w:pPr>
        <w:jc w:val="both"/>
        <w:ind w:left="1360" w:right="100"/>
        <w:spacing w:after="0" w:line="271" w:lineRule="auto"/>
        <w:rPr>
          <w:sz w:val="20"/>
          <w:szCs w:val="20"/>
          <w:color w:val="auto"/>
        </w:rPr>
      </w:pPr>
      <w:r>
        <w:rPr>
          <w:rFonts w:ascii="Arial" w:cs="Arial" w:eastAsia="Arial" w:hAnsi="Arial"/>
          <w:sz w:val="19"/>
          <w:szCs w:val="19"/>
          <w:color w:val="auto"/>
        </w:rPr>
        <w:t>The Reporting Persons believe the securities of the Issuer are undervalued and represent an attractive investment opportunity. The Reporting Persons may consider, explore and/or develop plans and/or make proposals (whether preliminary or firm) with respect to, among other things, potential changes in, the Issuer’s operations, management, organizational documents, the composition of the board of directors of the Issuer (the “</w:t>
      </w:r>
      <w:r>
        <w:rPr>
          <w:rFonts w:ascii="Arial" w:cs="Arial" w:eastAsia="Arial" w:hAnsi="Arial"/>
          <w:sz w:val="19"/>
          <w:szCs w:val="19"/>
          <w:u w:val="single" w:color="auto"/>
          <w:color w:val="auto"/>
        </w:rPr>
        <w:t>Board</w:t>
      </w:r>
      <w:r>
        <w:rPr>
          <w:rFonts w:ascii="Arial" w:cs="Arial" w:eastAsia="Arial" w:hAnsi="Arial"/>
          <w:sz w:val="19"/>
          <w:szCs w:val="19"/>
          <w:color w:val="auto"/>
        </w:rPr>
        <w:t>”), ownership, capital or corporate structure, dividend policy, and strategy and plans of the Issuer, as well as a potential strategic review or sale process involving the Issuer or certain of the Issuer’s businesses or assets, including transactions in which the Reporting Persons may seek to participate and potentially engage in. The Reporting Persons intend to communicate with the Issuer’s management and Board about a broad range of operational and strategic matters (including the matters set forth above) and to communicate with other shareholders or third parties, including potential acquirers, service providers and financing sources regarding the foregoing. The Reporting Persons may exchange information with any such persons pursuant to appropriate confidentiality or similar agreements which may include customary standstill provisions. They may also take steps to explore and prepare for various plans and actions, and propose transactions, before forming an intention to engage in such plans or actions or proceed with such transactions.</w:t>
      </w:r>
    </w:p>
    <w:p>
      <w:pPr>
        <w:spacing w:after="0" w:line="200" w:lineRule="exact"/>
        <w:rPr>
          <w:sz w:val="20"/>
          <w:szCs w:val="20"/>
          <w:color w:val="auto"/>
        </w:rPr>
      </w:pPr>
    </w:p>
    <w:p>
      <w:pPr>
        <w:spacing w:after="0" w:line="238" w:lineRule="exact"/>
        <w:rPr>
          <w:sz w:val="20"/>
          <w:szCs w:val="20"/>
          <w:color w:val="auto"/>
        </w:rPr>
      </w:pPr>
    </w:p>
    <w:p>
      <w:pPr>
        <w:jc w:val="both"/>
        <w:ind w:left="1360" w:right="100"/>
        <w:spacing w:after="0" w:line="271" w:lineRule="auto"/>
        <w:rPr>
          <w:sz w:val="20"/>
          <w:szCs w:val="20"/>
          <w:color w:val="auto"/>
        </w:rPr>
      </w:pPr>
      <w:r>
        <w:rPr>
          <w:rFonts w:ascii="Arial" w:cs="Arial" w:eastAsia="Arial" w:hAnsi="Arial"/>
          <w:sz w:val="19"/>
          <w:szCs w:val="19"/>
          <w:color w:val="auto"/>
        </w:rPr>
        <w:t>The Reporting Persons intend to review their investment in the Issuer on a continuing basis and depending upon various factors, including without limitation, the Issuer’s financial position and strategic direction, the outcome of any discussions referenced above, overall market conditions, other available investment opportunities, and the availability of securities of the Issuer at prices that would make the purchase or sale of such securities desirable, the Reporting Persons may endeavor (i) to increase or decrease their position in the Issuer through, among other things, the purchase or sale of Common Stock and/or other equity, debt, derivative securities or other instruments that are convertible into Common Stock, or are based upon or relate to the value of the Common Stock or the Issuer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 on the open market or in private transactions, including through a trading plan created under Rule 10b5-1(c) or otherwise, on such terms and at such times as the Reporting Persons may deem advisable and/or (ii) to enter into transactions that increase or hedge its economic exposure to the Common Stock or other Securities without affecting their beneficial ownership of the shares of Common Stock or other Securities. In addition, the Reporting Persons may, at any time and from time to time, (i) review or reconsider its position and/or change its purpose and/or formulate plans or proposals with respect thereto and (ii) propose or consider one or more of the actions described in subparagraphs (a) - (j) of Item 4 of Schedule 13D.</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000899104</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239" w:lineRule="exact"/>
        <w:rPr>
          <w:sz w:val="20"/>
          <w:szCs w:val="20"/>
          <w:color w:val="auto"/>
        </w:rPr>
      </w:pPr>
    </w:p>
    <w:p>
      <w:pPr>
        <w:jc w:val="both"/>
        <w:ind w:left="1360" w:right="100" w:hanging="1249"/>
        <w:spacing w:after="0" w:line="282" w:lineRule="auto"/>
        <w:tabs>
          <w:tab w:leader="none" w:pos="1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See rows (11) and (13) of the cover pages to this Schedule 13D for the aggregate number of and percentages of the shares of Common Stock beneficially owned by each Reporting Person. The percentages set forth in this Schedule 13D are based upon 195,813,817 shares of Common Stock outstanding as of November 5, 2021, as reported in the Issuer’s Quarterly Report on Form 10-Q for the quarterly period ended September 30, 2021 filed with the Securities and Exchange Commission on November 10, 2021.</w:t>
      </w:r>
    </w:p>
    <w:p>
      <w:pPr>
        <w:spacing w:after="0" w:line="174" w:lineRule="exact"/>
        <w:rPr>
          <w:rFonts w:ascii="Arial" w:cs="Arial" w:eastAsia="Arial" w:hAnsi="Arial"/>
          <w:sz w:val="19"/>
          <w:szCs w:val="19"/>
          <w:color w:val="auto"/>
        </w:rPr>
      </w:pPr>
    </w:p>
    <w:p>
      <w:pPr>
        <w:jc w:val="both"/>
        <w:ind w:left="1360" w:right="120" w:hanging="1249"/>
        <w:spacing w:after="0"/>
        <w:tabs>
          <w:tab w:leader="none" w:pos="1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jc w:val="both"/>
        <w:ind w:left="1360" w:right="100" w:hanging="1249"/>
        <w:spacing w:after="0" w:line="238" w:lineRule="auto"/>
        <w:tabs>
          <w:tab w:leader="none" w:pos="1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Information concerning transactions in the shares of Common Stock reported herein effected during the past sixty (60) days is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which is attached hereto and is incorporated herein by reference. All of the transactions in the shares of Common Stock listed therein were effected in the open market through various brokerage entities.</w:t>
      </w:r>
    </w:p>
    <w:p>
      <w:pPr>
        <w:spacing w:after="0" w:line="211" w:lineRule="exact"/>
        <w:rPr>
          <w:rFonts w:ascii="Arial" w:cs="Arial" w:eastAsia="Arial" w:hAnsi="Arial"/>
          <w:sz w:val="22"/>
          <w:szCs w:val="22"/>
          <w:color w:val="auto"/>
        </w:rPr>
      </w:pPr>
    </w:p>
    <w:p>
      <w:pPr>
        <w:jc w:val="both"/>
        <w:ind w:left="1360" w:right="100" w:hanging="1249"/>
        <w:spacing w:after="0"/>
        <w:tabs>
          <w:tab w:leader="none" w:pos="1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 person (other than the Reporting Persons, the Caligan Fund and the Caligan Accounts) is known to have the right to receive or the power to direct the receipt of dividends from, or the proceeds from the sale of, the shares of Common Stock reported herein.</w:t>
      </w:r>
    </w:p>
    <w:p>
      <w:pPr>
        <w:spacing w:after="0" w:line="213" w:lineRule="exact"/>
        <w:rPr>
          <w:rFonts w:ascii="Arial" w:cs="Arial" w:eastAsia="Arial" w:hAnsi="Arial"/>
          <w:sz w:val="22"/>
          <w:szCs w:val="22"/>
          <w:color w:val="auto"/>
        </w:rPr>
      </w:pPr>
    </w:p>
    <w:p>
      <w:pPr>
        <w:ind w:left="1360" w:hanging="1249"/>
        <w:spacing w:after="0"/>
        <w:tabs>
          <w:tab w:leader="none" w:pos="1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360" w:right="180" w:hanging="1241"/>
        <w:spacing w:after="0" w:line="256" w:lineRule="auto"/>
        <w:tabs>
          <w:tab w:leader="none" w:pos="13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CONTRACTS, ARRANGEMENTS, UNDERSTANDINGS OR RELATIONSHIPS WITH RESPECT TO SECURITIES OF THE ISSUER</w:t>
      </w:r>
    </w:p>
    <w:p>
      <w:pPr>
        <w:spacing w:after="0" w:line="195" w:lineRule="exact"/>
        <w:rPr>
          <w:sz w:val="20"/>
          <w:szCs w:val="20"/>
          <w:color w:val="auto"/>
        </w:rPr>
      </w:pPr>
    </w:p>
    <w:p>
      <w:pPr>
        <w:jc w:val="both"/>
        <w:ind w:left="1360" w:right="100"/>
        <w:spacing w:after="0"/>
        <w:rPr>
          <w:sz w:val="20"/>
          <w:szCs w:val="20"/>
          <w:color w:val="auto"/>
        </w:rPr>
      </w:pPr>
      <w:r>
        <w:rPr>
          <w:rFonts w:ascii="Arial" w:cs="Arial" w:eastAsia="Arial" w:hAnsi="Arial"/>
          <w:sz w:val="22"/>
          <w:szCs w:val="22"/>
          <w:color w:val="auto"/>
        </w:rPr>
        <w:t xml:space="preserve">The Reporting Persons are parties to an agreement with respect to the joint filing of this Schedule 13D and any amendments thereto. A copy of such agreement is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Schedule 13D and is incorporated by reference herein.</w:t>
      </w:r>
    </w:p>
    <w:p>
      <w:pPr>
        <w:spacing w:after="0" w:line="213" w:lineRule="exact"/>
        <w:rPr>
          <w:sz w:val="20"/>
          <w:szCs w:val="20"/>
          <w:color w:val="auto"/>
        </w:rPr>
      </w:pPr>
    </w:p>
    <w:p>
      <w:pPr>
        <w:jc w:val="both"/>
        <w:ind w:left="1360" w:right="120"/>
        <w:spacing w:after="0"/>
        <w:rPr>
          <w:sz w:val="20"/>
          <w:szCs w:val="20"/>
          <w:color w:val="auto"/>
        </w:rPr>
      </w:pPr>
      <w:r>
        <w:rPr>
          <w:rFonts w:ascii="Arial" w:cs="Arial" w:eastAsia="Arial" w:hAnsi="Arial"/>
          <w:sz w:val="22"/>
          <w:szCs w:val="22"/>
          <w:color w:val="auto"/>
        </w:rPr>
        <w:t>Other than the joint filing agreement, there are no contracts, arrangements, understandings or relationship among the Reporting Persons or between the Reporting Persons and any other person with respect to the Securities of the Issuer.</w:t>
      </w:r>
    </w:p>
    <w:p>
      <w:pPr>
        <w:spacing w:after="0" w:line="207"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MATERIAL TO BE FILED AS EXHIBITS</w:t>
      </w:r>
    </w:p>
    <w:p>
      <w:pPr>
        <w:spacing w:after="0" w:line="239"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Joint Filing Agreement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000899104</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7 Pages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4,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CALIGAN PARTNERS LP</w:t>
      </w:r>
    </w:p>
    <w:p>
      <w:pPr>
        <w:spacing w:after="0" w:line="200" w:lineRule="exact"/>
        <w:rPr>
          <w:sz w:val="20"/>
          <w:szCs w:val="20"/>
          <w:color w:val="auto"/>
        </w:rPr>
      </w:pPr>
    </w:p>
    <w:p>
      <w:pPr>
        <w:spacing w:after="0" w:line="272"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gridSpan w:val="2"/>
          </w:tcPr>
          <w:p>
            <w:pPr>
              <w:ind w:left="180"/>
              <w:spacing w:after="0"/>
              <w:rPr>
                <w:sz w:val="20"/>
                <w:szCs w:val="20"/>
                <w:color w:val="auto"/>
              </w:rPr>
            </w:pPr>
            <w:r>
              <w:rPr>
                <w:rFonts w:ascii="Arial" w:cs="Arial" w:eastAsia="Arial" w:hAnsi="Arial"/>
                <w:sz w:val="22"/>
                <w:szCs w:val="22"/>
                <w:color w:val="auto"/>
              </w:rPr>
              <w:t>/s/ David Johnson</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8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tcPr>
          <w:p>
            <w:pPr>
              <w:ind w:left="100"/>
              <w:spacing w:after="0" w:line="216" w:lineRule="exact"/>
              <w:rPr>
                <w:sz w:val="20"/>
                <w:szCs w:val="20"/>
                <w:color w:val="auto"/>
              </w:rPr>
            </w:pPr>
            <w:r>
              <w:rPr>
                <w:rFonts w:ascii="Arial" w:cs="Arial" w:eastAsia="Arial" w:hAnsi="Arial"/>
                <w:sz w:val="22"/>
                <w:szCs w:val="22"/>
                <w:color w:val="auto"/>
              </w:rPr>
              <w:t>David Johnson</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80" w:type="dxa"/>
            <w:vAlign w:val="bottom"/>
          </w:tcPr>
          <w:p>
            <w:pPr>
              <w:spacing w:after="0"/>
              <w:rPr>
                <w:sz w:val="23"/>
                <w:szCs w:val="23"/>
                <w:color w:val="auto"/>
              </w:rPr>
            </w:pPr>
          </w:p>
        </w:tc>
        <w:tc>
          <w:tcPr>
            <w:tcW w:w="3460" w:type="dxa"/>
            <w:vAlign w:val="bottom"/>
          </w:tcPr>
          <w:p>
            <w:pPr>
              <w:ind w:left="100"/>
              <w:spacing w:after="0"/>
              <w:rPr>
                <w:sz w:val="20"/>
                <w:szCs w:val="20"/>
                <w:color w:val="auto"/>
              </w:rPr>
            </w:pPr>
            <w:r>
              <w:rPr>
                <w:rFonts w:ascii="Arial" w:cs="Arial" w:eastAsia="Arial" w:hAnsi="Arial"/>
                <w:sz w:val="22"/>
                <w:szCs w:val="22"/>
                <w:color w:val="auto"/>
              </w:rPr>
              <w:t>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6985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DAVID JOHNSON</w:t>
      </w:r>
    </w:p>
    <w:p>
      <w:pPr>
        <w:sectPr>
          <w:pgSz w:w="11900" w:h="16838" w:orient="portrait"/>
          <w:cols w:equalWidth="0" w:num="1">
            <w:col w:w="11240"/>
          </w:cols>
          <w:pgMar w:left="320" w:top="229" w:right="339" w:bottom="1440" w:gutter="0" w:footer="0" w:header="0"/>
        </w:sectPr>
      </w:pPr>
    </w:p>
    <w:bookmarkStart w:id="7" w:name="page8"/>
    <w:bookmarkEnd w:id="7"/>
    <w:p>
      <w:pPr>
        <w:jc w:val="center"/>
        <w:ind w:right="-371"/>
        <w:spacing w:after="0"/>
        <w:rPr>
          <w:sz w:val="20"/>
          <w:szCs w:val="20"/>
          <w:color w:val="auto"/>
        </w:rPr>
      </w:pPr>
      <w:r>
        <w:rPr>
          <w:rFonts w:ascii="Arial" w:cs="Arial" w:eastAsia="Arial" w:hAnsi="Arial"/>
          <w:sz w:val="22"/>
          <w:szCs w:val="22"/>
          <w:b w:val="1"/>
          <w:bCs w:val="1"/>
          <w:u w:val="single" w:color="auto"/>
          <w:color w:val="auto"/>
        </w:rPr>
        <w:t>Annex A</w:t>
      </w:r>
    </w:p>
    <w:p>
      <w:pPr>
        <w:spacing w:after="0" w:line="233" w:lineRule="exact"/>
        <w:rPr>
          <w:sz w:val="20"/>
          <w:szCs w:val="20"/>
          <w:color w:val="auto"/>
        </w:rPr>
      </w:pPr>
    </w:p>
    <w:p>
      <w:pPr>
        <w:ind w:left="1472"/>
        <w:spacing w:after="0"/>
        <w:rPr>
          <w:sz w:val="20"/>
          <w:szCs w:val="20"/>
          <w:color w:val="auto"/>
        </w:rPr>
      </w:pPr>
      <w:r>
        <w:rPr>
          <w:rFonts w:ascii="Arial" w:cs="Arial" w:eastAsia="Arial" w:hAnsi="Arial"/>
          <w:sz w:val="21"/>
          <w:szCs w:val="21"/>
          <w:b w:val="1"/>
          <w:bCs w:val="1"/>
          <w:color w:val="auto"/>
        </w:rPr>
        <w:t>Transactions in the Shares of Common Stock of the Issuer During the Past Sixty (60) Days</w:t>
      </w:r>
    </w:p>
    <w:p>
      <w:pPr>
        <w:spacing w:after="0" w:line="251"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following tables set forth all transactions in the shares of Common Stock reported herein effected in the past sixty</w:t>
      </w:r>
    </w:p>
    <w:p>
      <w:pPr>
        <w:spacing w:after="0" w:line="43" w:lineRule="exact"/>
        <w:rPr>
          <w:sz w:val="20"/>
          <w:szCs w:val="20"/>
          <w:color w:val="auto"/>
        </w:rPr>
      </w:pPr>
    </w:p>
    <w:p>
      <w:pPr>
        <w:ind w:left="-8" w:right="300" w:firstLine="8"/>
        <w:spacing w:after="0" w:line="236" w:lineRule="auto"/>
        <w:tabs>
          <w:tab w:leader="none" w:pos="406" w:val="left"/>
        </w:tabs>
        <w:numPr>
          <w:ilvl w:val="0"/>
          <w:numId w:val="6"/>
        </w:numPr>
        <w:rPr>
          <w:rFonts w:ascii="Arial" w:cs="Arial" w:eastAsia="Arial" w:hAnsi="Arial"/>
          <w:sz w:val="22"/>
          <w:szCs w:val="22"/>
          <w:color w:val="auto"/>
        </w:rPr>
      </w:pPr>
      <w:r>
        <w:rPr>
          <w:rFonts w:ascii="Arial" w:cs="Arial" w:eastAsia="Arial" w:hAnsi="Arial"/>
          <w:sz w:val="22"/>
          <w:szCs w:val="22"/>
          <w:color w:val="auto"/>
        </w:rPr>
        <w:t>days. Except as noted below, all such transactions were effected by the Reporting Persons in the open market through brokers and the price per share excludes commissions.</w:t>
      </w:r>
    </w:p>
    <w:p>
      <w:pPr>
        <w:spacing w:after="0" w:line="200" w:lineRule="exact"/>
        <w:rPr>
          <w:sz w:val="20"/>
          <w:szCs w:val="20"/>
          <w:color w:val="auto"/>
        </w:rPr>
      </w:pPr>
    </w:p>
    <w:p>
      <w:pPr>
        <w:spacing w:after="0" w:line="228" w:lineRule="exact"/>
        <w:rPr>
          <w:sz w:val="20"/>
          <w:szCs w:val="20"/>
          <w:color w:val="auto"/>
        </w:rPr>
      </w:pPr>
    </w:p>
    <w:tbl>
      <w:tblPr>
        <w:tblLayout w:type="fixed"/>
        <w:tblInd w:w="1272" w:type="dxa"/>
        <w:tblCellMar>
          <w:top w:w="0" w:type="dxa"/>
          <w:left w:w="0" w:type="dxa"/>
          <w:bottom w:w="0" w:type="dxa"/>
          <w:right w:w="0" w:type="dxa"/>
        </w:tblCellMar>
      </w:tblPr>
      <w:tr>
        <w:trPr>
          <w:trHeight w:val="256"/>
        </w:trPr>
        <w:tc>
          <w:tcPr>
            <w:tcW w:w="204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200" w:type="dxa"/>
            <w:vAlign w:val="bottom"/>
          </w:tcPr>
          <w:p>
            <w:pPr>
              <w:ind w:left="1120"/>
              <w:spacing w:after="0"/>
              <w:rPr>
                <w:sz w:val="20"/>
                <w:szCs w:val="20"/>
                <w:color w:val="auto"/>
              </w:rPr>
            </w:pPr>
            <w:r>
              <w:rPr>
                <w:rFonts w:ascii="Arial" w:cs="Arial" w:eastAsia="Arial" w:hAnsi="Arial"/>
                <w:sz w:val="20"/>
                <w:szCs w:val="20"/>
                <w:b w:val="1"/>
                <w:bCs w:val="1"/>
                <w:color w:val="auto"/>
              </w:rPr>
              <w:t>Shares Purchased (Sold)</w:t>
            </w:r>
          </w:p>
        </w:tc>
        <w:tc>
          <w:tcPr>
            <w:tcW w:w="2620" w:type="dxa"/>
            <w:vAlign w:val="bottom"/>
          </w:tcPr>
          <w:p>
            <w:pPr>
              <w:jc w:val="center"/>
              <w:ind w:left="921"/>
              <w:spacing w:after="0"/>
              <w:rPr>
                <w:sz w:val="20"/>
                <w:szCs w:val="20"/>
                <w:color w:val="auto"/>
              </w:rPr>
            </w:pPr>
            <w:r>
              <w:rPr>
                <w:rFonts w:ascii="Arial" w:cs="Arial" w:eastAsia="Arial" w:hAnsi="Arial"/>
                <w:sz w:val="20"/>
                <w:szCs w:val="20"/>
                <w:b w:val="1"/>
                <w:bCs w:val="1"/>
                <w:color w:val="auto"/>
                <w:w w:val="89"/>
              </w:rPr>
              <w:t>Price Per Share ($)</w:t>
            </w:r>
          </w:p>
        </w:tc>
      </w:tr>
      <w:tr>
        <w:trPr>
          <w:trHeight w:val="452"/>
        </w:trPr>
        <w:tc>
          <w:tcPr>
            <w:tcW w:w="2040" w:type="dxa"/>
            <w:vAlign w:val="bottom"/>
          </w:tcPr>
          <w:p>
            <w:pPr>
              <w:jc w:val="center"/>
              <w:ind w:right="1001"/>
              <w:spacing w:after="0"/>
              <w:rPr>
                <w:sz w:val="20"/>
                <w:szCs w:val="20"/>
                <w:color w:val="auto"/>
              </w:rPr>
            </w:pPr>
            <w:r>
              <w:rPr>
                <w:rFonts w:ascii="Arial" w:cs="Arial" w:eastAsia="Arial" w:hAnsi="Arial"/>
                <w:sz w:val="20"/>
                <w:szCs w:val="20"/>
                <w:color w:val="auto"/>
                <w:w w:val="92"/>
              </w:rPr>
              <w:t>1/31/2022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375,397</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1.43</w:t>
            </w:r>
          </w:p>
        </w:tc>
      </w:tr>
      <w:tr>
        <w:trPr>
          <w:trHeight w:val="230"/>
        </w:trPr>
        <w:tc>
          <w:tcPr>
            <w:tcW w:w="2040" w:type="dxa"/>
            <w:vAlign w:val="bottom"/>
          </w:tcPr>
          <w:p>
            <w:pPr>
              <w:jc w:val="center"/>
              <w:ind w:right="1001"/>
              <w:spacing w:after="0"/>
              <w:rPr>
                <w:sz w:val="20"/>
                <w:szCs w:val="20"/>
                <w:color w:val="auto"/>
              </w:rPr>
            </w:pPr>
            <w:r>
              <w:rPr>
                <w:rFonts w:ascii="Arial" w:cs="Arial" w:eastAsia="Arial" w:hAnsi="Arial"/>
                <w:sz w:val="20"/>
                <w:szCs w:val="20"/>
                <w:color w:val="auto"/>
                <w:w w:val="89"/>
              </w:rPr>
              <w:t>2/1/2022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829,537</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1.58</w:t>
            </w:r>
          </w:p>
        </w:tc>
      </w:tr>
      <w:tr>
        <w:trPr>
          <w:trHeight w:val="229"/>
        </w:trPr>
        <w:tc>
          <w:tcPr>
            <w:tcW w:w="2040" w:type="dxa"/>
            <w:vAlign w:val="bottom"/>
          </w:tcPr>
          <w:p>
            <w:pPr>
              <w:jc w:val="center"/>
              <w:ind w:right="1001"/>
              <w:spacing w:after="0"/>
              <w:rPr>
                <w:sz w:val="20"/>
                <w:szCs w:val="20"/>
                <w:color w:val="auto"/>
              </w:rPr>
            </w:pPr>
            <w:r>
              <w:rPr>
                <w:rFonts w:ascii="Arial" w:cs="Arial" w:eastAsia="Arial" w:hAnsi="Arial"/>
                <w:sz w:val="20"/>
                <w:szCs w:val="20"/>
                <w:color w:val="auto"/>
                <w:w w:val="89"/>
              </w:rPr>
              <w:t>2/2/2022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530,470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1.58</w:t>
            </w:r>
          </w:p>
        </w:tc>
      </w:tr>
      <w:tr>
        <w:trPr>
          <w:trHeight w:val="250"/>
        </w:trPr>
        <w:tc>
          <w:tcPr>
            <w:tcW w:w="2040" w:type="dxa"/>
            <w:vAlign w:val="bottom"/>
          </w:tcPr>
          <w:p>
            <w:pPr>
              <w:jc w:val="center"/>
              <w:ind w:right="1001"/>
              <w:spacing w:after="0"/>
              <w:rPr>
                <w:sz w:val="20"/>
                <w:szCs w:val="20"/>
                <w:color w:val="auto"/>
              </w:rPr>
            </w:pPr>
            <w:r>
              <w:rPr>
                <w:rFonts w:ascii="Arial" w:cs="Arial" w:eastAsia="Arial" w:hAnsi="Arial"/>
                <w:sz w:val="20"/>
                <w:szCs w:val="20"/>
                <w:color w:val="auto"/>
                <w:w w:val="89"/>
              </w:rPr>
              <w:t>2/3/2022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9"/>
              </w:rPr>
              <w:t>1,736,035</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1.54</w:t>
            </w:r>
          </w:p>
        </w:tc>
      </w:tr>
    </w:tbl>
    <w:p>
      <w:pPr>
        <w:sectPr>
          <w:pgSz w:w="11900" w:h="16838" w:orient="portrait"/>
          <w:cols w:equalWidth="0" w:num="1">
            <w:col w:w="10852"/>
          </w:cols>
          <w:pgMar w:left="328" w:top="463" w:right="71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RULE 13d-1(k)</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her or it contained herein and therein, but shall not be responsible for the completeness and accuracy of the information concerning the others, except to the extent that he, she or it knows that such information is inaccurate.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4, 2022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CALIGAN PARTNERS LP</w:t>
      </w:r>
    </w:p>
    <w:p>
      <w:pPr>
        <w:spacing w:after="0" w:line="200" w:lineRule="exact"/>
        <w:rPr>
          <w:sz w:val="20"/>
          <w:szCs w:val="20"/>
          <w:color w:val="auto"/>
        </w:rPr>
      </w:pPr>
    </w:p>
    <w:p>
      <w:pPr>
        <w:spacing w:after="0" w:line="272"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Pr>
          <w:p>
            <w:pPr>
              <w:spacing w:after="0"/>
              <w:rPr>
                <w:sz w:val="20"/>
                <w:szCs w:val="20"/>
                <w:color w:val="auto"/>
              </w:rPr>
            </w:pPr>
            <w:r>
              <w:rPr>
                <w:rFonts w:ascii="Arial" w:cs="Arial" w:eastAsia="Arial" w:hAnsi="Arial"/>
                <w:sz w:val="22"/>
                <w:szCs w:val="22"/>
                <w:color w:val="auto"/>
              </w:rPr>
              <w:t>/s/ David Johnson</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20" w:type="dxa"/>
            <w:vAlign w:val="bottom"/>
            <w:vMerge w:val="continue"/>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David Johnson</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6985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DAVID JOHNSON</w:t>
      </w: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2022-02-04T07:32:50Z</dcterms:created>
  <dcterms:modified xsi:type="dcterms:W3CDTF">2022-02-04T07:32:50Z</dcterms:modified>
</cp:coreProperties>
</file>