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right="40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660" w:right="402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 to 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ADMA BIOLOGICS,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40" w:type="dxa"/>
            <w:vAlign w:val="bottom"/>
            <w:gridSpan w:val="3"/>
          </w:tcPr>
          <w:p>
            <w:pPr>
              <w:jc w:val="center"/>
              <w:ind w:right="1960"/>
              <w:spacing w:after="0"/>
              <w:rPr>
                <w:sz w:val="20"/>
                <w:szCs w:val="20"/>
                <w:color w:val="auto"/>
              </w:rPr>
            </w:pPr>
            <w:r>
              <w:rPr>
                <w:rFonts w:ascii="Arial" w:cs="Arial" w:eastAsia="Arial" w:hAnsi="Arial"/>
                <w:sz w:val="18"/>
                <w:szCs w:val="18"/>
                <w:color w:val="auto"/>
                <w:w w:val="89"/>
              </w:rPr>
              <w:t>Delaware</w:t>
            </w:r>
          </w:p>
        </w:tc>
        <w:tc>
          <w:tcPr>
            <w:tcW w:w="4620" w:type="dxa"/>
            <w:vAlign w:val="bottom"/>
            <w:gridSpan w:val="6"/>
          </w:tcPr>
          <w:p>
            <w:pPr>
              <w:jc w:val="right"/>
              <w:ind w:right="860"/>
              <w:spacing w:after="0"/>
              <w:rPr>
                <w:sz w:val="20"/>
                <w:szCs w:val="20"/>
                <w:color w:val="auto"/>
              </w:rPr>
            </w:pPr>
            <w:r>
              <w:rPr>
                <w:rFonts w:ascii="Arial" w:cs="Arial" w:eastAsia="Arial" w:hAnsi="Arial"/>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450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20" w:type="dxa"/>
            <w:vAlign w:val="bottom"/>
          </w:tcPr>
          <w:p>
            <w:pPr>
              <w:spacing w:after="0"/>
              <w:rPr>
                <w:sz w:val="20"/>
                <w:szCs w:val="20"/>
                <w:color w:val="auto"/>
              </w:rPr>
            </w:pPr>
          </w:p>
        </w:tc>
        <w:tc>
          <w:tcPr>
            <w:tcW w:w="3500" w:type="dxa"/>
            <w:vAlign w:val="bottom"/>
            <w:gridSpan w:val="5"/>
          </w:tcPr>
          <w:p>
            <w:pPr>
              <w:jc w:val="center"/>
              <w:ind w:left="81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720" w:type="dxa"/>
            <w:vAlign w:val="bottom"/>
          </w:tcPr>
          <w:p>
            <w:pPr>
              <w:spacing w:after="0"/>
              <w:rPr>
                <w:sz w:val="24"/>
                <w:szCs w:val="24"/>
                <w:color w:val="auto"/>
              </w:rPr>
            </w:pPr>
          </w:p>
        </w:tc>
        <w:tc>
          <w:tcPr>
            <w:tcW w:w="3780" w:type="dxa"/>
            <w:vAlign w:val="bottom"/>
            <w:gridSpan w:val="4"/>
          </w:tcPr>
          <w:p>
            <w:pPr>
              <w:jc w:val="center"/>
              <w:ind w:right="820"/>
              <w:spacing w:after="0"/>
              <w:rPr>
                <w:sz w:val="20"/>
                <w:szCs w:val="20"/>
                <w:color w:val="auto"/>
              </w:rPr>
            </w:pPr>
            <w:r>
              <w:rPr>
                <w:rFonts w:ascii="Arial" w:cs="Arial" w:eastAsia="Arial" w:hAnsi="Arial"/>
                <w:sz w:val="18"/>
                <w:szCs w:val="18"/>
                <w:color w:val="auto"/>
                <w:w w:val="88"/>
              </w:rPr>
              <w:t>465 State Route 17, Ramsey, New Jersey</w:t>
            </w:r>
          </w:p>
        </w:tc>
        <w:tc>
          <w:tcPr>
            <w:tcW w:w="3760" w:type="dxa"/>
            <w:vAlign w:val="bottom"/>
            <w:gridSpan w:val="5"/>
          </w:tcPr>
          <w:p>
            <w:pPr>
              <w:jc w:val="right"/>
              <w:ind w:right="220"/>
              <w:spacing w:after="0"/>
              <w:rPr>
                <w:sz w:val="20"/>
                <w:szCs w:val="20"/>
                <w:color w:val="auto"/>
              </w:rPr>
            </w:pPr>
            <w:r>
              <w:rPr>
                <w:rFonts w:ascii="Arial" w:cs="Arial" w:eastAsia="Arial" w:hAnsi="Arial"/>
                <w:sz w:val="18"/>
                <w:szCs w:val="18"/>
                <w:color w:val="auto"/>
              </w:rPr>
              <w:t>07446</w:t>
            </w:r>
          </w:p>
        </w:tc>
        <w:tc>
          <w:tcPr>
            <w:tcW w:w="86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391"/>
        </w:trPr>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 478-5552</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left="3320"/>
        <w:spacing w:after="0"/>
        <w:rPr>
          <w:sz w:val="20"/>
          <w:szCs w:val="20"/>
          <w:color w:val="auto"/>
        </w:rPr>
      </w:pPr>
      <w:r>
        <w:rPr>
          <w:rFonts w:ascii="Arial" w:cs="Arial" w:eastAsia="Arial" w:hAnsi="Arial"/>
          <w:sz w:val="18"/>
          <w:szCs w:val="18"/>
          <w:u w:val="single" w:color="auto"/>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29"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sectPr>
      </w:pPr>
    </w:p>
    <w:p>
      <w:pPr>
        <w:spacing w:after="0" w:line="184" w:lineRule="exact"/>
        <w:rPr>
          <w:sz w:val="24"/>
          <w:szCs w:val="24"/>
          <w:color w:val="auto"/>
        </w:rPr>
      </w:pPr>
    </w:p>
    <w:p>
      <w:pPr>
        <w:ind w:left="136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10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color w:val="auto"/>
        </w:rPr>
        <w:t>Accelerated filer</w:t>
        <w:tab/>
        <w:t>ý</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ý</w:t>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4">
            <w:col w:w="2980" w:space="80"/>
            <w:col w:w="3760" w:space="720"/>
            <w:col w:w="1960" w:space="180"/>
            <w:col w:w="1560"/>
          </w:cols>
          <w:pgMar w:left="320" w:top="468" w:right="339" w:bottom="1440" w:gutter="0" w:footer="0" w:header="0"/>
          <w:type w:val="continuous"/>
        </w:sectPr>
      </w:pPr>
    </w:p>
    <w:p>
      <w:pPr>
        <w:spacing w:after="0" w:line="61"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ý</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May 4, 2020, there were 86,345,313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8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rPr>
              <w:t>ADMA BIOLOGICS, INC. AND SUBSIDIARIES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8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460" w:type="dxa"/>
            <w:vAlign w:val="bottom"/>
            <w:gridSpan w:val="2"/>
          </w:tcPr>
          <w:p>
            <w:pPr>
              <w:spacing w:after="0"/>
              <w:rPr>
                <w:sz w:val="18"/>
                <w:szCs w:val="18"/>
                <w:color w:val="auto"/>
              </w:rPr>
            </w:pPr>
          </w:p>
        </w:tc>
        <w:tc>
          <w:tcPr>
            <w:tcW w:w="7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tcPr>
          <w:p>
            <w:pPr>
              <w:ind w:left="340"/>
              <w:spacing w:after="0"/>
              <w:rPr>
                <w:sz w:val="20"/>
                <w:szCs w:val="20"/>
                <w:color w:val="auto"/>
              </w:rPr>
            </w:pPr>
            <w:r>
              <w:rPr>
                <w:rFonts w:ascii="Arial" w:cs="Arial" w:eastAsia="Arial" w:hAnsi="Arial"/>
                <w:sz w:val="18"/>
                <w:szCs w:val="18"/>
                <w:color w:val="auto"/>
              </w:rPr>
              <w:t>Item 1.</w:t>
            </w:r>
          </w:p>
        </w:tc>
        <w:tc>
          <w:tcPr>
            <w:tcW w:w="9360" w:type="dxa"/>
            <w:vAlign w:val="bottom"/>
            <w:gridSpan w:val="3"/>
          </w:tcPr>
          <w:p>
            <w:pPr>
              <w:spacing w:after="0"/>
              <w:rPr>
                <w:sz w:val="20"/>
                <w:szCs w:val="20"/>
                <w:color w:val="auto"/>
              </w:rPr>
            </w:pPr>
            <w:r>
              <w:rPr>
                <w:rFonts w:ascii="Arial" w:cs="Arial" w:eastAsia="Arial" w:hAnsi="Arial"/>
                <w:sz w:val="18"/>
                <w:szCs w:val="18"/>
                <w:color w:val="auto"/>
              </w:rPr>
              <w:t>Financial Statements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18"/>
                <w:szCs w:val="18"/>
                <w:color w:val="auto"/>
              </w:rPr>
            </w:pPr>
          </w:p>
        </w:tc>
        <w:tc>
          <w:tcPr>
            <w:tcW w:w="9360" w:type="dxa"/>
            <w:vAlign w:val="bottom"/>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March 31, 2020 (Unaudited) and December 31, 2019</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360" w:type="dxa"/>
            <w:vAlign w:val="bottom"/>
            <w:gridSpan w:val="3"/>
          </w:tcPr>
          <w:p>
            <w:pPr>
              <w:spacing w:after="0"/>
              <w:rPr>
                <w:rFonts w:ascii="Arial" w:cs="Arial" w:eastAsia="Arial" w:hAnsi="Arial"/>
                <w:sz w:val="18"/>
                <w:szCs w:val="18"/>
                <w:u w:val="single" w:color="auto"/>
                <w:color w:val="0000EE"/>
                <w:w w:val="98"/>
              </w:rPr>
            </w:pPr>
            <w:hyperlink w:anchor="page6">
              <w:r>
                <w:rPr>
                  <w:rFonts w:ascii="Arial" w:cs="Arial" w:eastAsia="Arial" w:hAnsi="Arial"/>
                  <w:sz w:val="18"/>
                  <w:szCs w:val="18"/>
                  <w:u w:val="single" w:color="auto"/>
                  <w:color w:val="0000EE"/>
                  <w:w w:val="98"/>
                </w:rPr>
                <w:t>Condensed Consolidated Statements of Operations (Unaudited) for the Three Months Ended March 31,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176"/>
        </w:trPr>
        <w:tc>
          <w:tcPr>
            <w:tcW w:w="1380" w:type="dxa"/>
            <w:vAlign w:val="bottom"/>
            <w:shd w:val="clear" w:color="auto" w:fill="CCEEFF"/>
          </w:tcPr>
          <w:p>
            <w:pPr>
              <w:spacing w:after="0"/>
              <w:rPr>
                <w:sz w:val="15"/>
                <w:szCs w:val="15"/>
                <w:color w:val="auto"/>
              </w:rPr>
            </w:pPr>
          </w:p>
        </w:tc>
        <w:tc>
          <w:tcPr>
            <w:tcW w:w="9360" w:type="dxa"/>
            <w:vAlign w:val="bottom"/>
            <w:gridSpan w:val="3"/>
            <w:shd w:val="clear" w:color="auto" w:fill="CCEEFF"/>
          </w:tcPr>
          <w:p>
            <w:pPr>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Changes in Stockholders’ Equity (Unaudited) for the Three Months Ended March 31,</w:t>
              </w:r>
            </w:hyperlink>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r>
      <w:tr>
        <w:trPr>
          <w:trHeight w:val="216"/>
        </w:trPr>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2020 and 2019</w:t>
              </w:r>
            </w:hyperlink>
          </w:p>
        </w:tc>
        <w:tc>
          <w:tcPr>
            <w:tcW w:w="794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360" w:type="dxa"/>
            <w:vAlign w:val="bottom"/>
            <w:gridSpan w:val="3"/>
          </w:tcPr>
          <w:p>
            <w:pPr>
              <w:spacing w:after="0"/>
              <w:rPr>
                <w:rFonts w:ascii="Arial" w:cs="Arial" w:eastAsia="Arial" w:hAnsi="Arial"/>
                <w:sz w:val="18"/>
                <w:szCs w:val="18"/>
                <w:u w:val="single" w:color="auto"/>
                <w:color w:val="0000EE"/>
                <w:w w:val="97"/>
              </w:rPr>
            </w:pPr>
            <w:hyperlink w:anchor="page8">
              <w:r>
                <w:rPr>
                  <w:rFonts w:ascii="Arial" w:cs="Arial" w:eastAsia="Arial" w:hAnsi="Arial"/>
                  <w:sz w:val="18"/>
                  <w:szCs w:val="18"/>
                  <w:u w:val="single" w:color="auto"/>
                  <w:color w:val="0000EE"/>
                  <w:w w:val="97"/>
                </w:rPr>
                <w:t>Condensed Consolidated Statements of Cash Flows (Unaudited) for the Three Months Ended March 31,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18"/>
                <w:szCs w:val="18"/>
                <w:color w:val="auto"/>
              </w:rPr>
            </w:pPr>
          </w:p>
        </w:tc>
        <w:tc>
          <w:tcPr>
            <w:tcW w:w="9360" w:type="dxa"/>
            <w:vAlign w:val="bottom"/>
            <w:gridSpan w:val="3"/>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1380" w:type="dxa"/>
            <w:vAlign w:val="bottom"/>
          </w:tcPr>
          <w:p>
            <w:pPr>
              <w:ind w:left="340"/>
              <w:spacing w:after="0"/>
              <w:rPr>
                <w:sz w:val="20"/>
                <w:szCs w:val="20"/>
                <w:color w:val="auto"/>
              </w:rPr>
            </w:pPr>
            <w:r>
              <w:rPr>
                <w:rFonts w:ascii="Arial" w:cs="Arial" w:eastAsia="Arial" w:hAnsi="Arial"/>
                <w:sz w:val="18"/>
                <w:szCs w:val="18"/>
                <w:color w:val="auto"/>
              </w:rPr>
              <w:t>Item 2.</w:t>
            </w:r>
          </w:p>
        </w:tc>
        <w:tc>
          <w:tcPr>
            <w:tcW w:w="936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3.</w:t>
            </w:r>
          </w:p>
        </w:tc>
        <w:tc>
          <w:tcPr>
            <w:tcW w:w="9360" w:type="dxa"/>
            <w:vAlign w:val="bottom"/>
            <w:gridSpan w:val="3"/>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Quantitative and Qualitative Disclosures About Market Risk.</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1380" w:type="dxa"/>
            <w:vAlign w:val="bottom"/>
          </w:tcPr>
          <w:p>
            <w:pPr>
              <w:ind w:left="340"/>
              <w:spacing w:after="0"/>
              <w:rPr>
                <w:sz w:val="20"/>
                <w:szCs w:val="20"/>
                <w:color w:val="auto"/>
              </w:rPr>
            </w:pPr>
            <w:r>
              <w:rPr>
                <w:rFonts w:ascii="Arial" w:cs="Arial" w:eastAsia="Arial" w:hAnsi="Arial"/>
                <w:sz w:val="18"/>
                <w:szCs w:val="18"/>
                <w:color w:val="auto"/>
              </w:rPr>
              <w:t>Item 4.</w:t>
            </w:r>
          </w:p>
        </w:tc>
        <w:tc>
          <w:tcPr>
            <w:tcW w:w="936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u w:val="single" w:color="auto"/>
                  <w:color w:val="0000EE"/>
                </w:rPr>
                <w:t>Controls and Procedures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6"/>
        </w:trPr>
        <w:tc>
          <w:tcPr>
            <w:tcW w:w="10740" w:type="dxa"/>
            <w:vAlign w:val="bottom"/>
            <w:gridSpan w:val="4"/>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PART II OTHER INFORMATION</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6"/>
        </w:trPr>
        <w:tc>
          <w:tcPr>
            <w:tcW w:w="1380" w:type="dxa"/>
            <w:vAlign w:val="bottom"/>
          </w:tcPr>
          <w:p>
            <w:pPr>
              <w:ind w:left="340"/>
              <w:spacing w:after="0"/>
              <w:rPr>
                <w:sz w:val="20"/>
                <w:szCs w:val="20"/>
                <w:color w:val="auto"/>
              </w:rPr>
            </w:pPr>
            <w:r>
              <w:rPr>
                <w:rFonts w:ascii="Arial" w:cs="Arial" w:eastAsia="Arial" w:hAnsi="Arial"/>
                <w:sz w:val="18"/>
                <w:szCs w:val="18"/>
                <w:color w:val="auto"/>
              </w:rPr>
              <w:t>Item 1.</w:t>
            </w:r>
          </w:p>
        </w:tc>
        <w:tc>
          <w:tcPr>
            <w:tcW w:w="936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6"/>
        </w:trPr>
        <w:tc>
          <w:tcPr>
            <w:tcW w:w="1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1A.</w:t>
            </w:r>
          </w:p>
        </w:tc>
        <w:tc>
          <w:tcPr>
            <w:tcW w:w="9360" w:type="dxa"/>
            <w:vAlign w:val="bottom"/>
            <w:gridSpan w:val="3"/>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u w:val="single" w:color="auto"/>
                  <w:color w:val="0000EE"/>
                </w:rPr>
                <w:t>Risk Factors</w:t>
              </w:r>
              <w:r>
                <w:rPr>
                  <w:rFonts w:ascii="Arial" w:cs="Arial" w:eastAsia="Arial" w:hAnsi="Arial"/>
                  <w:sz w:val="18"/>
                  <w:szCs w:val="18"/>
                  <w:color w:val="0000EE"/>
                </w:rPr>
                <w:t>.</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6"/>
        </w:trPr>
        <w:tc>
          <w:tcPr>
            <w:tcW w:w="1380" w:type="dxa"/>
            <w:vAlign w:val="bottom"/>
          </w:tcPr>
          <w:p>
            <w:pPr>
              <w:ind w:left="340"/>
              <w:spacing w:after="0"/>
              <w:rPr>
                <w:sz w:val="20"/>
                <w:szCs w:val="20"/>
                <w:color w:val="auto"/>
              </w:rPr>
            </w:pPr>
            <w:r>
              <w:rPr>
                <w:rFonts w:ascii="Arial" w:cs="Arial" w:eastAsia="Arial" w:hAnsi="Arial"/>
                <w:sz w:val="18"/>
                <w:szCs w:val="18"/>
                <w:color w:val="auto"/>
              </w:rPr>
              <w:t>Item 2.</w:t>
            </w:r>
          </w:p>
        </w:tc>
        <w:tc>
          <w:tcPr>
            <w:tcW w:w="936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u w:val="single" w:color="auto"/>
                  <w:color w:val="0000EE"/>
                </w:rPr>
                <w:t>Unregistered Sales of Equity Securities and Use of Proceeds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1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3.</w:t>
            </w:r>
          </w:p>
        </w:tc>
        <w:tc>
          <w:tcPr>
            <w:tcW w:w="9360" w:type="dxa"/>
            <w:vAlign w:val="bottom"/>
            <w:gridSpan w:val="3"/>
            <w:shd w:val="clear" w:color="auto" w:fill="CCEEFF"/>
          </w:tcPr>
          <w:p>
            <w:pPr>
              <w:spacing w:after="0"/>
              <w:rPr>
                <w:rFonts w:ascii="Arial" w:cs="Arial" w:eastAsia="Arial" w:hAnsi="Arial"/>
                <w:sz w:val="18"/>
                <w:szCs w:val="18"/>
                <w:color w:val="0000EE"/>
              </w:rPr>
            </w:pPr>
            <w:hyperlink w:anchor="page64">
              <w:r>
                <w:rPr>
                  <w:rFonts w:ascii="Arial" w:cs="Arial" w:eastAsia="Arial" w:hAnsi="Arial"/>
                  <w:sz w:val="18"/>
                  <w:szCs w:val="18"/>
                  <w:u w:val="single" w:color="auto"/>
                  <w:color w:val="0000EE"/>
                </w:rPr>
                <w:t>Defaults Upon Senior Securities</w:t>
              </w:r>
              <w:r>
                <w:rPr>
                  <w:rFonts w:ascii="Arial" w:cs="Arial" w:eastAsia="Arial" w:hAnsi="Arial"/>
                  <w:sz w:val="18"/>
                  <w:szCs w:val="18"/>
                  <w:color w:val="0000EE"/>
                </w:rPr>
                <w:t>.</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1380" w:type="dxa"/>
            <w:vAlign w:val="bottom"/>
          </w:tcPr>
          <w:p>
            <w:pPr>
              <w:ind w:left="340"/>
              <w:spacing w:after="0"/>
              <w:rPr>
                <w:sz w:val="20"/>
                <w:szCs w:val="20"/>
                <w:color w:val="auto"/>
              </w:rPr>
            </w:pPr>
            <w:r>
              <w:rPr>
                <w:rFonts w:ascii="Arial" w:cs="Arial" w:eastAsia="Arial" w:hAnsi="Arial"/>
                <w:sz w:val="18"/>
                <w:szCs w:val="18"/>
                <w:color w:val="auto"/>
              </w:rPr>
              <w:t>Item 4.</w:t>
            </w:r>
          </w:p>
        </w:tc>
        <w:tc>
          <w:tcPr>
            <w:tcW w:w="936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u w:val="single" w:color="auto"/>
                  <w:color w:val="0000EE"/>
                </w:rPr>
                <w:t>Mine Safety Disclosures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1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5.</w:t>
            </w:r>
          </w:p>
        </w:tc>
        <w:tc>
          <w:tcPr>
            <w:tcW w:w="9360" w:type="dxa"/>
            <w:vAlign w:val="bottom"/>
            <w:gridSpan w:val="3"/>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1380" w:type="dxa"/>
            <w:vAlign w:val="bottom"/>
          </w:tcPr>
          <w:p>
            <w:pPr>
              <w:ind w:left="340"/>
              <w:spacing w:after="0"/>
              <w:rPr>
                <w:sz w:val="20"/>
                <w:szCs w:val="20"/>
                <w:color w:val="auto"/>
              </w:rPr>
            </w:pPr>
            <w:r>
              <w:rPr>
                <w:rFonts w:ascii="Arial" w:cs="Arial" w:eastAsia="Arial" w:hAnsi="Arial"/>
                <w:sz w:val="18"/>
                <w:szCs w:val="18"/>
                <w:color w:val="auto"/>
              </w:rPr>
              <w:t>Item 6.</w:t>
            </w:r>
          </w:p>
        </w:tc>
        <w:tc>
          <w:tcPr>
            <w:tcW w:w="9360" w:type="dxa"/>
            <w:vAlign w:val="bottom"/>
            <w:gridSpan w:val="3"/>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SIGNATURES</w:t>
              </w:r>
            </w:hyperlink>
          </w:p>
        </w:tc>
        <w:tc>
          <w:tcPr>
            <w:tcW w:w="108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bl>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w:t>
      </w:r>
      <w:r>
        <w:rPr>
          <w:rFonts w:ascii="Arial" w:cs="Arial" w:eastAsia="Arial" w:hAnsi="Arial"/>
          <w:sz w:val="26"/>
          <w:szCs w:val="26"/>
          <w:color w:val="auto"/>
          <w:vertAlign w:val="superscript"/>
        </w:rPr>
        <w:t>™</w:t>
      </w:r>
      <w:r>
        <w:rPr>
          <w:rFonts w:ascii="Arial" w:cs="Arial" w:eastAsia="Arial" w:hAnsi="Arial"/>
          <w:sz w:val="16"/>
          <w:szCs w:val="16"/>
          <w:color w:val="auto"/>
        </w:rPr>
        <w:t>,” “Nabi-HB</w:t>
      </w:r>
      <w:r>
        <w:rPr>
          <w:rFonts w:ascii="Arial" w:cs="Arial" w:eastAsia="Arial" w:hAnsi="Arial"/>
          <w:sz w:val="26"/>
          <w:szCs w:val="26"/>
          <w:color w:val="auto"/>
          <w:vertAlign w:val="superscript"/>
        </w:rPr>
        <w:t>®</w:t>
      </w:r>
      <w:r>
        <w:rPr>
          <w:rFonts w:ascii="Arial" w:cs="Arial" w:eastAsia="Arial" w:hAnsi="Arial"/>
          <w:sz w:val="16"/>
          <w:szCs w:val="16"/>
          <w:color w:val="auto"/>
        </w:rPr>
        <w:t>” and “BIVIGAM</w:t>
      </w:r>
      <w:r>
        <w:rPr>
          <w:rFonts w:ascii="Arial" w:cs="Arial" w:eastAsia="Arial" w:hAnsi="Arial"/>
          <w:sz w:val="26"/>
          <w:szCs w:val="26"/>
          <w:color w:val="auto"/>
          <w:vertAlign w:val="superscript"/>
        </w:rPr>
        <w:t>®</w:t>
      </w:r>
      <w:r>
        <w:rPr>
          <w:rFonts w:ascii="Arial" w:cs="Arial" w:eastAsia="Arial" w:hAnsi="Arial"/>
          <w:sz w:val="16"/>
          <w:szCs w:val="16"/>
          <w:color w:val="auto"/>
        </w:rPr>
        <w:t>,” which are protected under applicable intellectual property laws and are the property of ADMA Biologics, Inc., or its subsidiaries. Solely for</w:t>
      </w:r>
    </w:p>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convenience, trademarks, trade names and service marks referred to in this report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84" w:lineRule="exact"/>
        <w:rPr>
          <w:sz w:val="20"/>
          <w:szCs w:val="20"/>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on a commercial scale and commercialize this product as a result of the approval of the Prior Approval Supplement for BIVIGAM by the U.S. Food and Drug Administration (the “FDA”) on May 9, 2019;</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ASCENIV on a commercial scale and commercialize this product as a result of the FDA approval of ASCENIV’s Biologics License Application on April 1, 2019;</w:t>
      </w:r>
    </w:p>
    <w:p>
      <w:pPr>
        <w:spacing w:after="0" w:line="19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97"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97"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52"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and reliance of third-party supply agreements as well as any extensions to such agreements;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Nabi-HB, BIVIGAM and ASCENIV, for any purpose, including FDA-approved indications, by physicians, patients or payers;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products to other comparably run hyperimmune and immune globulin clinical trials;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for ASCENIV and BIVIGAM to provide meaningful clinical improvement for patients living with Primary Immune Deficiency</w:t>
      </w:r>
    </w:p>
    <w:p>
      <w:pPr>
        <w:spacing w:after="0" w:line="35" w:lineRule="exact"/>
        <w:rPr>
          <w:sz w:val="20"/>
          <w:szCs w:val="20"/>
          <w:color w:val="auto"/>
        </w:rPr>
      </w:pPr>
    </w:p>
    <w:p>
      <w:pPr>
        <w:ind w:left="660" w:right="480"/>
        <w:spacing w:after="0" w:line="260" w:lineRule="auto"/>
        <w:rPr>
          <w:sz w:val="20"/>
          <w:szCs w:val="20"/>
          <w:color w:val="auto"/>
        </w:rPr>
      </w:pPr>
      <w:r>
        <w:rPr>
          <w:rFonts w:ascii="Arial" w:cs="Arial" w:eastAsia="Arial" w:hAnsi="Arial"/>
          <w:sz w:val="18"/>
          <w:szCs w:val="18"/>
          <w:color w:val="auto"/>
        </w:rPr>
        <w:t>Disease, Primary Humoral Immunodeficiency Disease (“PIDD” or “PI”) or other immune deficiencies or any other condition for which the products may be prescribed or evaluated;</w:t>
      </w:r>
    </w:p>
    <w:p>
      <w:pPr>
        <w:spacing w:after="0" w:line="212"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right="5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52" w:lineRule="exact"/>
        <w:rPr>
          <w:rFonts w:ascii="Arial" w:cs="Arial" w:eastAsia="Arial" w:hAnsi="Arial"/>
          <w:sz w:val="18"/>
          <w:szCs w:val="18"/>
          <w:color w:val="auto"/>
        </w:rPr>
      </w:pPr>
    </w:p>
    <w:p>
      <w:pPr>
        <w:ind w:left="660" w:right="9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related to the expansion of our manufacturing capacity, yield improvements, supply-chain robustness, distribution and other collaborative agreements and the success of such endeavors;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estimates regarding revenues, expenses, capital requirements, timing to profitability and the need for and availability of additional financing;</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52"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97" w:lineRule="exact"/>
        <w:rPr>
          <w:rFonts w:ascii="Arial" w:cs="Arial" w:eastAsia="Arial" w:hAnsi="Arial"/>
          <w:sz w:val="18"/>
          <w:szCs w:val="18"/>
          <w:color w:val="auto"/>
        </w:rPr>
      </w:pPr>
    </w:p>
    <w:p>
      <w:pPr>
        <w:ind w:left="660" w:right="10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potential effects of the coronavirus (COVID-19) pandemic on our business, financial condition, liquidity and results of operations, and our ability to continue operations in the same manner as previously conducted prior to the macroeconomic effects of the COVID-19 pandemic;</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domestic and global economic conditions or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5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2019 and in this Quarterly Report on Form 10-Q for the quarter ended March 31, 2020.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2"/>
        </w:trPr>
        <w:tc>
          <w:tcPr>
            <w:tcW w:w="11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r>
      <w:tr>
        <w:trPr>
          <w:trHeight w:val="507"/>
        </w:trPr>
        <w:tc>
          <w:tcPr>
            <w:tcW w:w="1180" w:type="dxa"/>
            <w:vAlign w:val="bottom"/>
          </w:tcPr>
          <w:p>
            <w:pPr>
              <w:spacing w:after="0"/>
              <w:rPr>
                <w:sz w:val="24"/>
                <w:szCs w:val="24"/>
                <w:color w:val="auto"/>
              </w:rPr>
            </w:pPr>
          </w:p>
        </w:tc>
        <w:tc>
          <w:tcPr>
            <w:tcW w:w="692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PART I</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6920" w:type="dxa"/>
            <w:vAlign w:val="bottom"/>
          </w:tcPr>
          <w:p>
            <w:pPr>
              <w:jc w:val="center"/>
              <w:ind w:left="1870"/>
              <w:spacing w:after="0"/>
              <w:rPr>
                <w:sz w:val="20"/>
                <w:szCs w:val="20"/>
                <w:color w:val="auto"/>
              </w:rPr>
            </w:pPr>
            <w:r>
              <w:rPr>
                <w:rFonts w:ascii="Arial" w:cs="Arial" w:eastAsia="Arial" w:hAnsi="Arial"/>
                <w:sz w:val="18"/>
                <w:szCs w:val="18"/>
                <w:b w:val="1"/>
                <w:bCs w:val="1"/>
                <w:color w:val="auto"/>
              </w:rPr>
              <w:t>FINANCIAL INFORMATION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20" w:type="dxa"/>
            <w:vAlign w:val="bottom"/>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1180" w:type="dxa"/>
            <w:vAlign w:val="bottom"/>
          </w:tcPr>
          <w:p>
            <w:pPr>
              <w:spacing w:after="0"/>
              <w:rPr>
                <w:sz w:val="24"/>
                <w:szCs w:val="24"/>
                <w:color w:val="auto"/>
              </w:rPr>
            </w:pPr>
          </w:p>
        </w:tc>
        <w:tc>
          <w:tcPr>
            <w:tcW w:w="6920" w:type="dxa"/>
            <w:vAlign w:val="bottom"/>
          </w:tcPr>
          <w:p>
            <w:pPr>
              <w:jc w:val="center"/>
              <w:ind w:left="1870"/>
              <w:spacing w:after="0"/>
              <w:rPr>
                <w:sz w:val="20"/>
                <w:szCs w:val="20"/>
                <w:color w:val="auto"/>
              </w:rPr>
            </w:pPr>
            <w:r>
              <w:rPr>
                <w:rFonts w:ascii="Arial" w:cs="Arial" w:eastAsia="Arial" w:hAnsi="Arial"/>
                <w:sz w:val="18"/>
                <w:szCs w:val="18"/>
                <w:b w:val="1"/>
                <w:bCs w:val="1"/>
                <w:color w:val="auto"/>
              </w:rPr>
              <w:t>ADMA BIOLOGICS, INC. AND SUBSIDIARIES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69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7"/>
        </w:trPr>
        <w:tc>
          <w:tcPr>
            <w:tcW w:w="11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180" w:type="dxa"/>
            <w:vAlign w:val="bottom"/>
            <w:tcBorders>
              <w:bottom w:val="single" w:sz="8" w:color="CCEEFF"/>
            </w:tcBorders>
          </w:tcPr>
          <w:p>
            <w:pPr>
              <w:spacing w:after="0"/>
              <w:rPr>
                <w:sz w:val="20"/>
                <w:szCs w:val="20"/>
                <w:color w:val="auto"/>
              </w:rPr>
            </w:pPr>
          </w:p>
        </w:tc>
        <w:tc>
          <w:tcPr>
            <w:tcW w:w="69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r>
      <w:tr>
        <w:trPr>
          <w:trHeight w:val="209"/>
        </w:trPr>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(Unaudited)</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5"/>
              </w:rPr>
              <w:t>Current assets:</w:t>
            </w:r>
          </w:p>
        </w:tc>
        <w:tc>
          <w:tcPr>
            <w:tcW w:w="6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101,235,699</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26,752,135</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7,107,834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3,469,919</w:t>
            </w:r>
          </w:p>
        </w:tc>
      </w:tr>
      <w:tr>
        <w:trPr>
          <w:trHeight w:val="216"/>
        </w:trPr>
        <w:tc>
          <w:tcPr>
            <w:tcW w:w="1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6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52,288,803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53,064,734</w:t>
            </w:r>
          </w:p>
        </w:tc>
      </w:tr>
      <w:tr>
        <w:trPr>
          <w:trHeight w:val="229"/>
        </w:trPr>
        <w:tc>
          <w:tcPr>
            <w:tcW w:w="8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4,855,344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2,533,593</w:t>
            </w:r>
          </w:p>
        </w:tc>
      </w:tr>
      <w:tr>
        <w:trPr>
          <w:trHeight w:val="210"/>
        </w:trPr>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165,487,680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85,820,381</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35,060,795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31,741,317</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2,980,636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3,159,474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Goodwill</w:t>
            </w:r>
          </w:p>
        </w:tc>
        <w:tc>
          <w:tcPr>
            <w:tcW w:w="6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3,529,509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3,529,509</w:t>
            </w:r>
          </w:p>
        </w:tc>
      </w:tr>
      <w:tr>
        <w:trPr>
          <w:trHeight w:val="230"/>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3,465,207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2,840,044</w:t>
            </w:r>
          </w:p>
        </w:tc>
      </w:tr>
      <w:tr>
        <w:trPr>
          <w:trHeight w:val="263"/>
        </w:trPr>
        <w:tc>
          <w:tcPr>
            <w:tcW w:w="8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210,523,827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127,090,725</w:t>
            </w:r>
          </w:p>
        </w:tc>
      </w:tr>
      <w:tr>
        <w:trPr>
          <w:trHeight w:val="197"/>
        </w:trPr>
        <w:tc>
          <w:tcPr>
            <w:tcW w:w="1180" w:type="dxa"/>
            <w:vAlign w:val="bottom"/>
            <w:shd w:val="clear" w:color="auto" w:fill="CCEEFF"/>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9,152,239</w:t>
            </w:r>
          </w:p>
        </w:tc>
        <w:tc>
          <w:tcPr>
            <w:tcW w:w="22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9,174,591</w:t>
            </w: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4,419,043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4,481,395</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Current portion of deferred revenue</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142,834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142,834</w:t>
            </w:r>
          </w:p>
        </w:tc>
      </w:tr>
      <w:tr>
        <w:trPr>
          <w:trHeight w:val="23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lease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193,987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229,073</w:t>
            </w:r>
          </w:p>
        </w:tc>
      </w:tr>
      <w:tr>
        <w:trPr>
          <w:trHeight w:val="210"/>
        </w:trPr>
        <w:tc>
          <w:tcPr>
            <w:tcW w:w="81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13,908,103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14,027,893</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payable, net of discount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81,212,090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68,291,163</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2,225,823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2,261,532</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 payable, net of discount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14,916,837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14,908,053</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Lease obligations, net of current portion</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1,831,639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1,302,361</w:t>
            </w:r>
          </w:p>
        </w:tc>
      </w:tr>
      <w:tr>
        <w:trPr>
          <w:trHeight w:val="230"/>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93,652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106,574</w:t>
            </w:r>
          </w:p>
        </w:tc>
      </w:tr>
      <w:tr>
        <w:trPr>
          <w:trHeight w:val="209"/>
        </w:trPr>
        <w:tc>
          <w:tcPr>
            <w:tcW w:w="8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114,188,144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100,897,576</w:t>
            </w:r>
          </w:p>
        </w:tc>
      </w:tr>
      <w:tr>
        <w:trPr>
          <w:trHeight w:val="210"/>
        </w:trPr>
        <w:tc>
          <w:tcPr>
            <w:tcW w:w="118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2"/>
        </w:trPr>
        <w:tc>
          <w:tcPr>
            <w:tcW w:w="8100" w:type="dxa"/>
            <w:vAlign w:val="bottom"/>
            <w:gridSpan w:val="2"/>
          </w:tcPr>
          <w:p>
            <w:pPr>
              <w:spacing w:after="0" w:line="201" w:lineRule="exact"/>
              <w:rPr>
                <w:sz w:val="20"/>
                <w:szCs w:val="20"/>
                <w:color w:val="auto"/>
              </w:rPr>
            </w:pPr>
            <w:r>
              <w:rPr>
                <w:rFonts w:ascii="Arial" w:cs="Arial" w:eastAsia="Arial" w:hAnsi="Arial"/>
                <w:sz w:val="18"/>
                <w:szCs w:val="18"/>
                <w:color w:val="auto"/>
                <w:w w:val="97"/>
              </w:rPr>
              <w:t>Common Stock - voting, $0.0001 par value, 150,000,000 shares authorized, 86,345,313 and 59,318,355</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shares issued and outstanding</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8,635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5,932</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380,288,833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290,903,772</w:t>
            </w:r>
          </w:p>
        </w:tc>
      </w:tr>
      <w:tr>
        <w:trPr>
          <w:trHeight w:val="230"/>
        </w:trPr>
        <w:tc>
          <w:tcPr>
            <w:tcW w:w="8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(283,961,785)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(264,716,555)</w:t>
            </w:r>
          </w:p>
        </w:tc>
      </w:tr>
      <w:tr>
        <w:trPr>
          <w:trHeight w:val="209"/>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96,335,683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26,193,149</w:t>
            </w: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210,523,827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127,090,725</w:t>
            </w:r>
          </w:p>
        </w:tc>
      </w:tr>
      <w:tr>
        <w:trPr>
          <w:trHeight w:val="20"/>
        </w:trPr>
        <w:tc>
          <w:tcPr>
            <w:tcW w:w="11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r>
      <w:tr>
        <w:trPr>
          <w:trHeight w:val="507"/>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ADMA BIOLOGICS, INC. AND SUBSIDIARIES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838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5"/>
        </w:trPr>
        <w:tc>
          <w:tcPr>
            <w:tcW w:w="8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10,164,036</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3,492,881</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35,708</w:t>
            </w:r>
          </w:p>
        </w:tc>
      </w:tr>
      <w:tr>
        <w:trPr>
          <w:trHeight w:val="209"/>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10,199,744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3,528,589</w:t>
            </w:r>
          </w:p>
        </w:tc>
      </w:tr>
      <w:tr>
        <w:trPr>
          <w:trHeight w:val="209"/>
        </w:trPr>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16,829,226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9,405,179</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1,528,738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870,635</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Plasma center operating expenses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500,644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654,486</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178,838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211,235</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7,932,084</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5,595,470</w:t>
            </w:r>
          </w:p>
        </w:tc>
      </w:tr>
      <w:tr>
        <w:trPr>
          <w:trHeight w:val="209"/>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26,969,530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16,737,005</w:t>
            </w:r>
          </w:p>
        </w:tc>
      </w:tr>
      <w:tr>
        <w:trPr>
          <w:trHeight w:val="209"/>
        </w:trPr>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(16,769,786)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(13,208,416)</w:t>
            </w:r>
          </w:p>
        </w:tc>
      </w:tr>
      <w:tr>
        <w:trPr>
          <w:trHeight w:val="209"/>
        </w:trPr>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248,068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127,399</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(2,717,091)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(1,540,507)</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Gain on transfer of plasma center assets</w:t>
            </w:r>
          </w:p>
        </w:tc>
        <w:tc>
          <w:tcPr>
            <w:tcW w:w="2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11,527,421</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w:t>
            </w: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Other (expense) income, net</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(2,475,444)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140,461</w:t>
            </w:r>
          </w:p>
        </w:tc>
      </w:tr>
      <w:tr>
        <w:trPr>
          <w:trHeight w:val="209"/>
        </w:trPr>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83"/>
        </w:trPr>
        <w:tc>
          <w:tcPr>
            <w:tcW w:w="81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(19,245,230)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(13,067,955)</w:t>
            </w:r>
          </w:p>
        </w:tc>
      </w:tr>
      <w:tr>
        <w:trPr>
          <w:trHeight w:val="196"/>
        </w:trPr>
        <w:tc>
          <w:tcPr>
            <w:tcW w:w="8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83"/>
        </w:trPr>
        <w:tc>
          <w:tcPr>
            <w:tcW w:w="8100" w:type="dxa"/>
            <w:vAlign w:val="bottom"/>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(0.26)</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197"/>
        </w:trPr>
        <w:tc>
          <w:tcPr>
            <w:tcW w:w="8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73,781,507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46,353,068</w:t>
            </w: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r>
      <w:tr>
        <w:trPr>
          <w:trHeight w:val="507"/>
        </w:trPr>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80" w:type="dxa"/>
            <w:vAlign w:val="bottom"/>
            <w:gridSpan w:val="9"/>
          </w:tcPr>
          <w:p>
            <w:pPr>
              <w:jc w:val="center"/>
              <w:spacing w:after="0"/>
              <w:rPr>
                <w:sz w:val="20"/>
                <w:szCs w:val="20"/>
                <w:color w:val="auto"/>
              </w:rPr>
            </w:pPr>
            <w:r>
              <w:rPr>
                <w:rFonts w:ascii="Arial" w:cs="Arial" w:eastAsia="Arial" w:hAnsi="Arial"/>
                <w:sz w:val="18"/>
                <w:szCs w:val="18"/>
                <w:b w:val="1"/>
                <w:bCs w:val="1"/>
                <w:color w:val="auto"/>
              </w:rPr>
              <w:t>ADMA BIOLOGICS, INC. AND SUBSIDIARIES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5640" w:type="dxa"/>
            <w:vAlign w:val="bottom"/>
            <w:gridSpan w:val="11"/>
          </w:tcPr>
          <w:p>
            <w:pPr>
              <w:jc w:val="center"/>
              <w:ind w:left="170"/>
              <w:spacing w:after="0"/>
              <w:rPr>
                <w:sz w:val="20"/>
                <w:szCs w:val="20"/>
                <w:color w:val="auto"/>
              </w:rPr>
            </w:pPr>
            <w:r>
              <w:rPr>
                <w:rFonts w:ascii="Arial" w:cs="Arial" w:eastAsia="Arial" w:hAnsi="Arial"/>
                <w:sz w:val="18"/>
                <w:szCs w:val="18"/>
                <w:b w:val="1"/>
                <w:bCs w:val="1"/>
                <w:color w:val="auto"/>
                <w:w w:val="99"/>
              </w:rPr>
              <w:t>CONDENSED CONSOLIDATED STATEMENTS OF CHANGES IN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40" w:type="dxa"/>
            <w:vAlign w:val="bottom"/>
            <w:gridSpan w:val="6"/>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2"/>
              </w:rPr>
              <w:t>For the Three Months Ended March 31, 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7"/>
        </w:trPr>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52"/>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0" w:type="dxa"/>
            <w:vAlign w:val="bottom"/>
            <w:tcBorders>
              <w:bottom w:val="single" w:sz="8" w:color="auto"/>
            </w:tcBorders>
            <w:gridSpan w:val="5"/>
          </w:tcPr>
          <w:p>
            <w:pPr>
              <w:jc w:val="right"/>
              <w:ind w:right="91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Paid-in</w:t>
            </w:r>
          </w:p>
        </w:tc>
        <w:tc>
          <w:tcPr>
            <w:tcW w:w="18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2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Deficit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2"/>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3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59,318,355</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290,903,772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(264,716,555)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26,193,149</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676,548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676,548</w:t>
            </w:r>
          </w:p>
        </w:tc>
      </w:tr>
      <w:tr>
        <w:trPr>
          <w:trHeight w:val="202"/>
        </w:trPr>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net of</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27,025,000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2,703</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88,701,336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88,704,039</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7,177</w:t>
            </w:r>
          </w:p>
        </w:tc>
      </w:tr>
      <w:tr>
        <w:trPr>
          <w:trHeight w:val="229"/>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(19,245,230)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(19,245,230)</w:t>
            </w: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3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86,345,313</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8,635</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380,288,833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(283,961,785)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96,335,683</w:t>
            </w:r>
          </w:p>
        </w:tc>
      </w:tr>
      <w:tr>
        <w:trPr>
          <w:trHeight w:val="20"/>
        </w:trPr>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Warrants issued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2019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320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Deficit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r>
      <w:tr>
        <w:trPr>
          <w:trHeight w:val="195"/>
        </w:trPr>
        <w:tc>
          <w:tcPr>
            <w:tcW w:w="14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46,353,068</w:t>
            </w:r>
          </w:p>
        </w:tc>
        <w:tc>
          <w:tcPr>
            <w:tcW w:w="240" w:type="dxa"/>
            <w:vAlign w:val="bottom"/>
          </w:tcPr>
          <w:p>
            <w:pPr>
              <w:spacing w:after="0"/>
              <w:rPr>
                <w:sz w:val="16"/>
                <w:szCs w:val="16"/>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4,635</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236,203,041</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(216,437,238)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19,770,438</w:t>
            </w:r>
          </w:p>
        </w:tc>
      </w:tr>
      <w:tr>
        <w:trPr>
          <w:trHeight w:val="230"/>
        </w:trPr>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637,263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637,263</w:t>
            </w:r>
          </w:p>
        </w:tc>
      </w:tr>
      <w:tr>
        <w:trPr>
          <w:trHeight w:val="431"/>
        </w:trPr>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2,699,208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2,699,208</w:t>
            </w:r>
          </w:p>
        </w:tc>
      </w:tr>
      <w:tr>
        <w:trPr>
          <w:trHeight w:val="230"/>
        </w:trPr>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(13,067,955)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(13,067,955)</w:t>
            </w:r>
          </w:p>
        </w:tc>
      </w:tr>
      <w:tr>
        <w:trPr>
          <w:trHeight w:val="223"/>
        </w:trPr>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46,353,068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4,635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239,539,512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(229,505,193)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10,038,954</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-882015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-599440</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-179705</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520"/>
            <w:col w:w="8180"/>
          </w:cols>
          <w:pgMar w:left="320" w:top="229"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r>
      <w:tr>
        <w:trPr>
          <w:trHeight w:val="507"/>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ADMA BIOLOGICS, INC. AND SUBSIDIARIES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838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5"/>
        </w:trPr>
        <w:tc>
          <w:tcPr>
            <w:tcW w:w="8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(19,245,230)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(13,067,955)</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100" w:type="dxa"/>
            <w:vAlign w:val="bottom"/>
          </w:tcPr>
          <w:p>
            <w:pPr>
              <w:ind w:left="340"/>
              <w:spacing w:after="0"/>
              <w:rPr>
                <w:sz w:val="20"/>
                <w:szCs w:val="20"/>
                <w:color w:val="auto"/>
              </w:rPr>
            </w:pPr>
            <w:r>
              <w:rPr>
                <w:rFonts w:ascii="Arial" w:cs="Arial" w:eastAsia="Arial" w:hAnsi="Arial"/>
                <w:sz w:val="18"/>
                <w:szCs w:val="18"/>
                <w:color w:val="auto"/>
              </w:rPr>
              <w:t>cash used in operating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788,838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805,330</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Loss on disposal of fixed assets</w:t>
            </w:r>
          </w:p>
        </w:tc>
        <w:tc>
          <w:tcPr>
            <w:tcW w:w="2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391</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676,548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637,263</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Gain on transfer of plasma center assets</w:t>
            </w:r>
          </w:p>
        </w:tc>
        <w:tc>
          <w:tcPr>
            <w:tcW w:w="2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(11,527,420)</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debt discount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429,711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244,767</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9,962,495</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license revenue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(35,708)</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acquisition:</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(3,637,915)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82,037</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775,932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(25,310)</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(2,321,751)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(289,134)</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Deposits and other assets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(79,532)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179,644</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(420,601)</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(1,930,591)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(762,541)</w:t>
            </w:r>
          </w:p>
        </w:tc>
      </w:tr>
      <w:tr>
        <w:trPr>
          <w:trHeight w:val="230"/>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(45,882)</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(70,442)</w:t>
            </w:r>
          </w:p>
        </w:tc>
      </w:tr>
      <w:tr>
        <w:trPr>
          <w:trHeight w:val="209"/>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(24,646,960)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(14,287,184)</w:t>
            </w:r>
          </w:p>
        </w:tc>
      </w:tr>
      <w:tr>
        <w:trPr>
          <w:trHeight w:val="210"/>
        </w:trPr>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Purchase of property and equipment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Proceeds from the sale of property and equipment</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(2,074,876)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(110,453)</w:t>
            </w:r>
          </w:p>
        </w:tc>
      </w:tr>
      <w:tr>
        <w:trPr>
          <w:trHeight w:val="230"/>
        </w:trPr>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(2,072,876)</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(110,453)</w:t>
            </w:r>
          </w:p>
        </w:tc>
      </w:tr>
    </w:tbl>
    <w:p>
      <w:pPr>
        <w:spacing w:after="0" w:line="200" w:lineRule="exact"/>
        <w:rPr>
          <w:sz w:val="20"/>
          <w:szCs w:val="20"/>
          <w:color w:val="auto"/>
        </w:rPr>
      </w:pPr>
    </w:p>
    <w:p>
      <w:pPr>
        <w:sectPr>
          <w:pgSz w:w="11900" w:h="16838" w:orient="portrait"/>
          <w:cols w:equalWidth="0" w:num="2">
            <w:col w:w="7380" w:space="720"/>
            <w:col w:w="3140"/>
          </w:cols>
          <w:pgMar w:left="320" w:top="229"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Principal payments on notes payable</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(30,000,000)</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 of end of term fee</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(2,760,000)</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Payment of debt refinancing fees</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(6,499,867)</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issuance of note payable</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12,500,000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45,000,000</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Payment of debt issuance costs</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(1,555,762)</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the issuance of common stock, net of offering expenses</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88,704,039</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7,177</w:t>
            </w:r>
          </w:p>
        </w:tc>
        <w:tc>
          <w:tcPr>
            <w:tcW w:w="2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Payments on finance lease obligations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2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r>
      <w:tr>
        <w:trPr>
          <w:trHeight w:val="210"/>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101,203,400</w:t>
            </w: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4,177,063</w:t>
            </w:r>
          </w:p>
        </w:tc>
      </w:tr>
      <w:tr>
        <w:trPr>
          <w:trHeight w:val="210"/>
        </w:trPr>
        <w:tc>
          <w:tcPr>
            <w:tcW w:w="8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right="1720"/>
        <w:spacing w:after="0" w:line="276" w:lineRule="auto"/>
        <w:rPr>
          <w:sz w:val="20"/>
          <w:szCs w:val="20"/>
          <w:color w:val="auto"/>
        </w:rPr>
      </w:pPr>
      <w:r>
        <w:rPr>
          <w:rFonts w:ascii="Arial" w:cs="Arial" w:eastAsia="Arial" w:hAnsi="Arial"/>
          <w:sz w:val="18"/>
          <w:szCs w:val="18"/>
          <w:b w:val="1"/>
          <w:bCs w:val="1"/>
          <w:color w:val="auto"/>
        </w:rPr>
        <w:t>Cash and cash equivalents, including restricted cash - beginning of period Cash and cash equivalents - end of period</w:t>
      </w:r>
    </w:p>
    <w:p>
      <w:pPr>
        <w:spacing w:after="0" w:line="20" w:lineRule="exact"/>
        <w:rPr>
          <w:sz w:val="20"/>
          <w:szCs w:val="20"/>
          <w:color w:val="auto"/>
        </w:rPr>
      </w:pPr>
      <w:r>
        <w:rPr>
          <w:sz w:val="20"/>
          <w:szCs w:val="20"/>
          <w:color w:val="auto"/>
        </w:rPr>
        <w:br w:type="column"/>
      </w:r>
    </w:p>
    <w:p>
      <w:pPr>
        <w:jc w:val="both"/>
        <w:ind w:left="560"/>
        <w:spacing w:after="0"/>
        <w:tabs>
          <w:tab w:leader="none" w:pos="2140" w:val="left"/>
        </w:tabs>
        <w:rPr>
          <w:sz w:val="20"/>
          <w:szCs w:val="20"/>
          <w:color w:val="auto"/>
        </w:rPr>
      </w:pPr>
      <w:r>
        <w:rPr>
          <w:rFonts w:ascii="Arial" w:cs="Arial" w:eastAsia="Arial" w:hAnsi="Arial"/>
          <w:sz w:val="18"/>
          <w:szCs w:val="18"/>
          <w:color w:val="auto"/>
        </w:rPr>
        <w:t>74,483,564</w:t>
      </w:r>
      <w:r>
        <w:rPr>
          <w:sz w:val="20"/>
          <w:szCs w:val="20"/>
          <w:color w:val="auto"/>
        </w:rPr>
        <w:tab/>
      </w:r>
      <w:r>
        <w:rPr>
          <w:rFonts w:ascii="Arial" w:cs="Arial" w:eastAsia="Arial" w:hAnsi="Arial"/>
          <w:sz w:val="18"/>
          <w:szCs w:val="18"/>
          <w:color w:val="auto"/>
        </w:rPr>
        <w:t>(10,220,574)</w:t>
      </w:r>
    </w:p>
    <w:p>
      <w:pPr>
        <w:spacing w:after="0" w:line="9" w:lineRule="exact"/>
        <w:rPr>
          <w:sz w:val="20"/>
          <w:szCs w:val="20"/>
          <w:color w:val="auto"/>
        </w:rPr>
      </w:pPr>
    </w:p>
    <w:p>
      <w:pPr>
        <w:ind w:left="560"/>
        <w:spacing w:after="0"/>
        <w:tabs>
          <w:tab w:leader="none" w:pos="2200" w:val="left"/>
        </w:tabs>
        <w:rPr>
          <w:sz w:val="20"/>
          <w:szCs w:val="20"/>
          <w:color w:val="auto"/>
        </w:rPr>
      </w:pPr>
      <w:r>
        <w:rPr>
          <w:rFonts w:ascii="Arial" w:cs="Arial" w:eastAsia="Arial" w:hAnsi="Arial"/>
          <w:sz w:val="17"/>
          <w:szCs w:val="17"/>
          <w:color w:val="auto"/>
        </w:rPr>
        <w:t>26,752,135</w:t>
      </w:r>
      <w:r>
        <w:rPr>
          <w:sz w:val="20"/>
          <w:szCs w:val="20"/>
          <w:color w:val="auto"/>
        </w:rPr>
        <w:tab/>
      </w:r>
      <w:r>
        <w:rPr>
          <w:rFonts w:ascii="Arial" w:cs="Arial" w:eastAsia="Arial" w:hAnsi="Arial"/>
          <w:sz w:val="17"/>
          <w:szCs w:val="17"/>
          <w:color w:val="auto"/>
        </w:rPr>
        <w:t>26,754,852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9888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7" w:lineRule="exact"/>
        <w:rPr>
          <w:sz w:val="20"/>
          <w:szCs w:val="20"/>
          <w:color w:val="auto"/>
        </w:rPr>
      </w:pPr>
    </w:p>
    <w:p>
      <w:pPr>
        <w:spacing w:after="0"/>
        <w:tabs>
          <w:tab w:leader="none" w:pos="460" w:val="left"/>
          <w:tab w:leader="none" w:pos="1680" w:val="left"/>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101,235,699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16,534,278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888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8820" cy="2540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380" w:space="720"/>
            <w:col w:w="3140"/>
          </w:cols>
          <w:pgMar w:left="320" w:top="229" w:right="339"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ADMA operates through its wholly-owned subsidiaries ADMA BioManufacturing, LLC (“ADMA BioManufacturing”) and ADMA Bio Centers Georgia Inc. (“ADMA Bio Centers”). ADMA BioManufacturing was formed in January 2017 to facilitate the acquisition of the Biotest Therapy Business Unit (“BTBU”) from BPC Plasma, Inc. (formerly Biotest Pharmaceuticals Corporation) (“BPC” and, together with Biotest AG, “Biotest”) as more fully described below. BTBU had been the Company’s third-party manufacturer for its then-lead pipeline product candidate, ASCENIV, previously referred to as “RI-002.” ADMA Bio Centers is the Company’s source plasma collection business with a plasma collection facility located in the U.S., which holds an approved license with the U.S. Food and Drug Administration (the “FDA”).</w:t>
      </w:r>
    </w:p>
    <w:p>
      <w:pPr>
        <w:spacing w:after="0" w:line="19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for the commercial re-launch of the product and commenced the commercial re-launch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9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June 6, 2017, ADMA completed the acquisition of certain assets (the “Biotest Assets”) of BTBU, which included the FDA-licensed BIVIGAM and Nabi-HB immunoglobulin products, and an FDA-licensed plasma fractionation manufacturing facility located in Boca Raton, FL (the “Boca Facility”) (the “Biotest Transaction”). In addition to its commercially available immunoglobulin products, the Company provides contract manufacturing services for certain clients and generates revenues from the sale of intermediate by-products that result from the immunoglobulin production process.</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March 31, 2020, the Company had working capital of $151.6 million, including $101.2 million of cash and cash equivalents. Based upon the Company’s current projected revenue and expenditures, including capital expenditures and continued implementation of the Company’s commercialization and expansion activities, as well as certain other assumptions, the Company’s management currently believes that its cash, cash equivalents, projected revenue and accounts receivable will be sufficient to fund ADMA’s operations, as currently conducted, into the second quarter of 2021. In order to have sufficient cash to fund its operations thereafter, the Company anticipates it will need to raise additional capital before the end of the second quarter of 2021. These estimates may change based upon the success of the Company’s commercial sales of its products, manufacturing ramp-up activities, the acceptability of ADMA’s immune globulin products by physicians, patients or payers and the various financing options that may be available to the Company. The Company currently has no firm commitments for additional financing, and there can be no assurance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16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Due to numerous risks and uncertainties associated with FDA approvals related to the Company’s products or the labeled indications of such products, ongoing compliance requirements and capacity expansion efforts at the Company’s Boca Facility and future commercialization of the Company’s products, including the Company’s ability to obtain adequate quantities of FDA-approved plasma with proper specifications on acceptable terms for use in the Company’s manufacturing process, as well as the additional uncertainties surrounding the COVID-19 pandemic (see Note 9) the Company is unable to estimate with certainty the amounts of increased capital outlays and operating expenditures required to fund its commercial and development activities. The Company’s current estimates may be subject to change as circumstances regarding its business requirements evolve. Failure to secure any necessary financing in a timely manner and on commercially reasonable terms could have a material adverse effect on the Company’s business plan and financial performance and it could be forced to delay or discontinue its commercialization, product development or clinical activities or delay or discontinue the approval efforts for any of the Company’s products or product candidates. The Company has reported cumulative losses since inception in June 2004 through March 31, 2020 of $284.0 million.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the Company’s existing stockholders and, in such event, the market value of its common stock may decline. The incurrence of additional indebtedness would result in increased fixed obligations and could also result in covenants that would restrict the Company’s operations or other financing alternatives. In addition, the Company is exploring additional contract manufacturing arrangements and other business development opportunities, which may provide additional liquidity to the Company.</w:t>
      </w:r>
    </w:p>
    <w:p>
      <w:pPr>
        <w:spacing w:after="0" w:line="19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There can be no assurance that the Company’s approved products will be commercially viable, or that research and development,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5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annual audited consolidated financial statements and notes thereto as of and for the year ended December 31, 2019 included in the Company’s Annual Report on Form 10-K filed with the U.S. Securities and Exchange Commission (the “SEC”) on March 13, 2020. The accompanying consolidated balance sheet as of December 31, 2019 was derived from the audited financial statements for the year ended December 31, 2019.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March 31, 2020 and its results of operations, changes in equity and cash flows for the three months ended March 31, 2020.</w:t>
      </w:r>
    </w:p>
    <w:p>
      <w:pPr>
        <w:spacing w:after="0" w:line="18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During the three months ended March 31, 2020 and 2019,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6) approximates fair value due to the variable interest rate on this debt. With respect to the subordinated note payable in the amount of $15.0 million as of March 31, 2020 and December 31, 2019, which is held by Biotest, a principal stockholder of the Company at the time the note was issued and was issued concurrent with an acquisition transaction with an affiliate of such stockholder (see Note 6), the Company has concluded that an estimation of fair value for this note is not practicable.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Accounts receivable is reported at realizable value, net of allowances for contractual credits and doubtful accounts, which are recognized in the period the related revenue is recorded. </w:t>
      </w:r>
      <w:r>
        <w:rPr>
          <w:rFonts w:ascii="Arial" w:cs="Arial" w:eastAsia="Arial" w:hAnsi="Arial"/>
          <w:sz w:val="16"/>
          <w:szCs w:val="16"/>
          <w:color w:val="212529"/>
        </w:rPr>
        <w:t>The Company extends credit to its customers based upon an evaluation of each customer's financial condition and</w:t>
      </w:r>
      <w:r>
        <w:rPr>
          <w:rFonts w:ascii="Arial" w:cs="Arial" w:eastAsia="Arial" w:hAnsi="Arial"/>
          <w:sz w:val="16"/>
          <w:szCs w:val="16"/>
          <w:color w:val="auto"/>
        </w:rPr>
        <w:t xml:space="preserve"> </w:t>
      </w:r>
      <w:r>
        <w:rPr>
          <w:rFonts w:ascii="Arial" w:cs="Arial" w:eastAsia="Arial" w:hAnsi="Arial"/>
          <w:sz w:val="16"/>
          <w:szCs w:val="16"/>
          <w:color w:val="212529"/>
        </w:rPr>
        <w:t xml:space="preserve">credit history. Evaluations of the financial condition and associated credit risk of customers are performed on an ongoing basis. </w:t>
      </w:r>
      <w:r>
        <w:rPr>
          <w:rFonts w:ascii="Arial" w:cs="Arial" w:eastAsia="Arial" w:hAnsi="Arial"/>
          <w:sz w:val="16"/>
          <w:szCs w:val="16"/>
          <w:color w:val="000000"/>
        </w:rPr>
        <w:t>Based on these evaluations,</w:t>
      </w:r>
      <w:r>
        <w:rPr>
          <w:rFonts w:ascii="Arial" w:cs="Arial" w:eastAsia="Arial" w:hAnsi="Arial"/>
          <w:sz w:val="16"/>
          <w:szCs w:val="16"/>
          <w:color w:val="212529"/>
        </w:rPr>
        <w:t xml:space="preserve"> </w:t>
      </w:r>
      <w:r>
        <w:rPr>
          <w:rFonts w:ascii="Arial" w:cs="Arial" w:eastAsia="Arial" w:hAnsi="Arial"/>
          <w:sz w:val="16"/>
          <w:szCs w:val="16"/>
          <w:color w:val="000000"/>
        </w:rPr>
        <w:t>the Company has concluded that the credit risk is minimal. At March 31, 2020, three customers accounted for an aggregate of 84% of the Company’s total accounts receivable, and at December 31, 2019, two customers accounted for 89% of the Company’s total accounts receivable.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Due to previous uncertainties surrounding certain prior submissions made to the FDA, all costs related to the production of BIVIGAM and ASCENIV prior to their FDA approval dates of May 9, 2019 and April 1, 2019, respectively, have been charged to cost of product revenue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Goodwill represents the excess of purchase price over the fair value of net assets acquired by the Company. Goodwill at March 31, 2020 and December 31, 2019 was $3.5 million. All of the Company’s goodwill is attributable to the acquisition of its ADMA BioManufacturing business segment.</w:t>
      </w:r>
    </w:p>
    <w:p>
      <w:pPr>
        <w:spacing w:after="0" w:line="12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2019 did not result in a goodwill impairment charge, and the Company did not record any impairment charges related to goodwill for the three months ended March 31, 2020 and 2019.</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March 31, 2020 and 2019, the Company determined that there was no impairment of its long-lived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Revenues for the three months ended March 31, 2020 and 2019 are comprised of (i) revenues from the sale of the Company’s immunoglobulin products, ASCENIV, BIVIGAM and Nabi-HB, (ii) product revenues from the sale of human plasma collected from the Company’s Plasma Collection Centers business segment, (iii) contract manufacturing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22 years, the term of the Biotest license agreement.</w:t>
      </w:r>
    </w:p>
    <w:p>
      <w:pPr>
        <w:spacing w:after="0" w:line="16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For the three months ended March 31, 2020, three customers represented an aggregate of 82% of the Company’s consolidated revenues. For the three months ended March 31, 2019, two customers represented an aggregate of 81% of the Company’s consolidated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as the Company reported a net loss for all periods presented. For the three months ended March 31, 2020 and 2019, the following securities were excluded from the calculation of diluted loss per common share because of their anti-dilutive effects: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For the 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6,753,354</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5,599,435</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333,500</w:t>
            </w:r>
          </w:p>
        </w:tc>
        <w:tc>
          <w:tcPr>
            <w:tcW w:w="2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2,138,160</w:t>
            </w:r>
          </w:p>
        </w:tc>
        <w:tc>
          <w:tcPr>
            <w:tcW w:w="2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1,888,160</w:t>
            </w:r>
          </w:p>
        </w:tc>
      </w:tr>
      <w:tr>
        <w:trPr>
          <w:trHeight w:val="223"/>
        </w:trPr>
        <w:tc>
          <w:tcPr>
            <w:tcW w:w="8100" w:type="dxa"/>
            <w:vAlign w:val="bottom"/>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9,225,014</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7,487,595</w:t>
            </w:r>
          </w:p>
        </w:tc>
      </w:tr>
      <w:tr>
        <w:trPr>
          <w:trHeight w:val="20"/>
        </w:trPr>
        <w:tc>
          <w:tcPr>
            <w:tcW w:w="8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the Company has elected not to establish a forfeiture rate, as stock-based compensation expense related to forfeitures of unvested stock options is fully reversed at the time of forfeiture.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2015 and for previous periods as it relates to the Company’s net operating loss carryforwards.</w:t>
      </w:r>
    </w:p>
    <w:p>
      <w:pPr>
        <w:spacing w:after="0" w:line="16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March 31, 2020 and December 31, 2019, and during the three months ended March 31, 2020 and 2019, the Company recognized no adjustments for uncertain tax positions.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which requires financial assets to be presented at the net amount expected to be collected, with 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The Company adopted ASU No. 2016-13, and the adoption of this update did not have a significant impact on the Company’s consolidated financial statements.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lessees to recognize assets and liabilities for the rights and obligations created by most leases on their balance sheet. The guidance is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The Company adopted ASU 2016-02 on January 1, 2019 using the option to recognize the cumulative-effect adjustment, if any, as of the date of application, which was also January 1, 2019. The Company recognized right-to-use assets of $1.4 million and corresponding lease liabilities of approximately $1.6 million at the date of adoption (see Note 12). The Company also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all leases that qualify, including the agreement under which the Company occupies certain office space as discussed in Note 8.</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In July 2017, the FASB issued ASU No. 2017-11, Earnings Per Share (Topic 260), </w:t>
      </w:r>
      <w:r>
        <w:rPr>
          <w:rFonts w:ascii="Arial" w:cs="Arial" w:eastAsia="Arial" w:hAnsi="Arial"/>
          <w:sz w:val="17"/>
          <w:szCs w:val="17"/>
          <w:i w:val="1"/>
          <w:iCs w:val="1"/>
          <w:color w:val="auto"/>
        </w:rPr>
        <w:t>Distinguishing Liabilities from Equity (Topic 480),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 (Topic 815)</w:t>
      </w:r>
      <w:r>
        <w:rPr>
          <w:rFonts w:ascii="Arial" w:cs="Arial" w:eastAsia="Arial" w:hAnsi="Arial"/>
          <w:sz w:val="17"/>
          <w:szCs w:val="17"/>
          <w:color w:val="auto"/>
        </w:rPr>
        <w:t>” (“ASU 2017-11”). ASU 2017-11 changed the classification analysis of certain equity-linked financial instruments (or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will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“Debt—Debt with Conversion and Other Options.” ASU 2017-11 became effective for the Company on January 1, 2019, and this update did not have a significant impact on the Company’s consolidated financial statements.</w:t>
      </w:r>
    </w:p>
    <w:p>
      <w:pPr>
        <w:sectPr>
          <w:pgSz w:w="11900" w:h="16838" w:orient="portrait"/>
          <w:cols w:equalWidth="0" w:num="1">
            <w:col w:w="11240"/>
          </w:cols>
          <w:pgMar w:left="320" w:top="229" w:right="339" w:bottom="1440" w:gutter="0" w:footer="0" w:header="0"/>
        </w:sectPr>
      </w:pPr>
    </w:p>
    <w:p>
      <w:pPr>
        <w:spacing w:after="0" w:line="17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The following table provides the components of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411"/>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29,717,087</w:t>
            </w:r>
          </w:p>
        </w:tc>
        <w:tc>
          <w:tcPr>
            <w:tcW w:w="220" w:type="dxa"/>
            <w:vAlign w:val="bottom"/>
          </w:tcPr>
          <w:p>
            <w:pPr>
              <w:spacing w:after="0"/>
              <w:rPr>
                <w:sz w:val="24"/>
                <w:szCs w:val="2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33,381,806</w:t>
            </w:r>
          </w:p>
        </w:tc>
      </w:tr>
      <w:tr>
        <w:trPr>
          <w:trHeight w:val="229"/>
        </w:trPr>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17,139,411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14,455,665</w:t>
            </w:r>
          </w:p>
        </w:tc>
      </w:tr>
      <w:tr>
        <w:trPr>
          <w:trHeight w:val="230"/>
        </w:trPr>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5,432,305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5,227,263</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52,288,803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53,064,734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80" w:space="720"/>
            <w:col w:w="3140"/>
          </w:cols>
          <w:pgMar w:left="320" w:top="229" w:right="339" w:bottom="1440" w:gutter="0" w:footer="0" w:header="0"/>
          <w:type w:val="continuous"/>
        </w:sectPr>
      </w:pPr>
    </w:p>
    <w:p>
      <w:pPr>
        <w:spacing w:after="0" w:line="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Raw materials includes plasma and other materials expected to be used in the production of ASCENIV, BIVIGAM and Nabi-HB, as there are alternative uses for these materials that provide a probable future benefit or will be consumed in the production of goods expected to be available for sale. All other activities and materials associated with the production of inventories used in research and development activities are expensed as incurred.</w:t>
      </w:r>
    </w:p>
    <w:p>
      <w:pPr>
        <w:spacing w:after="0" w:line="14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 Finished goods inventory is comprised of immunoglobulin product inventory and related intermediates that are available for commercial sale, as well as plasma collected at the Company’s plasma collection center which is expected to be sold to third-party customers.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ind w:left="102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at March 31, 2020 and December 31, 2019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 2020</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3"/>
              </w:rPr>
              <w:t>December 31, 2019</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5"/>
        </w:trPr>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3"/>
          </w:tcPr>
          <w:p>
            <w:pPr>
              <w:ind w:left="220"/>
              <w:spacing w:after="0" w:line="205"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480" w:type="dxa"/>
            <w:vAlign w:val="bottom"/>
            <w:gridSpan w:val="3"/>
          </w:tcPr>
          <w:p>
            <w:pPr>
              <w:ind w:left="22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Net</w:t>
            </w:r>
          </w:p>
        </w:tc>
      </w:tr>
      <w:tr>
        <w:trPr>
          <w:trHeight w:val="182"/>
        </w:trPr>
        <w:tc>
          <w:tcPr>
            <w:tcW w:w="2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Trademark and other intangible</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rights related to Nabi-HB</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4,100,046</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1,659,542</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2,440,504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4,100,046</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1,513,112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2,586,934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367,289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540,132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334,881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572,540</w:t>
            </w:r>
          </w:p>
        </w:tc>
      </w:tr>
      <w:tr>
        <w:trPr>
          <w:trHeight w:val="229"/>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1,076,557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1,076,557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1,076,557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1,076,557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6,084,024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3,103,388</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2,980,636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6,084,024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2,924,550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3,159,474</w:t>
            </w:r>
          </w:p>
        </w:tc>
      </w:tr>
      <w:tr>
        <w:trPr>
          <w:trHeight w:val="20"/>
        </w:trPr>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All of the Company’s intangible assets were acquired in the Biotest Transaction. Amortization expense related to these intangible assets for the three months ended March 31, 2020 and 2019 was $0.2 million. Estimated aggregate future aggregate amortization expense for the next five years is expected to be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536,514</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2021</w:t>
            </w: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2023</w:t>
            </w: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298,066</w:t>
            </w:r>
          </w:p>
        </w:tc>
      </w:tr>
      <w:tr>
        <w:trPr>
          <w:trHeight w:val="392"/>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76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and related accumulated depreciation are summarized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5"/>
        </w:trPr>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87"/>
              </w:rPr>
              <w:t>December 31, 2019</w:t>
            </w:r>
          </w:p>
        </w:tc>
      </w:tr>
      <w:tr>
        <w:trPr>
          <w:trHeight w:val="210"/>
        </w:trPr>
        <w:tc>
          <w:tcPr>
            <w:tcW w:w="81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9,524,749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8,831,817</w:t>
            </w: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Office equipment and computer software</w:t>
            </w:r>
          </w:p>
        </w:tc>
        <w:tc>
          <w:tcPr>
            <w:tcW w:w="1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2,220,856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1,690,248</w:t>
            </w:r>
          </w:p>
        </w:tc>
      </w:tr>
      <w:tr>
        <w:trPr>
          <w:trHeight w:val="216"/>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1,133,132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582,088</w:t>
            </w: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6,022,188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4,285,915</w:t>
            </w:r>
          </w:p>
        </w:tc>
      </w:tr>
      <w:tr>
        <w:trPr>
          <w:trHeight w:val="216"/>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1,673,084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1,673,084</w:t>
            </w: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4,339,441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4,339,441</w:t>
            </w:r>
          </w:p>
        </w:tc>
      </w:tr>
      <w:tr>
        <w:trPr>
          <w:trHeight w:val="230"/>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16,480,277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16,063,680</w:t>
            </w:r>
          </w:p>
        </w:tc>
      </w:tr>
      <w:tr>
        <w:trPr>
          <w:trHeight w:val="209"/>
        </w:trPr>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41,393,727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37,466,273</w:t>
            </w:r>
          </w:p>
        </w:tc>
      </w:tr>
      <w:tr>
        <w:trPr>
          <w:trHeight w:val="230"/>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(6,332,932)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(5,724,956)</w:t>
            </w:r>
          </w:p>
        </w:tc>
      </w:tr>
      <w:tr>
        <w:trPr>
          <w:trHeight w:val="223"/>
        </w:trPr>
        <w:tc>
          <w:tcPr>
            <w:tcW w:w="8100" w:type="dxa"/>
            <w:vAlign w:val="bottom"/>
            <w:gridSpan w:val="3"/>
          </w:tcPr>
          <w:p>
            <w:pPr>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35,060,795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31,741,317</w:t>
            </w:r>
          </w:p>
        </w:tc>
      </w:tr>
      <w:tr>
        <w:trPr>
          <w:trHeight w:val="20"/>
        </w:trPr>
        <w:tc>
          <w:tcPr>
            <w:tcW w:w="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depreciation expense on property and equipment for the three months ended March 31, 2020 and 2019 of $0.6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gridSpan w:val="4"/>
          </w:tcPr>
          <w:p>
            <w:pPr>
              <w:spacing w:after="0"/>
              <w:rPr>
                <w:sz w:val="20"/>
                <w:szCs w:val="20"/>
                <w:color w:val="auto"/>
              </w:rPr>
            </w:pPr>
            <w:r>
              <w:rPr>
                <w:rFonts w:ascii="Arial" w:cs="Arial" w:eastAsia="Arial" w:hAnsi="Arial"/>
                <w:sz w:val="18"/>
                <w:szCs w:val="18"/>
                <w:b w:val="1"/>
                <w:bCs w:val="1"/>
                <w:color w:val="auto"/>
              </w:rPr>
              <w:t>6.  DEBT</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86"/>
              </w:rPr>
              <w:t>Senior Notes Payable</w:t>
            </w: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3"/>
        </w:trPr>
        <w:tc>
          <w:tcPr>
            <w:tcW w:w="34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A summary of outstanding senior notes payable is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5"/>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87"/>
              </w:rPr>
              <w:t>December 31, 2019</w:t>
            </w:r>
          </w:p>
        </w:tc>
      </w:tr>
      <w:tr>
        <w:trPr>
          <w:trHeight w:val="209"/>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6"/>
        </w:trPr>
        <w:tc>
          <w:tcPr>
            <w:tcW w:w="8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85,000,000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72,500,000</w:t>
            </w:r>
          </w:p>
        </w:tc>
      </w:tr>
      <w:tr>
        <w:trPr>
          <w:trHeight w:val="216"/>
        </w:trPr>
        <w:tc>
          <w:tcPr>
            <w:tcW w:w="8100" w:type="dxa"/>
            <w:vAlign w:val="bottom"/>
            <w:gridSpan w:val="4"/>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Debt discount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(3,787,910)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(4,208,837)</w:t>
            </w:r>
          </w:p>
        </w:tc>
      </w:tr>
      <w:tr>
        <w:trPr>
          <w:trHeight w:val="223"/>
        </w:trPr>
        <w:tc>
          <w:tcPr>
            <w:tcW w:w="8100" w:type="dxa"/>
            <w:vAlign w:val="bottom"/>
            <w:gridSpan w:val="4"/>
          </w:tcPr>
          <w:p>
            <w:pPr>
              <w:spacing w:after="0"/>
              <w:rPr>
                <w:sz w:val="20"/>
                <w:szCs w:val="20"/>
                <w:color w:val="auto"/>
              </w:rPr>
            </w:pPr>
            <w:r>
              <w:rPr>
                <w:rFonts w:ascii="Arial" w:cs="Arial" w:eastAsia="Arial" w:hAnsi="Arial"/>
                <w:sz w:val="18"/>
                <w:szCs w:val="18"/>
                <w:color w:val="auto"/>
              </w:rPr>
              <w:t>Senior notes payable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81,212,090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68,291,163</w:t>
            </w: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February 11, 2019 (the “Perceptive Closing Date”), the Company and all of its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up to $85.0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up to $27.5 million (the “Perceptive Tranche II Loan”) evidenced by the Company’s issuance of a promissory note (the “Perceptive Tranche II Note”) in favor of Perceptive on May 3, 2019; and (iii) a term loan in the principal amount of up to $12.5 million evidenced by the Company’s issuance of a promissory note (the “Perceptive Tranche III Note”) in favor of Perceptive on March 20, 2020 (the “Perceptive Tranche III Loan,” and together with the Perceptive Tranche I Loan and the Perceptive Tranche II Loan, the “Perceptive Loans”). The Perceptive Tranche III Loan is the result of an amendment to the Perceptive Credit Agreement (the “Perceptive Amendment”) that the Company and Perceptive entered into on May 3, 2019, and the Perceptive Tranche III Loan became available to the Company upon the approval of BIVIGAM on May 9, 2019. The Perceptive Credit Facility has a maturity date of March 1, 2022 (the “Maturity Date”), subject to acceleration pursuant to the Perceptive Credit Agreement, including upon an Event of Default (as defined in the Perceptive Credit Agreement).</w:t>
      </w:r>
    </w:p>
    <w:p>
      <w:pPr>
        <w:spacing w:after="0" w:line="18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On the Perceptive Closing Date, the Company used $30.0 million of the Perceptive Tranche I Loan to terminate and pay in full all of the outstanding obligations under its previously existing credit agreement with Marathon Healthcare Finance Fund, L.P. (“Marathon”) (the “Marathon Credit Facility”). The Company also used proceeds from the Perceptive Tranche I Loan to: (i) pay a deferred facility fee to Marathon in the amount of $2.8 million, (ii) pay a prepayment penalty to Marathon in the amount of $6.5 million, (iii) pay outstanding accrued interest to Marathon in the amount of $0.7 million, and (iv) pay certain fees and expenses incurred in connection with the Perceptive Credit Facility of approximately $1.5 million. In addition, Marathon released $4.0 million of cash to the Company that was held in a debt service reserve account per the terms of the Marathon Credit Facility. In connection with the Perceptive Amendment, the Company paid an additional facility fee to Perceptive in the amount of $0.1 million on May 3, 2019.</w:t>
      </w:r>
    </w:p>
    <w:p>
      <w:pPr>
        <w:spacing w:after="0" w:line="16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As a result of the Company’s entering into the Perceptive Credit Agreement and terminating the Marathon Credit Facility, the Company recognized a loss on the extinguishment of debt for the three months ended March 31, 2019 in the amount of approximately $10.0 million, comprised of the $6.5 million prepayment penalty and the write-off of unamortized debt discount related to the Marathon Credit Facility in the amount of $3.5 million.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ind w:right="260" w:firstLine="8"/>
        <w:spacing w:after="0" w:line="255"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Accrued interest is payable to Perceptive on the last day of each month during the term of the Perceptive Credit Facility. The rate of interest in effect as of the Perceptive Closing Date and at March 31, 2020 was 11.0%.</w:t>
      </w:r>
    </w:p>
    <w:p>
      <w:pPr>
        <w:spacing w:after="0" w:line="19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the Maturity Date, the Company will pay Perceptive the entire outstanding principal amount underlying the Perceptive Loans and any accrued and unpaid interest thereon. Prior to the Maturity Date, there will be no scheduled principal payments on the Perceptive Loans. The Company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All of the Company’s obligations under the Perceptive Credit Agreement are secured by a first-priority lien and security interest in substantially all of the Company’s tangible and intangible assets, including intellectual property and all of the equity interests in the Company’s subsidiaries. The Perceptive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Perceptive Credit Agreement, incur new indebtedness; create liens on assets; engage in certain fundamental corporate changes, such as mergers or acquisitions, or changes to the Company’s or subsidiaries’ business activities; make certain Investments or Restricted Payments (each as defined in the Perceptive Credit Agreement); change its fiscal year; pay dividends; repay other certain indebtedness; engage in certain affiliate transactions; or enter into, amend or terminate any other agreements that have the impact of restricting the Company’s ability to make loan repayments under the Perceptive Credit Agreement. In addition, the Company must (i) at all times prior to the Maturity Date maintain a minimum cash balance of $3.0 million; and (ii) as of the last day of each fiscal quarter commencing with the fiscal quarter ending June 30, 2019, report revenues for the trailing 12-month period that exceed the amounts set forth in the Perceptive Credit Agreement, which range from $7.0 million for the fiscal quarter ended June 30, 2019 to $55.0 million for the fiscal quarter ending December 31, 2021. At March 31, 2020, the Company was in compliance with all of the covenants contained in the Perceptive Credit Agreement.</w:t>
      </w:r>
    </w:p>
    <w:p>
      <w:pPr>
        <w:spacing w:after="0" w:line="18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consideration for the Perceptive Credit Agreement, the Company issued to Perceptive a warrant to purchase 1,360,000 shares of the Company’s common stock (the “Perceptive Warrant”) on the Perceptive Closing Date. The Perceptive Warrant has an exercise price equal to $3.28 per share, which is equal to the trailing 10-day volume weighted average price (“VWAP”) of the Company’s common stock on the business day immediately prior to the Perceptive Closing Date multiplied by 1.15. The Company valued the Perceptive Warrant at $2.7 million as of the Perceptive Closing Date and it has an expiration date of February 11, 2029. In connection with the Perceptive Amendment, the Company issued an additional warrant (the “Perceptive Tranche</w:t>
      </w:r>
    </w:p>
    <w:p>
      <w:pPr>
        <w:spacing w:after="0" w:line="2" w:lineRule="exact"/>
        <w:rPr>
          <w:sz w:val="20"/>
          <w:szCs w:val="20"/>
          <w:color w:val="auto"/>
        </w:rPr>
      </w:pPr>
    </w:p>
    <w:p>
      <w:pPr>
        <w:ind w:firstLine="8"/>
        <w:spacing w:after="0" w:line="269" w:lineRule="auto"/>
        <w:tabs>
          <w:tab w:leader="none" w:pos="2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Warrant” and, together with the Perceptive Warrant, the “Perceptive Warrants”) to purchase 250,000 shares of the Company’s common stock to Perceptive with an exercise price equal to $4.64 per share, which represents the trailing 10-day VWAP of the Company’s common stock as of May 2, 2019. The Perceptive Tranche III Warrant was valued by the Company at $0.9 million and has an expiration date of May 3, 2029. Perceptive has represented to the Company, among other things, that it was an “accredited investor” (as such term is defined in Rule 501(a) of Regulation D under the Securities Act) and the Company issued the Perceptive Warrants in reliance upon an exemption from registration contained in Section 4(2) under the Securities Act. The Perceptive Warrants and the shares of common stock issuable thereunder may not be offered, sold, pledged or otherwise transferred in the U.S. absent registration or an applicable exemption from the registration requirements under the Securities Act.</w:t>
      </w:r>
    </w:p>
    <w:p>
      <w:pPr>
        <w:spacing w:after="0" w:line="180"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As a result of the fees paid to Perceptive and the value of the Perceptive Warrants, the Company recognized an aggregate discount on the Perceptive Tranche I Note and Perceptive Tranche II Note in the amount of $5.3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the Perceptive Loans as of May 3, 2019 was approximately 14.1%.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9"/>
              </w:rPr>
              <w:t>Subordinated Note Payable</w:t>
            </w:r>
          </w:p>
        </w:tc>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53"/>
        </w:trPr>
        <w:tc>
          <w:tcPr>
            <w:tcW w:w="8100" w:type="dxa"/>
            <w:vAlign w:val="bottom"/>
            <w:gridSpan w:val="2"/>
          </w:tcPr>
          <w:p>
            <w:pPr>
              <w:ind w:left="660"/>
              <w:spacing w:after="0"/>
              <w:rPr>
                <w:sz w:val="20"/>
                <w:szCs w:val="20"/>
                <w:color w:val="auto"/>
              </w:rPr>
            </w:pPr>
            <w:r>
              <w:rPr>
                <w:rFonts w:ascii="Arial" w:cs="Arial" w:eastAsia="Arial" w:hAnsi="Arial"/>
                <w:sz w:val="18"/>
                <w:szCs w:val="18"/>
                <w:color w:val="auto"/>
              </w:rPr>
              <w:t>A summary of the outstanding subordinated note payable is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20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87"/>
              </w:rPr>
              <w:t>December 31, 2019</w:t>
            </w:r>
          </w:p>
        </w:tc>
      </w:tr>
      <w:tr>
        <w:trPr>
          <w:trHeight w:val="209"/>
        </w:trPr>
        <w:tc>
          <w:tcPr>
            <w:tcW w:w="8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Subordinated note payable to Biotest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(91,947)</w:t>
            </w: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Subordinated note payable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14,916,837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14,908,053</w:t>
            </w:r>
          </w:p>
        </w:tc>
      </w:tr>
      <w:tr>
        <w:trPr>
          <w:trHeight w:val="20"/>
        </w:trPr>
        <w:tc>
          <w:tcPr>
            <w:tcW w:w="20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connection with the acquisition of the Biotest Assets (see Note 1), ADMA BioManufacturing issued a subordinated note payable to BPC and in connection therewith received cash proceeds of $15.0 million. This note has since been assigned from BPC to Biotest AG. The note bears interest at a rate of 6.0% per annum and matures on June 6, 2022. The Company is obligated to make semi-annual interest payments, with all principal and unpaid interest due at maturity. The note is subordinate to all amounts outstanding under the Perceptive Credit Agreement. In the event of default, all principal and unpaid interest is due on demand. The subordinated note also contains several non-financial covenants with which the Company was in compliance as of March 31, 2020.</w:t>
      </w:r>
    </w:p>
    <w:p>
      <w:pPr>
        <w:spacing w:after="0" w:line="18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March 31, 2020 and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March 31, 2020 and December 31, 2019, the Company was authorized to issue 150,000,000 shares of its common stock, $0.0001 par value per share, and 86,345,313 and 59,318,355 shares of common stock were outstanding as of March 31, 2020 and December 31, 2019, respectively. After giving effect to shares reserved for outstanding warrants and awards issued under the Company’s equity incentive plans, as of March 31, 2020, there were 54,429,673 shares of common stock available for issuance.</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February 11, 2020, the Company completed an underwritten public offering of 23,500,000 shares of its common stock for gross proceeds of $82.3 million. On February 21, 2020, the Company sold an additional 3,525,000 shares pursuant to the underwriters’ exercise of their option to purchase additional shares of the Company’s common stock for additional gross proceeds of $12.3 million. The Company received net proceeds, after underwriting discounts and other expenses associated with the offering, of approximately $88.7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At March 31, 2020, the Company had outstanding warrants to purchase an aggregate of 2,138,160 shares of common stock, with a weighted average exercise price of $3.81 per share and expiration dates ranging between June 2022 and May 2029.</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ind w:left="102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three months ended March 31, 2020 and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14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5.8 - 6.3 years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5.8 - 6.3 years</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62%</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61%</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0.0</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0.47-1.68%</w:t>
            </w:r>
          </w:p>
        </w:tc>
        <w:tc>
          <w:tcPr>
            <w:tcW w:w="2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2.25-2.63%</w:t>
            </w:r>
          </w:p>
        </w:tc>
      </w:tr>
    </w:tbl>
    <w:p>
      <w:pPr>
        <w:spacing w:after="0" w:line="18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During the three months ended March 31, 2020, the Company granted Restricted Stock Units (“RSUs”) to members of the Company’s Board of Directors and to certain management employees of the Company. The total RSUs granted during the period represent an aggregate of 341,000 shares of the Company’s common stock, 7,500 of which were forfeited during the period. The RSUs vest semi-annually over a period of one year for directors and annually over a period of 4 years for employees. The market price of the Company’s common stock as of the date the awards were granted ranged from $2.59 to $2.92 per share. At March 31, 2020, there were 333,500 RSUs outstanding.</w:t>
      </w:r>
    </w:p>
    <w:p>
      <w:pPr>
        <w:spacing w:after="0" w:line="17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three months ended March 31, 2020 and 2019, the Company granted options to purchase an aggregate of 1,158,900 and 1,335,850 shares of common stock, respectively, to its directors, employees and certain third party service providers. The weighted average remaining contractual life of stock options outstanding and expected to vest at March 31, 2020 is 7.2 years. The weighted average remaining contractual life of stock options exercisable at March 31, 2020 is 5.9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Exercise Price</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5,630,351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(29,087)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1,158,900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63"/>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March 31, 2020</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6,753,354</w:t>
            </w:r>
          </w:p>
        </w:tc>
        <w:tc>
          <w:tcPr>
            <w:tcW w:w="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197"/>
        </w:trPr>
        <w:tc>
          <w:tcPr>
            <w:tcW w:w="8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0"/>
                <w:szCs w:val="20"/>
                <w:color w:val="auto"/>
              </w:rPr>
            </w:pPr>
            <w:r>
              <w:rPr>
                <w:rFonts w:ascii="Arial" w:cs="Arial" w:eastAsia="Arial" w:hAnsi="Arial"/>
                <w:sz w:val="18"/>
                <w:szCs w:val="18"/>
                <w:color w:val="auto"/>
              </w:rPr>
              <w:t>Options exercisable</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3,780,306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660"/>
              <w:spacing w:after="0"/>
              <w:rPr>
                <w:sz w:val="20"/>
                <w:szCs w:val="20"/>
                <w:color w:val="auto"/>
              </w:rPr>
            </w:pPr>
            <w:r>
              <w:rPr>
                <w:rFonts w:ascii="Arial" w:cs="Arial" w:eastAsia="Arial" w:hAnsi="Arial"/>
                <w:sz w:val="18"/>
                <w:szCs w:val="18"/>
                <w:color w:val="auto"/>
                <w:w w:val="89"/>
              </w:rPr>
              <w:t>Stock-based compensation expense for the three months ended March 31, 2020 and 2019 is as follows: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86,523</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Plasma centers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523,889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498,471</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51,841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40,729</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676,548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637,263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March 31, 2020, the Company had $5.7 million of unrecognized compensation expense related to options granted under the Company’s equity incentive plans, which is expected to be recognized over a weighted-average period of 2.7 years.</w:t>
      </w:r>
    </w:p>
    <w:p>
      <w:pPr>
        <w:sectPr>
          <w:pgSz w:w="11900" w:h="16838" w:orient="portrait"/>
          <w:cols w:equalWidth="0" w:num="1">
            <w:col w:w="11240"/>
          </w:cols>
          <w:pgMar w:left="320" w:top="229" w:right="339" w:bottom="144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leases an office building and equipment from Areth, LLC (“Areth”) pursuant to an agreement for services effective as of January 1, 2016, as amended from time to time. Effective October 1, 2017, monthly rent on this facility was set at $10,000. On November 7, 2019, an additional amendment was entered into between Areth and the Company to extend the term of this agreement through September 30, 2020, and to provide for automatic one-year renewals unless ADMA gives written notice of termination to Areth 60 days prior to the end of the term. Rent expense for the three months ended March 31, 2020 and 2019 amounted to $30,000. Areth is a company controlled by Dr. Jerrold B. Grossman, the Vice Chairman of the Company’s Board of Directors, and Adam S. Grossman, the Company’s President and Chief Executive Officer. The Company also reimburses Areth for office and building related (common area) expenses, equipment and certain other operational expenses, which were not material to the consolidated financial statements for the three months ended March 31, 2020 and 2019.</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See Note 6 for a discussion of the Company’s credit facility and related transactions with Perceptive, a holder of more than 10% of the Company’s common stock.</w:t>
      </w:r>
    </w:p>
    <w:p>
      <w:pPr>
        <w:spacing w:after="0" w:line="170"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In connection with the February 2020 public offering of the Company’s common stock (see Note 7) on February 11, 2020: (i) Lawrence P. Guiheen, a director of the Company, purchased 20,000 shares of common stock, (ii) James Mond, the Company’s Chief Scientific Officer and Chief Medical Officer, purchased 4,285 shares of common stock, (iii) Jerrold B. Grossman, the Company’s Vice Chairman of the Board, purchased 22,857 shares of common stock directly and 22,857 shares indirectly through an entity he controls, (iv) Brian Lenz, the Company’s Executive Vice President and Chief Financial Officer, purchased 7,142 shares of common stock, (v) Adam S. Grossman, the Company’s President and Chief Executive Officer, purchased 28,571 shares of common stock directly and 57,143 shares indirectly through an entity he controls, and (vi) Perceptive Advisors, a principal stockholder of ADMA, purchased 4,563,700 shares of common stock through one of its affiliates, all at the public offering price of $3.50 per share.</w:t>
      </w:r>
    </w:p>
    <w:p>
      <w:pPr>
        <w:spacing w:after="0" w:line="16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Legal Matters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is closely monitoring ongoing developments in connection with the COVID-19 pandemic, which has the potential to adversely impact several aspects of the Company’s supply-chain operations, including procurement of raw materials and packaging materials, a portion of which are sourced internationally, and the testing of finished drug product that is required prior to its availability for commercial sale. Such testing has been performed to date by contract laboratories outside the United States.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date, the COVID-19 pandemic has not had a material impact on the Company’s financial condition or results of operations, and the Company does not believe that its production operations at the Boca Facility, the Company’s contract fill/finishers or its plasma collection facility have been significantly impacted by the COVID-19 pandemic. As a result, the Company does not anticipate any material impairments with respect to any of its long-lived assets, including the Company’s property and equipment, goodwill or intangible assets.</w:t>
      </w:r>
    </w:p>
    <w:p>
      <w:pPr>
        <w:spacing w:after="0" w:line="187"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Although the COVID-19 pandemic has not, to date, materially adversely impacted the Company’s capital and financial resources, because the Company is unable to determine the ultimate severity or duration of the pandemic or its long-term effects on, among other things, the global, national or local economies, the capital and credit markets or the Company’s workforce, customers or our suppliers, at this time the Company is unable to predict whether COVID-19 will have a material adverse impact on the Company’s business, financial condition, liquidity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and Licensor Commitments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approaches commercialization for ASCENIV. Unless terminated earlier, the 2011 Plasma Purchase Agreement expires in June 2027, after which it may be renewed for two additional five-year periods if agreed to by the parties. As part of the closing of the Biotest Transaction, the parties amended the 2011 Plasma Purchase Agreement to extend the initial term through the ten 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may purchase RSV plasma from Grifols from the two plasma collection centers that were transferred to BPC on January 1, 2019 at a price equal to cost plus five percent (5%) (without any additional increase due to inflation).</w:t>
      </w:r>
    </w:p>
    <w:p>
      <w:pPr>
        <w:sectPr>
          <w:pgSz w:w="11900" w:h="16838" w:orient="portrait"/>
          <w:cols w:equalWidth="0" w:num="1">
            <w:col w:w="11240"/>
          </w:cols>
          <w:pgMar w:left="320" w:top="229" w:right="339" w:bottom="992"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992" w:gutter="0" w:footer="0" w:header="0"/>
          <w:type w:val="continuous"/>
        </w:sectPr>
      </w:pPr>
    </w:p>
    <w:bookmarkStart w:id="20" w:name="page21"/>
    <w:bookmarkEnd w:id="2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6, 2017, the Company and BPC entered into a Plasma Purchase Agreement (the “2017 Plasma</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NSP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 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 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79"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The Company purchases substantially all of its raw material plasma from Grifols. For the three months ended March 31, 2020, plasma purchases from Grifols totaled approximately $2.0 million, representing approximately 46% of the Company’s total inventory purchases. For the three months ended March 31, 2019, plasma purchases from BPC totaled $0.2 million, or approximately 11% of the Company’s total inventory purchases.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as such ADMA has assumed the remaining obligations, and the costs of the studies will be expensed as incurred as research and development expenses. The Company currently expects both studies to be completed by the end of 2021.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This study is required to be completed by June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contracts</w:t>
      </w:r>
    </w:p>
    <w:p>
      <w:pPr>
        <w:spacing w:after="0" w:line="225" w:lineRule="exact"/>
        <w:rPr>
          <w:sz w:val="20"/>
          <w:szCs w:val="20"/>
          <w:color w:val="auto"/>
        </w:rPr>
      </w:pPr>
    </w:p>
    <w:p>
      <w:pPr>
        <w:jc w:val="both"/>
        <w:ind w:right="440" w:firstLine="648"/>
        <w:spacing w:after="0" w:line="342" w:lineRule="auto"/>
        <w:rPr>
          <w:sz w:val="20"/>
          <w:szCs w:val="20"/>
          <w:color w:val="auto"/>
        </w:rPr>
      </w:pPr>
      <w:r>
        <w:rPr>
          <w:rFonts w:ascii="Arial" w:cs="Arial" w:eastAsia="Arial" w:hAnsi="Arial"/>
          <w:sz w:val="16"/>
          <w:szCs w:val="16"/>
          <w:color w:val="auto"/>
        </w:rPr>
        <w:t>The Company has entered into employment agreements with its executive management team consisting of its President and Chief Executive Officer, its Executive Vice President, Chief Medical Officer and Chief Scientific Officer and its Executive Vice President and Chief Financial Officer.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2020.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Company is engaged in the manufacture, marketing and development of specialty plasma-derived biologics. The Company’s ADMA BioManufacturing segment reflects the Company’s immune globulin manufacturing, commercial and development operations in Boca Raton, FL, acquired on June 6, 2017 (see Note 1). The Plasma Collection Centers segment consists of one FDA-licensed source plasma collection facility, with two additional plasma collection centers currently under construction.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ADMA</w:t>
            </w:r>
          </w:p>
        </w:tc>
        <w:tc>
          <w:tcPr>
            <w:tcW w:w="2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34"/>
        </w:trPr>
        <w:tc>
          <w:tcPr>
            <w:tcW w:w="47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BioManufacturing</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Centers</w:t>
            </w:r>
          </w:p>
        </w:tc>
        <w:tc>
          <w:tcPr>
            <w:tcW w:w="20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r>
      <w:tr>
        <w:trPr>
          <w:trHeight w:val="210"/>
        </w:trPr>
        <w:tc>
          <w:tcPr>
            <w:tcW w:w="47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7,743,275</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2,420,761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10,199,744</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14,451,954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2,377,272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16,829,226</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(12,476,144)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(3,836,487)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(16,769,786)</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(238,873)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(2,236,571)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(2,475,444)</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(12,715,017)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(6,073,058)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(19,245,230)</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1,914,614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160,262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2,074,876</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674,973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788,838</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104,645,897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5,376,807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100,501,123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210,523,827</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r>
      <w:tr>
        <w:trPr>
          <w:trHeight w:val="507"/>
        </w:trPr>
        <w:tc>
          <w:tcPr>
            <w:tcW w:w="3300" w:type="dxa"/>
            <w:vAlign w:val="bottom"/>
          </w:tcPr>
          <w:p>
            <w:pPr>
              <w:spacing w:after="0"/>
              <w:rPr>
                <w:sz w:val="24"/>
                <w:szCs w:val="24"/>
                <w:color w:val="auto"/>
              </w:rPr>
            </w:pPr>
          </w:p>
        </w:tc>
        <w:tc>
          <w:tcPr>
            <w:tcW w:w="484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rPr>
              <w:t>ADMA BIOLOGICS, INC. AND SUBSIDIARIES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9580" w:type="dxa"/>
            <w:vAlign w:val="bottom"/>
            <w:gridSpan w:val="10"/>
          </w:tcPr>
          <w:p>
            <w:pPr>
              <w:jc w:val="center"/>
              <w:ind w:left="159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33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8"/>
                <w:szCs w:val="18"/>
                <w:b w:val="1"/>
                <w:bCs w:val="1"/>
                <w:color w:val="auto"/>
                <w:w w:val="92"/>
              </w:rPr>
              <w:t>Three Months Ended March 31, 2019</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ADMA</w:t>
            </w:r>
          </w:p>
        </w:tc>
        <w:tc>
          <w:tcPr>
            <w:tcW w:w="220" w:type="dxa"/>
            <w:vAlign w:val="bottom"/>
          </w:tcPr>
          <w:p>
            <w:pPr>
              <w:spacing w:after="0"/>
              <w:rPr>
                <w:sz w:val="16"/>
                <w:szCs w:val="16"/>
                <w:color w:val="auto"/>
              </w:rPr>
            </w:pPr>
          </w:p>
        </w:tc>
        <w:tc>
          <w:tcPr>
            <w:tcW w:w="17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BioManufacturing</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Centers</w:t>
            </w:r>
          </w:p>
        </w:tc>
        <w:tc>
          <w:tcPr>
            <w:tcW w:w="20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b w:val="1"/>
                <w:bCs w:val="1"/>
                <w:color w:val="auto"/>
                <w:w w:val="92"/>
              </w:rPr>
              <w:t>Consolidated</w:t>
            </w:r>
          </w:p>
        </w:tc>
      </w:tr>
      <w:tr>
        <w:trPr>
          <w:trHeight w:val="209"/>
        </w:trPr>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1,343,983</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2,148,898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3,528,589</w:t>
            </w:r>
          </w:p>
        </w:tc>
      </w:tr>
      <w:tr>
        <w:trPr>
          <w:trHeight w:val="216"/>
        </w:trPr>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7,940,346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1,464,833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9,405,179</w:t>
            </w:r>
          </w:p>
        </w:tc>
      </w:tr>
      <w:tr>
        <w:trPr>
          <w:trHeight w:val="216"/>
        </w:trPr>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(10,620,807)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(2,617,188)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(13,208,416)</w:t>
            </w:r>
          </w:p>
        </w:tc>
      </w:tr>
      <w:tr>
        <w:trPr>
          <w:trHeight w:val="216"/>
        </w:trPr>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(1,424,465)</w:t>
            </w:r>
          </w:p>
        </w:tc>
      </w:tr>
      <w:tr>
        <w:trPr>
          <w:trHeight w:val="216"/>
        </w:trPr>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11,527,421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11,527,421</w:t>
            </w:r>
          </w:p>
        </w:tc>
      </w:tr>
      <w:tr>
        <w:trPr>
          <w:trHeight w:val="216"/>
        </w:trPr>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r>
      <w:tr>
        <w:trPr>
          <w:trHeight w:val="216"/>
        </w:trPr>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(10,790,420)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11,570,620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(13,848,155)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(13,067,955)</w:t>
            </w:r>
          </w:p>
        </w:tc>
      </w:tr>
      <w:tr>
        <w:trPr>
          <w:trHeight w:val="216"/>
        </w:trPr>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110,453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110,453</w:t>
            </w:r>
          </w:p>
        </w:tc>
      </w:tr>
      <w:tr>
        <w:trPr>
          <w:trHeight w:val="216"/>
        </w:trPr>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687,393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114,241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805,330</w:t>
            </w:r>
          </w:p>
        </w:tc>
      </w:tr>
      <w:tr>
        <w:trPr>
          <w:trHeight w:val="216"/>
        </w:trPr>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57,529,070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4,038,367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16,552,533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78,119,970</w:t>
            </w:r>
          </w:p>
        </w:tc>
      </w:tr>
    </w:tbl>
    <w:p>
      <w:pPr>
        <w:spacing w:after="0" w:line="19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PLASMA CENTER ASSETS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part of the purchase price for the Biotest Transaction (see Note 1), the Company transferred its Marietta, GA and Norcross, GA plasma collection centers to BPC effective January 1, 2019. The Company had estimated the combined fair value of the two facilities to be $12.6 million, and the Company recorded an obligation for this amount as of the date of the Biotest Transaction. On January 1, 2019, upon the transfer of the two plasma collection facilities to BPC, the Company recorded a gain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18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leases certain properties and equipment for its ADMA Bio Centers subsidiary and certain equipment for its ADMA BioManufacturing subsidiary, which leases provide the right to use the underlying assets and require lease payments through the respective lease terms which expire at various dates through 2030. The Company’s lease agreements do not contain any material residual value guarantees or material restrictive covenants.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of 13%. The Company’s operating lease expense is recognized on a straight-line basis over the lease term and is reflected in Plasma center operating expenses and Selling, general and administrative expenses. Aggregate lease expense and cash paid for the Company’s operating leases for the three months ended March 31, 2020 and 2019 was $0.1 million.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ind w:left="102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connection with the adoption of ASU 2016-02 on January 1, 2019 (see Note 2), the Company recognized right to use assets of $1.4 million and lease liabilities of approximately $1.6 million. On July 11, 2019, the Company entered into a new property lease where the Company intends to construct a new plasma collection facility, and the lease commencement date for this property was February 1, 2020. In connection with this lease the Company recognized a lease liability and corresponding right-to-use asset in the amount $0.5 million. The right-to-use assets are reflected in Deposits and other assets in the accompanying consolidated balance sheets. Including a finance lease the Company entered into in June 2018, the Company has aggregate lease liabilities of $2.0 million and $1.5 million as of March 31, 2020 and December 31, 2019, respectively, which are comprised primarily of the lease for the Company’s plasma collection centers and an administrative office lease in Roswell, GA related to the Company’s ADMA Bio Centers subsidiary. The Company’s operating leases have a weighted average remaining term of 7.5 years. Scheduled payments under the Company’s lease obligations are as follows:</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300" w:type="dxa"/>
            <w:vAlign w:val="bottom"/>
            <w:shd w:val="clear" w:color="auto" w:fill="CCEEFF"/>
          </w:tcPr>
          <w:p>
            <w:pPr>
              <w:jc w:val="right"/>
              <w:ind w:right="6430"/>
              <w:spacing w:after="0"/>
              <w:rPr>
                <w:sz w:val="20"/>
                <w:szCs w:val="20"/>
                <w:color w:val="auto"/>
              </w:rPr>
            </w:pPr>
            <w:r>
              <w:rPr>
                <w:rFonts w:ascii="Arial" w:cs="Arial" w:eastAsia="Arial" w:hAnsi="Arial"/>
                <w:sz w:val="18"/>
                <w:szCs w:val="18"/>
                <w:color w:val="auto"/>
              </w:rPr>
              <w:t>Remainder of 2020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320,128</w:t>
            </w:r>
          </w:p>
        </w:tc>
      </w:tr>
      <w:tr>
        <w:trPr>
          <w:trHeight w:val="216"/>
        </w:trPr>
        <w:tc>
          <w:tcPr>
            <w:tcW w:w="9300" w:type="dxa"/>
            <w:vAlign w:val="bottom"/>
          </w:tcPr>
          <w:p>
            <w:pPr>
              <w:jc w:val="right"/>
              <w:ind w:right="6430"/>
              <w:spacing w:after="0"/>
              <w:rPr>
                <w:sz w:val="20"/>
                <w:szCs w:val="20"/>
                <w:color w:val="auto"/>
              </w:rPr>
            </w:pPr>
            <w:r>
              <w:rPr>
                <w:rFonts w:ascii="Arial" w:cs="Arial" w:eastAsia="Arial" w:hAnsi="Arial"/>
                <w:sz w:val="18"/>
                <w:szCs w:val="18"/>
                <w:color w:val="auto"/>
              </w:rPr>
              <w:t>Year ended December 31, 2021</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481,708</w:t>
            </w:r>
          </w:p>
        </w:tc>
      </w:tr>
      <w:tr>
        <w:trPr>
          <w:trHeight w:val="216"/>
        </w:trPr>
        <w:tc>
          <w:tcPr>
            <w:tcW w:w="9300" w:type="dxa"/>
            <w:vAlign w:val="bottom"/>
            <w:shd w:val="clear" w:color="auto" w:fill="CCEEFF"/>
          </w:tcPr>
          <w:p>
            <w:pPr>
              <w:jc w:val="right"/>
              <w:ind w:right="643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480,982</w:t>
            </w:r>
          </w:p>
        </w:tc>
      </w:tr>
      <w:tr>
        <w:trPr>
          <w:trHeight w:val="216"/>
        </w:trPr>
        <w:tc>
          <w:tcPr>
            <w:tcW w:w="9300" w:type="dxa"/>
            <w:vAlign w:val="bottom"/>
          </w:tcPr>
          <w:p>
            <w:pPr>
              <w:jc w:val="right"/>
              <w:ind w:right="643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461,853</w:t>
            </w:r>
          </w:p>
        </w:tc>
      </w:tr>
      <w:tr>
        <w:trPr>
          <w:trHeight w:val="216"/>
        </w:trPr>
        <w:tc>
          <w:tcPr>
            <w:tcW w:w="9300" w:type="dxa"/>
            <w:vAlign w:val="bottom"/>
            <w:shd w:val="clear" w:color="auto" w:fill="CCEEFF"/>
          </w:tcPr>
          <w:p>
            <w:pPr>
              <w:jc w:val="right"/>
              <w:ind w:right="643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417,721</w:t>
            </w:r>
          </w:p>
        </w:tc>
      </w:tr>
      <w:tr>
        <w:trPr>
          <w:trHeight w:val="229"/>
        </w:trPr>
        <w:tc>
          <w:tcPr>
            <w:tcW w:w="9300" w:type="dxa"/>
            <w:vAlign w:val="bottom"/>
            <w:tcBorders>
              <w:bottom w:val="single" w:sz="8" w:color="CCEEFF"/>
            </w:tcBorders>
          </w:tcPr>
          <w:p>
            <w:pPr>
              <w:jc w:val="right"/>
              <w:ind w:right="643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978,007</w:t>
            </w:r>
          </w:p>
        </w:tc>
      </w:tr>
      <w:tr>
        <w:trPr>
          <w:trHeight w:val="209"/>
        </w:trPr>
        <w:tc>
          <w:tcPr>
            <w:tcW w:w="9300" w:type="dxa"/>
            <w:vAlign w:val="bottom"/>
            <w:shd w:val="clear" w:color="auto" w:fill="CCEEFF"/>
          </w:tcPr>
          <w:p>
            <w:pPr>
              <w:jc w:val="right"/>
              <w:ind w:right="6430"/>
              <w:spacing w:after="0"/>
              <w:rPr>
                <w:sz w:val="20"/>
                <w:szCs w:val="20"/>
                <w:color w:val="auto"/>
              </w:rPr>
            </w:pPr>
            <w:r>
              <w:rPr>
                <w:rFonts w:ascii="Arial" w:cs="Arial" w:eastAsia="Arial" w:hAnsi="Arial"/>
                <w:sz w:val="18"/>
                <w:szCs w:val="18"/>
                <w:color w:val="auto"/>
              </w:rPr>
              <w:t>Total payments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3,140,399</w:t>
            </w:r>
          </w:p>
        </w:tc>
      </w:tr>
      <w:tr>
        <w:trPr>
          <w:trHeight w:val="216"/>
        </w:trPr>
        <w:tc>
          <w:tcPr>
            <w:tcW w:w="9300" w:type="dxa"/>
            <w:vAlign w:val="bottom"/>
          </w:tcPr>
          <w:p>
            <w:pPr>
              <w:jc w:val="right"/>
              <w:ind w:right="643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(1,114,773)</w:t>
            </w:r>
          </w:p>
        </w:tc>
      </w:tr>
      <w:tr>
        <w:trPr>
          <w:trHeight w:val="229"/>
        </w:trPr>
        <w:tc>
          <w:tcPr>
            <w:tcW w:w="9300" w:type="dxa"/>
            <w:vAlign w:val="bottom"/>
            <w:shd w:val="clear" w:color="auto" w:fill="CCEEFF"/>
          </w:tcPr>
          <w:p>
            <w:pPr>
              <w:jc w:val="right"/>
              <w:ind w:right="6430"/>
              <w:spacing w:after="0"/>
              <w:rPr>
                <w:sz w:val="20"/>
                <w:szCs w:val="20"/>
                <w:color w:val="auto"/>
              </w:rPr>
            </w:pPr>
            <w:r>
              <w:rPr>
                <w:rFonts w:ascii="Arial" w:cs="Arial" w:eastAsia="Arial" w:hAnsi="Arial"/>
                <w:sz w:val="18"/>
                <w:szCs w:val="18"/>
                <w:color w:val="auto"/>
              </w:rPr>
              <w:t>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(193,987)</w:t>
            </w:r>
          </w:p>
        </w:tc>
      </w:tr>
      <w:tr>
        <w:trPr>
          <w:trHeight w:val="223"/>
        </w:trPr>
        <w:tc>
          <w:tcPr>
            <w:tcW w:w="9300" w:type="dxa"/>
            <w:vAlign w:val="bottom"/>
          </w:tcPr>
          <w:p>
            <w:pPr>
              <w:jc w:val="right"/>
              <w:ind w:right="6430"/>
              <w:spacing w:after="0"/>
              <w:rPr>
                <w:sz w:val="20"/>
                <w:szCs w:val="20"/>
                <w:color w:val="auto"/>
              </w:rPr>
            </w:pPr>
            <w:r>
              <w:rPr>
                <w:rFonts w:ascii="Arial" w:cs="Arial" w:eastAsia="Arial" w:hAnsi="Arial"/>
                <w:sz w:val="18"/>
                <w:szCs w:val="18"/>
                <w:color w:val="auto"/>
              </w:rPr>
              <w:t>Balance at March 31, 2020</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1,831,639</w:t>
            </w:r>
          </w:p>
        </w:tc>
      </w:tr>
      <w:tr>
        <w:trPr>
          <w:trHeight w:val="20"/>
        </w:trPr>
        <w:tc>
          <w:tcPr>
            <w:tcW w:w="9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April 15, 2020, the Company had entered into two additional property leases where the Company intends to construct new plasma collection facilities. The Company has not taken possession of these two leased properties and their lease commencement dates have not been determined. With the exception of advance deposits and initial months’ rent totaling approximately $63,000, no payments have been made under these leases. The initial terms of each lease are from 10 to 11 years with monthly rental payments varying between approximately $13,000 and $27,000, including common area maintenance charges.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13. SUPPLEMENTAL DISCLOSURE OF CASH FLOW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760" w:type="dxa"/>
            <w:vAlign w:val="bottom"/>
            <w:gridSpan w:val="2"/>
          </w:tcPr>
          <w:p>
            <w:pPr>
              <w:ind w:left="320"/>
              <w:spacing w:after="0"/>
              <w:rPr>
                <w:sz w:val="20"/>
                <w:szCs w:val="20"/>
                <w:color w:val="auto"/>
              </w:rPr>
            </w:pPr>
            <w:r>
              <w:rPr>
                <w:rFonts w:ascii="Arial" w:cs="Arial" w:eastAsia="Arial" w:hAnsi="Arial"/>
                <w:sz w:val="18"/>
                <w:szCs w:val="18"/>
                <w:color w:val="auto"/>
                <w:w w:val="90"/>
              </w:rPr>
              <w:t>Supplemental cash flow information for the three months ended March 31, 2020 and 2019 is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Borders>
              <w:bottom w:val="single" w:sz="8" w:color="CCEEFF"/>
            </w:tcBorders>
          </w:tcPr>
          <w:p>
            <w:pPr>
              <w:spacing w:after="0"/>
              <w:rPr>
                <w:sz w:val="24"/>
                <w:szCs w:val="24"/>
                <w:color w:val="auto"/>
              </w:rPr>
            </w:pPr>
          </w:p>
        </w:tc>
        <w:tc>
          <w:tcPr>
            <w:tcW w:w="5360" w:type="dxa"/>
            <w:vAlign w:val="bottom"/>
            <w:tcBorders>
              <w:bottom w:val="single" w:sz="8" w:color="CCEEFF"/>
            </w:tcBorders>
          </w:tcPr>
          <w:p>
            <w:pPr>
              <w:spacing w:after="0"/>
              <w:rPr>
                <w:sz w:val="24"/>
                <w:szCs w:val="24"/>
                <w:color w:val="auto"/>
              </w:rPr>
            </w:pPr>
          </w:p>
        </w:tc>
        <w:tc>
          <w:tcPr>
            <w:tcW w:w="24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2,017,866</w:t>
            </w:r>
          </w:p>
        </w:tc>
        <w:tc>
          <w:tcPr>
            <w:tcW w:w="220" w:type="dxa"/>
            <w:vAlign w:val="bottom"/>
          </w:tcPr>
          <w:p>
            <w:pPr>
              <w:spacing w:after="0"/>
              <w:rPr>
                <w:sz w:val="24"/>
                <w:szCs w:val="2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1,369,939</w:t>
            </w:r>
          </w:p>
        </w:tc>
        <w:tc>
          <w:tcPr>
            <w:tcW w:w="0" w:type="dxa"/>
            <w:vAlign w:val="bottom"/>
          </w:tcPr>
          <w:p>
            <w:pPr>
              <w:spacing w:after="0"/>
              <w:rPr>
                <w:sz w:val="1"/>
                <w:szCs w:val="1"/>
                <w:color w:val="auto"/>
              </w:rPr>
            </w:pPr>
          </w:p>
        </w:tc>
      </w:tr>
      <w:tr>
        <w:trPr>
          <w:trHeight w:val="196"/>
        </w:trPr>
        <w:tc>
          <w:tcPr>
            <w:tcW w:w="81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2,340,337</w:t>
            </w:r>
          </w:p>
        </w:tc>
        <w:tc>
          <w:tcPr>
            <w:tcW w:w="220" w:type="dxa"/>
            <w:vAlign w:val="bottom"/>
          </w:tcPr>
          <w:p>
            <w:pPr>
              <w:spacing w:after="0"/>
              <w:rPr>
                <w:sz w:val="24"/>
                <w:szCs w:val="2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35,823</w:t>
            </w:r>
          </w:p>
        </w:tc>
        <w:tc>
          <w:tcPr>
            <w:tcW w:w="0" w:type="dxa"/>
            <w:vAlign w:val="bottom"/>
          </w:tcPr>
          <w:p>
            <w:pPr>
              <w:spacing w:after="0"/>
              <w:rPr>
                <w:sz w:val="1"/>
                <w:szCs w:val="1"/>
                <w:color w:val="auto"/>
              </w:rPr>
            </w:pPr>
          </w:p>
        </w:tc>
      </w:tr>
      <w:tr>
        <w:trPr>
          <w:trHeight w:val="197"/>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76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Right-to-use assets obtained in exchange for lease obligations</w:t>
            </w: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545,630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1,404,281</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Warrants issued in connection with notes payable</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vMerge w:val="continue"/>
          </w:tcPr>
          <w:p>
            <w:pPr>
              <w:spacing w:after="0"/>
              <w:rPr>
                <w:sz w:val="17"/>
                <w:szCs w:val="17"/>
                <w:color w:val="auto"/>
              </w:rPr>
            </w:pPr>
          </w:p>
        </w:tc>
        <w:tc>
          <w:tcPr>
            <w:tcW w:w="7760" w:type="dxa"/>
            <w:vAlign w:val="bottom"/>
            <w:gridSpan w:val="2"/>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2,699,208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2019, filed on March 13, 2020 (the “2019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ADMA Biologics, Inc. (the “Company,” “ADMA,” “we,” “us” or “our”) is an end-to-end commercial biopharmaceutical and specialty immunoglobulin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71" w:lineRule="exact"/>
        <w:rPr>
          <w:sz w:val="20"/>
          <w:szCs w:val="20"/>
          <w:color w:val="auto"/>
        </w:rPr>
      </w:pPr>
    </w:p>
    <w:p>
      <w:pPr>
        <w:ind w:right="240" w:firstLine="648"/>
        <w:spacing w:after="0" w:line="269" w:lineRule="auto"/>
        <w:rPr>
          <w:sz w:val="20"/>
          <w:szCs w:val="20"/>
          <w:color w:val="auto"/>
        </w:rPr>
      </w:pPr>
      <w:r>
        <w:rPr>
          <w:rFonts w:ascii="Arial" w:cs="Arial" w:eastAsia="Arial" w:hAnsi="Arial"/>
          <w:sz w:val="17"/>
          <w:szCs w:val="17"/>
          <w:color w:val="auto"/>
        </w:rPr>
        <w:t>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for the commercial re-launch of the product and commenced the re-launch in August 2019; (ii) ASCENIV (Immune Globulin Intravenous, Human – slra 10% Liquid), previously referred to as RI-002,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S. pneumonia infection for an immunoglobulin manufactured to contain standardized antibodies to numerous serotypes of S. pneumonia. Our products and product candidates are intended to be used by physician specialists focused on caring for immune-compromised patients with or at risk for certain infectious diseases.</w:t>
      </w:r>
    </w:p>
    <w:p>
      <w:pPr>
        <w:spacing w:after="0" w:line="182"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Through ADMA Bio Centers, we currently operate one FDA-approved source plasma collection facility in the U.S., which provides us with a portion of our blood plasma for the manufacture of our products and product candidates, and we have two additional plasma collection centers currently under construction. We intend to open five to 10 additional plasma collection centers in the U.S. during the next three to five years.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is sold to third-party customers in the U.S. and in other locations outside the U.S. where we are approved under supply agreements or in the open “spot” market.</w:t>
      </w:r>
    </w:p>
    <w:p>
      <w:pPr>
        <w:spacing w:after="0" w:line="17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sell plasma-derived intermediate fractions to certain customers, which are generated as part of our FDA-approved manufacturing process for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services for certain historical clients.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On June 6, 2017, we completed the acquisition of certain assets (the “Biotest Assets”) of the Therapy Business Unit (“BTBU”) of BPC Plasma, Inc. (formerly Biotest Pharmaceuticals Corporation) (“BPC” and, together with Biotest AG, “Biotest”), which included two FDA-licensed products, Nabi-HB and BIVIGAM, and an FDA-licensed plasma fractionation facility located in Boca Raton, FL (the “Boca Facility”) (the “Biotest Transaction”).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 BPC had originally received FDA approval for BIVIGAM on December 19, 2012, prior to our acquisition of BTBU, and product sales had commenced in the first quarter of 2013. On May 9, 2019, the FDA approved the Prior Approval Supplement (the “PAS”) for the use of our IVIG manufacturing process, thereby enabling us to re-launch and commercialize this product in the United States. We resumed production of BIVIGAM during the fourth quarter of 2017 after the closing of the Biotest Transaction and commercial production is ongoing, using our FDA-approved IVIG manufacturing process under U.S. Department of Health and Human Services (“HHS”) License No. 2019. The commercial re-launch and first commercial sales commenced in August of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As part of our proprietary manufacturing process for ASCENIV, we leverage our unique, patented plasma donor screening methodology and tailored plasma pooling design, which blends normal source plasma and plasma from donors tested to have high levels of neutralizing titers to RSV using our proprietary microneutralization assay. We are able to identify the high titer plasma that meets our internal specifications for ASCENIV with our patented testing assay. This type of high titer plasma is typically found in less than 10% of the total donor collection samples we test.</w:t>
      </w:r>
    </w:p>
    <w:p>
      <w:pPr>
        <w:spacing w:after="0" w:line="19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ASCENIV is approved for the treatment of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We plan to work with the FDA and the immunology and infectious disease community to design a clinical trial to evaluate the use of ASCENIV in this patient population in the near future. Commercial sales of ASCENIV commenced in October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realizable value of accounts receivable, valuation of inventory,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6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elsewhere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Revenues for the three months ended March 31, 2020 and 2019 are comprised of (i) revenues from the sale of our FDA-approved immunoglobulin products, (ii) product revenues from the sale of human plasma collected from our Plasma Collection Centers business segment, (iii) product revenues from the sale of intermediate fractions, (iv) contract manufacturing revenue from certain clients; and (v) license revenues attributable to the out-licensing of ASCENIV in December 2012 to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recognized over the term of the Biotest license. Deferred revenue is amortized into income for a period of approximately 22 years, the term of the Biotest license agreement.</w:t>
      </w:r>
    </w:p>
    <w:p>
      <w:pPr>
        <w:spacing w:after="0" w:line="17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immunoglobulin products is generally recognized when the product reaches the customer’s destination, and is recorded net of distributor fees, estimated rebates, price protection arrangements and customer incentives, including prompt pay discounts, wholesaler chargebacks and other wholesaler fees. These estimates are based on historical experience and certain other assumptions, and we believe that such estimates are reasonable. For revenues associated with contract manufacturing and sales of our intermediates, control transfers to the customer and the performance obligation is satisfied when the customer takes possession of the product from the Boca Facility or a third-party warehouse that is utilized by the Company.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 Payments received from customers where the foregoing revenue recognition criteria have not been satisfied are recorded as deferred revenue, which is reflected as a liability in our consolidated balance sheets.</w:t>
      </w:r>
    </w:p>
    <w:p>
      <w:pPr>
        <w:spacing w:after="0" w:line="17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 the three months ended March 31, 2020, three customers represented an aggregate of 82% of our consolidated revenues, with BioCARE, Inc. (“BioCare”), Biolife Plasma Services, L.P. (“Biolife”) and Reliance Life Sciences Pvt Limited (“Reliance”) representing approximately 43%, 24%, and 15%, respectively, of our consolidated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Costs of production for ASCENIV and BIVIGAM prior to their FDA approval dates of April 1, 2019 and May 9, 2019, respectively, were not capitalized into inventory but were instead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All equity-based payments, including grants of stock options and restricted stock units (“RSUs”) are recognized at their estimated fair value at the grant date, and compensation expense is recognized on a straight-line basis over the grantee’s requisite vesting period. During the three months ended March 31, 2020, we granted RSUs to our Board of Directors and certain members of our management and employees representing an aggregate of 341,000 shares of common stock, 7,500 of which were forfeited during the period. For the purpose of valuing stock options granted to our employees, directors and officers, we use the Black-Scholes option pricing model. We granted options to purchase an aggregate of 1,158,900 and 1,335,850 shares of common stock during the three months ended March 31, 2020 and 2019, respectively. To determine the risk-free interest rate, we utilized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In accordance with Accounting Standards Update (“ASU”) No.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we have elected not to establish a forfeiture rate, as stock-based compensation expense related to forfeitures of unvested stock options is fully reversed at the time of forfeiture.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research and development (“R&amp;D”) costs consist of clinical research organization costs, costs related to clinical trials, studies for potentially extending a product’s approved and labeled expiration dating and other potential label expansions, post-marketing commitment studies for BIVIGAM and ASCENIV, wages, benefits and stock-based compensation for employees directly related to research and development activities and, prior to April 1, 2019, assay development and testing, storage and transportation costs for high-titer plasma used in the manufacture of ASCENIV. All research and development costs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March 31, 2020 and 2019, we determined that there was no impairment of our long-lived assets.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the reporting unit associated with the goodwill is less than its carrying amount, including goodwill and other intangible assets. If we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years ended March 31, 2020 and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In June 2016, the Financial Accounting Standards Board (the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(Topic 326) </w:t>
      </w:r>
      <w:r>
        <w:rPr>
          <w:rFonts w:ascii="Arial" w:cs="Arial" w:eastAsia="Arial" w:hAnsi="Arial"/>
          <w:sz w:val="17"/>
          <w:szCs w:val="17"/>
          <w:color w:val="auto"/>
        </w:rPr>
        <w:t>(“ASU 2016-13”), which requires financial assets to be presented at the net amount expected to be collected,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We adopted ASU No. 2016-13, and the adoption of this update did not have a significant impact on our consolidated financial statements.</w:t>
      </w:r>
    </w:p>
    <w:p>
      <w:pPr>
        <w:spacing w:after="0" w:line="17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 (Topic 815)</w:t>
      </w:r>
      <w:r>
        <w:rPr>
          <w:rFonts w:ascii="Arial" w:cs="Arial" w:eastAsia="Arial" w:hAnsi="Arial"/>
          <w:sz w:val="17"/>
          <w:szCs w:val="17"/>
          <w:color w:val="auto"/>
        </w:rPr>
        <w:t>” (“ASU 2017-11”). ASU 2017-11 changed the classification analysis of certain equity-linked financial instruments (or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w:t>
      </w:r>
      <w:r>
        <w:rPr>
          <w:rFonts w:ascii="Arial" w:cs="Arial" w:eastAsia="Arial" w:hAnsi="Arial"/>
          <w:sz w:val="17"/>
          <w:szCs w:val="17"/>
          <w:i w:val="1"/>
          <w:iCs w:val="1"/>
          <w:color w:val="auto"/>
        </w:rPr>
        <w:t>Debt—Debt with Conversion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Options.</w:t>
      </w:r>
      <w:r>
        <w:rPr>
          <w:rFonts w:ascii="Arial" w:cs="Arial" w:eastAsia="Arial" w:hAnsi="Arial"/>
          <w:sz w:val="17"/>
          <w:szCs w:val="17"/>
          <w:color w:val="auto"/>
        </w:rPr>
        <w:t>” ASU 2017-11 became effective for us on January 1, 2019, and this update did not have a significant impact on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w:t>
      </w:r>
    </w:p>
    <w:p>
      <w:pPr>
        <w:spacing w:after="0" w:line="17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(“ASU 2016-02”), which requires lessees to recognize assets and liabilities for the rights and obligations created by most leases on their balance sheet. The guidance became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We adopted ASU 2016-02 on January 1, 2019 using the option to recognize the cumulative-effect adjustment, if any, as of the date of application, which was also January 1, 2019. As a result, there was no restatement of comparative periods. We recognized right-to-use assets of approximately $1.4 million and corresponding lease liabilities of approximately $1.6 million at the date of adoption. We also elected the “package of practical expedients,” which permits us to not reassess under the new standard our prior conclusions about lease identification, lease classification and initial direct costs. In addition, we elected the short-term lease recognition exemption for all or embedded leases that qualify.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March 31, 2020, our first fiscal quarter, compared to the three months ended March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160" w:type="dxa"/>
            <w:vAlign w:val="bottom"/>
            <w:tcBorders>
              <w:bottom w:val="single" w:sz="8" w:color="auto"/>
            </w:tcBorders>
          </w:tcPr>
          <w:p>
            <w:pPr>
              <w:spacing w:after="0"/>
              <w:rPr>
                <w:sz w:val="20"/>
                <w:szCs w:val="20"/>
                <w:color w:val="auto"/>
              </w:rPr>
            </w:pPr>
          </w:p>
        </w:tc>
      </w:tr>
      <w:tr>
        <w:trPr>
          <w:trHeight w:val="191"/>
        </w:trPr>
        <w:tc>
          <w:tcPr>
            <w:tcW w:w="5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Increase</w:t>
            </w:r>
          </w:p>
        </w:tc>
      </w:tr>
      <w:tr>
        <w:trPr>
          <w:trHeight w:val="234"/>
        </w:trPr>
        <w:tc>
          <w:tcPr>
            <w:tcW w:w="58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(Decrease)</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10,199,744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3,528,589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6,671,155</w:t>
            </w:r>
          </w:p>
        </w:tc>
      </w:tr>
      <w:tr>
        <w:trPr>
          <w:trHeight w:val="229"/>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Cost of product revenue (exclusive of amortization expense shown below)</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16,829,226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9,405,179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7,424,047</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(6,629,482)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(5,876,590)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(752,892)</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1,528,738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870,635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658,103</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500,644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654,486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(153,842)</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178,838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(32,397)</w:t>
            </w:r>
          </w:p>
        </w:tc>
      </w:tr>
      <w:tr>
        <w:trPr>
          <w:trHeight w:val="22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7,932,084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5,595,470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2,336,614</w:t>
            </w: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(16,769,786)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(13,208,416)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(3,561,370)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(2,717,091)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(1,176,584)</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9,962,495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11,527,421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(11,527,421)</w:t>
            </w:r>
          </w:p>
        </w:tc>
      </w:tr>
      <w:tr>
        <w:trPr>
          <w:trHeight w:val="230"/>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net</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241,647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116,042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125,605</w:t>
            </w:r>
          </w:p>
        </w:tc>
      </w:tr>
      <w:tr>
        <w:trPr>
          <w:trHeight w:val="223"/>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(19,245,230)</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(13,067,955)</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(6,177,275)</w:t>
            </w:r>
          </w:p>
        </w:tc>
      </w:tr>
      <w:tr>
        <w:trPr>
          <w:trHeight w:val="20"/>
        </w:trPr>
        <w:tc>
          <w:tcPr>
            <w:tcW w:w="5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recorded total revenues of $10.2 million during the three months ended March 31, 2020, as compared to $3.5 million during the three months ended March 31, 2019, an increase of $6.7 million, or approximately 189%. The increase is mainly due to increased sales and production throughput of our immunoglobulin products generated by our Boca Facility manufacturing operations in 2020 totaling $6.4 million, and to a $0.3 million increase in plasma revenues generated by our plasma collection facility in 2020 as compared to the same period of a year ago. Our revenues for the first quarter of 2020 as compared to the first quarter of 2019 were favorably impacted by the FDA approvals of BIVIGAM and ASCENIV on May 9, 2019 and April 1, 2019, respectively, and by the manufacturing and supply agreement we entered into in January 2020 to produce and sell intermediate fractions to a certain customer.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Cost of product revenue was $16.8 million for the three months ended March 31, 2020, as compared to $9.4 million for the three months ended March 31, 2019, an increase of $7.4 million. The increase reflects $3.9 million in production costs incurred for the manufacture of BIVIGAM conformance lots at an increased plasma pool production scale which pertains to our planned capacity expansion and other production initiatives and investments at the Boca Facility. Because we will require a new PAS from the FDA before the inventory comprising these conformance lots will be available for commercial sale, these costs were expensed as incurred and were not capitalized into inventory. We also experienced increased costs of product revenue in 2020 of approximately $3.9 million related to the increased sales of our immunoglobulin products and $0.9 million related to the increased plasma sales, partially offset by a decrease in unabsorbed manufacturing expenses at the Boca Facility in the amount of $1.9 million related to increased production during the first quarter of 2020 as compared with the first quarter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R&amp;D expenses totaled $1.5 million for the three months ended March 31, 2020, as compared to $0.9 million for the three months ended March 31, 2019. The increase represents $0.4 million of costs incurred during 2020 for a study we commenced to potentially extend ASCENIV’s approved and labeled expiration dating, and to increased expenses for clinical studies related to post-marketing commitments for BIVIGAM, an obligation we assumed in the Biotest Transaction, partially offset by the absence in 2020 of RSV assay and other testing, storage and transportation costs for high-titer plasma used in the manufacture of ASCENIV. As a result of the approval of ASCENIV by the FDA on April 1, 2019, we no longer charge these costs to R&amp;D expense, but instead reflect those costs as part of the cost of the raw material plasma.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Plasma center operating expenses were $0.5 million for the three months ended March 31, 2020, as compared to $0.7 million for the three months ended March 31, 2019.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The decrease in plasma center operating expenses is mainly attributable to increased absorption of plasma center operating expenses into inventory resulting from higher source plasma collections at our plasma collection facility in 2020 as compared to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$0.2 million for the three months ended March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Selling, general and administrative (“SG&amp;A”) expenses were $7.9 million for the three months ended March 31, 2020, an increase of $2.3 million from the three months ended March 31, 2019. The increase was mainly due to increases in employee compensation expenses of $1.4 million related to staffing increases in support of our commercialization efforts for BIVIGAM’s relaunch and ASCENIV’s launch and the overall growth in the size and scope of our operations, as well as higher information technology consulting expenses of $0.4 million and $0.4 million in increased insurance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operating loss was $16.8 million for the first quarter of 2020, as compared to $13.2 million for the first quarter of 2019. The $3.6 million increase in operating loss was mainly due to the increases in SG&amp;A and R&amp;D expenses and to the conformance lot production in 2020, partially offset by the increase in revenues and reductions in unabsorbed manufacturing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Interest expense was $2.7 million for the three months ended March 31, 2020, as compared to $1.5 million for the three months ended March 31, 2019. The increase is mainly due to additional loan proceeds we received from our senior lender in May of 2019, when we drew down $27.5 million from our senior credit facility, and to the refinancing of our senior debt in February of 2019, which resulted in an increase in the outstanding principal balance at the time of the transaction from $30 million to $45 million (see “Liquidity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Expenses in the Three Months Ended March 31, 2019</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connection with the foregoing refinancing of our senior credit facility in the first quarter of 2019, we incurred a loss on the extinguishment debt of approximately $10.0 million for the retirement of our previously existing credit facility, consisting of a $6.5 million prepayment penalty, and the write-off of $3.5 million of unamortized debt discount related to the previous credit facility.</w:t>
      </w:r>
    </w:p>
    <w:p>
      <w:pPr>
        <w:spacing w:after="0" w:line="18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As part of the purchase price for the Biotest Assets, we agreed to transfer our Marietta, GA and Norcross, GA plasma collection centers to BPC effective January 1, 2019. We had estimated the combined fair value of the two facilities to be $12.6 million, and we recorded a liability in our financial statements for this amount as of the date of the Biotest Transaction. On January 1, 2019, the two plasma collection facilities were transferred to BPC and we recorded a gain on this transfer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Our net loss was $19.2 million for the three months ended March 31, 2020, as compared to $13.1 million for the three months ended March 31, 2019. The increase in net loss of $6.2 million was primarily due to the increase in operating loss for the quarter of $3.6 million and to the $1.2 million of higher interest expense.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IMPACT OF THE COVID-19 CRISIS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closely monitoring ongoing developments in connection with the COVID-19 global pandemic, which has the potential to adversely impact several aspects of our commercial and manufacturing operations, including but not limited to potential disruptions to our supply-chain operations, including procurement of raw materials and packaging materials, a portion of which are sourced internationally, and testing of finished drug product that is required prior to its availability for commercial sale. Such testing has been performed to date by contract laboratories outside the United States. In addition, travel and other restrictions that have been implemented in the United States could impact our commercial launch efforts with respect to any of our products, including BIVIGAM and ASCENIV, as trade shows, industry and medical conferences and other events we had been planning to utilize and exhibit and attend with our staff to increase awareness of our products by physicians and payers have been cancelled outright or otherwise rescheduled in response to the pandemic.</w:t>
      </w:r>
    </w:p>
    <w:p>
      <w:pPr>
        <w:spacing w:after="0" w:line="192"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To date, the COVID-19 pandemic has not had a significant impact on our financial condition or results of operations. As of the date of this report, we do not believe that the operations and immunoglobulin production at our Boca Facility, our contract fill/finishers or our plasma collection facility have been significantly impacted by the COVID-19 pandemic. As a result, as of the date of this report, we currently do not anticipate any material impairments with respect to any of our long-lived assets, including our property and equipment, goodwill or intangible assets.</w:t>
      </w:r>
    </w:p>
    <w:p>
      <w:pPr>
        <w:spacing w:after="0" w:line="17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Although the COVID-19 pandemic has not, to date, materially adversely impacted our capital and financial resources, due to the economic uncertainty that has resulted from the pandemic, and the potential impact of such to our stakeholders, we are unable to predict with certainty any potential impacts to our business. Additionally, because we are unable to determine the ultimate severity or duration of the outbreak or its long-term effects on, among other things, the global, national or local economies, the capital and credit markets, our workforce, our customers or our suppliers, at this time we are unable to predict whether the COVID-19 crisis will have a material adverse impact on our business, financial condition, liquidity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of March 31, 2020, we had working capital of $151.6 million, including cash and cash equivalents of $101.2 million, and stockholders’ equity of $96.3 million, as compared to working capital of $71.8 million, including cash and cash equivalents of $26.8 million, and stockholders’ equity of $26.2 million as of December 31, 2019. We have incurred an accumulated deficit of $284.0 million since inception, had negative cash flows of $24.6 million and $14.3 million for the three months ended March 31, 2020 and 2019, respectively, and had negative cash flows from operations of $76.2 million and $62.7 million for the years ended December 31, 2019 and 2018, respectively. We have funded our operations to date primarily from the sale of our equity and debt securities, acquisition proceeds from the Biotest Transaction and loans from our primary stockholders.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requiring substantial investments in raw material plasma and other manufacturing materials. We expect that we will not be able to generate a sufficient amount of product revenue to achieve profitability before 2021 and, as a result, we expect that we will need to finance our operations through additional equity or debt financings or corporate collaboration and licensing arrangements. Based upon our current projected revenue and expenditures, including capital expenditures and continued implementation of our commercialization and expansion activities, we currently believe that our cash, cash equivalents, projected revenue and accounts receivable will be sufficient to fund our operations, as currently conducted, into the second quarter of 2021. In order to have sufficient cash to fund our operations thereafter, we anticipate raising additional capital before the end of the second quarter of 2021. These estimates and timeframe may change based upon the success of our commercial manufacturing ramp-up activities, the acceptability and reimbursement of BIVIGAM and ASCENIV by physicians, patients or payers, and the various financing options that may be available to us. We currently have no firm commitments for additional financing, and there can be no assurances that we will be able to secure additional financing on terms that are acceptable to us, or at all. Furthermore, if our assumptions underlying our estimated expenses and revenues are incorrect, we may have to raise additional capital sooner than currently anticipated.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Our long-term liquidity depends upon our ability to raise additional capital, fund capacity expansion and commercial programs and generate sufficient revenues from our products, several of which have only recently achieved commercial status, to cover our operating expenses and meet our obligations on a timely basis. The COVID-19 pandemic has negatively affected the global economy and created significant volatility and disruption of financial markets. Failure to secure any necessary financing in a timely manner and on commercially reasonable terms could have a material adverse effect on our business plan and financial performance and we could be forced to delay or discontinue our capacity expansion, commercialization, product development or clinical trial activities, delay or discontinue the approval efforts for any of our product candidates, or potentially cease operations. In addition, we could also be forced to reduce or forgo sales and marketing efforts and forgo attractive business opportunities. Due to numerous risks and uncertainties associated with the COVID-19 pandemic, FDA reviews and approvals related to our products, patient/payer acceptance of our products, ongoing compliance and maintenance requirements and capacity expansion efforts at the Boca Facility,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and are also subject to the effect of potential new government orders, policies and procedures that we must comply with which are outside of our control. As such, these factors raise substantial doubt about the Company’s ability to continue as a going concern.</w:t>
      </w:r>
    </w:p>
    <w:p>
      <w:pPr>
        <w:spacing w:after="0" w:line="18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our stockholders and, in such event, the market value of our common stock may decline. The incurrence of additional indebtedness would result in increased fixed obligations and could also result in covenants that would restrict our operations or other financing alternatives. In addition, we are exploring additional contract manufacturing arrangements and other business development opportunities, which may provide additional liquidity to us.</w:t>
      </w:r>
    </w:p>
    <w:p>
      <w:pPr>
        <w:spacing w:after="0" w:line="16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March 20, 2020, we drew down the third and final tranche of our existing Credit Agreement and Guaranty, dated February 11, 2019, as amended (the “Credit Agreement”), with Perceptive Credit Holdings II, LP and we received proceeds of $12.5 million which are being used for general corporate purposes. Borrowings under the Credit Agreement bear interest at a rate per annum equal to the sum of 7.5% (the “Applicable Margin”) plus the greater of (i) one-month LIBOR and (ii) 3.5%; provided, however, that upon, and during the continuance of, an Event of Default, the Applicable Margin shall automatically increase by an additional 400 basis points.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February 2020, we completed an underwritten public offering of 27,025,000 shares of our common stock and received net proceeds, after underwriting discounts and other expenses associated with the offering, of approximately $88.7 million. The proceeds from this offering are expected to be used (i) for the procurement of raw materials for the manufacturing of BIVIGAM and ASCENIV; (ii) to support the ongoing commercial sales of BIVIGAM and ASCENIV; (iii) to expand the manufacturing capacity of our Boca Facility and enhance our supply chain capabilities; (iv) to expand our plasma collection facility network; (v) for research and development and business development opportunities; and (vi) for general corporate purposes and other capital expenditures.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21" w:lineRule="exact"/>
        <w:rPr>
          <w:sz w:val="20"/>
          <w:szCs w:val="20"/>
          <w:color w:val="auto"/>
        </w:rPr>
      </w:pPr>
    </w:p>
    <w:p>
      <w:pPr>
        <w:jc w:val="center"/>
        <w:ind w:left="80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0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14605</wp:posOffset>
            </wp:positionV>
            <wp:extent cx="19888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1" w:lineRule="exact"/>
        <w:rPr>
          <w:sz w:val="20"/>
          <w:szCs w:val="20"/>
          <w:color w:val="auto"/>
        </w:rPr>
      </w:pPr>
    </w:p>
    <w:p>
      <w:pPr>
        <w:ind w:left="8660"/>
        <w:spacing w:after="0"/>
        <w:tabs>
          <w:tab w:leader="none" w:pos="103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17145</wp:posOffset>
            </wp:positionV>
            <wp:extent cx="19888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financing activities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2060"/>
        <w:spacing w:after="0" w:line="293" w:lineRule="auto"/>
        <w:rPr>
          <w:sz w:val="20"/>
          <w:szCs w:val="20"/>
          <w:color w:val="auto"/>
        </w:rPr>
      </w:pPr>
      <w:r>
        <w:rPr>
          <w:rFonts w:ascii="Arial" w:cs="Arial" w:eastAsia="Arial" w:hAnsi="Arial"/>
          <w:sz w:val="18"/>
          <w:szCs w:val="18"/>
          <w:color w:val="auto"/>
        </w:rPr>
        <w:t>Cash and cash equivalents, including restricted cash - beginning of period Cash and cash equivalents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tabs>
          <w:tab w:leader="none" w:pos="480" w:val="left"/>
          <w:tab w:leader="none" w:pos="1680" w:val="left"/>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(24,646,960)</w:t>
        <w:tab/>
        <w:t>$</w:t>
      </w:r>
      <w:r>
        <w:rPr>
          <w:sz w:val="20"/>
          <w:szCs w:val="20"/>
          <w:color w:val="auto"/>
        </w:rPr>
        <w:tab/>
      </w:r>
      <w:r>
        <w:rPr>
          <w:rFonts w:ascii="Arial" w:cs="Arial" w:eastAsia="Arial" w:hAnsi="Arial"/>
          <w:sz w:val="16"/>
          <w:szCs w:val="16"/>
          <w:color w:val="auto"/>
        </w:rPr>
        <w:t>(14,287,184)</w:t>
      </w:r>
    </w:p>
    <w:p>
      <w:pPr>
        <w:spacing w:after="0" w:line="23" w:lineRule="exact"/>
        <w:rPr>
          <w:sz w:val="20"/>
          <w:szCs w:val="20"/>
          <w:color w:val="auto"/>
        </w:rPr>
      </w:pPr>
    </w:p>
    <w:p>
      <w:pPr>
        <w:jc w:val="both"/>
        <w:ind w:left="600"/>
        <w:spacing w:after="0"/>
        <w:tabs>
          <w:tab w:leader="none" w:pos="2380" w:val="left"/>
        </w:tabs>
        <w:rPr>
          <w:sz w:val="20"/>
          <w:szCs w:val="20"/>
          <w:color w:val="auto"/>
        </w:rPr>
      </w:pPr>
      <w:r>
        <w:rPr>
          <w:rFonts w:ascii="Arial" w:cs="Arial" w:eastAsia="Arial" w:hAnsi="Arial"/>
          <w:sz w:val="18"/>
          <w:szCs w:val="18"/>
          <w:color w:val="auto"/>
        </w:rPr>
        <w:t>(2,072,876)</w:t>
      </w:r>
      <w:r>
        <w:rPr>
          <w:sz w:val="20"/>
          <w:szCs w:val="20"/>
          <w:color w:val="auto"/>
        </w:rPr>
        <w:tab/>
      </w:r>
      <w:r>
        <w:rPr>
          <w:rFonts w:ascii="Arial" w:cs="Arial" w:eastAsia="Arial" w:hAnsi="Arial"/>
          <w:sz w:val="18"/>
          <w:szCs w:val="18"/>
          <w:color w:val="auto"/>
        </w:rPr>
        <w:t>(110,453)</w:t>
      </w:r>
    </w:p>
    <w:p>
      <w:pPr>
        <w:spacing w:after="0" w:line="9" w:lineRule="exact"/>
        <w:rPr>
          <w:sz w:val="20"/>
          <w:szCs w:val="20"/>
          <w:color w:val="auto"/>
        </w:rPr>
      </w:pPr>
    </w:p>
    <w:p>
      <w:pPr>
        <w:ind w:left="480"/>
        <w:spacing w:after="0"/>
        <w:tabs>
          <w:tab w:leader="none" w:pos="2300" w:val="left"/>
        </w:tabs>
        <w:rPr>
          <w:sz w:val="20"/>
          <w:szCs w:val="20"/>
          <w:color w:val="auto"/>
        </w:rPr>
      </w:pPr>
      <w:r>
        <w:rPr>
          <w:rFonts w:ascii="Arial" w:cs="Arial" w:eastAsia="Arial" w:hAnsi="Arial"/>
          <w:sz w:val="17"/>
          <w:szCs w:val="17"/>
          <w:color w:val="auto"/>
        </w:rPr>
        <w:t>101,203,400</w:t>
      </w:r>
      <w:r>
        <w:rPr>
          <w:sz w:val="20"/>
          <w:szCs w:val="20"/>
          <w:color w:val="auto"/>
        </w:rPr>
        <w:tab/>
      </w:r>
      <w:r>
        <w:rPr>
          <w:rFonts w:ascii="Arial" w:cs="Arial" w:eastAsia="Arial" w:hAnsi="Arial"/>
          <w:sz w:val="17"/>
          <w:szCs w:val="17"/>
          <w:color w:val="auto"/>
        </w:rPr>
        <w:t>4,177,063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9888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4" w:lineRule="exact"/>
        <w:rPr>
          <w:sz w:val="20"/>
          <w:szCs w:val="20"/>
          <w:color w:val="auto"/>
        </w:rPr>
      </w:pPr>
    </w:p>
    <w:p>
      <w:pPr>
        <w:jc w:val="both"/>
        <w:ind w:left="560"/>
        <w:spacing w:after="0"/>
        <w:tabs>
          <w:tab w:leader="none" w:pos="2140" w:val="left"/>
        </w:tabs>
        <w:rPr>
          <w:sz w:val="20"/>
          <w:szCs w:val="20"/>
          <w:color w:val="auto"/>
        </w:rPr>
      </w:pPr>
      <w:r>
        <w:rPr>
          <w:rFonts w:ascii="Arial" w:cs="Arial" w:eastAsia="Arial" w:hAnsi="Arial"/>
          <w:sz w:val="18"/>
          <w:szCs w:val="18"/>
          <w:color w:val="auto"/>
        </w:rPr>
        <w:t>74,483,564</w:t>
      </w:r>
      <w:r>
        <w:rPr>
          <w:sz w:val="20"/>
          <w:szCs w:val="20"/>
          <w:color w:val="auto"/>
        </w:rPr>
        <w:tab/>
      </w:r>
      <w:r>
        <w:rPr>
          <w:rFonts w:ascii="Arial" w:cs="Arial" w:eastAsia="Arial" w:hAnsi="Arial"/>
          <w:sz w:val="18"/>
          <w:szCs w:val="18"/>
          <w:color w:val="auto"/>
        </w:rPr>
        <w:t>(10,220,574)</w:t>
      </w:r>
    </w:p>
    <w:p>
      <w:pPr>
        <w:spacing w:after="0" w:line="238" w:lineRule="exact"/>
        <w:rPr>
          <w:sz w:val="20"/>
          <w:szCs w:val="20"/>
          <w:color w:val="auto"/>
        </w:rPr>
      </w:pPr>
    </w:p>
    <w:p>
      <w:pPr>
        <w:ind w:left="560"/>
        <w:spacing w:after="0"/>
        <w:tabs>
          <w:tab w:leader="none" w:pos="2200" w:val="left"/>
        </w:tabs>
        <w:rPr>
          <w:sz w:val="20"/>
          <w:szCs w:val="20"/>
          <w:color w:val="auto"/>
        </w:rPr>
      </w:pPr>
      <w:r>
        <w:rPr>
          <w:rFonts w:ascii="Arial" w:cs="Arial" w:eastAsia="Arial" w:hAnsi="Arial"/>
          <w:sz w:val="17"/>
          <w:szCs w:val="17"/>
          <w:color w:val="auto"/>
        </w:rPr>
        <w:t>26,752,135</w:t>
      </w:r>
      <w:r>
        <w:rPr>
          <w:sz w:val="20"/>
          <w:szCs w:val="20"/>
          <w:color w:val="auto"/>
        </w:rPr>
        <w:tab/>
      </w:r>
      <w:r>
        <w:rPr>
          <w:rFonts w:ascii="Arial" w:cs="Arial" w:eastAsia="Arial" w:hAnsi="Arial"/>
          <w:sz w:val="17"/>
          <w:szCs w:val="17"/>
          <w:color w:val="auto"/>
        </w:rPr>
        <w:t>26,754,852</w:t>
      </w:r>
    </w:p>
    <w:p>
      <w:pPr>
        <w:spacing w:after="0" w:line="48" w:lineRule="exact"/>
        <w:rPr>
          <w:sz w:val="20"/>
          <w:szCs w:val="20"/>
          <w:color w:val="auto"/>
        </w:rPr>
      </w:pPr>
    </w:p>
    <w:p>
      <w:pPr>
        <w:spacing w:after="0"/>
        <w:tabs>
          <w:tab w:leader="none" w:pos="460" w:val="left"/>
          <w:tab w:leader="none" w:pos="1680" w:val="left"/>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101,235,699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16,534,278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888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7380" w:space="720"/>
            <w:col w:w="3140"/>
          </w:cols>
          <w:pgMar w:left="320" w:top="229" w:right="339" w:bottom="1440" w:gutter="0" w:footer="0" w:header="0"/>
          <w:type w:val="continuous"/>
        </w:sectPr>
      </w:pPr>
    </w:p>
    <w:p>
      <w:pPr>
        <w:spacing w:after="0" w:line="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Cash used in operations for the three months ended March 31, 2020 was $24.6 million, an increase of $10.4 million from the same period of a year ago, mainly due to increases in net loss and accounts receivable. The following table illustrates the primary components of our cash flows from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(19,245,230)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(13,067,955)</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1,860,365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87,118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(3,637,915)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82,037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775,932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(25,310)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(2,321,751)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(289,134)</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(1,952,947)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(1,183,142)</w:t>
            </w:r>
          </w:p>
        </w:tc>
      </w:tr>
      <w:tr>
        <w:trPr>
          <w:trHeight w:val="23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(125,414)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109,202</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(24,646,960)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(14,287,184)</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Net cash used in investing activities for the three months ended March 31, 2020 and 2019 was $2.1 million and $0.1 million, respectively, primarily consisting of capital expenditures at the Boca Facility. Although we have no specific material commitments for capital expenditures as of March 31, 2020, we expect our total capital expenditures will be between $10.0 million and $15.0 million for the remainder of fiscal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Cash provided by financing activities during the three months ended March 31, 2020 was $101.2 million, which is comprised of the net proceeds received from our February 2020 equity offering in the amount of $88.7 million and the $12.5 million of loan proceeds received from the Tranche III Loan under our senior credit facility. Net cash provided by financing activities for the three months ended March 31, 2019 of $4.2 million reflects the refinancing of the Marathon Credit Facility with the Perceptive Credit Facility in February of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Inflation or changing prices did not have a significant impact on our net sales, revenues or net loss for the three months ended March 31, 2020 or in 2019 or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229" w:right="339"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4" w:name="page35"/>
    <w:bookmarkEnd w:id="3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w:t>
      </w:r>
    </w:p>
    <w:p>
      <w:pPr>
        <w:spacing w:after="0" w:line="2"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March 31, 2020. Based on this evaluation, our principal executive officer and our principal financial officer concluded that our disclosure controls and procedures as of March 31, 2020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2020 that have materially affected, or are reasonably likely to materially affect, our internal control over financial reporting.</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Described below are various significant risks and uncertainties that may affect our business. These risks and uncertainties are not the only ones we face.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Prior to the second half of 2019, we generated a substantial portion of our revenues from the sale of plasma by our plasma collections facilities. Following completion of the Biotest Transaction, we began generating revenues from the sale of our plasma-derived immune globulins which include: Nabi-HB, BIVIGAM, ASCENIV, intermediate fractions and the contract manufacturing of plasma-derived products for a third-party. On May 9, 2019 we received approval from the FDA for BIVIGAM, and the commercial re-launch of this product commenced in August 2019. On April 1, 2019, the FDA approved ASCENIV, formerly referred to as RI-002, and the first commercial sales of this product took place in October 2019. In October 2019, we generated initial sales of our plasma-derived intermediate fractions.</w:t>
      </w:r>
    </w:p>
    <w:p>
      <w:pPr>
        <w:spacing w:after="0" w:line="192"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raise additional capital, fund and successfully implement our research and development and commercial programs, establish and build out a commercial sales force, medical affairs organization and commercial infrastructure and meet our ongoing obligations.</w:t>
      </w:r>
    </w:p>
    <w:p>
      <w:pPr>
        <w:spacing w:after="0" w:line="171"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currently anticipate, based upon our projected revenue and expenditures, that our current cash, cash equivalents and accounts receivable, will be sufficient to fund our operations into the second quarter of 2021. This time frame may change based upon how quickly we are able to execute on our commercialization efforts and operational initiatives. However, if the assumptions underlying our estimated revenues and expenses prove to be incorrect, we may have to raise additional capital sooner than we currently expect. We anticipate that we will not be able to generate a sufficient amount of product revenue to achieve profitability before 2021 and, as a result, we anticipate that we will need to finance our operations through additional equity or debt financings or corporate collaboration and licensing arrangements. If we are unable to raise additional capital as needed, we will have to delay, curtail or eliminate our commercialization efforts as well as product development activities.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have a history of losses and expect to incur substantial losses and negative operating cash flow into fiscal 2021, and we may never achieve or maintain profitability. For the three months ended March 31, 2020 and 2019, we incurred net losses of $19.2 million and $13.1 million, respectively. For the years ended December 31, 2019 and 2018, we incurred net losses of $48.3 million and $65.7 million, respectively. From our inception in 2004 through March 31, 2020, we have incurred an accumulated deficit of $284.0 million. We expect that we will not be able to generate a sufficient amount of product revenue to achieve profitability before 2021 and, as a result, we expect that we will need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7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We may not be able to generate these revenues or achieve profitability in the future. These factors raise substantial doubt about our ability to continue as a going concern. Our failure to achieve or maintain profitability could negatively impact the value of our securities.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has significantly affected worldwide economic conditions, and could have a material adverse impact on our business, liquidity, financial condition and results of operations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COVID-19 pandemic has the potential to adversely impact several aspects of our commercial and manufacturing operations,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been performed to date by contract laboratories outside the United States. In addition, travel and other restrictions that have been implemented in the United States could impact our commercial launch efforts with respect to any of our products, including BIVIGAM and ASCENIV, as trade shows, industry and medical conferences and other events we had been planning to utilize and exhibit and attend with our staff to increase awareness of our products by physicians and payers have been cancelled outright or otherwise rescheduled in response to the pandemic.</w:t>
      </w:r>
    </w:p>
    <w:p>
      <w:pPr>
        <w:spacing w:after="0" w:line="17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ind w:left="102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results from operations and prospects.</w:t>
      </w:r>
    </w:p>
    <w:p>
      <w:pPr>
        <w:spacing w:after="0" w:line="171"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Although in the future we plan to build our own fill/finish suite within the Boca Facility, we also intend to continue to utilize third parties to supplement our fill/finish process for final drug substance and we may, in any event, never be successful in developing our own fill/finish suite. Our anticipated reliance on a limited number of third-party manufacturers exposes us to the following risks:</w:t>
      </w:r>
    </w:p>
    <w:p>
      <w:pPr>
        <w:spacing w:after="0" w:line="184" w:lineRule="exact"/>
        <w:rPr>
          <w:sz w:val="20"/>
          <w:szCs w:val="20"/>
          <w:color w:val="auto"/>
        </w:rPr>
      </w:pPr>
    </w:p>
    <w:p>
      <w:pPr>
        <w:ind w:left="780" w:right="100" w:hanging="772"/>
        <w:spacing w:after="0" w:line="342"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50" w:lineRule="exact"/>
        <w:rPr>
          <w:rFonts w:ascii="Arial" w:cs="Arial" w:eastAsia="Arial" w:hAnsi="Arial"/>
          <w:sz w:val="16"/>
          <w:szCs w:val="16"/>
          <w:color w:val="auto"/>
        </w:rPr>
      </w:pPr>
    </w:p>
    <w:p>
      <w:pPr>
        <w:ind w:left="780" w:right="280" w:hanging="772"/>
        <w:spacing w:after="0" w:line="277"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97" w:lineRule="exact"/>
        <w:rPr>
          <w:rFonts w:ascii="Arial" w:cs="Arial" w:eastAsia="Arial" w:hAnsi="Arial"/>
          <w:sz w:val="18"/>
          <w:szCs w:val="18"/>
          <w:color w:val="auto"/>
        </w:rPr>
      </w:pPr>
    </w:p>
    <w:p>
      <w:pPr>
        <w:ind w:left="780" w:right="180" w:hanging="772"/>
        <w:spacing w:after="0" w:line="263"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210" w:lineRule="exact"/>
        <w:rPr>
          <w:rFonts w:ascii="Arial" w:cs="Arial" w:eastAsia="Arial" w:hAnsi="Arial"/>
          <w:sz w:val="18"/>
          <w:szCs w:val="18"/>
          <w:color w:val="auto"/>
        </w:rPr>
      </w:pPr>
    </w:p>
    <w:p>
      <w:pPr>
        <w:ind w:left="780" w:hanging="772"/>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63" w:lineRule="exact"/>
        <w:rPr>
          <w:rFonts w:ascii="Arial" w:cs="Arial" w:eastAsia="Arial" w:hAnsi="Arial"/>
          <w:sz w:val="17"/>
          <w:szCs w:val="17"/>
          <w:color w:val="auto"/>
        </w:rPr>
      </w:pPr>
    </w:p>
    <w:p>
      <w:pPr>
        <w:ind w:left="780" w:hanging="7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52" w:lineRule="exact"/>
        <w:rPr>
          <w:rFonts w:ascii="Arial" w:cs="Arial" w:eastAsia="Arial" w:hAnsi="Arial"/>
          <w:sz w:val="18"/>
          <w:szCs w:val="18"/>
          <w:color w:val="auto"/>
        </w:rPr>
      </w:pPr>
    </w:p>
    <w:p>
      <w:pPr>
        <w:ind w:left="780" w:right="320" w:hanging="772"/>
        <w:spacing w:after="0" w:line="263"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210" w:lineRule="exact"/>
        <w:rPr>
          <w:rFonts w:ascii="Arial" w:cs="Arial" w:eastAsia="Arial" w:hAnsi="Arial"/>
          <w:sz w:val="18"/>
          <w:szCs w:val="18"/>
          <w:color w:val="auto"/>
        </w:rPr>
      </w:pPr>
    </w:p>
    <w:p>
      <w:pPr>
        <w:ind w:left="780" w:hanging="7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780" w:hanging="772"/>
        <w:spacing w:after="0" w:line="277"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9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Each of these risks could delay or prevent the completion of our finished drug product and the release of finished drug product by the FDA, which could result in higher costs or adversely impact the commercialization of our products. In addition, our contract fill/finishers and our other third-party vendors may source their materials and supplies globally, and are therefore subject to supply disruptions in the event of fire, weather related events such as hurricanes, wind and rain, other acts of God or force majeure events or global health occurrences and emergencies, including the COVID-19 pandemic.</w:t>
      </w:r>
    </w:p>
    <w:p>
      <w:pPr>
        <w:spacing w:after="0" w:line="15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Even though we operate under our own FDA-issued license, we may not be able to officially resolve or receive a final close-out letter with respect to the Warning Letter issued to Biotest’s License #1792 for the Boca Facility.</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Prior to the closing of the Biotest Transaction, BTBU was our third-party manufacturer for ASCENIV, formerly referred to as RI-002. In response to our Biologics License Application (“BLA”) submission for RI-002 in 2015 (the “RI-002 BLA”), in July 2016 the FDA issued a Complete Response Letter (“CRL”) for RI-002 (the “RI-002 CRL”). The RI-002 CRL did not specify or request the need for any addition clinical trials or data; however, the RI-002 CRL reaffirmed the issues set forth in a November 2014 warning letter (the “Warning Letter”) that the FDA had issued to BPC related to certain compliance and other inspection issues and deficiencies identified at the Boca Facility. The FDA identified in the RI-002 CRL, among other things, certain outstanding inspection issues and deficiencies related to chemistry, manufacturing and control (“CMC”) and Good Manufacturing Practices (“GMP”) at the Boca Facility and at certain of our third-party vendors, and requested documentation of corrections for a number of these issues. The FDA indicated in the RI-002 CRL that it could not grant final approval of our RI-002 BLA until, among other things, these deficiencies were resolved. In response to the Warning Letter, in December 2016, BTBU temporarily suspended the production of BIVIGAM to focus on the completion of planned improvements to the manufacturing process. As a result, BIVIGAM was not available for sale or distribution throughout fiscal 2017, 2018, and until August 2019.</w:t>
      </w:r>
    </w:p>
    <w:p>
      <w:pPr>
        <w:spacing w:after="0" w:line="16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Following the completion of the Biotest Transaction, we gained control over the regulatory, quality, general operations and drug substance manufacturing process at the Boca Facility, and our highest priority was to remediate the outstanding compliance issues at the Boca Facility as indicated in the Warning Letter. We worked with a leading consulting firm with extensive experience in remediating compliance and inspection issues related to quality management systems that managed a robust team of subject matter experts in plasma-derived products and biologic drugs to assist us in addressing all identified CMC and cGMP issues and deficiencies. In April 2018, the FDA inspected the Boca Facility and, in July 2018, our FDA status improved from Official Action Indicated (“OAI”) to Voluntary Action Indicated (“VAI”), and this inspection of the Boca Facility has been successfully closed out as indicated on the FDA’s website inspection database. The FDA subsequently approved ASCENIV in April 2019 and BIVIGAM in May 2019, and, on July 2, 2019, notified us that the licenses for BIVIGAM and Nabi-HB had been revoked from BPC’s U.S. License No. 1792, with respect to which the Warning Letter was issued, and transferred and issued to our U.S. License No. 2019. The commercial re-launch and first commercial sales of BIVIGAM under our ownership occurred in August 2019. Commercial sales of ASCENIV commenced in October 2019. Although we received FDA approval of our RI-002 BLA on April 1, 2019 and the FDA has transferred the BIVIGAM and Nabi-HB licenses to us, neither we nor BPC has received a “Warning Letter close-out letter” from the FDA. We believe that we have successfully closed out the April 2018 FDA inspection of the Boca Facility, and we believe that as result of the FDA’s transfer of the BIVIGAM and Nabi-HB licenses to us, we have neither a right nor an obligation to close out the Warning Letter, which applied to BPC’s U.S. License No. 1792. Consequently, we may not be able to officially close out the Warning Letter issued to Biotest under their license #1792 related to the Boca Facility.</w:t>
      </w:r>
    </w:p>
    <w:p>
      <w:pPr>
        <w:spacing w:after="0" w:line="18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can be no assurance that the FDA will not in the future determine that our efforts to remediate the underlying concerns at the Boca Facility that resulted in the Warning Letter and the CRL in July 2016 have not been effective. Additionally, we are unable to control the timing of FDA inspections, responses, meeting requests, teleconference requests, requests for clarifications and similar regulatory communications, as well as whether or not the FDA will change its requirements, guidance or expectations. If the FDA determines that we have not remediated the issues identified in the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human error, employee issues, global health occurrences, such as COVID-19,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biologics license applications,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16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temporary suspension resulting from the COVID-19 pandemic.</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FDA or an independent institutional review board may suspend our clinical trials at any time if it appears that we are exposing participants to unacceptable health risks or if the FDA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65"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If we are not be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There are numerous FDA personnel assigned to review different aspects of a BLA, and uncertainties can be presented by their ability to exercise judgment and discretion during the review process.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16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5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9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With the approval of ASCENIV, we plan to commercialize this product, while also continuing our research and development activities. There can be no assurance that we will be able to successfully manage the balance of our research and development operations with our planned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and test products and product candidates, and such parties are, to some extent, outside of our control.</w:t>
      </w:r>
    </w:p>
    <w:p>
      <w:pPr>
        <w:spacing w:after="0" w:line="170"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We depend on independent investigators and collaborators, such as universities and medical institutions, contract laboratories, clinical research organizations, contract manufacturers, contract fill/finishers and consultants to conduct our preclinical,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6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may be unable to successfully expand our manufacturing processes to fulfill demand for our products or increase our production capabilities through the addition of new equipment, including if we do not obtain the requisite validation from the FDA.</w:t>
      </w:r>
    </w:p>
    <w:p>
      <w:pPr>
        <w:spacing w:after="0" w:line="14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currently anticipate expanding the manufacturing capacity of our Boca Facility by approximately 50% or more. We also anticipate expanding our production capabilities through the addition of a fill-finish machine at our Boca Facility. Following the expansion of any of our manufacturing processes or the addition of new equipment, such as the fill-finish machine, we will need to validate the expanded facility and equipment and have it inspected by the FDA. Given the significant delays that may result during the validation process, including due to any diverted FDA attention during the COVID-19 pandemic, we may experience a significant supply shortage of our products or our production capabilities may be limited until completion of and validation of our facility expansion and new manufacturing equipment.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 marketing period (after marketing approval) previously unknown adverse events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79"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three months ended March 31, 2020, three customers represented an aggregate of 82% of our consolidated revenues, with BioCare, Biolife and Reliance representing approximately 43%, 24%, and 15%, respectively, of our consolidated revenues. For the year ended December 31, 2019, three customers represented an aggregate of 70% of our consolidated revenues, with BioCare, Biolife and Sanofi representing approximately 26%, 24%, and 20%, respectively, of our consolidated revenues.</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As of March 31, 2020, three customers represented a total of 84% of our consolidated accounts receivable, with BioCare, Reliance and Biolife representing approximately 57%, 16% and 11%, respectively, of our consolidated accounts receivable. At December 31, 2019, BioCare represented 77% of our consolidated accounts receivable and McKesson represented 13% of our consolidated accounts receivable.</w:t>
      </w:r>
    </w:p>
    <w:p>
      <w:pPr>
        <w:spacing w:after="0" w:line="16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loss of any key customers or a material change in the revenue generated by any of these customers could have a material adverse effect on our business, results of operations and financial condition. The initial term of our Amended and Restated Plasma Supply Agreement with BPC, pursuant to which we supplied BPC with normal source plasma, expired by its terms on December 31, 2018 and was not renewed, and we fulfilled our commitment under our supply agreement with Sanofi during the year ended December 31, 2019. Moreover, we anticipate deriving increased revenue from BioCare over the next few years. Factors that could influence our relationships with our customers include, among other things:</w:t>
      </w:r>
    </w:p>
    <w:p>
      <w:pPr>
        <w:spacing w:after="0" w:line="16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 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right="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197" w:lineRule="exact"/>
        <w:rPr>
          <w:sz w:val="20"/>
          <w:szCs w:val="20"/>
          <w:color w:val="auto"/>
        </w:rPr>
      </w:pPr>
    </w:p>
    <w:p>
      <w:pPr>
        <w:jc w:val="both"/>
        <w:ind w:right="660"/>
        <w:spacing w:after="0" w:line="342" w:lineRule="auto"/>
        <w:rPr>
          <w:sz w:val="20"/>
          <w:szCs w:val="20"/>
          <w:color w:val="auto"/>
        </w:rPr>
      </w:pPr>
      <w:r>
        <w:rPr>
          <w:rFonts w:ascii="Arial" w:cs="Arial" w:eastAsia="Arial" w:hAnsi="Arial"/>
          <w:sz w:val="16"/>
          <w:szCs w:val="16"/>
          <w:color w:val="auto"/>
        </w:rPr>
        <w:t>Additionally, an adverse change in the financial condition of BioCare, Biolife, Reliance, McKesson, Cardinal Health or AmerisourceBergen could negatively affect revenue derived from such customer, which in turn could have a material adverse effect on our business and results of operations.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current product development portfolio consists primarily of label expansion activities for Nabi-HB, BIVIGAM and ASCENIV.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commercialization of ASCENIV, as well as the revenue we may generate from the sale of Nabi-HB, BIVIGAM, contract manufacturing, and intermediates and plasma attributable to the operations of ADMA Bio Centers, to support our operations.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ADMA Bio 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19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neither be successful in integrating the Biotest Assets into our business nor realize the strategic and financial benefits currently anticipated from the Biotest Transaction.</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Biotest Transaction involves the integration of two businesses that previously have operated independently with principal offices in two distinct locations. We continue to expend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 There is also uncertainty as to whether the combined business will be able to operate at a profitable level in the future given the relatively small size of the Biotest Assets and the competitive environment in which we operate.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52"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70"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As part of the consideration for the Biotest Transaction, we agreed to assume certain liabilities of BPC related to BTBU, which exposes us to liabilities that are not within our control and we cannot predict the extent to which these liabilities may arise in the future. Any liabilities that may arise could have a material adverse effect on our business, financial condition, results of operations and stock price.</w:t>
      </w:r>
    </w:p>
    <w:p>
      <w:pPr>
        <w:spacing w:after="0" w:line="16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Master Purchase and Sale Agreement, dated as of January 21, 2017 (the “Master Purchase Agreement”) contains indemnification undertakings by the parties thereto for certain losses, including, among other things, indemnification for any losses arising from breaches of its representations, warranties, covenants and agreements in the Master Purchase Agreement. In connection with the Share Transfer, Amendment and Release Agreement among us, BPC, Biotest AG, Biotest US Corporation and The Biotest Divestiture Trust (the “Biotest Trust”) (the “Biotest Transfer Agreement”), we granted a full release to Biotest from any and all past, present or future indemnification claims arising under or in connection with the Master Purchase Agreement. Significant indemnification claims by BPC or its affiliates or breaches by BPC or its affiliates of any indemnity obligations which would have been owed to us under the Master Purchase Agreement prior to the release granted in the Biotest Transfer Agreement could have a material adverse effect on our business, financial condition, results of operations and stock price.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Without this release, we would have otherwise been permitted to bring a claim against BPC related to the Warning Letter that could have possibly entitled us to remedies in the event that we are unable to resolve the Warning Letter. The inability to seek these remedies could have a material adverse effect on our business, financial condition, results of operations and stock price.</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while the Master Purchase Agreement contains certain non-compete clauses, such clauses do not prohibit either the Biotest Guarantors (as defined therein)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were inadequate, then it could result in a material adverse effect on our business.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are or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Master Purchase Agreement.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Perceptive Credit Facility is subject to acceleration in specified circumstances, which may result in Perceptive taking possession and disposing of any collateral.</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February 11, 2019 (the “Perceptive Closing Date”), we entered into the Perceptive Credit Agreement with Perceptive Credit Holdings II, LP, as the lender and administrative agent (“Perceptive”). The Perceptive Credit Agreement, as amended, provides for a senior secured term loan facility in a principal amount of up to $85.0 million (the “Perceptive Credit Facility”), comprised of (i) a term loan made on the Perceptive Closing Date in the principal amount of $45.0 million, as evidenced by our issuance of a promissory note in favor of Perceptive on the Perceptive Closing Date (the “Perceptive Tranche I Loan”), (ii) a term loan in the principal amount of $27.5 million evidenced by our of a promissory note in favor of Perceptive on May 3, 2019 (the “Perceptive Tranche II Loan”); and (iii) an additional commitment in the principal amount of up to $12.5 million (the “Perceptive Tranche III Loan,” and together with the Perceptive Tranche I Loan and the Perceptive Tranche II Loan, the “Perceptive Loans”) which we drew down on March 20, 2020. The Perceptive Loans each have a maturity date of March 1, 2022, subject to acceleration pursuant to the Perceptive Credit Agreement, including upon an Event of Default (as defined in the Perceptive Credit Agreement). The Perceptive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Perceptive Loans of 4% per annum, the occurrence of an Event of Default could result in, among other things, the termination of commitments under the Perceptive Credit Facility, the declaration that all outstanding Loans are immediately due and payable in whole or in part, and Perceptive taking immediate possession of, and selling, any collateral securing the Perceptive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460" w:firstLine="648"/>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There is no assurance that ASCENIV, or any other of our products for which we are issued a patent, will enjoy market exclusivity for the full time period of the respective patent.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7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or travel restrictions related to COVID-19 prevent qualified personnel from applying for employment. Attracting and retaining qualified personnel will be critical to our success and any failure to do so successfully may have a material adverse effect on us.</w:t>
      </w:r>
    </w:p>
    <w:p>
      <w:pPr>
        <w:spacing w:after="0" w:line="17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 Centers facility, and if we cannot maintain FDA approval for this facility or obtain FDA approval for additional facilities that we create or acquire rights to, we may be adversely affected and may not be able to sell or use this human blood plasma for future commercial purposes.</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intend to maintain FDA approval of our ADMA Bio Centers collection facility in Kennesaw, GA for the collection of human blood plasma and we may seek other governmental and regulatory approvals for this facility. We also plan to grow through the building and licensing of additional ADMA Bio Centers facilities in various regions of the U.S. Collection facilities are subject to FDA and potentially other governmental and regulatory inspections and extensive regulation, including compliance with current cGMP, FDA and other government approvals, as applicable. Failure to comply with applicable governmental regulations or to receive applicable approvals for our future facilities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8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currently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FDA had identified issues in the Warning Letter resulting from their prior inspections while the Boca Facility was under BPC’s operational control. We engaged a leading consulting firm with extensive experience in remediating compliance and inspection issues related to quality management systems that managed a robust team of subject matter experts in plasma-derived products and biologic drugs to assist us in addressing all identified CMC and cGMP issues and deficiencies. Although we have improved our compliance status at the Boca Facility, there are no assurances we will be able to maintain compliance with all FDA or other regulations. 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87"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Federal False Claims Act,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7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issued a proposed rule in February 2019, which aims to eliminate certain Anti-Kickback Statute safe harbor protection for drug rebates.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subject to this “Sunshine Act” and its implementing regulations to U.S.–licensed physicians and teaching hospitals, must be tracked and reported, and will be publicly disclosed. Such “applicable manufacturers” are also required to report certain ownership interests held by physicians and their immediate family members. In 2018, the Sunshine Act was extended to require tracking and reporting of payments and transfers of value to physician assistants, nurse practitioners, and other mid-level practitioners (with reporting requirements going into effect in 2022 for payments and transfers of value made in 2021).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2"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Both before and after the approval of our products, our products, our operations, our facilities, our suppliers and our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16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The regulatory review and approval process of governmental authorities is lengthy, expensive and uncertain. For example, in December 2016, BPC, the owner of BIVIGAM prior to the Biotest Transaction in June 2017, temporarily suspended the commercial production of BIVIGAM in order to focus on the completion of planned improvements to the manufacturing process. We resumed production of BIVIGAM utilizing our now FDA-approved IVIG manufacturing process with two conformance lots in the fourth quarter of 2017 and a third conformance lot in the first quarter of 2018. During the first half of 2018, we qualified and filled the BIVIGAM conformance batches and the product is on stability. In June 2018, we filed a drug substance PAS with the FDA for BIVIGAM to include the ADMA improvements for BIVIGAM and to seek FDA authorization which would enable us to resume commercial scale manufacturing and re-launch and commercialize this product. On December 19, 2018, we received the BIVIGAM CRL for our PAS submission for BIVIGAM drug substance. The BIVIGAM CRL requested certain additional information and clarifications relating to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On May 9, 2019, we received FDA approval for our PAS for BIVIGAM.</w:t>
      </w:r>
    </w:p>
    <w:p>
      <w:pPr>
        <w:spacing w:after="0" w:line="17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18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Kennesaw, GA plasma collection facility,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 Centers plasma collection facility. This strategy is dependent upon our ability to maintain a cGMP compliant environment in our plasma facility and to expand production and attract donors to our facility. There is no assurance that the FDA will inspect and license any of our unlicensed plasma collection facilities which we may, in the future, construct,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facility to more efficient production levels may be affected by changes in the economic environment and population in selected regions where ADMA Bio Centers operates its current or future plasma facilities, by the entry of competitive plasma centers into regions where ADMA Bio Centers operates such centers, by misjudging the demographic potential of individual regions where ADMA Bio Centers expects to expand production and attract new donors, by unexpected facility related challenges, or by unexpected management challenges at selected plasma facilities held by us from time to time.</w:t>
      </w:r>
    </w:p>
    <w:p>
      <w:pPr>
        <w:spacing w:after="0" w:line="173" w:lineRule="exact"/>
        <w:rPr>
          <w:sz w:val="20"/>
          <w:szCs w:val="20"/>
          <w:color w:val="auto"/>
        </w:rPr>
      </w:pPr>
    </w:p>
    <w:p>
      <w:pPr>
        <w:jc w:val="both"/>
        <w:ind w:right="28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healthcare reform may make it easier for competitors to market biosimilar products.</w:t>
      </w:r>
    </w:p>
    <w:p>
      <w:pPr>
        <w:spacing w:after="0" w:line="237"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16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There have been repeated attempts by Congress to repeal or change the Healthcare Reform Law. Further, on January 20, 2017, the new administration signed an Executive Order directing federal agencies with authorities and responsibilities under the ACA to waive, defer, grant exemptions from, or delay the implementation of any provision of the Healthcare Reform Law that would impose a fiscal or regulatory burden on states, individuals, healthcare providers, health insurers, or manufacturers of pharmaceuticals or medical devices. More recently, the U.S. District Court for the Northern District of Texas struck down the Healthcare Reform Law, deeming it unconstitutional given that Congress repealed the individual mandate in 2017. This decision has been stayed pending outcome of an appeal to the U.S. Fifth Circuit Court of Appeals. Although there is no immediate impact on the ACA, we will continue to evaluate the effect that the Healthcare Reform Law and its possible repeal and replacement, or potential total revocation by the Supreme Court of the United States, has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Our operations have consumed substantial amounts of cash since inception. For the three months ended March 31, 2020 and 2019, we had negative cash flows from operations of $24.6 million and $14.3 million, respectively, and for the years ended December 31, 2019 and 2018, we had negative cash flows from operations of approximately $76.2 million and $62.7 million, respectively. 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We expect that we will not be able to generate a sufficient amount of product revenue to achieve profitability before 2021 and, as a result, we expect that we will need to finance our operations through additional equity or debt financings or corporate collaboration and licensing agreements. We currently anticipate, based upon our projected revenue and expenditures, as well as the additional funds we are able to draw down under the Perceptive Credit Facility, that our current cash, cash equivalents and accounts receivable will be sufficient to fund our operations, as currently conducted, into the second quarter of 2021. In order to have sufficient cash to fund our operations thereafter, we will need to raise additional equity or debt financing before the end of the second quarter of 2021. This time frame may change based upon how quickly we are able to execute on our operational initiatives and the various financing options that may be available to us in 2021</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including due to widespread liquidity constraints or significant market instability that could result from the COVID-19 pandemic, we will have to delay, curtail or eliminate our commercialization efforts or our product development activities.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Perceptive Credit Facility provides for term loans of up to an aggregate principal amount of $85.0 million, all of which has been drawn down and is currently outstanding. Borrowings under the Perceptive Credit Facility bear interest at a rate per annum equal to 7.5% plus the greater of (i) one-month LIBOR and (ii) 3.5%; provided, however, that upon, and during the continuance of, an Event of Default, the interest rate will automatically increase by an additional 400 basis points. We are required to make monthly payments of interest during the term of the Perceptive Credit Facility of approximately $0.8 million, with all principal and unpaid interest due at maturity. The Perceptive Credit Facility has a maturity date of March 1, 2022, subject to acceleration pursuant to the Perceptive Credit Agreement, including upon an Event of Default. All of our obligations under the Perceptive Credit Facility are secured by a first-priority lien and security interest in substantially all of our and our subsidiaries’ tangible and intangible assets, including intellectual property, and all of the equity interests in our subsidiaries.</w:t>
      </w:r>
    </w:p>
    <w:p>
      <w:pPr>
        <w:spacing w:after="0" w:line="17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we have $15.0 million in principal amount of indebtedness outstanding under an unsecured subordinated note issued by ADMA BioManufacturing to Biotest on June 6, 2017, which note bears interest at a rate of 6.0% per annum and matures on June 6, 2022. We are obligated to make semi-annual interest payments to Biotest, with all principal and unpaid interest due at maturity.</w:t>
      </w:r>
    </w:p>
    <w:p>
      <w:pPr>
        <w:spacing w:after="0" w:line="184"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Perceptive Credit Facility, seek to enforce their security interests, which could lead to our creditors taking immediate possession of and selling substantially all of our assets with no return provided to our stockholders.</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2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2"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incurred substantial losses during our history. As of December 31, 2019, we had federal and state NOLs of $175.1 million and $116.2 million, respectively. These NOLs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(the “TCJA”) could adversely affect our business and financial condition.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TCJA, among other things, reduced the corporate tax rate from a top marginal rate of 35% to a flat rate of 21%, limited the tax deduction for interest expense to 30% of adjusted earnings (except for certain small businesses), limited the deduction for net operating losses generated after December 31, 2017 to 80% of current year taxable income and eliminated net operating loss carrybacks, provided immediate deductions for certain new investments instead of deductions for depreciation expense over time and modified or repealed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52"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May 4, 2020, most of our 86,345,313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As of March 31, 2020, Perceptive, our directors and executive officers and their affiliates beneficially owned approximately 27% of the outstanding shares of our common stock. Additionally, on November 14, 2018, the standstill provisions contained in that certain Stockholders Agreement, dated as of June 6, 2017, by and between us and BPC, as amended by the Biotest Transfer Agreement, which prohibited the Biotest Trust from, among other things, acquiring more than (i) 50%, less one share, of our issued and outstanding shares of capital stock on an as-converted basis, or (ii) 30% of the issued and outstanding shares of common stock, terminated and are of no further force and effect. This event could result in the Biotest Trust acquiring additional shares of our common stock or taking other actions with the goal of acquiring additional shares of our common stock.</w:t>
      </w:r>
    </w:p>
    <w:p>
      <w:pPr>
        <w:spacing w:after="0" w:line="16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(the “Board”) to institute a stockholder rights plan, also known as a poison pill, that would work to dilute our stock,</w:t>
      </w:r>
    </w:p>
    <w:p>
      <w:pPr>
        <w:spacing w:after="0" w:line="197"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Perceptive Credit Agreement prohibits us from paying dividends. As a result, capital appreciation, if any, of our common stock will be your sole source of gain for the foreseeable future.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continue to incur increased costs now that we are no longer an “emerging growth company.”</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Effective January 1, 2019, we ceased to be an “emerging growth company” as defined by the Jumpstart Our Business Startups Act (the “JOBS Act”). The JOBS Act contains provisions that, among other things, reduce certain reporting requirements for qualifying public companies. As an “emerging growth company,” we took advantage of certain benefits afforded to “emerging growth companies” under Section 7(a)(2)(B) of the Securities Act, which included delaying the adoption of new or revised accounting standards applicable to public companies until such standards would otherwise apply to private companies. As an emerging growth company, we were also exempt from the requirement to have our independent registered public accounting firm provide an attestation report on our internal control over financial reporting pursuant to Section 404 of the Sarbanes-Oxley Act.</w:t>
      </w:r>
    </w:p>
    <w:p>
      <w:pPr>
        <w:spacing w:after="0" w:line="1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Consequently, we have, and will continue to, incur increased costs related to our compliance with Section 404 of the Sarbanes-Oxley Act. For example, in 2018, our Audit Committee retained the services of BDO, a Sarbanes-Oxley advisor, to assist with our internal controls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150,000,000 shares of common stock. As of March 31, 2020, there were 54,429,673 shares remaining available for issuance, after giving effect to 9,225,014 shares of our common stock that were subject to outstanding stock options, RSUs, warrants or other convertible securities as of March 31, 2020 that may be issued by us without stockholder approval.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3"/>
          </w:tcPr>
          <w:p>
            <w:pPr>
              <w:ind w:left="2140"/>
              <w:spacing w:after="0"/>
              <w:rPr>
                <w:sz w:val="20"/>
                <w:szCs w:val="20"/>
                <w:color w:val="auto"/>
              </w:rPr>
            </w:pPr>
            <w:r>
              <w:rPr>
                <w:rFonts w:ascii="Arial" w:cs="Arial" w:eastAsia="Arial" w:hAnsi="Arial"/>
                <w:sz w:val="18"/>
                <w:szCs w:val="18"/>
                <w:b w:val="1"/>
                <w:bCs w:val="1"/>
                <w:color w:val="auto"/>
              </w:rPr>
              <w:t>ADMA Biologics, Inc.</w:t>
            </w: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line="195" w:lineRule="exact"/>
              <w:rPr>
                <w:sz w:val="20"/>
                <w:szCs w:val="20"/>
                <w:color w:val="auto"/>
              </w:rPr>
            </w:pPr>
            <w:r>
              <w:rPr>
                <w:rFonts w:ascii="Arial" w:cs="Arial" w:eastAsia="Arial" w:hAnsi="Arial"/>
                <w:sz w:val="18"/>
                <w:szCs w:val="18"/>
                <w:color w:val="auto"/>
              </w:rPr>
              <w:t>Adam S. Grossman</w:t>
            </w:r>
          </w:p>
        </w:tc>
      </w:tr>
      <w:tr>
        <w:trPr>
          <w:trHeight w:val="230"/>
        </w:trPr>
        <w:tc>
          <w:tcPr>
            <w:tcW w:w="35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864"/>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Lenz</w:t>
            </w:r>
          </w:p>
        </w:tc>
      </w:tr>
      <w:tr>
        <w:trPr>
          <w:trHeight w:val="195"/>
        </w:trPr>
        <w:tc>
          <w:tcPr>
            <w:tcW w:w="3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line="195" w:lineRule="exact"/>
              <w:rPr>
                <w:sz w:val="20"/>
                <w:szCs w:val="20"/>
                <w:color w:val="auto"/>
              </w:rPr>
            </w:pPr>
            <w:r>
              <w:rPr>
                <w:rFonts w:ascii="Arial" w:cs="Arial" w:eastAsia="Arial" w:hAnsi="Arial"/>
                <w:sz w:val="18"/>
                <w:szCs w:val="18"/>
                <w:color w:val="auto"/>
              </w:rPr>
              <w:t>Brian Lenz</w:t>
            </w:r>
          </w:p>
        </w:tc>
      </w:tr>
      <w:tr>
        <w:trPr>
          <w:trHeight w:val="230"/>
        </w:trPr>
        <w:tc>
          <w:tcPr>
            <w:tcW w:w="35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2"/>
        </w:trPr>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380" w:type="dxa"/>
            <w:vAlign w:val="bottom"/>
            <w:gridSpan w:val="6"/>
          </w:tcPr>
          <w:p>
            <w:pPr>
              <w:ind w:left="1380"/>
              <w:spacing w:after="0"/>
              <w:rPr>
                <w:rFonts w:ascii="Arial" w:cs="Arial" w:eastAsia="Arial" w:hAnsi="Arial"/>
                <w:sz w:val="14"/>
                <w:szCs w:val="14"/>
                <w:i w:val="1"/>
                <w:iCs w:val="1"/>
                <w:u w:val="single" w:color="auto"/>
                <w:color w:val="0000EE"/>
                <w:w w:val="88"/>
              </w:rPr>
            </w:pPr>
            <w:hyperlink w:anchor="page2">
              <w:r>
                <w:rPr>
                  <w:rFonts w:ascii="Arial" w:cs="Arial" w:eastAsia="Arial" w:hAnsi="Arial"/>
                  <w:sz w:val="14"/>
                  <w:szCs w:val="14"/>
                  <w:i w:val="1"/>
                  <w:iCs w:val="1"/>
                  <w:u w:val="single" w:color="auto"/>
                  <w:color w:val="0000EE"/>
                  <w:w w:val="88"/>
                </w:rPr>
                <w:t>Table of Contents</w:t>
              </w:r>
            </w:hyperlink>
          </w:p>
        </w:tc>
      </w:tr>
      <w:tr>
        <w:trPr>
          <w:trHeight w:val="552"/>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40" w:type="dxa"/>
            <w:vAlign w:val="bottom"/>
            <w:gridSpan w:val="7"/>
          </w:tcPr>
          <w:p>
            <w:pPr>
              <w:ind w:left="14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Number</w:t>
            </w:r>
          </w:p>
        </w:tc>
        <w:tc>
          <w:tcPr>
            <w:tcW w:w="5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700" w:type="dxa"/>
            <w:vAlign w:val="bottom"/>
            <w:gridSpan w:val="9"/>
          </w:tcPr>
          <w:p>
            <w:pPr>
              <w:spacing w:after="0"/>
              <w:rPr>
                <w:sz w:val="24"/>
                <w:szCs w:val="24"/>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520" w:type="dxa"/>
            <w:vAlign w:val="bottom"/>
          </w:tcPr>
          <w:p>
            <w:pPr>
              <w:spacing w:after="0"/>
              <w:rPr>
                <w:sz w:val="17"/>
                <w:szCs w:val="17"/>
                <w:color w:val="auto"/>
              </w:rPr>
            </w:pPr>
          </w:p>
        </w:tc>
        <w:tc>
          <w:tcPr>
            <w:tcW w:w="90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Note, dated March 20, 2020, issued by the Company to Perceptive Credit Holdings II, LP (incorporated herein by reference to</w:t>
              </w:r>
            </w:hyperlink>
          </w:p>
        </w:tc>
        <w:tc>
          <w:tcPr>
            <w:tcW w:w="460" w:type="dxa"/>
            <w:vAlign w:val="bottom"/>
            <w:gridSpan w:val="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40" w:type="dxa"/>
            <w:vAlign w:val="bottom"/>
            <w:gridSpan w:val="10"/>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Exhibit 4.1 to the Company’s Current Report on Form 8-K, filed with the SEC on March 20, 2020).</w:t>
              </w:r>
            </w:hyperlink>
          </w:p>
        </w:tc>
      </w:tr>
      <w:tr>
        <w:trPr>
          <w:trHeight w:val="20"/>
        </w:trPr>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6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520" w:type="dxa"/>
            <w:vAlign w:val="bottom"/>
          </w:tcPr>
          <w:p>
            <w:pPr>
              <w:spacing w:after="0"/>
              <w:rPr>
                <w:sz w:val="17"/>
                <w:szCs w:val="17"/>
                <w:color w:val="auto"/>
              </w:rPr>
            </w:pPr>
          </w:p>
        </w:tc>
        <w:tc>
          <w:tcPr>
            <w:tcW w:w="93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Certification of Principal Executive Officer pursuant to Rules 13a-14(a) and 15d-14(a), as adopted pursuant to Section 302 of the</w:t>
              </w:r>
            </w:hyperlink>
          </w:p>
        </w:tc>
        <w:tc>
          <w:tcPr>
            <w:tcW w:w="24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Sarbanes-Oxley Act of 2002.</w:t>
              </w:r>
            </w:hyperlink>
          </w:p>
        </w:tc>
        <w:tc>
          <w:tcPr>
            <w:tcW w:w="7440" w:type="dxa"/>
            <w:vAlign w:val="bottom"/>
            <w:gridSpan w:val="7"/>
          </w:tcPr>
          <w:p>
            <w:pPr>
              <w:spacing w:after="0"/>
              <w:rPr>
                <w:sz w:val="17"/>
                <w:szCs w:val="17"/>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20" w:type="dxa"/>
            <w:vAlign w:val="bottom"/>
          </w:tcPr>
          <w:p>
            <w:pPr>
              <w:spacing w:after="0"/>
              <w:rPr>
                <w:sz w:val="17"/>
                <w:szCs w:val="17"/>
                <w:color w:val="auto"/>
              </w:rPr>
            </w:pPr>
          </w:p>
        </w:tc>
        <w:tc>
          <w:tcPr>
            <w:tcW w:w="9540" w:type="dxa"/>
            <w:vAlign w:val="bottom"/>
            <w:gridSpan w:val="10"/>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Certification of Principal Financial Officer pursuant to Rules 13a-14(a) and 15d-14(a), as adopted pursuant to Section 302 of the</w:t>
              </w:r>
            </w:hyperlink>
          </w:p>
        </w:tc>
      </w:tr>
      <w:tr>
        <w:trPr>
          <w:trHeight w:val="196"/>
        </w:trPr>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Sarbanes-Oxley Act of 2002.</w:t>
              </w:r>
            </w:hyperlink>
          </w:p>
        </w:tc>
        <w:tc>
          <w:tcPr>
            <w:tcW w:w="7140" w:type="dxa"/>
            <w:vAlign w:val="bottom"/>
            <w:tcBorders>
              <w:top w:val="single" w:sz="8" w:color="0000EE"/>
            </w:tcBorders>
            <w:gridSpan w:val="3"/>
          </w:tcPr>
          <w:p>
            <w:pPr>
              <w:spacing w:after="0"/>
              <w:rPr>
                <w:sz w:val="17"/>
                <w:szCs w:val="17"/>
                <w:color w:val="auto"/>
              </w:rPr>
            </w:pPr>
          </w:p>
        </w:tc>
        <w:tc>
          <w:tcPr>
            <w:tcW w:w="300" w:type="dxa"/>
            <w:vAlign w:val="bottom"/>
            <w:gridSpan w:val="4"/>
          </w:tcPr>
          <w:p>
            <w:pPr>
              <w:spacing w:after="0"/>
              <w:rPr>
                <w:sz w:val="17"/>
                <w:szCs w:val="17"/>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520" w:type="dxa"/>
            <w:vAlign w:val="bottom"/>
          </w:tcPr>
          <w:p>
            <w:pPr>
              <w:spacing w:after="0"/>
              <w:rPr>
                <w:sz w:val="17"/>
                <w:szCs w:val="17"/>
                <w:color w:val="auto"/>
              </w:rPr>
            </w:pPr>
          </w:p>
        </w:tc>
        <w:tc>
          <w:tcPr>
            <w:tcW w:w="9540" w:type="dxa"/>
            <w:vAlign w:val="bottom"/>
            <w:gridSpan w:val="10"/>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Principal Executive Officer pursuant to 18 U.S.C Section 1350, as adopted pursuant to Section 906 of the Sarbanes-</w:t>
              </w:r>
            </w:hyperlink>
          </w:p>
        </w:tc>
      </w:tr>
      <w:tr>
        <w:trPr>
          <w:trHeight w:val="196"/>
        </w:trPr>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Oxley Act of 2002.</w:t>
              </w:r>
            </w:hyperlink>
          </w:p>
        </w:tc>
        <w:tc>
          <w:tcPr>
            <w:tcW w:w="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520" w:type="dxa"/>
            <w:vAlign w:val="bottom"/>
          </w:tcPr>
          <w:p>
            <w:pPr>
              <w:spacing w:after="0"/>
              <w:rPr>
                <w:sz w:val="17"/>
                <w:szCs w:val="17"/>
                <w:color w:val="auto"/>
              </w:rPr>
            </w:pPr>
          </w:p>
        </w:tc>
        <w:tc>
          <w:tcPr>
            <w:tcW w:w="94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10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40" w:type="dxa"/>
            <w:vAlign w:val="bottom"/>
            <w:gridSpan w:val="1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Oxley Act of 2002.</w:t>
              </w:r>
            </w:hyperlink>
          </w:p>
        </w:tc>
      </w:tr>
      <w:tr>
        <w:trPr>
          <w:trHeight w:val="20"/>
        </w:trPr>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160" w:type="dxa"/>
            <w:vAlign w:val="bottom"/>
            <w:gridSpan w:val="8"/>
          </w:tcPr>
          <w:p>
            <w:pPr>
              <w:spacing w:after="0" w:line="20" w:lineRule="exact"/>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9"/>
                <w:szCs w:val="19"/>
                <w:color w:val="auto"/>
              </w:rPr>
            </w:pPr>
          </w:p>
        </w:tc>
        <w:tc>
          <w:tcPr>
            <w:tcW w:w="9540" w:type="dxa"/>
            <w:vAlign w:val="bottom"/>
            <w:gridSpan w:val="10"/>
          </w:tcPr>
          <w:p>
            <w:pPr>
              <w:spacing w:after="0"/>
              <w:rPr>
                <w:sz w:val="20"/>
                <w:szCs w:val="20"/>
                <w:color w:val="auto"/>
              </w:rPr>
            </w:pPr>
            <w:r>
              <w:rPr>
                <w:rFonts w:ascii="Arial" w:cs="Arial" w:eastAsia="Arial" w:hAnsi="Arial"/>
                <w:sz w:val="18"/>
                <w:szCs w:val="18"/>
                <w:color w:val="auto"/>
                <w:w w:val="95"/>
              </w:rPr>
              <w:t>The following materials from ADMA Biologics, Inc.’s Form 10-Q for the quarter ended March 31, 2020, formatted in Extensible</w:t>
            </w:r>
          </w:p>
        </w:tc>
      </w:tr>
      <w:tr>
        <w:trPr>
          <w:trHeight w:val="216"/>
        </w:trPr>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40" w:type="dxa"/>
            <w:vAlign w:val="bottom"/>
            <w:gridSpan w:val="10"/>
          </w:tcPr>
          <w:p>
            <w:pPr>
              <w:spacing w:after="0"/>
              <w:rPr>
                <w:sz w:val="20"/>
                <w:szCs w:val="20"/>
                <w:color w:val="auto"/>
              </w:rPr>
            </w:pPr>
            <w:r>
              <w:rPr>
                <w:rFonts w:ascii="Arial" w:cs="Arial" w:eastAsia="Arial" w:hAnsi="Arial"/>
                <w:sz w:val="18"/>
                <w:szCs w:val="18"/>
                <w:color w:val="auto"/>
                <w:w w:val="97"/>
              </w:rPr>
              <w:t>Business Reporting Language (XBRL): (i) Condensed Consolidated Balance Sheets as of March 31, 2020 (Unaudited) and</w:t>
            </w:r>
          </w:p>
        </w:tc>
      </w:tr>
      <w:tr>
        <w:trPr>
          <w:trHeight w:val="216"/>
        </w:trPr>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40" w:type="dxa"/>
            <w:vAlign w:val="bottom"/>
            <w:gridSpan w:val="10"/>
          </w:tcPr>
          <w:p>
            <w:pPr>
              <w:spacing w:after="0"/>
              <w:rPr>
                <w:sz w:val="20"/>
                <w:szCs w:val="20"/>
                <w:color w:val="auto"/>
              </w:rPr>
            </w:pPr>
            <w:r>
              <w:rPr>
                <w:rFonts w:ascii="Arial" w:cs="Arial" w:eastAsia="Arial" w:hAnsi="Arial"/>
                <w:sz w:val="18"/>
                <w:szCs w:val="18"/>
                <w:color w:val="auto"/>
                <w:w w:val="90"/>
              </w:rPr>
              <w:t>December 31, 2019, (ii) Condensed Consolidated Statements of Operations (Unaudited) for the three months ended March 31, 2020</w:t>
            </w:r>
          </w:p>
        </w:tc>
      </w:tr>
      <w:tr>
        <w:trPr>
          <w:trHeight w:val="216"/>
        </w:trPr>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40" w:type="dxa"/>
            <w:vAlign w:val="bottom"/>
            <w:gridSpan w:val="10"/>
          </w:tcPr>
          <w:p>
            <w:pPr>
              <w:spacing w:after="0"/>
              <w:rPr>
                <w:sz w:val="20"/>
                <w:szCs w:val="20"/>
                <w:color w:val="auto"/>
              </w:rPr>
            </w:pPr>
            <w:r>
              <w:rPr>
                <w:rFonts w:ascii="Arial" w:cs="Arial" w:eastAsia="Arial" w:hAnsi="Arial"/>
                <w:sz w:val="18"/>
                <w:szCs w:val="18"/>
                <w:color w:val="auto"/>
                <w:w w:val="93"/>
              </w:rPr>
              <w:t>and 2019, (iii) Condensed Consolidated Statements of Changes in Stockholders' Equity (Unaudited) for the three months ended</w:t>
            </w:r>
          </w:p>
        </w:tc>
      </w:tr>
      <w:tr>
        <w:trPr>
          <w:trHeight w:val="230"/>
        </w:trPr>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40" w:type="dxa"/>
            <w:vAlign w:val="bottom"/>
            <w:gridSpan w:val="10"/>
          </w:tcPr>
          <w:p>
            <w:pPr>
              <w:spacing w:after="0"/>
              <w:rPr>
                <w:sz w:val="20"/>
                <w:szCs w:val="20"/>
                <w:color w:val="auto"/>
              </w:rPr>
            </w:pPr>
            <w:r>
              <w:rPr>
                <w:rFonts w:ascii="Arial" w:cs="Arial" w:eastAsia="Arial" w:hAnsi="Arial"/>
                <w:sz w:val="18"/>
                <w:szCs w:val="18"/>
                <w:color w:val="auto"/>
                <w:w w:val="91"/>
              </w:rPr>
              <w:t>March 31, 2020 and 2019, (iv) Condensed Consolidated Statements of Cash Flows (Unaudited) for the three months ended March</w:t>
            </w:r>
          </w:p>
        </w:tc>
      </w:tr>
    </w:tbl>
    <w:p>
      <w:pPr>
        <w:ind w:left="1700"/>
        <w:spacing w:after="0"/>
        <w:rPr>
          <w:sz w:val="20"/>
          <w:szCs w:val="20"/>
          <w:color w:val="auto"/>
        </w:rPr>
      </w:pPr>
      <w:r>
        <w:rPr>
          <w:rFonts w:ascii="Arial" w:cs="Arial" w:eastAsia="Arial" w:hAnsi="Arial"/>
          <w:sz w:val="18"/>
          <w:szCs w:val="18"/>
          <w:color w:val="auto"/>
        </w:rPr>
        <w:t>31, 2020 and 2019, and (v) Notes to (Unaudited)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5540" w:right="3940" w:hanging="5532"/>
        <w:spacing w:after="0" w:line="527" w:lineRule="auto"/>
        <w:tabs>
          <w:tab w:leader="none" w:pos="2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SEC Release 33-8238, Exhibit 32.1 and 32.2 are being furnished and not filed.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800" w:type="dxa"/>
            <w:vAlign w:val="bottom"/>
          </w:tcPr>
          <w:p>
            <w:pPr>
              <w:ind w:left="21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500" w:type="dxa"/>
            <w:vAlign w:val="bottom"/>
          </w:tcPr>
          <w:p>
            <w:pPr>
              <w:spacing w:after="0"/>
              <w:rPr>
                <w:sz w:val="16"/>
                <w:szCs w:val="16"/>
                <w:color w:val="auto"/>
              </w:rPr>
            </w:pPr>
          </w:p>
        </w:tc>
        <w:tc>
          <w:tcPr>
            <w:tcW w:w="28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500" w:type="dxa"/>
            <w:vAlign w:val="bottom"/>
          </w:tcPr>
          <w:p>
            <w:pPr>
              <w:spacing w:after="0"/>
              <w:rPr>
                <w:sz w:val="18"/>
                <w:szCs w:val="18"/>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6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800" w:type="dxa"/>
            <w:vAlign w:val="bottom"/>
          </w:tcPr>
          <w:p>
            <w:pPr>
              <w:ind w:left="21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500" w:type="dxa"/>
            <w:vAlign w:val="bottom"/>
          </w:tcPr>
          <w:p>
            <w:pPr>
              <w:spacing w:after="0"/>
              <w:rPr>
                <w:sz w:val="16"/>
                <w:szCs w:val="16"/>
                <w:color w:val="auto"/>
              </w:rPr>
            </w:pPr>
          </w:p>
        </w:tc>
        <w:tc>
          <w:tcPr>
            <w:tcW w:w="28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500" w:type="dxa"/>
            <w:vAlign w:val="bottom"/>
          </w:tcPr>
          <w:p>
            <w:pPr>
              <w:spacing w:after="0"/>
              <w:rPr>
                <w:sz w:val="18"/>
                <w:szCs w:val="18"/>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9"/>
              </w:rPr>
              <w:t>Executive Vice President and Chief Financial Officer (Principal</w:t>
            </w:r>
          </w:p>
        </w:tc>
      </w:tr>
      <w:tr>
        <w:trPr>
          <w:trHeight w:val="230"/>
        </w:trPr>
        <w:tc>
          <w:tcPr>
            <w:tcW w:w="3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Financial and Accounting Officer)</w:t>
            </w:r>
          </w:p>
        </w:tc>
      </w:tr>
    </w:tbl>
    <w:p>
      <w:pPr>
        <w:sectPr>
          <w:pgSz w:w="11900" w:h="16838" w:orient="portrait"/>
          <w:cols w:equalWidth="0" w:num="1">
            <w:col w:w="11240"/>
          </w:cols>
          <w:pgMar w:left="320" w:top="36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connection with the Quarterly Report of ADMA Biologics, Inc., a Delaware corporation (the “Company”), on Form 10-Q for the quarter ended March 31, 2020,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800" w:type="dxa"/>
            <w:vAlign w:val="bottom"/>
          </w:tcPr>
          <w:p>
            <w:pPr>
              <w:ind w:left="21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500" w:type="dxa"/>
            <w:vAlign w:val="bottom"/>
          </w:tcPr>
          <w:p>
            <w:pPr>
              <w:spacing w:after="0"/>
              <w:rPr>
                <w:sz w:val="16"/>
                <w:szCs w:val="16"/>
                <w:color w:val="auto"/>
              </w:rPr>
            </w:pPr>
          </w:p>
        </w:tc>
        <w:tc>
          <w:tcPr>
            <w:tcW w:w="28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500" w:type="dxa"/>
            <w:vAlign w:val="bottom"/>
          </w:tcPr>
          <w:p>
            <w:pPr>
              <w:spacing w:after="0"/>
              <w:rPr>
                <w:sz w:val="18"/>
                <w:szCs w:val="18"/>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connection with the Quarterly Report of ADMA Biologics, Inc., a Delaware corporation (the “Company”), on Form 10-Q for the quarter ended March 31, 2020,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14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800" w:type="dxa"/>
            <w:vAlign w:val="bottom"/>
          </w:tcPr>
          <w:p>
            <w:pPr>
              <w:ind w:left="21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500" w:type="dxa"/>
            <w:vAlign w:val="bottom"/>
          </w:tcPr>
          <w:p>
            <w:pPr>
              <w:spacing w:after="0"/>
              <w:rPr>
                <w:sz w:val="16"/>
                <w:szCs w:val="16"/>
                <w:color w:val="auto"/>
              </w:rPr>
            </w:pPr>
          </w:p>
        </w:tc>
        <w:tc>
          <w:tcPr>
            <w:tcW w:w="28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500" w:type="dxa"/>
            <w:vAlign w:val="bottom"/>
          </w:tcPr>
          <w:p>
            <w:pPr>
              <w:spacing w:after="0"/>
              <w:rPr>
                <w:sz w:val="18"/>
                <w:szCs w:val="18"/>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9"/>
              </w:rPr>
              <w:t>Executive Vice President and Chief Financial Officer (Principal</w:t>
            </w:r>
          </w:p>
        </w:tc>
      </w:tr>
      <w:tr>
        <w:trPr>
          <w:trHeight w:val="230"/>
        </w:trPr>
        <w:tc>
          <w:tcPr>
            <w:tcW w:w="3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Financial and Accounting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ý"/>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4"/>
    </w:lvl>
  </w:abstractNum>
  <w:abstractNum w:abstractNumId="9">
    <w:nsid w:val="721DA317"/>
    <w:multiLevelType w:val="hybridMultilevel"/>
    <w:lvl w:ilvl="0">
      <w:lvlJc w:val="left"/>
      <w:lvlText w:val="(%1)"/>
      <w:numFmt w:val="lowerRoman"/>
      <w:start w:val="2"/>
    </w:lvl>
  </w:abstractNum>
  <w:abstractNum w:abstractNumId="10">
    <w:nsid w:val="2443A858"/>
    <w:multiLevelType w:val="hybridMultilevel"/>
    <w:lvl w:ilvl="0">
      <w:lvlJc w:val="left"/>
      <w:lvlText w:val="%1"/>
      <w:numFmt w:val="upperLetter"/>
      <w:start w:val="61"/>
    </w:lvl>
  </w:abstractNum>
  <w:abstractNum w:abstractNumId="11">
    <w:nsid w:val="2D1D5AE9"/>
    <w:multiLevelType w:val="hybridMultilevel"/>
    <w:lvl w:ilvl="0">
      <w:lvlJc w:val="left"/>
      <w:lvlText w:val="%1."/>
      <w:numFmt w:val="decimal"/>
      <w:start w:val="7"/>
    </w:lvl>
  </w:abstractNum>
  <w:abstractNum w:abstractNumId="12">
    <w:nsid w:val="6763845E"/>
    <w:multiLevelType w:val="hybridMultilevel"/>
    <w:lvl w:ilvl="0">
      <w:lvlJc w:val="left"/>
      <w:lvlText w:val="%1."/>
      <w:numFmt w:val="decimal"/>
      <w:start w:val="8"/>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0"/>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decimal"/>
      <w:start w:val="12"/>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2" Type="http://schemas.openxmlformats.org/officeDocument/2006/relationships/image" Target="media/image84.png"/><Relationship Id="rId91" Type="http://schemas.openxmlformats.org/officeDocument/2006/relationships/hyperlink" Target="http://www.sec.gov/Archives/edgar/data/1368514/000119380520000377/e619479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2020-05-06T16:20:56Z</dcterms:created>
  <dcterms:modified xsi:type="dcterms:W3CDTF">2020-05-06T16:20:56Z</dcterms:modified>
</cp:coreProperties>
</file>