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200660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right="1920" w:firstLine="8"/>
        <w:spacing w:after="0" w:line="266" w:lineRule="auto"/>
        <w:tabs>
          <w:tab w:leader="none" w:pos="48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2022</w:t>
      </w:r>
    </w:p>
    <w:p>
      <w:pPr>
        <w:spacing w:after="0" w:line="176" w:lineRule="exact"/>
        <w:rPr>
          <w:sz w:val="24"/>
          <w:szCs w:val="24"/>
          <w:color w:val="auto"/>
        </w:rPr>
      </w:pPr>
    </w:p>
    <w:p>
      <w:pPr>
        <w:ind w:right="2180" w:firstLine="8"/>
        <w:spacing w:after="0" w:line="282" w:lineRule="auto"/>
        <w:tabs>
          <w:tab w:leader="none" w:pos="48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UNDER SECTION 13 OR 15(d) OF THE SECURITIES EXCHANGE ACT OF 1934 </w:t>
      </w:r>
      <w:r>
        <w:rPr>
          <w:rFonts w:ascii="Arial" w:cs="Arial" w:eastAsia="Arial" w:hAnsi="Arial"/>
          <w:sz w:val="18"/>
          <w:szCs w:val="18"/>
          <w:color w:val="auto"/>
        </w:rPr>
        <w:t>For the transition period from _________ to _________</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Commission File Number: 001-36728</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ADMA BIOLOGICS,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41"/>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40" w:type="dxa"/>
            <w:vAlign w:val="bottom"/>
            <w:gridSpan w:val="2"/>
          </w:tcPr>
          <w:p>
            <w:pPr>
              <w:jc w:val="center"/>
              <w:ind w:left="850"/>
              <w:spacing w:after="0"/>
              <w:rPr>
                <w:sz w:val="20"/>
                <w:szCs w:val="20"/>
                <w:color w:val="auto"/>
              </w:rPr>
            </w:pPr>
            <w:r>
              <w:rPr>
                <w:rFonts w:ascii="Arial" w:cs="Arial" w:eastAsia="Arial" w:hAnsi="Arial"/>
                <w:sz w:val="18"/>
                <w:szCs w:val="18"/>
                <w:b w:val="1"/>
                <w:bCs w:val="1"/>
                <w:color w:val="auto"/>
                <w:w w:val="89"/>
              </w:rPr>
              <w:t>56-2590442</w:t>
            </w:r>
          </w:p>
        </w:tc>
      </w:tr>
      <w:tr>
        <w:trPr>
          <w:trHeight w:val="202"/>
        </w:trPr>
        <w:tc>
          <w:tcPr>
            <w:tcW w:w="4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940" w:type="dxa"/>
            <w:vAlign w:val="bottom"/>
          </w:tcPr>
          <w:p>
            <w:pPr>
              <w:spacing w:after="0"/>
              <w:rPr>
                <w:sz w:val="17"/>
                <w:szCs w:val="17"/>
                <w:color w:val="auto"/>
              </w:rPr>
            </w:pPr>
          </w:p>
        </w:tc>
        <w:tc>
          <w:tcPr>
            <w:tcW w:w="4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30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94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9"/>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8"/>
              </w:rPr>
              <w:t>465 State Route 17, Ramsey, New Jersey</w:t>
            </w:r>
          </w:p>
        </w:tc>
        <w:tc>
          <w:tcPr>
            <w:tcW w:w="5240" w:type="dxa"/>
            <w:vAlign w:val="bottom"/>
            <w:gridSpan w:val="2"/>
          </w:tcPr>
          <w:p>
            <w:pPr>
              <w:jc w:val="center"/>
              <w:ind w:left="810"/>
              <w:spacing w:after="0"/>
              <w:rPr>
                <w:sz w:val="20"/>
                <w:szCs w:val="20"/>
                <w:color w:val="auto"/>
              </w:rPr>
            </w:pPr>
            <w:r>
              <w:rPr>
                <w:rFonts w:ascii="Arial" w:cs="Arial" w:eastAsia="Arial" w:hAnsi="Arial"/>
                <w:sz w:val="18"/>
                <w:szCs w:val="18"/>
                <w:b w:val="1"/>
                <w:bCs w:val="1"/>
                <w:color w:val="auto"/>
                <w:w w:val="91"/>
              </w:rPr>
              <w:t>07446</w:t>
            </w:r>
          </w:p>
        </w:tc>
      </w:tr>
      <w:tr>
        <w:trPr>
          <w:trHeight w:val="230"/>
        </w:trPr>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3"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(201) 478-5552</w:t>
      </w:r>
    </w:p>
    <w:p>
      <w:pPr>
        <w:spacing w:after="0" w:line="27"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1060" w:type="dxa"/>
            <w:vAlign w:val="bottom"/>
          </w:tcPr>
          <w:p>
            <w:pPr>
              <w:spacing w:after="0"/>
              <w:rPr>
                <w:sz w:val="18"/>
                <w:szCs w:val="18"/>
                <w:color w:val="auto"/>
              </w:rPr>
            </w:pPr>
          </w:p>
        </w:tc>
        <w:tc>
          <w:tcPr>
            <w:tcW w:w="3040" w:type="dxa"/>
            <w:vAlign w:val="bottom"/>
            <w:gridSpan w:val="2"/>
          </w:tcPr>
          <w:p>
            <w:pPr>
              <w:jc w:val="center"/>
              <w:ind w:right="1760"/>
              <w:spacing w:after="0"/>
              <w:rPr>
                <w:sz w:val="20"/>
                <w:szCs w:val="20"/>
                <w:color w:val="auto"/>
              </w:rPr>
            </w:pPr>
            <w:r>
              <w:rPr>
                <w:rFonts w:ascii="Arial" w:cs="Arial" w:eastAsia="Arial" w:hAnsi="Arial"/>
                <w:sz w:val="18"/>
                <w:szCs w:val="18"/>
                <w:color w:val="auto"/>
                <w:w w:val="88"/>
              </w:rPr>
              <w:t>Title of each class</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Trading Symbol</w:t>
            </w:r>
          </w:p>
        </w:tc>
        <w:tc>
          <w:tcPr>
            <w:tcW w:w="3960" w:type="dxa"/>
            <w:vAlign w:val="bottom"/>
            <w:gridSpan w:val="2"/>
          </w:tcPr>
          <w:p>
            <w:pPr>
              <w:jc w:val="center"/>
              <w:ind w:left="67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1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700" w:type="dxa"/>
            <w:vAlign w:val="bottom"/>
          </w:tcPr>
          <w:p>
            <w:pPr>
              <w:jc w:val="center"/>
              <w:spacing w:after="0"/>
              <w:rPr>
                <w:sz w:val="20"/>
                <w:szCs w:val="20"/>
                <w:color w:val="auto"/>
              </w:rPr>
            </w:pPr>
            <w:r>
              <w:rPr>
                <w:rFonts w:ascii="Arial" w:cs="Arial" w:eastAsia="Arial" w:hAnsi="Arial"/>
                <w:sz w:val="18"/>
                <w:szCs w:val="18"/>
                <w:color w:val="auto"/>
              </w:rPr>
              <w:t>ADMA</w:t>
            </w:r>
          </w:p>
        </w:tc>
        <w:tc>
          <w:tcPr>
            <w:tcW w:w="76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Market</w:t>
            </w:r>
          </w:p>
        </w:tc>
      </w:tr>
    </w:tbl>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96" w:lineRule="exact"/>
        <w:rPr>
          <w:sz w:val="24"/>
          <w:szCs w:val="24"/>
          <w:color w:val="auto"/>
        </w:rPr>
      </w:pPr>
    </w:p>
    <w:p>
      <w:pPr>
        <w:ind w:right="1680"/>
        <w:spacing w:after="0" w:line="35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480"/>
              <w:spacing w:after="0"/>
              <w:rPr>
                <w:sz w:val="20"/>
                <w:szCs w:val="20"/>
                <w:color w:val="auto"/>
              </w:rPr>
            </w:pPr>
            <w:r>
              <w:rPr>
                <w:rFonts w:ascii="Arial" w:cs="Arial" w:eastAsia="Arial" w:hAnsi="Arial"/>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760" w:type="dxa"/>
            <w:vAlign w:val="bottom"/>
          </w:tcPr>
          <w:p>
            <w:pPr>
              <w:ind w:left="480"/>
              <w:spacing w:after="0"/>
              <w:rPr>
                <w:sz w:val="20"/>
                <w:szCs w:val="20"/>
                <w:color w:val="auto"/>
              </w:rPr>
            </w:pPr>
            <w:r>
              <w:rPr>
                <w:rFonts w:ascii="Arial" w:cs="Arial" w:eastAsia="Arial" w:hAnsi="Arial"/>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aggregate market value of the registrant’s common stock held by non-affiliates was $372,622,681 as of June 30, 2022 (the last business day of the registrant’s most recently completed second fiscal quarter), based on a total of 188,193,273 shares of common stock held by non-affiliates and a closing price of $1.98 as reported on the Nasdaq Global Market on June 30, 2022.</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As of March 17, 2023, there were 222,155,625 shares of the issuer’s common stock outstanding.</w:t>
      </w:r>
    </w:p>
    <w:p>
      <w:pPr>
        <w:sectPr>
          <w:pgSz w:w="11900" w:h="16838" w:orient="portrait"/>
          <w:cols w:equalWidth="0" w:num="1">
            <w:col w:w="11200"/>
          </w:cols>
          <w:pgMar w:left="320" w:top="702"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Portions of the ADMA Biologics, Inc. definitive proxy statement to be filed pursuant to Regulation 14A within 120 days after the end of the fiscal year are incorporated by reference into Part III of this Annual Report on Form 10-K and certain documents are incorporated by reference into 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136525</wp:posOffset>
            </wp:positionV>
            <wp:extent cx="70980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187960</wp:posOffset>
            </wp:positionV>
            <wp:extent cx="709803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40" w:type="dxa"/>
            <w:vAlign w:val="bottom"/>
            <w:gridSpan w:val="9"/>
          </w:tcPr>
          <w:p>
            <w:pPr>
              <w:ind w:left="200"/>
              <w:spacing w:after="0"/>
              <w:rPr>
                <w:sz w:val="20"/>
                <w:szCs w:val="20"/>
                <w:color w:val="auto"/>
              </w:rPr>
            </w:pPr>
            <w:r>
              <w:rPr>
                <w:rFonts w:ascii="Arial" w:cs="Arial" w:eastAsia="Arial" w:hAnsi="Arial"/>
                <w:sz w:val="18"/>
                <w:szCs w:val="18"/>
                <w:b w:val="1"/>
                <w:bCs w:val="1"/>
                <w:color w:val="auto"/>
              </w:rPr>
              <w:t>ADMA BIOLOGICS, INC.</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PART I</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Business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Risk Factors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1B.</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Unresolved Staff Comments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Properties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Legal Proceedings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Mine Safety Disclosures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Reserved</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Controls and Procedures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Other Information</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9C.</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PART III</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Executive Compensation</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Principal Accounting Fees and Services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PART IV</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Exhibits, Financial Statement Schedules</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16.</w:t>
            </w:r>
          </w:p>
        </w:tc>
        <w:tc>
          <w:tcPr>
            <w:tcW w:w="9260" w:type="dxa"/>
            <w:vAlign w:val="bottom"/>
            <w:gridSpan w:val="23"/>
            <w:shd w:val="clear" w:color="auto" w:fill="CCEEFF"/>
          </w:tcPr>
          <w:p>
            <w:pPr>
              <w:ind w:left="180"/>
              <w:spacing w:after="0" w:line="176" w:lineRule="exact"/>
              <w:rPr>
                <w:sz w:val="20"/>
                <w:szCs w:val="20"/>
                <w:color w:val="auto"/>
              </w:rPr>
            </w:pPr>
            <w:r>
              <w:rPr>
                <w:rFonts w:ascii="Arial" w:cs="Arial" w:eastAsia="Arial" w:hAnsi="Arial"/>
                <w:sz w:val="18"/>
                <w:szCs w:val="18"/>
                <w:color w:val="0000EE"/>
              </w:rPr>
              <w:t>Form 10-K Summary</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Some of the information in this Annual Report on Form 10-K contains “forward-looking statements” within the meaning of Section 27A of the Securities Act of 1933, as amended (the “Securities Act”) and Section 21E of the Securities Exchange Act of 1934,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statements about:</w:t>
      </w:r>
    </w:p>
    <w:p>
      <w:pPr>
        <w:spacing w:after="0" w:line="178"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BIVIGAM and ASCENIV on a commercial scale and further commercialize these products as a result of their approval by the U.S. Food and Drug Administration (the “FDA”) in 2019;</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manufacture, market, launch and expand our commercial infrastructure and commercialize our current and future products and the success of such efforts;</w:t>
      </w:r>
    </w:p>
    <w:p>
      <w:pPr>
        <w:spacing w:after="0" w:line="170" w:lineRule="exact"/>
        <w:rPr>
          <w:rFonts w:ascii="Arial" w:cs="Arial" w:eastAsia="Arial" w:hAnsi="Arial"/>
          <w:sz w:val="18"/>
          <w:szCs w:val="18"/>
          <w:color w:val="auto"/>
        </w:rPr>
      </w:pPr>
    </w:p>
    <w:p>
      <w:pPr>
        <w:ind w:left="660" w:right="5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efficacy and expected timing of and our ability to obtain and maintain regulatory approvals for our current products and product candidates, and the labeling or nature of any such approvals;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achievement of or expected timing, progress and results of clinical development, clinical trials and potential regulatory approvals for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upon our third-party customers and vendors and their compliance with applicable regulatory requirements;</w:t>
      </w:r>
    </w:p>
    <w:p>
      <w:pPr>
        <w:spacing w:after="0" w:line="225"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we have addressed the delays experienced with final drug product current Good Manufacturing Practices (“cGMP”) release testing by our third-party vendors by adding additional release testing laboratories to our FDA-approved consortium listed in our drug approval documents;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adequate quantities of FDA-approved plasma with proper specifications;</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increase our supplies of source plasma, which include plasma collection center expansion, our ability to obtain and maintain regulatory compliance and receive FDA approvals of new plasma collection centers and reliance on third-party supply agreements as well as any extensions to such agreements;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indications for our products and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investigational new product applications;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acceptability of any of our products, including BIVIGAM, ASCENIV and Nabi-HB, for any purpose, including FDA-approved indications, by physicians, patients or payers;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evaluate the clinical and regulatory paths to grow the ASCENIV franchise through expanded FDA-approved uses;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Federal, state and local regulatory and business review processes and timing by such governmental and regulatory agencies of our business and regulatory submissions;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concurrence by the FDA with our conclusions concerning our products and product candidates;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comparability of results of our hyperimmune and immune globulin (“IG”) products to other comparably run hyperimmune and immune globulin clinical trials;</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for ASCENIV and BIVIGAM to provide meaningful clinical improvement for patients living with Primary Immune Deficiency Disease, Primary Humoral Immunodeficiency Disease or Inborn Errors of Immunity (“PIDD”, “PI” or “IEI”) or other immune deficiencies or any other condition for which the products may be prescribed or evaluated;</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market and promote Nabi-HB in a highly competitive environment with increasing competition from other antiviral therapies and to generate meaningful revenues from this product;</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 and the defense thereof, including our expectations regarding the scope of patent protection with respect to ASCENIV or other future pipeline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manufacturing capabilities, third-party contractor capabilities and vertical integration strategy;</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revenues, expenses, capital requirements, timing to profitability and positive cash flows and the need for and availability of additional financing;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possible or likely reimbursement levels for our currently marketed products;</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regarding market size, projected growth and sales of our existing products as well as our expectations of market acceptance of ASCENIV and BIVIGAM;</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coronavirus COVID-19 pandemic and other potential pandemics on our business, financial condition, liquidity and results of operations, and our ability to continue operations in the same manner as previously conducted prior to the macroeconomic effects of the COVID-19 pandemic and other potential pandemics;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future domestic and global economic conditions, including, but not limited to, supply chain constraints, inflationary pressures or performance.</w:t>
      </w:r>
    </w:p>
    <w:p>
      <w:pPr>
        <w:spacing w:after="0" w:line="248"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In addition to the foregoing, you should also consider carefully the statements under the section entitled “Risk Factors” and other sections of this Annual Report on Form 10-K, which address additional factors that could cause our actual results to differ from those set forth in the forward-looking statements.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147" w:lineRule="exact"/>
        <w:rPr>
          <w:sz w:val="20"/>
          <w:szCs w:val="20"/>
          <w:color w:val="auto"/>
        </w:rPr>
      </w:pPr>
    </w:p>
    <w:p>
      <w:pPr>
        <w:ind w:right="100" w:firstLine="648"/>
        <w:spacing w:after="0" w:line="234" w:lineRule="auto"/>
        <w:rPr>
          <w:sz w:val="20"/>
          <w:szCs w:val="20"/>
          <w:color w:val="auto"/>
        </w:rPr>
      </w:pPr>
      <w:r>
        <w:rPr>
          <w:rFonts w:ascii="Arial" w:cs="Arial" w:eastAsia="Arial" w:hAnsi="Arial"/>
          <w:sz w:val="18"/>
          <w:szCs w:val="18"/>
          <w:color w:val="auto"/>
        </w:rPr>
        <w:t>This Annual Report on Form 10-K includes our trademarks, trade names and service marks, such as “BIVIGAM®,” “ASCENIV</w:t>
      </w:r>
      <w:r>
        <w:rPr>
          <w:rFonts w:ascii="Arial" w:cs="Arial" w:eastAsia="Arial" w:hAnsi="Arial"/>
          <w:sz w:val="29"/>
          <w:szCs w:val="29"/>
          <w:color w:val="auto"/>
          <w:vertAlign w:val="superscript"/>
        </w:rPr>
        <w:t>TM</w:t>
      </w:r>
      <w:r>
        <w:rPr>
          <w:rFonts w:ascii="Arial" w:cs="Arial" w:eastAsia="Arial" w:hAnsi="Arial"/>
          <w:sz w:val="18"/>
          <w:szCs w:val="18"/>
          <w:color w:val="auto"/>
        </w:rPr>
        <w:t>” and “Nabi-HB®,” which are protected under applicable intellectual property laws and are the property of ADMA Biologics, Inc., or its subsidiaries. Solely for convenience, trademarks, trade names and service marks referred to in this Annual Report may appear without the ® or ™ symbols, but the absence of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Unless the context otherwise requires, references in this Business section to “ADMA,” “ADMA Biologics,” the “Company,” “we,” “us” and “our” refer to ADMA Biologics, Inc., a Delaware corporation, as well as its wholly-owned and indirectly-owned subsidiaries, ADMA Plasma Biologics, Inc., a Delaware corporation, ADMA BioCenters Georgia Inc., a Delaware corporation (“ADMA BioCenters”) and ADMA BioManufacturing, LLC, a Delaware limited liability company (“ADMA BioManufacturing”).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and for which we received FDA approval on May 9, 2019 and commenced commercial sales in August 2019; (ii) ASCENIV (Immune Globulin Intravenous, Human – slra 10% Liquid), an IVIG product indicated for the treatment of PI in adults and adolescents,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8"/>
          <w:szCs w:val="18"/>
          <w:i w:val="1"/>
          <w:iCs w:val="1"/>
          <w:color w:val="auto"/>
        </w:rPr>
        <w:t>S. pneumonia</w:t>
      </w:r>
      <w:r>
        <w:rPr>
          <w:rFonts w:ascii="Arial" w:cs="Arial" w:eastAsia="Arial" w:hAnsi="Arial"/>
          <w:sz w:val="18"/>
          <w:szCs w:val="18"/>
          <w:color w:val="auto"/>
        </w:rPr>
        <w:t xml:space="preserve"> infection for an immunoglobulin manufactured to contain standardized antibodies to numerous serotypes of </w:t>
      </w:r>
      <w:r>
        <w:rPr>
          <w:rFonts w:ascii="Arial" w:cs="Arial" w:eastAsia="Arial" w:hAnsi="Arial"/>
          <w:sz w:val="18"/>
          <w:szCs w:val="18"/>
          <w:i w:val="1"/>
          <w:iCs w:val="1"/>
          <w:color w:val="auto"/>
        </w:rPr>
        <w:t>S. pneumoniae</w:t>
      </w:r>
      <w:r>
        <w:rPr>
          <w:rFonts w:ascii="Arial" w:cs="Arial" w:eastAsia="Arial" w:hAnsi="Arial"/>
          <w:sz w:val="18"/>
          <w:szCs w:val="18"/>
          <w:color w:val="auto"/>
        </w:rPr>
        <w:t>. Our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sufficient quantities of our immune globulin (“IG”) products representing annual revenues of $210 million or more in 2023, more than $250 million in annual revenue in 2024 and potentially in excess of $300 million of annual revenue thereafter, as well as achieving profitability during the first quarter of 2024. At these revenue levels, ADMA forecasts achieving consolidated gross margins in the range of 40-50% and net income margins in the range of 20-30%. These assumptions translate to potential annual gross profit and net income in the range of $100-150 million and $50-100 million, respectively, during the 2024-2025 time period and beyond.</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Through our ADMA BioCenters subsidiary, we currently operate ten source plasma collection facilities in the U.S. This business unit, which we refer to as our Plasma Collection Centers business segment, provides us with a portion of our blood plasma for the manufacture of our products, and also allows us to sell certain quantities of source and hyperimmune plasma to third-party customers for further manufacturing. With respect to our operational plasma collection centers, eight plasma collection centers currently hold FDA licenses, with the remaining plasma collection centers anticipated to receive FDA approvals throughout 2023. In addition, three of our FDA-approved plasma collection centers also have approvals from the Korean Ministry of Food and Drug Safety (“MFDS”), as well as FDA approval to operate a Hepatitis B immunization program. After giving effect to the supply chain robustness initiatives undertaken in 2021 and 2022 as it pertains to our plasma collection network expansion, we remain on track to achieve our goal of having 10 FDA-licensed plasma collection centers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(known as fractionation), thereby enabling us to re-launch and commercialize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 since the beginning of the third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ASCENIV is approved for the treatment of PIDD or PI, a class of inherited genetic disorders that causes a deficient or absent immune system in adults and adolescents (12 to 17 years of age). Our pivotal Phase 3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further evaluate ASCENIV in immune-compromised patients infected with or at-risk for RSV infection or potentially other respiratory viral pathogens. Due to the COVID-19 pandemic, our plans have been delayed. In the future however, we may elect to work with the FDA and the immunology and infectious disease community to potentially design an appropriate clinical trial to evaluate the use of ASCENIV in this patient population. Commercial sales of ASCENIV commenced in October of 2019 and the product is currently available to U.S.-based healthcare professionals for prescription and use in U.S.-based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PIDD Patients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PIDD or PI, also known as Inborn Errors of Immunity, are genetic disorders that causes a deficient or absent immune system, is caused by hereditary or genetic defects and can affect anyone regardless of age or gender. PIDD patients are more vulnerable to infections and more likely to suffer complications from these infections. IVIG is a plasma-derived product that is used to prevent serious infections in patients with PIDD. It is comprised of polyclonal antibodies, which are proteins produced by B-cells that are used by the body’s immune system to neutralize foreign objects such as bacteria and viruses. It is estimated that there are about 250,000 diagnosed PIDD patients in the U.S., approximately half of whom are treated with IVIG regularly. As reported in industry journals, the U.S. sales of immune and hyperimmune globulin products for all its uses were reported to be approximately $9.6 billion in 2021 and are expected to exceed $17 billion by 2027 based upon an anticipated compounded annual growth rate of approximately 9%.</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ASCENIV, formerly known as RI-002, contains polyclonal antibodies against various infectious agents, such as streptococcus pneumoniae, H. influenza type B, CMV, measles and tetanus, including standardized antibodies against RSV. RSV is a common respiratory virus that often presents during the winter months. Nearly all children will have been infected with RSV by three years of age; however, the immune systems of most healthy children prevent significant morbidity and mortality. Conversely, in patients who are immune-compromised, such as those with PIDD or who have undergone a hematopoietic stem cell or solid organ transplant and may be on immunosuppressive drugs or chemotherapy, RSV infection can be associated with significant morbidity and mortality. Immune-compromised patients historically have a 5% to 15% rate of RSV infection, and, if left untreated, lower respiratory tract RSV infections in immune-compromised patients can result in a mortality rate of up to 40% of infected patients. In hematopoietic stem cell transplant (“HSCT”) patients, a subset of the immune-compromised patient population with approximately 25,000 transplants being performed annually in the U.S., it is estimated that about 25% of patients treated with the current standard of care (aerosolized Ribavirin) will progress to Lower Respiratory Tract Infection (“LRTI”) while 41% of patients untreated with the current standard of care will progress to LRTI.</w:t>
      </w:r>
    </w:p>
    <w:p>
      <w:pPr>
        <w:spacing w:after="0" w:line="18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RI-002 pivotal Phase III clinical trial was conducted as a single arm study in which patients were treated approximately once per month for a period of 12 months plus 90 days for follow up. Fifty-nine patients were enrolled in nine treatment centers in the U.S. The pivotal Phase III primary endpoint followed published FDA industry guidance, which provides for a reduction in the incidence of SBI to less than one per year in each subject receiving IVIG. The secondary outcome was safety and included other pharmacokinetic (“PK”) data collection points including antibody titers for certain agents, including RSV antibody levels at various time points after infusion.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RI-002 demonstrated positive results in the Phase III study in patients with PIDD, meeting its primary endpoint of no SBIs reported. RI-002 was administered in a total of 793 infusions with zero serious adverse events to 59 patients in nine treatment centers throughout the U.S. These results, included in our Biologics License Application (“BLA”), exceed the requirement specified by FDA guidance of ≤ 1 serious infection per patient-year.</w:t>
      </w:r>
    </w:p>
    <w:p>
      <w:pPr>
        <w:spacing w:after="0" w:line="14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February 22, 2015, at the 2015 American Academy of Allergy, Asthma &amp; Immunology Annual Meeting, scientific investigators reported on the secondary outcomes that included: a total of 93 days, or 1.66 days per patient per year lost from work or school due to infection; one hospitalization due to an infection of only five days duration in the entire study and Immune Globulin (“IgG”) trough levels above those required by the FDA for IVIG products. Additionally, there was a marked increase in all of the measured specific anti-pathogen antibodies in PK subjects (n=31). The mean of maximum fold increases in specific antibody levels after infusion of RI-002 ranged from 1.9 fold (S. pneumonia type 19A) to 5.3 fold (RSV), which were statistically significant fold increases from the pathogen’s specific measured baselines. The safety profile of ASCENIV is comparable to that of other immunoglobulins.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ASCENIV in RSV-Infected Patients</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RSV is a common virus that ordinarily leads to mild, cold-like symptoms in healthy adults and children. In high-risk groups, such as the PIDD population and other immune-compromised populations, RSV can lead to a more serious infection and may even cause death. The polyclonal antibodies that are present in ASCENIV are expected to prevent infections in immune-compromised patients.</w:t>
      </w:r>
    </w:p>
    <w:p>
      <w:pPr>
        <w:spacing w:after="0" w:line="18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In October 2019, we announced the successful treatment of ASCENIV in two children suffering with RSV through our compassionate use program. The two immunocompromised children admitted to the Mayo Clinic each were diagnosed with T-cell lymphoblastic lymphoma. Both patients were undergoing delayed intensification chemotherapy and each were diagnosed with RSV Lower Respiratory Tract Infection (“LRTI”). Both children were treated with ASCENIV under an emergency FDA Investigational New Drug protocol.</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previously conducted a randomized, double-blind, placebo-controlled Phase II clinical trial to evaluate RI-001, RI-002’s predecessor product candidate, in immune-compromised, RSV-infected patients. This trial was conducted with 21 patients in the U.S., Canada, Australia, and New Zealand. The Phase II dose-ranging trial demonstrated a statistically significant improvement in the change from baseline RSV titers to day 18 in the high dose and low dose treatment groups when compared with placebo (p=0.0043 and p=0.0268, respectively). The mean fold increase for high dose was 9.24 (95% CI 4.07, 21.02) and the observed mean fold increase for low dose was 4.85 (95% CI 2.22, 10.59). The mean fold change for placebo treated patients was 1.42 (95% CI 0.64, 3.17). In addition, more patients in the high dose (85.7%) and low dose (42.9%) groups experienced greater than a four-fold increase from baseline to day 18 in RSV titer levels compared to placebo (0%). There were no serious drug-related adverse events reported during the trial.</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From April 2009 through February 2011, RI-001 was also administered to 15 compassionate use patients where physicians requested access to the product for treating their patients with documented lower respiratory tract RSV infections due to the fact that these patients had failed conventional therapeutic interventions. Serum samples were obtained from 13 patients. Samples showed that patients demonstrated a four-fold or greater rise in RSV antibody titers from baseline. Serum samples were not obtained from two patients that received Palivizumab. All 11 surviving patients received RI-001 within an average of 4.4 days after the onset of the diagnosis of RSV. The drug was well-tolerated in all 15 patients and there were no reports of serious adverse events attributable to RI-001. Data from our Phase II clinical trial, compassionate use experience and data obtained from the evaluation of RI-002 in the infected cotton rat animal model has been presented at various conferences over the past several years.</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Based on these results, we may elect to evaluate ASCENIV for the treatment of RSV or other respiratory viral pathogens in immunocompromised patients or other appropriate patient populations. Due to the COVID-19 pandemic, our plans to commence such evaluation have been delayed.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Collection Operations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ADMA BioCenters has a total of ten source plasma U.S. based collection facilities, all of which are actively operating and collecting plasma. Currently, eight of our plasma collection facilities have an FDA license (of which three facilities have also received approvals from MFDS and FDA approval to implement a Hepatitis B immunization program), with two remaining centers expected to receive FDA approval during 2023. Source plasma that is collected from our FDA-licensed facilities provides us with a portion of our blood plasma for the manufacture of our products. After giving effect to our supply chain robustness initiatives made in 2021 and 2022 as it pertains to our plasma collection network expansion, we remain on track to achieve our stated goal of having ten plasma collection centers FDA-licensed by the end of 2023.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or product candidates are sold to third-party customers in the U.S. and other international locations where we are approved under supply agreements or in the open “spot” market.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Transaction with Biotest Pharmaceuticals Corporation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BPC Plasma, Inc. (formerly Biotest Pharmaceuticals Corporation (“BPC”), together with Biotest AG, “Biotest”), which included two FDA-licensed products, Nabi-HB and BIVIGAM, and the Boca Facility (the “Biotest Transaction”). BTBU had previously been our third-party contract manufacturer. Immediately following the acquisition, the Biotest Assets were contributed into ADMA BioManufacturing.</w:t>
      </w:r>
    </w:p>
    <w:p>
      <w:pPr>
        <w:spacing w:after="0" w:line="187"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Upon the completion of the Biotest Transaction, we gained control over the regulatory, quality, general operations and drug substance manufacturing process at the Boca Facility. In April 2018, we completed an FDA inspection and as a result of the inspection, our Boca Facility’s regulatory compliance status improved from Official Action Indicated (“OAI”) to Voluntary Action Indicated (“VAI”), allowing us to submit regulatory applications to the FDA for review. During the second quarter of 2019, we received FDA approval of the respective submissions for both ASCENIV and BIVIGAM, and the transfer of the BIVIGAM and Nabi-HB licenses from BPC to us was completed on July 2,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goal is to be a leader in manufacturing, marketing and developing specialized, targeted, plasma-derived therapeutics that are intended to extend and enhance the lives of individuals who are naturally or medically immune-compromised. The key elements of our strategy for achieving this goal are as follows:</w:t>
      </w:r>
    </w:p>
    <w:p>
      <w:pPr>
        <w:spacing w:after="0" w:line="180" w:lineRule="exact"/>
        <w:rPr>
          <w:sz w:val="20"/>
          <w:szCs w:val="20"/>
          <w:color w:val="auto"/>
        </w:rPr>
      </w:pPr>
    </w:p>
    <w:p>
      <w:pPr>
        <w:ind w:left="660" w:right="80" w:hanging="328"/>
        <w:spacing w:after="0" w:line="270"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Continue to expand the commercial production of our IG products, as well as the commercial presence, penetration and sales of BIVIGAM and ASCENIV for the treatment of patients with PI</w:t>
      </w:r>
      <w:r>
        <w:rPr>
          <w:rFonts w:ascii="Arial" w:cs="Arial" w:eastAsia="Arial" w:hAnsi="Arial"/>
          <w:sz w:val="17"/>
          <w:szCs w:val="17"/>
          <w:color w:val="auto"/>
        </w:rPr>
        <w:t>. Subject to the continuing restrictions surrounding COVID-19, we continue to</w:t>
      </w:r>
      <w:r>
        <w:rPr>
          <w:rFonts w:ascii="Arial" w:cs="Arial" w:eastAsia="Arial" w:hAnsi="Arial"/>
          <w:sz w:val="17"/>
          <w:szCs w:val="17"/>
          <w:b w:val="1"/>
          <w:bCs w:val="1"/>
          <w:color w:val="auto"/>
        </w:rPr>
        <w:t xml:space="preserve"> </w:t>
      </w:r>
      <w:r>
        <w:rPr>
          <w:rFonts w:ascii="Arial" w:cs="Arial" w:eastAsia="Arial" w:hAnsi="Arial"/>
          <w:sz w:val="17"/>
          <w:szCs w:val="17"/>
          <w:color w:val="auto"/>
        </w:rPr>
        <w:t>enhance our recruiting initiatives and expand our existing specialty commercial sales force and commercial-facing organization to market BIVIGAM and ASCENIV to appropriate sites of care including home healthcare infusion facilities, hospitals, physician offices/clinics and other specialty treatment and infusion center organizations. We also anticipate staffing our Company with additional personnel for patient support, medical affairs, quality assurance, quality control, inventory management, regulatory affairs, scientific affairs and third-party reimbursement. We currently use and may continue to partner with a network of national distributors to fulfill orders for BIVIGAM and ASCENIV. We have implemented and continue to implement virtual customer engagement programs to adapt to restrictions in place due to COVID-19, as well as continue with our in-person presence with customers and healthcare professionals and attend appropriate trade-related and scientific medical conferences as COVID-19 restrictions ease in various geographic regions of the country.</w:t>
      </w:r>
    </w:p>
    <w:p>
      <w:pPr>
        <w:spacing w:after="0" w:line="176" w:lineRule="exact"/>
        <w:rPr>
          <w:rFonts w:ascii="Arial" w:cs="Arial" w:eastAsia="Arial" w:hAnsi="Arial"/>
          <w:sz w:val="17"/>
          <w:szCs w:val="17"/>
          <w:color w:val="auto"/>
        </w:rPr>
      </w:pPr>
    </w:p>
    <w:p>
      <w:pPr>
        <w:ind w:left="660" w:right="1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Increase marketing efforts around Nabi-HB. </w:t>
      </w:r>
      <w:r>
        <w:rPr>
          <w:rFonts w:ascii="Arial" w:cs="Arial" w:eastAsia="Arial" w:hAnsi="Arial"/>
          <w:sz w:val="18"/>
          <w:szCs w:val="18"/>
          <w:color w:val="auto"/>
        </w:rPr>
        <w:t>Subject to the restrictions surrounding COVID-19, we plan to increase our marketing efforts and</w:t>
      </w:r>
      <w:r>
        <w:rPr>
          <w:rFonts w:ascii="Arial" w:cs="Arial" w:eastAsia="Arial" w:hAnsi="Arial"/>
          <w:sz w:val="18"/>
          <w:szCs w:val="18"/>
          <w:b w:val="1"/>
          <w:bCs w:val="1"/>
          <w:color w:val="auto"/>
        </w:rPr>
        <w:t xml:space="preserve"> </w:t>
      </w:r>
      <w:r>
        <w:rPr>
          <w:rFonts w:ascii="Arial" w:cs="Arial" w:eastAsia="Arial" w:hAnsi="Arial"/>
          <w:sz w:val="18"/>
          <w:szCs w:val="18"/>
          <w:color w:val="auto"/>
        </w:rPr>
        <w:t>attend relevant virtual or in-person medical conferences during 2022, raising awareness of the risks associated with Hepatitis B and the benefits and efficacy of Nabi-HB in its indicated populations. We have published and may continue to publish scientific data supporting the use of Nabi-HB in at-risk and appropriate patient populations.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ind w:left="660" w:right="18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Expand ASCENIV’s FDA-approved uses</w:t>
      </w:r>
      <w:r>
        <w:rPr>
          <w:rFonts w:ascii="Arial" w:cs="Arial" w:eastAsia="Arial" w:hAnsi="Arial"/>
          <w:sz w:val="17"/>
          <w:szCs w:val="17"/>
          <w:color w:val="auto"/>
        </w:rPr>
        <w:t>. Having received approval by the FDA for ASCENIV as a treatment for PIDD, we may elect to</w:t>
      </w:r>
      <w:r>
        <w:rPr>
          <w:rFonts w:ascii="Arial" w:cs="Arial" w:eastAsia="Arial" w:hAnsi="Arial"/>
          <w:sz w:val="17"/>
          <w:szCs w:val="17"/>
          <w:b w:val="1"/>
          <w:bCs w:val="1"/>
          <w:color w:val="auto"/>
        </w:rPr>
        <w:t xml:space="preserve"> </w:t>
      </w:r>
      <w:r>
        <w:rPr>
          <w:rFonts w:ascii="Arial" w:cs="Arial" w:eastAsia="Arial" w:hAnsi="Arial"/>
          <w:sz w:val="17"/>
          <w:szCs w:val="17"/>
          <w:color w:val="auto"/>
        </w:rPr>
        <w:t>evaluate the clinical and regulatory paths to grow the ASCENIV franchise through expanded FDA-approved uses. We believe that there may be patient populations beyond PIDD that could potentially derive clinical benefit from ASCENIV, some of which may potentially be eligible for orphan status. We plan to leverage our previously conducted randomized, double-blind, placebo-controlled Phase II clinical trial evaluating RI-001, RI-002’s predecessor product candidate, in immune-compromised, RSV-infected patients to explore ASCENIV for the treatment of RSV or other potential respiratory viral pathogens, as well as in other patient populations we may believe are appropriate.</w:t>
      </w:r>
    </w:p>
    <w:p>
      <w:pPr>
        <w:spacing w:after="0" w:line="173" w:lineRule="exact"/>
        <w:rPr>
          <w:rFonts w:ascii="Arial" w:cs="Arial" w:eastAsia="Arial" w:hAnsi="Arial"/>
          <w:sz w:val="17"/>
          <w:szCs w:val="17"/>
          <w:color w:val="auto"/>
        </w:rPr>
      </w:pPr>
    </w:p>
    <w:p>
      <w:pPr>
        <w:ind w:left="660" w:right="20" w:hanging="328"/>
        <w:spacing w:after="0" w:line="289"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Improve the Boca Facility’s and ADMA BioCenters’ operating efficiencies, yields and gross margins. </w:t>
      </w:r>
      <w:r>
        <w:rPr>
          <w:rFonts w:ascii="Arial" w:cs="Arial" w:eastAsia="Arial" w:hAnsi="Arial"/>
          <w:sz w:val="16"/>
          <w:szCs w:val="16"/>
          <w:color w:val="auto"/>
        </w:rPr>
        <w:t>During 2023, we plan to continue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on the capacity optimization efforts we put in place during 2021 to increase the Boca Facility’s manufacturing capacity throughput, while seeking additional operating efficiencies and gross margin improvements. We also plan to strengthen our supply chain capabilities to potentially unlock efficiencies, improve production yields and provide more control and visibility for timing of commercial product releases for all of our FDA-approved commercial products. During 2021, we received FDA approvals for our 4,400L expanded IVIG production scale, as well as our in-house fill-finish and related operations production line using our aseptic filling machine. In 2023, ADMA commenced manufacturing ASCENIV at the 4,400 Liter production scale for the first time in corporate history. We expect that this expansion should meaningfully improve the product’s margin profile and increase plant production capacity as fewer batches will be needed to support revenue goals. The Company’s successful experience in ramping up BIVIGAM to this production scale over the last two years lends confidence to its ability to leverage these same processes for ASCENIV. We believe these benefits could be realized as early as the second half of 2023.</w:t>
      </w:r>
    </w:p>
    <w:p>
      <w:pPr>
        <w:spacing w:after="0" w:line="160" w:lineRule="exact"/>
        <w:rPr>
          <w:rFonts w:ascii="Arial" w:cs="Arial" w:eastAsia="Arial" w:hAnsi="Arial"/>
          <w:sz w:val="16"/>
          <w:szCs w:val="16"/>
          <w:color w:val="auto"/>
        </w:rPr>
      </w:pPr>
    </w:p>
    <w:p>
      <w:pPr>
        <w:ind w:left="660" w:right="18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Label expansion. </w:t>
      </w:r>
      <w:r>
        <w:rPr>
          <w:rFonts w:ascii="Arial" w:cs="Arial" w:eastAsia="Arial" w:hAnsi="Arial"/>
          <w:sz w:val="18"/>
          <w:szCs w:val="18"/>
          <w:color w:val="auto"/>
        </w:rPr>
        <w:t>The ongoing post-marketing clinical studies may provide label expansion opportunities for both BIVIGAM and ASCENIV to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pediatric-aged PI patients as well as additional publications supporting product safety.</w:t>
      </w:r>
    </w:p>
    <w:p>
      <w:pPr>
        <w:spacing w:after="0" w:line="161"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Expand and develop our pipeline with additional specialty plasma and/or hyperimmune immunoglobulin products</w:t>
      </w:r>
      <w:r>
        <w:rPr>
          <w:rFonts w:ascii="Arial" w:cs="Arial" w:eastAsia="Arial" w:hAnsi="Arial"/>
          <w:sz w:val="18"/>
          <w:szCs w:val="18"/>
          <w:color w:val="auto"/>
        </w:rPr>
        <w:t>. Our core competency is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development, manufacturing, testing and commercialization of plasma-derived therapeutics. We believe there are a number of under-addressed medical conditions for which plasma-derived therapeutics may be beneficial. Utilizing our intellectual property patents, which include our proprietary testing assay and other standardization methods and technologies, we have identified potential new product candidates that we may advance into preclinical activities.</w:t>
      </w:r>
    </w:p>
    <w:p>
      <w:pPr>
        <w:spacing w:after="0" w:line="183" w:lineRule="exact"/>
        <w:rPr>
          <w:rFonts w:ascii="Arial" w:cs="Arial" w:eastAsia="Arial" w:hAnsi="Arial"/>
          <w:sz w:val="18"/>
          <w:szCs w:val="18"/>
          <w:color w:val="auto"/>
        </w:rPr>
      </w:pPr>
    </w:p>
    <w:p>
      <w:pPr>
        <w:ind w:left="660" w:right="200" w:hanging="328"/>
        <w:spacing w:after="0" w:line="30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Develop and expand our plasma collection center network</w:t>
      </w:r>
      <w:r>
        <w:rPr>
          <w:rFonts w:ascii="Arial" w:cs="Arial" w:eastAsia="Arial" w:hAnsi="Arial"/>
          <w:sz w:val="16"/>
          <w:szCs w:val="16"/>
          <w:color w:val="auto"/>
        </w:rPr>
        <w:t>. We plan on expanding our plasma collection network with the goal of having 10</w:t>
      </w:r>
      <w:r>
        <w:rPr>
          <w:rFonts w:ascii="Arial" w:cs="Arial" w:eastAsia="Arial" w:hAnsi="Arial"/>
          <w:sz w:val="16"/>
          <w:szCs w:val="16"/>
          <w:b w:val="1"/>
          <w:bCs w:val="1"/>
          <w:color w:val="auto"/>
        </w:rPr>
        <w:t xml:space="preserve"> </w:t>
      </w:r>
      <w:r>
        <w:rPr>
          <w:rFonts w:ascii="Arial" w:cs="Arial" w:eastAsia="Arial" w:hAnsi="Arial"/>
          <w:sz w:val="16"/>
          <w:szCs w:val="16"/>
          <w:color w:val="auto"/>
        </w:rPr>
        <w:t>FDA-licensed plasma collection facilities operating in the U.S. by the end of 2023 as we seek to achieve plasma supply self-sufficiency over the next few years and prepare for production ramp-up and growth to capitalize on the global growing IVIG and source plasma markets, including obtaining FDA licenses for each new plasma collection center and regulatory approval in additional jurisdictions.</w:t>
      </w:r>
    </w:p>
    <w:p>
      <w:pPr>
        <w:spacing w:after="0" w:line="150" w:lineRule="exact"/>
        <w:rPr>
          <w:rFonts w:ascii="Arial" w:cs="Arial" w:eastAsia="Arial" w:hAnsi="Arial"/>
          <w:sz w:val="16"/>
          <w:szCs w:val="16"/>
          <w:color w:val="auto"/>
        </w:rPr>
      </w:pPr>
    </w:p>
    <w:p>
      <w:pPr>
        <w:ind w:left="660" w:right="24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Secure new supply contracts for potential contract manufacturing organization (“CMO”) opportunities. </w:t>
      </w:r>
      <w:r>
        <w:rPr>
          <w:rFonts w:ascii="Arial" w:cs="Arial" w:eastAsia="Arial" w:hAnsi="Arial"/>
          <w:sz w:val="18"/>
          <w:szCs w:val="18"/>
          <w:color w:val="auto"/>
        </w:rPr>
        <w:t>We are exploring new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CMO, contract testing and business development opportunities, which include fill-finish capabilities, with our multi-faceted revenue generation platform, while continuing to fulfill our newly secured, long-term CMO supply agreement to produce and sell plasma-derived intermediate fractions.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Immunodeficiency Disease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PIDD is a class of hereditary disorders characterized by defects in the immune system, due to either a lack of necessary antibodies or a failure of these antibodies to function properly. According to the World Health Organization, there are over 150 different presentations of PIDD. As patients suffering from PIDD lack a properly functioning immune system, they typically receive monthly, outpatient infusions of IVIG therapy. Without this exogenous antibody immune support, these patients would be susceptible to a wide variety of infectious diseases. PIDD has an estimated prevalence of 1:1,200 in the U.S., or approximately 250,000 people. Industry reports indicate the U.S. market for IG in 2021 was $9.6 billion and is expected to exceed $17 billion by 2027 based upon a compounded annual growth rate of 9%.</w:t>
      </w:r>
    </w:p>
    <w:p>
      <w:pPr>
        <w:spacing w:after="0" w:line="19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most patients with PIDD present with infections, the differential diagnosis and initial investigations for an underlying immune defect are typically guided by the clinical presentation. In subjects with PIDD, individual infections are not necessarily more severe than those that occur in a normal host. Rather, the clinical features suggestive of an immune defect may be the recurring and/or chronic nature of infections with common pathogens that may result in end organ damage, such as bronchiectasis. In addition, subjects with PIDD will often respond poorly to standard antimicrobial therapy or they may have repeated infections with the same pathogen. The virulence of the infecting organism should also be considered, and a subject’s immune competence should be questioned when invasive infections are caused by low virulence or opportunistic pathogens. For example, infection with the opportunistic pathogens Pneumocystis jiroveci (previously Pneumocystis carinii) or atypical mycobacteria should prompt an investigation for underlying immunodeficiency. Typical clinical presentations for subjects with PIDD are:</w:t>
      </w:r>
    </w:p>
    <w:p>
      <w:pPr>
        <w:spacing w:after="0" w:line="17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antibody deficiency and recurrent bacterial infections;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T-lymphocyte deficiency and opportunistic infections;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lymphocyte defects causing opportunistic infections;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neutrophil defects causing immunodeficiency;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complement deficiencies.</w:t>
      </w:r>
    </w:p>
    <w:p>
      <w:pPr>
        <w:spacing w:after="0" w:line="225"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PIDD can present at any age from birth to adulthood, posing a considerable challenge for the practicing physician to know when and how to evaluate a subject for a possible immune defect. Subjects with marked antibody deficiencies are generally dependent on IVIG therapy for survival. Benefits of adequate IVIG therapy in subjects not able to produce antibodies normally include a reduction in the severity and frequency of infections, prevention of chronic lung disease and prevention of enteroviral meningoencephalitis. Several immune globulin products have already been approved by the FDA.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Plasma - Background, Composition and 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Human blood contains a number of components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 blood cells – Used to carry oxygen from the lungs to the body;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White blood cells – Used by the immune system to fight infection;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Platelets – Used for blood clotting;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Plasma – Used to carry the aforementioned components throughout the body and provide support in clotting and immunity.</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Plasma is the most abundant blood component, representing approximately 55% of total blood volume. Plasma, which is 90% water, is rich in proteins used by the human body for blood clotting and fighting infection. These proteins account for approximately 7% of plasma’s volume. As plasma contains these valuable proteins, plasma collection and the manufacturing of human plasma-derived therapeutics provide therapeutic benefits for ill patients.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order to produce plasma-derived therapeutics that can be administered to ill patients, raw material plasma must be collected from human donors and then manufactured into specialized products. Plasma is collected from healthy donors at FDA-licensed plasma donation centers. To ensure safety of the collected plasma, all plasma donations are tested using FDA-approved methods of Nucleic Acid Testing for various infectious diseases, such as HIV or HCV.</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Plasma is collected using a process known as “plasmapheresis.” During plasmapheresis, a donor’s blood is drawn into a specialized medical device that separates the plasma component through centrifugation, and then returns the other blood components back into the donor’s bloodstream. Plasmapheresis is performed utilizing an FDA-approved, automated device with a sterile, self-contained collection kit. The plasma that is collected is known as “normal source plasma.” There are over 1,000 plasma donation centers in the U.S. As noted in a variety of plasma industry trade reports and related conferences, approximately 43 million liters of source plasma were collected in the U.S. in 2021. In the U.S., a donor may donate plasma a maximum of two times during any seven-day period, with at least two days in between donations. Plasma donation centers in the U.S. typically pay donors $50 to $150 per donation and some donors with rare or high antibody levels can be paid more.</w:t>
      </w:r>
    </w:p>
    <w:p>
      <w:pPr>
        <w:spacing w:after="0" w:line="17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order to isolate the desired therapeutic elements in normal source plasma, it must initially go through the fractionation process. The process of fractionation was invented in the 1940’s by E.J. Cohn and is referred to as the Cohn method or cold ethanol fractionation. First, the source plasma undergoes a process called pooling, in which the individual plasma donations are combined into a pooling tank. Second, the Cohn fractionation method, which is a combination of time, temperature, pH, alcohol concentration and centrifugation, is used to separate the desired plasma protein components, or “fractions.” After fractionation, the separated proteins are then re-suspended and are treated with a solvent detergent treatment process for viral inactivation. Next, other forms of filtration, such as nanofiltration, are performed as an additional viral removal and viral reduction step. Finally, with the various components separated and purified, the bulk product is formulated and filled into final, finished vials. During these various steps of manufacturing, each lot is reviewed and tested for potency and purity prior to being approved for release. The biologics manufacturing process is time consuming and complex. The time for collection, manufacturing and release of a batch of IG is estimated at seven to 12 months, which is not unique to just ADMA as other fractionators report similar production timelines.</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proteins in human plasma fall into four categories: albumin (60% of protein volume), immune globulins (15% of protein volume), coagulation factors (1% of protein volume), and other proteins (24% of protein volume) such as alpha-1 proteinase inhibitor, C1 esterase inhibitor, fibrin sealants and fibrinogen. Many of the other proteins in plasma have yet to be developed into commercial therapies. In the U.S., not only are the plasma collection centers subject to FDA licensure, but each plasma protein product that is derived and fractionated from plasma must undergo an approval process with FDA’s Center for Biologics Evaluation and Research (“CBER”).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Immune Globulins</w:t>
      </w:r>
    </w:p>
    <w:p>
      <w:pPr>
        <w:spacing w:after="0" w:line="229"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 xml:space="preserve">In June 2008, the FDA published the FDA Guidance for Industry outlining the regulatory pathway for the approval of IVIG for the treatment of PIDD </w:t>
      </w:r>
      <w:r>
        <w:rPr>
          <w:rFonts w:ascii="Arial" w:cs="Arial" w:eastAsia="Arial" w:hAnsi="Arial"/>
          <w:sz w:val="18"/>
          <w:szCs w:val="18"/>
          <w:i w:val="1"/>
          <w:iCs w:val="1"/>
          <w:color w:val="auto"/>
        </w:rPr>
        <w:t>(Guidance for Industry: Safety, Efficacy, and Pharmacokinetic Studies to Support Marketing of Immune Globulin Intravenous (Human) as</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Therapy for Primary Humoral Immunodeficiency)</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Immune globulins can be administered in three ways: intramuscularly, intravenously or subcutaneously. IVIG principally contains antibodies and, as such, provides passive immunization for individuals who are immune-deficient or who have been exposed to various infectious agents. IVIG is used therapeutically in a variety of immunological diseases/deficiencies, such as PIDD, idiopathic thrombocytopenic purpura, Guillain-Barré syndrome, Kawasaki disease, bone marrow transplant, and chronic inflammatory demyelinating polyneuropathy. We are aware that other companies are also evaluating IVIG in a clinical trial for the treatment of Alzheimer’s disease. Additionally, IVIG is also used as therapy in a variety of other diseases that do not involve primary or secondary immune deficiencies, such as multiple sclerosis, skin disease, and asthma. These latter uses are referred to as “off-label” or evidence-based uses because the FDA has not approved their use in these indications and promotion of such uses is not permitted by FDA unless a BLA or BLA supplement with additional data is approved. Among the various IVIG products, there are only 14 labeled indications approved by the FDA. However, medical literature identifies at least 150 evidence-based uses for IVIG, of which approximately 60 are currently included on lists of reimbursable uses by Medicare and other healthcare plans. This provides opportunities for new product development and submissions to potentially expand the label for our existing products.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There are two types of immune globulins; standard and hyperimmune. The difference between standard immune globulins and hyperimmune globulins is that the latter are manufactured using plasma obtained from donors who have elevated amounts (high-titers) of specific antibodies. These high-titer products can be used to treat and prevent diseases that present those specific antigens that are reactive with the high-titer antibodies. Hyperimmune products currently available include Hepatitis B, tetanus, rabies, CMV and RhoD immune globulins.</w:t>
      </w:r>
    </w:p>
    <w:p>
      <w:pPr>
        <w:spacing w:after="0" w:line="17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As reported in industry journals, the U.S. sales of immune and hyperimmune globulin products for all its uses were reported to be approximately $9.6 billion in 2021 and are expected to exceed $17 billion in 2027 based upon an anticipated compounded annual growth rate of approximately 9%. IVIG products are used to treat primary immune deficiencies, certain autoimmune diseases, and other illnesses for immune-compromised patients and certain neuropathy indications. New research and data, secondary immune deficiencies, additional labeled indications, an aging population and emerging countries with new markets are all adding to the worldwide demand and growth of IVIG utilization.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of Our Products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order to produce plasma-derived therapeutics that can be administered to patients, raw material plasma is collected from healthy donors at plasma collection facilities licensed by the FDA. When stored under proper conditions, this plasma may have a shelf-life of up to 10 years. Source plasma is collected at any one of over 1,000 FDA-licensed donation centers located throughout the U.S., using a process known as automated plasmapheresis. This sterile, self-contained, automated process separates red blood cells and other cellular components in the blood, which are then returned to the donor. Source plasma obtained by plasmapheresis is tested and must be negative for antibodies to human immunodeficiency virus types 1 and 2 (HIV-1/2), HBsAg and Hepatitis C virus (“HCV”), using FDA-approved serological test procedures.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After receipt of the source plasma, the frozen plasma is thawed and pooled and goes through the fractionation process. This process is referred to as the Cohn method or cold ethanol method of fractionation. During cold ethanol fractionation, classes of proteins are precipitated and removed by centrifugation or filtration. The fractionation process includes the following steps; precipitation and absorption, depth filtration, centrifugation and chromatography. Because of the human origin of the raw material and the thousands of donations required in the fractionation process, a significant risk associated with plasma products is the transmission of blood-borne infectious pathogens. These purification processes have the potential to reduce the viral load. The manufacturing process also utilizes a multistep viral removal/inactivation system, which further increases the safety of the products. The following manufacturing processes have been validated for their capability to eliminate or inactivate viruses: precipitation during cold ethanol fractionation, solvent/detergent treatment and nanofiltration. We incorporate these processes into the manufacturing process, which ensures that our products comply with the requirements of the FDA and are safe and efficacious.</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drug-substance is produced in the Boca Facility, the product is further processed by certain third- party fill-finish providers or through our own in-house fill finish process which was approved by the FDA in the second half of 2021, as well as through labeling, packaging and Drug Supply Chain Security Act (“DSCSA”) serialization requirements. The end-to-end production cycle can take approximately seven to 12 months for a batch of FDA released drug product. Since 2020, we have successfully implemented several manufacturing and supply chain enhancements, including the purchase and installation of a new aseptic filling machine and the manufacturing of four conformance batches of BIVIGAM at an increased scale. These initiatives are designed to reduce operating costs, improve margins and provide for faster production cycle turnaround time, ultimately providing increased control and independence from third-party vendors and contractors.</w:t>
      </w:r>
    </w:p>
    <w:p>
      <w:pPr>
        <w:spacing w:after="0" w:line="17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ADMA BioCenters has a total of ten source plasma collection facilities in its network. We anticipate all ten collection facilities will be FDA-approved by the end of 2023 and should allow the Company to be essentially self-sufficient for its raw material source plasma supply to produce its commercial IG product portfolio. Eight of our operational ADMA BioCenters plasma collection facilities are currently licensed by the FDA and three facilities have approvals from the South Korean MFDS and the FDA for the collection and sale of Hepatitis B hyperimmune plasma obtained from immunized donors. At the present time, the Company does not plan to build additional plasma collection facilities beyond the existing 10, but continues to have third-party supply contracts in place to augment our vertically integrated plasma collections.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the terms of a plasma purchase agreement with BPC, dated as of November 17, 2011 (the “2011 Plasma Purchase Agreement”), we have agreed to purchase from BPC an annual minimum volume of source plasma containing antibodies to RSV to be used in the manufacture of ASCENIV. We must purchase a to-be-determined and agreed upon annual minimum volume from BPC but may also collect high-titer RSV plasma from up to five wholly-owned ADMA plasma collection facilities. During 2015, we amended the 2011 Plasma Purchase Agreement with BPC to allow us the ability to collect our raw material RSV high-titer plasma from other third-party collection organizations, thus allowing us to expand our reach for raw material supply for ASCENIV.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we entered into a Plasma Supply Agreement with BPC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we entered into an amendment to the Plasma Supply Agreement with BPC to provide, among other things, that in the event BPC elects not to supply in excess of ADMA BioManufacturing’s specified amount of Hepatitis B plasma and ADMA BioManufacturing is unable to secure Hepatitis B plasma from a third party at a price which is within a low double digit percentage of the price which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6, 2017, we entered into a Plasma Purchase Agreement with BPC (the “2017 Plasma Purchase</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Agreement”), pursuant to which ADMA BioManufacturing purchases normal source plasma from BPC at agreed upon annual quantities and prices. The 2017 Plasma Purchase Agreement had an initial term of five years after which the 2017 Plasma Purchase Agreement could be renewed for two additional terms of two years each upon the mutual written consent of the parties. On December 10, 2018, BPC assigned its rights and obligations under the Plasma Purchase Agreement to Grifols, effective January 1, 2019. Effective as of May 12, 2021, the Company and Grifols amended the foregoing 2017 Plasma Purchase Agreement whereby, among other things, the term of the agreement was extended through December 31, 2022, while certain historical provisions were deleted. The 2017 Plasma Purchase Agreement expired on December 31, 2022 and was not renewed. In order to maintain a reliable supply of raw material plasma thereafter, we have executed additional agreements with multiple third-party suppliers of NSP and we continue to increase our plasma collection capabilities at our ADMA BioCenters Plasma Collection Centers business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Commercialization of Our Products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Currently, BIVIGAM, ASCENIV and Nabi-HB are sold primarily through independent distributors, drug wholesalers acting as sales agents, specialty pharmacies servicing both acute and ambulatory infusion centers and the home health infusion setting and other alternate site providers. In the U.S., independent distributors or third-party drug wholesalers ship our products through their distribution centers. These centers are generally stocked with adequate inventories to facilitate prompt customer service. Sales and distribution methods include frequent contact by sales and customer service representatives, automated communications via various electronic purchasing systems, circulation of catalogs and merchandising bulletins, direct-mail campaigns, trade publication presence and advertising.</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market and sell our products through our specialty sales force, distribution relationships and other customary industry methods. We focus our efforts specifically on the easily identifiable treatment centers which specialize in the care and management of immune compromised individuals. We estimate that there are approximately 500 leading specialty programs in the U.S. which have significant patient populations for PIDD, suitable for treatment with ASCENIV. Our management and Board have substantial prior direct marketing, sales and distribution experience with plasma-derived drugs, specialty immune globulins and other biological products. As is customary in the plasma products industry, we may also use a network of national distribution organizations that have specialty divisions that focus on plasma products to fulfill orders for ASCENIV.</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Subject to restrictions surrounding the COVID-19 pandemic, efforts to generate increased market awareness for Nabi-HB include attending and presenting scientific information at medical conferences, as well as sponsoring medical education symposiums. We have also hired a specialty sales force consisting of account managers, medical science liaisons and other customary scientific, medical and detail representatives to market BIVIGAM and ASCENIV to hospitals, physician offices/clinics, and other specialty treatment organizations as applicable. In addition, we have expanded staffing efforts with additional personnel for patient support, medical affairs, quality assurance, regulatory affairs, scientific affairs, third-party reimbursement, inventory and logistics, human resources and financial and operational management. We may also use a network of national and regional distributors to assist with order fulfillment for BIVIGAM and ASCENIV for use by healthcare professionals and hospitals.</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Pursuant to our Manufacturing, Supply and License Agreement effective as of January 21, 2017, we granted Biotest an exclusive license to market and sell ASCENIV in Europe and in selected countries in North Africa and the Middle East (the “Territory”), to have access to our testing services for testing of BPC’s plasma samples using our proprietary RSV assay, and to reference (but not access) our proprietary information for the purpose of Biotest seeking regulatory approval for ASCENIV in the Territory. As consideration for the license, Biotest provided us with certain in-kind services and also compensated us with cash payments upon the completion of certain milestones. Biotest is also obligated to pay us an adjustable royalty based on a percentage of revenues from the sale of ASCENIV in the Territory for 20 years from the date of first commercial sale.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For the year ended December 31, 2022, two customers, BioCARE, Inc. (“BioCare”) and Priority Healthcare Distribution, Inc. (“Curascript”), represented an aggregate of 74% of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The plasma products industry is highly competitive. We face, and will continue to face, intense competition from both U.S.-based and foreign producers of plasma products, some of which have lower cost structures, greater access to capital, greater resources for research and development, and sophisticated marketing capabilities.</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These competitors may include but are not limited to: CSL Behring, Grifols Biologicals, Takeda, Octapharma, Kedrion and BPL. There are four producers of plasma-derived products in the U.S. consisting of: CSL Behring, Grifols, Takeda and ADMA Biologics. In addition to competition from other large worldwide plasma products providers, we face competition in local areas from smaller entities. In Europe, where the industry is highly regulated and healthcare systems vary from country to country, local companies may have greater knowledge of local healthcare systems, more established infrastructures and existing regulatory approvals or a better understanding of the local regulatory process, allowing them to market their products more quickly. Moreover, plasma therapy generally faces competition from non-plasma products and other courses of treatments. For example, recombinant Factor VIII products compete with plasma-derived products in the treatment of Hemophilia A.</w:t>
      </w:r>
    </w:p>
    <w:p>
      <w:pPr>
        <w:spacing w:after="0" w:line="17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New technologies are being developed by biotech and pharmaceutical companies which may impact physician prescription and patient usage of IVIG. One such recently approved FDA therapy is an anti-FcRn inhibitor (neonatal Fc receptor, IgG receptor) which is a protein in humans responsible for maintaining IgG levels. This recently FDA approved anti-FcRn is for the treatment of generalized Myasthenia Gravis that may impact a subset of overall general IVIG usage. Other such FcRn potential targeted indications in development that may disrupt general IVIG usage may include but are not limited to: Chronic Inflammatory Demyelinating Polyradiculoneuropathy (“CIDP”), a rare type of autoimmune disorder, Immune Thrombocytopenic Purpura (“ITP”), a blood disorder characterized by a decrease in the number of platelets in the blood and Pemphigus Vulgaris (“PV”), a rare type of autoimmune disorder.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We rely on a combination of patents, patent applications, copyrights and trademarks, as well as contracts, such as confidentiality, material data transfer, license and invention assignment agreements, to protect our intellectual property rights. We also rely upon trade secret laws to protect unpatented know-how and advancing technological innovation.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140" w:firstLine="648"/>
        <w:spacing w:after="0" w:line="277" w:lineRule="auto"/>
        <w:rPr>
          <w:sz w:val="20"/>
          <w:szCs w:val="20"/>
          <w:color w:val="auto"/>
        </w:rPr>
      </w:pPr>
      <w:r>
        <w:rPr>
          <w:rFonts w:ascii="Arial" w:cs="Arial" w:eastAsia="Arial" w:hAnsi="Arial"/>
          <w:sz w:val="18"/>
          <w:szCs w:val="18"/>
          <w:color w:val="auto"/>
        </w:rPr>
        <w:t>We have intellectual property (patents, know-how, etc.) related to our immunotherapeutic compositions, manufacturing processes, immunotherapeutic treatment, and related methods and formulations.</w:t>
      </w:r>
    </w:p>
    <w:p>
      <w:pPr>
        <w:spacing w:after="0" w:line="17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Patents related to our immune globulin product ASCENIV include U.S. Patent No. 9,107,906, which covers compositions comprising pooled plasma, as well as immunoglobulin prepared therefrom, that contains a standardized, elevated titer of RSV neutralizing antibodies and elevated levels of antibodies specific for one or more other respiratory pathogens, as well as methods of making and using the compositions. U.S. Patent Nos. 9,714,283, 9,815,886, 9,969,793, 10,683,343 and 11,339,206 encompassing immunotherapeutic compositions and immunotherapeutic methods proprietary to us, also relate to ASCENIV. Corresponding foreign patents and patent applications also pertain to this technology.</w:t>
      </w:r>
    </w:p>
    <w:p>
      <w:pPr>
        <w:spacing w:after="0" w:line="17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 xml:space="preserve">We also hold intellectual property, including patents and patent applications, related to immunotherapeutic compositions and immunotherapeutic methods for the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U.S. Patent Nos. 10,259,865 and 11,084,870 pertain to various aspects of this technology. Additional U.S. and numerous corresponding foreign patent applications also relate to this technology.</w:t>
      </w:r>
    </w:p>
    <w:p>
      <w:pPr>
        <w:spacing w:after="0" w:line="16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continue to prepare, file, and prosecute patent applications to provide broad and strong protection of our proprietary rights, including applications focused on existing and future products.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rely on a combination of patents, trademarks, trade secrets and nondisclosure and non-competition agreements to protect our proprietary intellectual property and will continue to do so. We also seek to enhance and ensure our competitive position through a variety of means, including our unique and proprietary plasma donor selection criteria, our proprietary formulation methodology for plasma pooling and the proprietary reagents, controls, testing standards, standard operating procedures and methods we use in our anti-RSV microneutralization assay. While we intend to defend against threats to our intellectual property, litigation can be costly and there can be no assurance that our patents will be enforced or that our trade secret policies and practices or other agreements will adequately protect our intellectual property. We seek to preserve the integrity and confidentiality of our data and trade secrets by maintaining physical security of our premises and physical and electronic security of our information technology systems. These processes, systems, and/or security measures may be breached, and we may not have adequate remedies as a result of any such breaches. Third parties may also own or could obtain patents that may require us to negotiate licenses to conduct our business, and there can be no assurance that the required licenses would be available on reasonable terms or at all.</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addition, our trade secrets may otherwise become known or be independently discovered by competitors. We also seek to protect our proprietary technology and processes, in part, by confidentiality agreements with our employees, consultants, scientific advisors and contractors. Although we rely, in part, on confidentiality, nondisclosure and non-competition agreements with employees, consultants and other parties with access to our proprietary information to protect our trade secrets, proprietary technology, processes and other proprietary rights, there can be no assurance that these agreements or any other security measures related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6"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We currently hold multiple trademarks, including but not limited to ASCENIV, BIVIGAM and Nabi-HB. We have spent considerable resources registering these trademarks and building brand awareness and equity of the ADMA Biologics trade name, which has been used in commerce since 2006. We expect to maintain and defend our various trademarks to the fullest extent possible.</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FDA and comparable regulatory agencies in state and local jurisdictions and in foreign countries impose substantial requirements upon, among other things, the testing (preclinical and clinical), quality control, research, development, approval and post-approval monitoring and reporting, manufacturing, labeling, storage, recordkeeping, advertising, promotion, import, export, marketing sales and distribution of our products and product candidates. If we do not comply with applicable requirements, we may be fined, the government may refuse to approve our marketing applications or allow us to manufacture or market our products, we may be criminally prosecuted and we may be excluded from participation in government healthcare programs. These requirements are continually evolving. By example, in light of the COVID-19 pandemic, the FDA has issued a number of guidance documents to assist companies navigating pre-commercialization, commercialization, manufacturing and development concerns raised by COVID-19 and with respect to products intended for COVID-19. We and our manufacturers may also be subject to regulations under other federal, state and local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current and anticipated future product candidates are considered “biologics” under the FDA regulatory framework. The FDA’s regulatory authority for the approval of biologics resides in the Public Health Service Act (the “PHS Act”). However, biologics are also subject to regulation under the Federal Food, Drug and Cosmetic Act (the “FDCA”) because most biological products also meet the FDCA’s definition of “drugs.” Most pharmaceuticals or “conventional drugs” consist of pure chemical substances and their structures are known. Most biologics, however, are complex mixtures that are not easily identified or characterized. Biological products differ from conventional drugs in that they tend to be heat-sensitive and susceptible to microbial contamination. This requires sterile processes to be applied from initial manufacturing steps. In the U.S., the FDA regulates biologic products under the FDCA, the PHS Act and related federal regulations under Title 21 of the Code of Federal Regulations (“CFR”). Biologics are also regulated under other federal, state, and local statutes and regulations by other regulatory authorities. The process required by the FDA before our product candidates may be marketed in the U.S. generally involves the following (although the FDA is given wide discretion to impose different or more stringent requirements on a case-by-case basis):</w:t>
      </w:r>
    </w:p>
    <w:p>
      <w:pPr>
        <w:spacing w:after="0" w:line="18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preclinical, nonclinical and formulation studies performed in accordance with the FDA’s Good Laboratory Practice (“GLP”) regulations and other applicable laws and regulations;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Investigational New Drug (“IND”) application which must become effective before clinical trials may begin;</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approval by an Institutional Review Board (“IRB”) at each clinical site before a clinical trial may be initiated at that site;</w:t>
      </w:r>
    </w:p>
    <w:p>
      <w:pPr>
        <w:spacing w:after="0" w:line="22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meeting FDA requirements, commonly referred to as Good Clinical Practices (“GCP”), and other additional requirements for the protection of human research subjects and to establish the safety and efficacy of the product candidate for each proposed indication;</w:t>
      </w:r>
    </w:p>
    <w:p>
      <w:pPr>
        <w:spacing w:after="0" w:line="18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(through an FDA-approved facility) of product in accordance with the FDA’s current Good Manufacturing Practices (“cGMP”) to be used in the clinical trials and providing manufacturing information needed in regulatory filings;</w:t>
      </w:r>
    </w:p>
    <w:p>
      <w:pPr>
        <w:spacing w:after="0" w:line="170" w:lineRule="exact"/>
        <w:rPr>
          <w:rFonts w:ascii="Arial" w:cs="Arial" w:eastAsia="Arial" w:hAnsi="Arial"/>
          <w:sz w:val="18"/>
          <w:szCs w:val="18"/>
          <w:color w:val="auto"/>
        </w:rPr>
      </w:pPr>
    </w:p>
    <w:p>
      <w:pPr>
        <w:jc w:val="both"/>
        <w:ind w:left="660" w:right="2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of a BLA to the FDA for marketing approval that includes substantial evidence of safety, purity and potency from results of clinical trials; the results of preclinical testing; detailed information about the Chemistry, Manufacturing, and Controls (“CMC”) and proposed labeling and packaging for the product candidate;</w:t>
      </w:r>
    </w:p>
    <w:p>
      <w:pPr>
        <w:spacing w:after="0" w:line="183" w:lineRule="exact"/>
        <w:rPr>
          <w:rFonts w:ascii="Arial" w:cs="Arial" w:eastAsia="Arial" w:hAnsi="Arial"/>
          <w:sz w:val="18"/>
          <w:szCs w:val="18"/>
          <w:color w:val="auto"/>
        </w:rPr>
      </w:pPr>
    </w:p>
    <w:p>
      <w:pPr>
        <w:ind w:left="660" w:right="64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facilities at which the product candidate is produced, and potentially other involved facilities as well, to assess compliance with cGMP regulations and other applicable regulations;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potential FDA inspections of the preclinical study and clinical trial sites that generate the data in support of the BLA and;</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a BLA prior to any commercial marketing, sale or shipment of the product, including agreement on post-marketing commitments.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testing, review and approval process requires substantial time, effort and financial resources, and we cannot be certain that any approvals for our product candidates will be granted on a timely basis, if at all.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the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Prior to commencing the first clinical trial at a United States investigational site, we must submit manufacturing and analytical data, pre-clinical or nonclinical data from studies conducted in accordance with GLPs, and clinical trial plans, among other information, to the FDA as part of an IND application. Subject to certain exceptions, an IND becomes effective 30 days after receipt by the FDA, unless the FDA, within the 30-day time period, issues a clinical hold to delay a proposed clinical investigation due to concerns or questions about the product or the conduct of the clinical trial, including concerns that human research subjects will be exposed to unreasonable health risks. In such a case, the IND sponsor and the FDA must resolve any outstanding concerns before the clinical trial can begin. Clinical holds also may be imposed by the FDA at any time before or during trials due to safety concerns or non-compliance.</w:t>
      </w:r>
    </w:p>
    <w:p>
      <w:pPr>
        <w:spacing w:after="0" w:line="19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Our submission of an IND, or those of our collaboration partners, may not result in the FDA allowance to commence a clinical trial. A separate submission to an existing IND must also be made for each successive clinical trial conducted during product development. The FDA must also approve certain changes to an existing IND, such as certain manufacturing changes. Further, an independent Institutional Review Board (“IRB”) duly constituted to meet FDA requirements for each medical center proposing to conduct the clinical trial must review and approve the plan for any clinical trial before it commences at that center and it must monitor the safety of the study and study subjects until completed. Special clinical trial ethical considerations also must be taken into account if a study involves children. The FDA, the IRB or the sponsor may suspend a clinical trial at any time on various grounds, including a finding that the subjects or patients are being exposed to an unacceptable health risk. Clinical testing also must satisfy extensive GCP requirements and regulations for informed consent and must be conducted with product meeting cGMPs.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purposes of BLA submission and approval, clinical trials are typically conducted in the following three sequential phases, which may overlap (although additional or different trials may be required by the FDA as well):</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 clinical trials are initially conducted in a limited population to test the product candidate for safety, dose tolerance, absorption, metabolism, distribution and excretion in healthy humans or, on occasion, in patients, such as cancer patients.</w:t>
      </w:r>
    </w:p>
    <w:p>
      <w:pPr>
        <w:spacing w:after="0" w:line="170" w:lineRule="exact"/>
        <w:rPr>
          <w:rFonts w:ascii="Arial" w:cs="Arial" w:eastAsia="Arial" w:hAnsi="Arial"/>
          <w:sz w:val="18"/>
          <w:szCs w:val="18"/>
          <w:color w:val="auto"/>
        </w:rPr>
      </w:pPr>
    </w:p>
    <w:p>
      <w:pPr>
        <w:ind w:left="660" w:right="14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II clinical trials are generally conducted in a larger but limited patient population to identify possible adverse effects and safety risks, to determine the efficacy of the product candidate for specific targeted indications and to determine tolerance and optimal dosage. Multiple Phase II clinical trials may be conducted by the sponsor to obtain information prior to beginning larger and more expensive Phase III clinical trials.</w:t>
      </w:r>
    </w:p>
    <w:p>
      <w:pPr>
        <w:spacing w:after="0" w:line="148" w:lineRule="exact"/>
        <w:rPr>
          <w:rFonts w:ascii="Arial" w:cs="Arial" w:eastAsia="Arial" w:hAnsi="Arial"/>
          <w:sz w:val="16"/>
          <w:szCs w:val="16"/>
          <w:color w:val="auto"/>
        </w:rPr>
      </w:pPr>
    </w:p>
    <w:p>
      <w:pPr>
        <w:ind w:left="660" w:right="280" w:hanging="328"/>
        <w:spacing w:after="0" w:line="31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Phase III trials are conducted to establish the overall risk/benefit profile of the product. Certain Phase III clinical trials are referred to as pivotal trials. Phase III clinical trials aim to provide substantial evidence of reproducibility of clinical efficacy and safety results for approval and to further test for safety in an expanded and diverse patient population at multiple, geographically dispersed clinical trial sites.</w:t>
      </w:r>
    </w:p>
    <w:p>
      <w:pPr>
        <w:spacing w:after="0" w:line="14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addition, under the Pediatric Research Equity Act of 2003, a BLA or supplement for a new active ingredient, new indication, new dosage form, new dosing regimen, or new route of administration must contain data that is adequate to assess the safety and effectiveness of the drug for the claimed indications in all relevant pediatric subpopulations, and to support dosing and administration for each pediatric subpopulation for which the product is safe and effective, unless the applicant has obtained a waiver or deferral. In 2012, the Food and Drug Administration Safety and Innovation Act amended the FDCA to require that a sponsor who is planning to submit such an application submit an initial Pediatric Study Plan (“PSP”) within 60 days of an end-of-Phase II meeting or as may be agreed between the sponsor and the FDA. The FDA may, on its own initiative or at the request of the applicant, grant deferrals for submission of data or full or partial waivers. The FDA and the sponsor must reach agreement on the PSP. More recently, Congress also passed legislation that will require that sponsors submit to FDA a diversity action plan for Phase III or other pivotal studies, unless such requirement is waived by FDA.</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In some cases, the FDA may condition continued approval of a BLA on the sponsor’s agreement to conduct additional clinical trials, or other commitments. Such post-approval studies are typically referred to as Phase IV studies, which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I, Phase II and Phase III clinical trials might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patients.</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limited circumstances, the FDA also permits the administration of investigational biological products to patients under its expanded access regulatory authorities. Under the FDA’s expanded access authority, provided certain qualifying criteria are met, patients who are not able to participate in a clinical trial may be eligible for accessing investigational products, including through individual compassionate or emergency use in concert with their requesting physician.</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Concurrent with clinical trials, companies usually complete additional preclinical studies, animal studies, develop additional information about the physical characteristics of the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Biologics License Applications</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results of product candidate development, preclinical and nonclinical testing and clinical trials, together with, among other things, detailed information on the manufacture and composition of the product and proposed labeling, and the payment of a user fee, are submitted to the FDA as part of a BLA. Under the Prescription Drug User Fee Act (“PDUFA”), the fees payable to the FDA for reviewing an original BLA, as well as annual program fees for approved products can be substantial, subject to certain limited deferrals, waivers and reductions that may be available.</w:t>
      </w:r>
    </w:p>
    <w:p>
      <w:pPr>
        <w:spacing w:after="0" w:line="171" w:lineRule="exact"/>
        <w:rPr>
          <w:sz w:val="20"/>
          <w:szCs w:val="20"/>
          <w:color w:val="auto"/>
        </w:rPr>
      </w:pPr>
    </w:p>
    <w:p>
      <w:pPr>
        <w:jc w:val="both"/>
        <w:ind w:right="220" w:firstLine="648"/>
        <w:spacing w:after="0" w:line="311" w:lineRule="auto"/>
        <w:rPr>
          <w:sz w:val="20"/>
          <w:szCs w:val="20"/>
          <w:color w:val="auto"/>
        </w:rPr>
      </w:pPr>
      <w:r>
        <w:rPr>
          <w:rFonts w:ascii="Arial" w:cs="Arial" w:eastAsia="Arial" w:hAnsi="Arial"/>
          <w:sz w:val="16"/>
          <w:szCs w:val="16"/>
          <w:color w:val="auto"/>
        </w:rPr>
        <w:t>Following submission, the FDA has 60 days to review all BLAs to determine if they are substantially complete before it accepts them for filing. The FDA may refuse to file a BLA that it deems incomplete or not reviewable at the time of submission, in which case the BLA will have to be updated and resubmitted. The FDA may also request additional information to be submitted in a very short time frame before accepting a BLA for filing.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If the FDA accepts the application for filing, the FDA reviews the BLA to determine, among other things, whether the proposed product is safe, pure, and potent for its intended use, and whether the product is being manufactured in compliance with cGMP. During its review of a BLA, the FDA may refer the application for novel product candidates or products that present difficult questions to an advisory committee of experts for their review, evaluation and recommendation as to whether the application should be approved, which information is taken into consideration along with the FDA’s own review findings. The FDA’s PDUFA review goal is to review 90% of priority BLAs within six months of filing and 90% of standard applications within 10 months of filing, but the FDA can and frequently does extend this review timeline to consider certain later-submitted information or information intended to clarify or supplement an initial submission. The FDA may not complete its review or approve a BLA within these established goal review times.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Before approving a marketing application, the FDA typically will inspect the facility or facilities where the product is manufactured, referred to as a Pre-Approval Inspection, as well as one or more clinical trial sites. The FDA will not approve a product candidate unless cGMP compliance is satisfactory.</w:t>
      </w:r>
    </w:p>
    <w:p>
      <w:pPr>
        <w:spacing w:after="0" w:line="18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After the FDA conducts its in-depth review of the application and after the inspection of the manufacturing facilities and clinical trial sites, the FDA issues either an approval letter or a Complete Response Letter (“CRL”). A CRL generally outlines the deficiencies in the submission and may also require additional clinical or other data, including one or more additional pivotal Phase III clinical trials. Even if such requested data are submitted, the FDA may ultimately decide that the BLA does not satisfy the criteria for approval and issue a denial of the BLA. Data from clinical trials are not always conclusive and the FDA may interpret data differently than we do. If the FDA’s evaluations of the BLA and the clinical and manufacturing procedures and facilities are favorable, the FDA may issue an approval letter. If the evaluations are not favorable the FDA will issue a CRL, which may contain the conditions that must be met in order to secure final approval of the BLA. If a CRL is issued, a company has up to twelve months to resubmit or withdraw the BLA, unless the FDA allows for an extension as requested by a sponsor. If a CRL is issued, resubmissions for original applications and supplements of different types are subject to varying agency review procedures and review timing goals. For example, upon the resubmission of an original BLA application or efficacy supplement, CBER will classify the resubmission as either Class 1 (triggering a two-month review goal for the FDA) or Class 2 (triggering a six-month review goal for the FDA) depending on the circumstances. CBER also includes specific goals for review of manufacturing and labeling supplements, though in practice, FDA reviews may take longer than the stated goals.</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If and when the items identified in a CRL have been resolved to the FDA’s satisfaction, the FDA will issue an approval letter, authorizing commercial marketing of the product for certain indications. The FDA may withdraw product approval if ongoing regulatory requirements are not met or if safety problems occur after the product reaches the market. In addition, the FDA may require testing, including Phase IV post-approval clinical trials, and surveillance programs to monitor the effect of approved products that have been commercialized, and the FDA has the power to prevent or limit further marketing of a product based on the results of these post-marketing programs.</w:t>
      </w:r>
    </w:p>
    <w:p>
      <w:pPr>
        <w:spacing w:after="0" w:line="176" w:lineRule="exact"/>
        <w:rPr>
          <w:sz w:val="20"/>
          <w:szCs w:val="20"/>
          <w:color w:val="auto"/>
        </w:rPr>
      </w:pPr>
    </w:p>
    <w:p>
      <w:pPr>
        <w:ind w:firstLine="693"/>
        <w:spacing w:after="0" w:line="274" w:lineRule="auto"/>
        <w:rPr>
          <w:sz w:val="20"/>
          <w:szCs w:val="20"/>
          <w:color w:val="auto"/>
        </w:rPr>
      </w:pPr>
      <w:r>
        <w:rPr>
          <w:rFonts w:ascii="Arial" w:cs="Arial" w:eastAsia="Arial" w:hAnsi="Arial"/>
          <w:sz w:val="17"/>
          <w:szCs w:val="17"/>
          <w:color w:val="auto"/>
        </w:rPr>
        <w:t>Even if the FDA approves a product, it may limit the approved indications or populations for use of the product, require that contraindications, warnings, or precautions be included in the product labeling, including a boxed warning, require testing and surveillance programs to monitor the product after commercialization, or impose other conditions, including distribution restrictions or other risk management mechanisms under a Risk Evaluation and Mitigation Strategy (“REMS”). If the FDA concludes a REMS is needed, the sponsor of the BLA must submit a proposed REMS; the FDA will not approve the BLA without a REMS, if required. A REMS could include medication guides, physician communication plans or elements to assure safe use, such as restricted distribution methods, patient registries and other risk minimization tools. Any of these limitations on approval or marketing can materially affect the potential market and profitability of the product. The FDA may also not approve label statements that are necessary for successful commercialization and marketing. Products may be marketed only for the FDA-approved indications and in accordance with the FDA-approved label. The FDA does not allow drugs to be promoted for “off-label” uses – that is, uses that are not described in the product’s approved labeling and that differ from those that were approved by the FDA. Furthermore, the FDA generally limits approved uses to those studied in clinical trials. If there are any modifications to the product, including changes in indications, other labeling changes, or manufacturing processes or facilities, we may be required to submit and obtain FDA approval of a new BLA or BLA supplement, which may require us to develop additional data or conduct additional preclinical studies and clinical trials, and/or require additional manufacturing data.</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60" w:firstLine="648"/>
        <w:spacing w:after="0" w:line="287" w:lineRule="auto"/>
        <w:rPr>
          <w:sz w:val="20"/>
          <w:szCs w:val="20"/>
          <w:color w:val="auto"/>
        </w:rPr>
      </w:pPr>
      <w:r>
        <w:rPr>
          <w:rFonts w:ascii="Arial" w:cs="Arial" w:eastAsia="Arial" w:hAnsi="Arial"/>
          <w:sz w:val="16"/>
          <w:szCs w:val="16"/>
          <w:color w:val="auto"/>
        </w:rPr>
        <w:t>Satisfaction of the FDA regulations and approval requirements or similar requirements of foreign regulatory agencies typically takes many years, and the actual time required may vary substantially based upon the type, complexity and novelty of the product or disease. Typically, if a product candidate is intended to treat a chronic disease, as was the case with ASCENIV, safety and efficacy data must be gathered over an extended period of time.</w:t>
      </w:r>
    </w:p>
    <w:p>
      <w:pPr>
        <w:spacing w:after="0" w:line="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Government regulation may delay or prevent marketing of product candidates for a considerable period of time and impose costly procedures upon our activities. The FDA or any other regulatory agency may not grant approvals for any changes on a timely basis, or at all. Even if a product candidate receives regulatory approval, the approval may be significantly limited to specific disease states, patient populations and dosages. Further, even after regulatory approval is obtained, later discovery of previously unknown problems with a product may result in restrictions on the product or even complete withdrawal of the product from the market. Delays in obtaining, or failures to obtain, regulatory approvals for any of our product candidates would harm our business. In addition, we cannot predict what adverse governmental regulations may arise from future U.S. or foreign governmental 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Regulatory Requirements</w:t>
      </w:r>
    </w:p>
    <w:p>
      <w:pPr>
        <w:spacing w:after="0" w:line="225" w:lineRule="exact"/>
        <w:rPr>
          <w:sz w:val="20"/>
          <w:szCs w:val="20"/>
          <w:color w:val="auto"/>
        </w:rPr>
      </w:pPr>
    </w:p>
    <w:p>
      <w:pPr>
        <w:ind w:right="40" w:firstLine="648"/>
        <w:spacing w:after="0" w:line="267" w:lineRule="auto"/>
        <w:rPr>
          <w:sz w:val="20"/>
          <w:szCs w:val="20"/>
          <w:color w:val="auto"/>
        </w:rPr>
      </w:pPr>
      <w:r>
        <w:rPr>
          <w:rFonts w:ascii="Arial" w:cs="Arial" w:eastAsia="Arial" w:hAnsi="Arial"/>
          <w:sz w:val="17"/>
          <w:szCs w:val="17"/>
          <w:color w:val="auto"/>
        </w:rPr>
        <w:t>After regulatory approval is obtained, biological drug products are subject to extensive and continuing regulation by the FDA, and the FDA may impose a number of post-approval requirements as a condition of approval of an application. For example, as a condition of approval of a BLA, the FDA may require post-marketing testing and surveillance to monitor the product’s safety or efficacy. In addition, holders of an approved BLA are required to keep extensive records (including certain electronic records and signature requirements), submit annual reports, report certain adverse reactions and production problems to the FDA, provide updated safety and efficacy information, and comply with requirements concerning advertising and promotional labeling for their products. After approval, most changes to the approved product, such as adding new indications or other labeling claims, are subject to prior FDA review and approval. There also are annual user fee requirements for any marketed products, as well as new application fees for supplemental applications with clinical data. BLA holders must comply with other regulatory requirements, including submitting annual reports, reporting information about adverse drug experiences, and maintaining certain records. The FDA may withdraw a product approval if compliance with regulatory requirements is not maintained or if problems occur after the product reaches the market. Later discovery of previously unknown problems with a product, including adverse events of unanticipated severity or frequency, problems with manufacturing processes or failure to comply with regulatory requirements, may result in restrictions on the product or even complete withdrawal of the product from the market. Failure to comply with the statutory and regulatory requirements can subject a manufacturer to possible legal or regulatory action, such as refusal to approve pending applications, license suspension or revocation, withdrawal of approval of a BLA, imposition of a clinical hold or termination of clinical trials, warning letters, untitled letters, suspension of manufacturing, sales or use, product seizures or recalls, import restrictions, injunctive action or possible fines and other penalties. We cannot be certain that we or our present or future third-party manufacturers or suppliers will be able to comply with the cGMP regulations and other ongoing FDA regulatory requirements.</w:t>
      </w:r>
    </w:p>
    <w:p>
      <w:pPr>
        <w:spacing w:after="0" w:line="191"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Manufacturers must continue to comply with cGMP requirements, which are extensive and require considerable time, resources and ongoing investment to ensure compliance. In addition, changes to the manufacturing process generally require prior FDA approval before being implemented. Other types of changes to the approved product, such as adding new indications and additional labeling claims, are also subject to further FDA review and approval. Certain manufacturing deviations and unexpected manufacturing events must be investigated, corrected, and reported to FDA.</w:t>
      </w:r>
    </w:p>
    <w:p>
      <w:pPr>
        <w:spacing w:after="0" w:line="15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Manufacturers and certain other entities involved in the manufacturing and distribution of approved products are required to register their establishments with the FDA and certain state agencies, list the manufactured products to the FDA, and are subject to periodic unannounced inspections or remote regulatory assessments by the FDA and certain state agencies for compliance with cGMP and other laws. The cGMP requirements apply to all stages of the manufacturing process, including the production, processing, sterilization, packaging, labeling, storage and shipment of the product. Manufacturers must establish validated systems to ensure that products meet specifications and regulatory standards and test each product batch or lot prior to its release. The information that must be submitted to FDA regarding manufactured products was expanded through the Coronavirus Aid, Relief, and Economic Security (“CARES”) Act to include the volume of drugs produced during the prior year. For biologics products subject to lot release, for each product lot the applicant must submit materials related to that lot to the FDA prior to that lot being released for distribution.</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towards production and quality control to maintain cGMP compliance.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commercial distribution of prescription drugs (including biological drug products) is subject to the</w:t>
      </w:r>
    </w:p>
    <w:p>
      <w:pPr>
        <w:spacing w:after="0" w:line="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DSCSA, which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(“PDMA”). Trading partners within the drug supply chain must now ensure certain product tracing requirements are met and are required to exchange certain transaction-related information in an electronic, and, as of November 2023, an interoperable form. Further, the DSCSA limits the distribution of prescription pharmaceutical products and imposes requirements to ensure overall accountability and security in the drug supply chain, including requirements related to the detection and investigation of suspect and illegitimate products. The distribution of product samples continues to be regulated under the PDMA.</w:t>
      </w:r>
    </w:p>
    <w:p>
      <w:pPr>
        <w:spacing w:after="0" w:line="168"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FDA post-approval requirements are continually evolving. For example, in March 2020, the U.S. Congress passed the CARES Act, which includes various provisions regarding FDA drug shortage and manufacturing volume reporting requirements, as well as provisions regarding supply chain security, such as risk management plan requirements, and the promotion of supply chain redundancy and domestic manufacturing. As part of the CARES Act implementation, the FDA issued a guidance on the reporting of the volume of drugs produced, which reporting will require additional administrative efforts by drug manufacturers. Executive orders have also been issued to encourage domestic manufacturing.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FDA closely regulates the post-approval marketing and promotion of products, including standards and regulations for direct-to-consumer advertising, off-label promotion, industry-sponsored scientific and educational activities and promotional activities involving the Internet. A product cannot be promoted before it is approved. After approval, product promotion can include only those claims related to safety and effectiveness that are consistent with the labeling approved by the FDA. Healthcare providers are permitted to prescribe drugs for “off-label” uses - that is uses not approved by the FDA and not described in the product’s labeling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Failure to comply with applicable FDA requirements and restrictions in this area may subject a company to adverse publicity and enforcement action by the FDA, the Department of Justice, or the Office of Inspector General of the Department of Health and Human Services, as well as state authorities. This could subject a company to a range of penalties that could have a significant commercial impact, including civil penalties, criminal fines and agreements that materially restrict the manner in which a company promotes or distributes a drug.</w:t>
      </w:r>
    </w:p>
    <w:p>
      <w:pPr>
        <w:spacing w:after="0" w:line="18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From time to time, legislation is drafted, introduced and passed in Congress that could significantly change the statutory provisions governing the approval, manufacturing and marketing of products regulated by the FDA. In addition to new legislation, FDA and other agency regulations, guidance, and policies are often revised or reinterpreted in ways that may significantly affect our business. It is impossible to predict whether further legislative or FDA regulation or other regulatory policy changes will be enacted or implemented and what the impact of such changes, if any, may be. It is possible that certain prior regulatory requirements may be postponed or frozen.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ADMA BioCenters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With some limited exceptions, all blood and blood product collection and manufacturing centers which engage in interstate commerce must be licensed by and registered with the FDA. In order to achieve licensure, the organization must submit a BLA and obtain BLA approval prior to distribution of any product. The approval of the BLA requires passage of an FDA inspection. ADMA BioCenters has completed these requirements and holds an FDA license for eight plasma collection facilities for source plasma. In order to maintain an FDA license, under FDA guidance each such facility operated by ADMA BioCenters will be inspected within the first year of operations and then at least every two years and must meet certain regulatory requirements. ADMA BioCenters is also required to submit annual reports to the FDA, as well as reports of fatalities related to blood and blood component collection or transfusion. Establishments must also comply with FDA’s regulatory standards which include a variety of requirements related to, among other areas, cGMPs, deviation investigation and reporting, donor screening and product testing, as well as product labeling. Facilities must further ensure that all tests and equipment that are used are appropriate for their intended use, which may include FDA clearance and/or approval of the applicable test or equipment.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Blood plasma collection and manufacturing centers are also subject to the Clinical Laboratory Improvement Amendments, state licensure and compliance with industry standards such as the International Quality Plasma Program. Compliance with state and industry standards is verified by means of routine inspection. State requirements may differ significantly from federal requirements, which may complicate compliance efforts. We believe that our existing ADMA BioCenters facilities are currently in compliance with state and industry standards. Delays in obtaining, or failures to maintain, regulatory approvals for any facilities operated by ADMA BioCenters would harm our business. In addition, we cannot predict what adverse federal and state regulations and industry standards may arise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to regulations in the U.S., if we choose to pursue clinical development and commercialization in the European Union, we will be subject to a variety of foreign regulations governing clinical trials and commercial sales and distribution of any future product. Whether or not we obtain FDA approval for a product, we must obtain approval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9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European Union regulatory systems, marketing authorizations may be submitted either under a centralized, decentralized or national or mutual recognition procedure. The centralized procedure provides for the grant of a single marketing authorization that is valid for all European Union member states. The decentralized procedure provides for approval by one or more “concerned” member states based on an assessment of an application performed by one member state, known as the “reference” member state. Under the decentralized approval procedure, an applicant submits an application, or dossier, and related materials to the reference member state and concerned member states. The reference member state prepares a draft assessment report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does not recognize the marketing authorization, the disputed points are eventually referred to the European Commission, whose decision is binding on all member states. In addition to the centralized procedure and the decentralized procedure, it may also be possible to obtain a marketing authorization for one single member state through a national procedure. The mutual recognition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refuse it or request additional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Pricing and Reimbursement of Our Products</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All sales in the U.S. of BIVIGAM, ASCENIV and Nabi-HB depend in part upon the availability of reimbursement from third-party payers. Third-party payers include government health programs, managed care providers, private health insurers and other organizations. BIVIGAM and Nabi-HB are reimbursed or purchased under several government programs, including Medicaid, Medicare Parts B and D, the 340B/Public Health Service program, and pursuant to an existing contract with the Department of Veterans Affairs. Medicaid is a joint state and federal government health plan that provides covered outpatient prescription drugs for low-income individuals. Under Medicaid, drug manufacturers pay rebates to the states based on utilization data provided by the states. CMS has issued a permanent, product-specific-J-code for ASCENIV. Under the HCPCS, the J-code (J1554) became effective April 1, 2021.</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Significant uncertainties exist as to the coverage and reimbursement status of our current products as well as any products for which we may obtain regulatory approval. In the U.S., sales of BIVIGAM, ASCENIV and Nabi-HB, as well as any products for which we may receive regulatory approval for commercial sale will depend in part on the availability of coverage and reimbursement from third-party payers. Third-party payers include government authorities, managed care providers, private health insurers and other organizations.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 The process for determining whether a payer will provide coverage for a drug product may be separate from the process for setting the reimbursement rate that the payer will pay for the drug product. Third-party payers may limit coverage to specific drug products on an approved list, or formulary, which might not include all of the FDA-approved drugs for a particular indication. Moreover,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68"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coverage and reimbursement for our current products and any product that might be approved for sale, we may need to conduct expensive pharmacoeconomic studies in order to demonstrate the medical necessity and cost-effectiveness of any products, in addition to the costs required to obtain regulatory approvals. Our current products may not be considered medically necessary or cost-effective. If third-party payers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16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U.S. government and state legislatures have shown significant interest in implementing cost containment programs to limit the growth of government-paid healthcare costs, including price controls, limitations on coverage, increased rebates, restrictions on reimbursement and requirements for substitution of generic products for branded prescription drugs. For example, the Patient Protection and Affordable Care Act (“ACA”) and the companion Healthcare and Education Reconciliation Act (which together are referred to as the “Healthcare Reform Law”) contains provisions that may reduce the profitability of drug products, including, for example,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We have addressed additional reforms related to government pricing programs that could be relevant to our products below. These and any additional healthcare reform measures could further constrain our business or limit the amounts that federal and state governments will pay for healthcare products and services, which could result in additional pricing pressures. Adoption of government controls and measures, and tightening of restrictive policies in jurisdictions with existing controls and measures, could limit payments for pharmaceuticals.</w:t>
      </w:r>
    </w:p>
    <w:p>
      <w:pPr>
        <w:spacing w:after="0" w:line="16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marketability of our current products and any products for which we receive regulatory approval for commercial sale may suffer if the government and third-party payers fail to provide adequate coverage and reimbursement. In addition, the emphasis on cost containment measures in the U.S.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Price Reporting</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Manufacturers participate in, and have certain price reporting obligations under, the Medicaid Drug Rebate Program, state Medicaid supplemental rebate program(s), and other governmental pricing programs. For calendar quarters beginning January 1, 2022, manufacturers will be required to report the average sales price for certain drugs under the Medicare program regardless of whether the manufacturer participates in the Medicaid Drug Rebate Program. Previously, this reporting obligation extended only to manufacturers participating in the Medicaid Drug Rebate Program. Under this Program, manufacturers are required to pay a rebate to each state Medicaid program for covered outpatient drugs that are dispensed to Medicaid beneficiaries and paid for by a state Medicaid program as a condition of having federal funds being made available for their drugs under Medicaid and Part B of the Medicare program.</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Medicaid is a joint federal and state program that is administered by the states for low-income and disabled beneficiaries. Medicaid rebates are based on pricing data reported by manufacturers on a monthly and quarterly basis to the CMS, the federal agency that administers the Medicaid and Medicare programs.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The amount of the rebate is adjusted upward if the average manufacturer price increases more than inflation (measured by reference to the Consumer Price Index - Urban). Currently, the rebate is capped at 100 percent of the average manufacturer price, but, effective January 1, 2024, this cap on the rebate will be removed, and our rebate liability could increase accordingly.</w:t>
      </w:r>
    </w:p>
    <w:p>
      <w:pPr>
        <w:spacing w:after="0" w:line="166"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If a manufacturer becomes aware that its reporting for a prior quarter was incorrect or has changed as a result of recalculating the pricing data, the manufacturer is obligated to resubmit the corrected data for up to three years after those data originally were due, which revisions could affect rebate liability for prior quarters. The federal Patient Protection and ACA made significant changes to the Medicaid Drug Rebate Program, and CMS issued a final regulation, which became effective on April 1, 2016, to implement the changes to the Medicaid Drug Rebate Program under the ACA. On December 21, 2020, CMS issued a final rule that modified the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(beginning in 2022); provided definitions for “line extension,” “new formulation,” and related terms with the practical effect of expanding the scope of drugs considered to be line extensions (beginning in 2022); and revised best price and average manufacturer price exclusions of manufacturer-sponsored patient benefit programs, particularly regarding potential inapplicability of such exclusions in the context of pharmacy benefit manager “accumulator” programs (beginning in 2023).</w:t>
      </w:r>
    </w:p>
    <w:p>
      <w:pPr>
        <w:spacing w:after="0" w:line="203" w:lineRule="exact"/>
        <w:rPr>
          <w:sz w:val="20"/>
          <w:szCs w:val="20"/>
          <w:color w:val="auto"/>
        </w:rPr>
      </w:pPr>
    </w:p>
    <w:p>
      <w:pPr>
        <w:jc w:val="both"/>
        <w:ind w:right="160" w:firstLine="648"/>
        <w:spacing w:after="0" w:line="257" w:lineRule="auto"/>
        <w:rPr>
          <w:sz w:val="20"/>
          <w:szCs w:val="20"/>
          <w:color w:val="auto"/>
        </w:rPr>
      </w:pPr>
      <w:r>
        <w:rPr>
          <w:rFonts w:ascii="Arial" w:cs="Arial" w:eastAsia="Arial" w:hAnsi="Arial"/>
          <w:sz w:val="18"/>
          <w:szCs w:val="18"/>
          <w:color w:val="auto"/>
        </w:rPr>
        <w:t>Medicare is a federal program that is administered by the federal government that covers individuals age 65 and over or that are disabled as well as those with certain health conditions. Medicare Part B generally covers drugs that must be administered by physicians or other health care practitioners, among others. Medicare Part B generally pays for such drugs under a payment methodology based on the average sales price of the drugs. Manufacturers are required to report average sales price information to CMS on a quarterly basis. The manufacturer-submitted information is used by CMS to calculate Medicare payment rates.</w:t>
      </w:r>
    </w:p>
    <w:p>
      <w:pPr>
        <w:spacing w:after="0" w:line="188"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Congress could enact additional changes that affect our overall rebate liability and the information manufacturers report to the government as part of price reporting calculations. For example, Congress is considering a Medicare Part B inflation rebate, under which manufacturers would owe additional rebates if the average sales price of a drug were to increase faster than the pace of inflation.</w:t>
      </w:r>
    </w:p>
    <w:p>
      <w:pPr>
        <w:spacing w:after="0" w:line="18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Civil monetary penalties can be applied if a manufacturer is (1) found to have knowingly submitted any false pricing or other information to the government, (2) found to have made a misrepresentation in the reporting of our average sales price, or (3) fails to submit the required data on a timely basis. Such conduct also could be grounds for CMS to terminate a Medicaid Drug Rebate Program agreement, in which case federal payments may not be available under Medicaid or Medicare Part B for the manufacturer’s covered outpatient drugs.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Federal law requires that any company that participates in the Medicaid Drug Rebate Program also participate in the Public Health Service’s 340B drug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outpatient drugs. Covered entities include hospitals that serve a disproportionate share of financially needy patients, community health clinics, and other entities that receive certain types of grants under the Public Health Service Act. The ACA expanded the list of covered entities to include certain free-standing cancer hospitals, critical access hospitals, rural referral centers, and sole community hospitals, but exempts “orphan drugs” from the ceiling price requirements for these covered entities. The 340B ceiling price is calculated using a statutory formula, which is based on the average manufacturer price and Medicaid rebate amount for the covered outpatient drug as calculated under the Medicaid Drug Rebate Program. In general, products subject to Medicaid price reporting and rebate liability are also subject to the 340B ceiling price calculation and discount requirement.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HRSA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this regulation. Any charge by HRSA that a manufacturer has violated the requirements of the regulation could result in civil monetary penalties. Moreover, under a final regulation effective January 13, 2021, HRSA established a new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can be appealed to a federal court. An ADR proceeding could subject a manufacturer to onerous procedural requirements and could result in additional liability. HRSA also implemented a price reporting system under which manufacturers are required to report 340B ceiling prices on a quarterly basis to HRSA, which then publishes those prices to 340B covered entities. In addition, legislation could be passed, that would further expand the 340B program to additional covered entities, or participating manufacturers could be required to agree to provide 340B discounted pricing on drugs used in an inpatient setting.</w:t>
      </w:r>
    </w:p>
    <w:p>
      <w:pPr>
        <w:spacing w:after="0" w:line="18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order to be eligible to have their products paid for with federal funds under the Medicaid and Medicare Part B programs and purchased by certain federal agencies (U.S. Department of Veterans Affairs (“VA”), Department of Defense (“DoD”), Coast Guard, and Public Health Service (“PHS”)) and grantees, manufacturers must participate in the VA Federal Supply Schedule (“FSS”) pricing program. Prices for innovator drugs purchased by the VA, DoD, Coast Guard, and PHS are subject to a cap (known as the “Federal Ceiling Price”) equal to 76% of the annual non-federal average manufacturer price (“non-FAMP”) minus, if applicable, an additional discount. The additional discount applies if non-FAMP increases more than inflation (measured by reference to the Consumer Price Index – Urban (“CPIU”)). In addition, in the second and subsequent year, the price also is capped at prior year FSS contract plus CPIU. Manufacturers must also participate in the Tricare Retail Pharmacy Program, under which they pay quarterly rebates to DoD for prescriptions of innovator drugs dispensed to Tricare beneficiaries through Tricare Retail network pharmacies. The governing statute provides for civil monetary penalties for failure to provide information timely or for knowing submission of false information to the government.</w:t>
      </w:r>
    </w:p>
    <w:p>
      <w:pPr>
        <w:spacing w:after="0" w:line="16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Medicare Part D generally provides coverage to enrolled Medicare patients for self-administered drugs (</w:t>
      </w:r>
      <w:r>
        <w:rPr>
          <w:rFonts w:ascii="Arial" w:cs="Arial" w:eastAsia="Arial" w:hAnsi="Arial"/>
          <w:sz w:val="16"/>
          <w:szCs w:val="16"/>
          <w:i w:val="1"/>
          <w:iCs w:val="1"/>
          <w:color w:val="auto"/>
        </w:rPr>
        <w:t>i.e.</w:t>
      </w:r>
      <w:r>
        <w:rPr>
          <w:rFonts w:ascii="Arial" w:cs="Arial" w:eastAsia="Arial" w:hAnsi="Arial"/>
          <w:sz w:val="16"/>
          <w:szCs w:val="16"/>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rebates. In addition, manufacturers are required to provide to CMS a 70% discount on brand name prescription drugs utilized by Medicare Part D beneficiaries when those beneficiaries are in the coverage gap phase of the Part D benefit design. Civil monetary penalties can be applied if a manufacturer fails to provide these discounts in the amount of 125 percent of the discount that was due. Congress could enact legislation that sunsets this discount program and replaces it with a new manufacturer discount program. Congress further could enact a Medicare Part D inflation rebate, under which manufacturers would owe additional rebates if the average manufacturer price of a drug were to increase faster than the pace of inflation.</w:t>
      </w:r>
    </w:p>
    <w:p>
      <w:pPr>
        <w:spacing w:after="0" w:line="16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Congress also could enact a drug price negotiation program under which the prices for certain high Medicare spend single source drugs would be capped by reference to the non-FAMP. This or any other legislative change could impact the market conditions for our products. We further expect continued scrutiny on government price reporting from Congress, federal agencies, and other bodies.</w:t>
      </w:r>
    </w:p>
    <w:p>
      <w:pPr>
        <w:spacing w:after="0" w:line="184"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Group health plans, health insurance issuers, health maintenance organizations, other healthcare payors, and pharmacy benefit managers in the United States are adopting more aggressive utilization management techniques and are increasingly requiring significant discounts and rebates from manufacturers as a condition to including products on formulary with favorable coverage and cost-sharing. These payors may not cover or adequately reimburse for use of our products or may do so at levels that disadvantage them relative to competitive products. Outside the United States, within the EU, our products are paid for by a variety of payors, with governments being the primary source of payment. Government health authorities in the EU determine or influence reimbursement of products and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w:t>
      </w:r>
      <w:r>
        <w:rPr>
          <w:rFonts w:ascii="Arial" w:cs="Arial" w:eastAsia="Arial" w:hAnsi="Arial"/>
          <w:sz w:val="17"/>
          <w:szCs w:val="17"/>
          <w:i w:val="1"/>
          <w:iCs w:val="1"/>
          <w:color w:val="auto"/>
        </w:rPr>
        <w:t>i.e.</w:t>
      </w:r>
      <w:r>
        <w:rPr>
          <w:rFonts w:ascii="Arial" w:cs="Arial" w:eastAsia="Arial" w:hAnsi="Arial"/>
          <w:sz w:val="17"/>
          <w:szCs w:val="17"/>
          <w:color w:val="auto"/>
        </w:rPr>
        <w:t>, referencing prices in other countries or prices of competitive products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 Recently, several states also have enacted or are considering legislation intended to make drug prices more transparent and deter significant price increases that impose reporting requirements on biopharmaceutical companies. These laws may affect our future sales, marketing, and other promotional activities by imposing administrative and compliance burdens. Such laws also typically impose significant civil monetary penalties for each instance of reporting noncompliance that can quickly aggregate into the millions of dollars.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containment of healthcare costs has become a priority of federal and state governments, and the prices of drugs have been a focus in this effort. Changes in government legislation or regulation and changes in private third-party payors’ policies toward reimbursement for our products, if successfully developed and approved, may reduce reimbursement of our products’ costs to physicians, pharmacies, patients and distributors. The U.S. government, state legislatures and foreign governments have shown significant interest in implementing cost-containment programs, including price controls, payment of rebates, restrictions on reimbursement and requirements for substitution of generic products. Adoption of price controls and cost-containment measures, and adoption of more restrictive policies in jurisdictions with existing controls and measures, could limit our net revenue and results for products, if any, we commercialize in the future.</w:t>
      </w:r>
    </w:p>
    <w:p>
      <w:pPr>
        <w:spacing w:after="0" w:line="19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pricing and reimbursement environment for our products may change in the future and become more challenging due to state and federal healthcare reform measures. The American Recovery and Reinvestment Act of 2009, or ARRA, for example, allocated new federal funding to compare the effectiveness of different treatments for the same condition. The plan for the research was published in 2012 by the Department of Health and Human Services, the Agency for Healthcare Research and Quality and the National Institutes for Health, and periodic reports on the status of the research and related expenditures are made to Congress. Although ARRA does not mandate the use of the results of comparative effectiveness studies for reimbursement purposes, it is not clear what effect, if any, the research will have on the sales of any products for which we receive marketing approval or on the reimbursement policies of public and private payors. It is possible that comparative effectiveness research demonstrating benefits in a competitor’s product could adversely affect the sales of any product for which we receive marketing approval. For example, if third-party payors find our products not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ACA is a sweeping measure intended to expand healthcare coverage within the U.S., primarily through the imposition of health insurance mandates on employers and individuals, the provision of subsidies to eligible individuals enrolled in plans offered on the health insurance exchanges, and the expansion of the Medicaid program. This law has substantially changed the way healthcare is financed by both governmental and private insurers and has significantly impacted the pharmaceutical industry. Changes that may affect our business include those governing enrollment in federal healthcare programs, reimbursement changes, benefits for patients within a coverage gap in the Medicare Part D prescription drug program (commonly known as the “donut hole”), rules regarding prescription drug benefits under the health insurance exchanges, changes to the Medicaid Drug Rebate Program, expansion of the Public Health Service Act’s 340B drug pricing program, or 340B program, and fraud and abuse enforcement. These changes have impacted previously existing government healthcare programs and have resulted in the development of new programs, including Medicare payment for performance initiatives and improvements to the Medicare physician quality reporting system and feedback program.</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One of the goals of ACA was to expand coverage for the uninsured while at the same time containing overall healthcare costs. With regard to pharmaceutical products, among other things, the ACA increased minimum rebates a manufacturer must pay under the Medicaid Drug Rebate Program and extended manufacturers’ Medicaid rebate liability to drugs dispensed to individuals who are enrolled in Medicaid managed care organizations. The ACA also requires manufacturers of drugs, devices, biologics, and medical supplies for which payment is available under Medicare, Medicaid or the Children’s Health Insurance Program (with certain exceptions) to report annually to CMS information related to certain direct or indirect payments and other transfers of value to U.S.-licensed physicians, physician assistants, nurse practitioners, clinical nurse specialists, certified nurse anesthetists and certified nurse-midwives and to U.S. teaching hospitals, as well as ownership and investment interests held in the company by physicians and their immediate family members. Failure to submit required information may result in civil monetary penalties of $1,000 to $10,000 for each payment or ownership interest that is not timely, accurately, or completely reported (annual maximum of $150,000), and $10,000 to $100,000 for each knowing failure to report (annual maximum of $1 million) (for an aggregate annual maximum of $1,150,000).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Some states have elected not to expand their Medicaid programs by raising the income limit to 133% of the federal poverty level, as is permitted under the ACA. For each state that does not choose to expand its Medicaid program, there may be fewer insured patients overall, which could impact sales of our products that are approved and that we successfully commercialize, and our business and financial condition. Where Medicaid patients receive insurance coverage under any of the new options made available through the ACA, the possibility exists that manufacturers may be required to pay Medicaid rebates on drugs used under these circumstances, a decision that could impact manufacturer revenues.</w:t>
      </w:r>
    </w:p>
    <w:p>
      <w:pPr>
        <w:spacing w:after="0" w:line="161"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Certain provisions of the ACA have been subject to judicial challenges as well as efforts to modify them or to alter their interpretation or implementation. For example, Congress eliminated, starting January 1, 2019, the tax penalty for not complying with the ACA’s individual mandate to carry health insurance. Further, the Bipartisan Budget Act of 2018, among other things, amended the Medicare statute to reduce the coverage gap in most Medicare drugs plans, commonly known as the “donut hole,” by raising the required manufacturer point-of-sale discount from 50% to 70% off the negotiated price effective as of January 1, 2019. Additional legislative changes, regulatory changes, and judicial challenges related to the ACA remain possible, but the nature and extent of such potential changes or challenges are uncertain at this time. It is unclear how the ACA and its implementation, as well as efforts to modify or invalidate the ACA, or portions thereof, or its implementation, will affect our business, financial condition and results of operations. It is possible that the ACA, as currently enacted or as it may be amended in the future, and other healthcare reform measures that may be adopted in the future could have a material adverse effect on our industry generally and on our ability to maintain or increase sales of our products or product candidates for which we receive regulatory approval or to successfully commercialize our products and product candidates.</w:t>
      </w:r>
    </w:p>
    <w:p>
      <w:pPr>
        <w:spacing w:after="0" w:line="16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Other legislative changes related to reimbursement have been adopted in the U.S. since the ACA was enacted.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2031 (with the exception of a temporary suspension from May 1, 2020 through March 31, 2022, due to the COVID-19 pandemic). The law provides for 1% Medicare sequestration in the second quarter of 2022 and allows the full 2% sequestration thereafter until 2031. As long as these cuts remain in effect, they could adversely impact payment for any products we may commercialize in the future.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Additional legislative changes, regulatory changes, or guidance could be adopted, which may impact the marketing approvals and reimbursement for our product candidates. For example,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assistance and support programs, potentially permit government negotiation of Medicare pricing with manufacturers relative to certain international prices paid, and reform government healthcare program reimbursement methodologies for drug products. If healthcare policies or reforms intended to curb healthcare costs are adopted or if we experience negative publicity with respect to pricing of our products or the pricing of pharmaceutical drugs generally, the prices that we charge for any approved products may be limited, our commercial opportunity may be limited and/or our revenues from sales of our products may be negatively impacted.</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Anti-Fraud and Abuse Laws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(“remuneration”)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The Beneficiary Inducement Civil Monetary Penalties Law imposes similar restrictions on interactions between pharmaceutical manufacturers and federal healthcare program beneficiaries. Although there are a number of statutory exemptions and regulatory safe harbors protecting certain common manufacturer business arrangements and activities from prosecution and administrative sanction, the exceptions and safe harbors are drawn narrowly and are subject to regulatory revision or changes in interpretation by the U.S. Department of Justice (“DOJ”), and the Office of Inspector General of the U.S. Department of Health and Human Services (“OIG”). Recent regulations eliminate the discount safe harbor protection for manufacturer rebates paid directly, or indirectly through a Pharmacy Benefit Manager (“PBM”) to Medicare Part D or Medicare Advantage plans, effective January 1, 2026. Previously proposed legislation, however, would permanently prohibit implementation of the rule beginning in 2026. Practices or arrangements that involve remuneration may be subject to scrutiny if they do not qualify for an exception or safe harbor. Failure to meet all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w:t>
      </w:r>
    </w:p>
    <w:p>
      <w:pPr>
        <w:spacing w:after="0" w:line="191"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Several courts have interpreted the statute’s intent requirement to mean that if any one purpose of an arrangement involving remuneration is to induce or reward referrals of federal healthcare program business, including purchases of products paid by federal healthcare programs, the statute has been violated.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157"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The federal civil False Claims Act (“FCA”) prohibits, among other things, any person from knowingly presenting, or causing to be presented, a false or fraudulent claim for payment of federal funds, or knowingly making, or causing to be made, a false statement to get a false claim paid, or knowingly and improperly avoiding, decreasing or concealing an obligation to pay money to the federal government. A claim includes “any request or demand” for money or property presented to the U.S. government. The FCA has been used to assert liability on the basis of improper referrals, improperly reported government pricing metrics such as Best Price or Average Manufacturer Price, improper use of Medicare provider or supplier numbers when detailing a provider of services, improper promotion of off-label uses not expressly approved by the FDA in a product’s label, and allegations as to misrepresentations with respect to products, contractual requirements, and services rendered. In addition, private payers have been filing follow-on lawsuits alleging fraudulent misrepresentation, although establishing liability and damages in these cases is more difficult than under the FCA. Intent to deceive is not required to establish liability under the FCA. Rather, a claim may be false for deliberate ignorance of the truth or falsity of the information provided or for acts in reckless disregard of the truth or falsity of that information.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 For these reasons, since 2004, False Claims Act lawsuits against pharmaceutical companies have increased significantly in volume and breadth, leading to several substantial civil and criminal settlements, as much as $3.0 billion, regarding certain sales practices and promoting off label uses.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For these reasons, since 2004, False Claims Act lawsuits against pharmaceutical companies have increased significantly in volume and breadth, leading to several substantial civil and criminal settlements, as much as $3.0 billion, regarding certain sales practices and promoting off label uses.</w:t>
      </w:r>
    </w:p>
    <w:p>
      <w:pPr>
        <w:spacing w:after="0" w:line="124"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government may further prosecute conduct constituting a false claim under the criminal False Claims Act. The criminal False Claims Act prohibits the making or presenting of a claim to the government knowing such claim to be false, fictitious, or fraudulent and, unlike the FCA, requires proof of intent to submit a false claim.</w:t>
      </w:r>
    </w:p>
    <w:p>
      <w:pPr>
        <w:spacing w:after="0" w:line="184"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Pharmaceutical companies are subject to other federal false claim and statements laws, some of which extend to non-government health benefit programs. For example, the healthcare fraud provisions under the Health Insurance Portability and Accountability Act of 1996 and its implementing regulations, or HIPAA, impose criminal liability for, 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fines, penalties and damages, including exclusion from participation in federal healthcare programs.</w:t>
      </w:r>
    </w:p>
    <w:p>
      <w:pPr>
        <w:spacing w:after="0" w:line="1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majority of states have adopted analogous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payer, including private insurers. Other states have adopted laws and regulations that, among other things, require pharmaceutical companies to comply with the pharmaceutical industry’s voluntary compliance guidelines with respect to interactions with healthcare professionals and the relevant compliance program guidance promulgated by the U.S. federal government that otherwise restrict payments that may be made to healthcare professionals and other potential referral sources, and that require drug manufacturers to file reports related to pricing and marketing information, which requires tracking price increases and gifts and other remuneration and items of value provided to healthcare professionals and entities. In addition, some jurisdictions have laws requiring pharmaceutical sales representatives to be registered or licensed, and still others impose limits on co-pay assistance that pharmaceutical companies can offer to patients.</w:t>
      </w:r>
    </w:p>
    <w:p>
      <w:pPr>
        <w:spacing w:after="0" w:line="18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Physician Payment Sunshine Act requires tracking of certain payments and transfers of value to U.S.-licensed physicians, physician assistants, nurse practitioners, clinical nurse specialists, certified nurse anesthetists and certified nurse-midwives and to U.S. teaching hospitals, and ownership interests held by physicians and their families, and reporting to the federal government and public disclosure by the federal government of this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Protection and Privacy</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Throughout the clinical trial process, we may obtain the private health information of our trial subjects. There are a number of state, federal and international laws protecting the privacy and security of health information and personal data. The Healthcare Information Portability and Accountability Act of 1996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civil and criminal penalties if we, our affiliates, or our agents knowingly use or disclose protected health information maintained by a HIPAA-covered entity in a manner that is not authorized or permitted by HIPAA.</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Even when HIPAA does not apply, according to the Federal Trade Commission (“FTC”),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but less prescriptive than, what is required by the HIPAA Security Rule. Enforcement by the FTC under the FTC Act can result in civil penalties or enforcement actions.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Most states have laws requiring notification of affected individuals and state regulators (breach notification laws) in the event of a breach of personal information, which is a broader class of information than the health information protected by HIPAA. Some state laws impose significant data security requirements, such as encryption, to ensure ongoing protection of personal information. Additionally, in California, the California Consumer Privacy Act (“CCPA”) establishes certain requirements for data use and sharing transparency and creates new data privacy rights for California residents. The CCPA and its implementing regulations have already been amended multiple times since their enactment. In November 2020, California voters approved the California Privacy Rights Act (“CPRA”) ballot initiative, which introduced significant amendments to the CCPA and established and funded a dedicated California privacy regulator, the California Privacy Protection Agency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security incidents. These claims may result in significant liability and damages. Virginia, Colorado, Connecticut and Utah have also enacted privacy laws that become effective in 2023 and are similar in many respects to the CCPA.</w:t>
      </w:r>
    </w:p>
    <w:p>
      <w:pPr>
        <w:spacing w:after="0" w:line="17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Activities outside of the U.S. implicate local and national data protection standards, impose additional compliance requirements and generate additional risks of enforcement for non-compliance. The European Union’s General Data Protection Regulation (“GDPR”), which imposes fines of up to EUR 20 million or 4% of the annual global revenue of a noncompliant company, whichever is greater, and other data protection, privacy and similar national, state/provincial and local laws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Corporate Code of Ethics ensures employee adherence to strive to conserve resources and reduce water consumption and emissions through recycling and other energy conservation measures. Employees are responsible for promptly reporting any known or suspected violations of environmental laws or any events that may result in a discharge or emissions of hazardous materials. We manufacture, market and develop specialty plasma-derived products for the prevention and treatment of infectious diseases in the immune compromised and other patients at risk for infection, and, as such, we consider our environmental impact to be low. These activities do not include either industrial production or distribution, and therefore do not use raw materials. Therefore, there are no significant releases into the environment or greenhouse gas emissions from our manufacturing emissions. Further, our activities do not produce any particular noise nuisance for staff or neighboring tenants or residents as well as wildlife surrounding our facilities and offices. Annual electricity and water consumption are monitored and factored into our sustainable resource practices.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Waste Management Policy</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Our waste management’s mission is to identify and mitigate risks and hazards with the aim of achieving zero incidents, zero injuries, and zero spills or environmental harm. We are dedicated to the safe handling and management of all non-hazardous and hazardous materials, and all employees are responsible for appropriate waste management.</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dedicated to high environmental standards and expect all employees to be familiar with and comply with the contents of this policy. We are committed to providing a safe and healthy work environment. We comply with all applicable laws, regulations, and requirements associated with our environmental obligations and impact. We are committed to the continual improvement of all environmental impacts associated with our operations. We are committed to the prevention of pollution in all aspects of our business activities, as well as a sustainable approach to the development and provision of our products and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We actively sponsor and participate in industry-related charitable events on a local and national level and encourage our employees to actively participate and volunteer their time and participation. We actively support and fund initiatives designed to improve the communities in which we operate and our employees and stakeholders reside.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pursue fair employment practices in every aspect of our business. We strive to ensure and are extremely proud that our board of directors and employee base is diverse and consists of individuals of varying gender, origin, sexual orientation and backgrounds with various and relevant career experience, relevant technical skills, education, industry knowledge and experience and possess local or community 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As of December 31, 2022, we had a total of 617 employees, all of whom are full-time. Over the course of the next year, we anticipate hiring additional full-time employees devoted to compliance, production, quality assurance, quality control, plasma collection and processing, sales and marketing, medical and scientific affairs, general and administrative, as well as hiring additional staff as part of the build-out of our plasma collection centers as appropriate. We use Clinical Research Organizations (“CROs”), third parties and consultants to perform our post-marketing commitment clinical studies and other process and/or analytical development projects to augment our in-house capabilities and staff.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ADMA Biologics, Inc. was founded on June 24, 2004 as a New Jersey corporation and re-incorporated in Delaware on July 16, 2007. We operate through our wholly-owned subsidiaries ADMA Plasma Biologics, ADMA BioManufacturing and ADMA BioCenters. ADMA BioManufacturing was formed in January 2017 to facilitate the acquisition of BTBU. ADMA BioCenters is the Company’s source plasma collection business which operates in the U.S. Each operational ADMA plasma collection center, once approved, will have a license with the FDA and may obtain additional certifications from other regulatory agencies.</w:t>
      </w:r>
    </w:p>
    <w:p>
      <w:pPr>
        <w:spacing w:after="0" w:line="18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maintain our headquarters at 465 State Route 17, Ramsey, NJ 07446. Our telephone number is (201) 478-5552. Our Florida campus is located at 5800 Park of Commerce Boulevard, Northwest, Boca Raton, FL 33487. The Florida telephone number is (561) 989-5800. We maintain a website at www.admabiologics.com; however, the information on, or that can be accessed through, our website is not part of this Annual Report on Form 10-K. This Annual Report and all of our filings under the Exchange Act, including copies of Annual Reports on Form 10-K, Quarterly Reports on Form 10-Q, Current Reports on Form 8-K, and any amendments to those reports, are available free of charge through our website on the date we file those materials with, or furnish them to, the U.S. Securities and Exchange Commission (the “SEC”). Such filings are also available to the public on the SEC’s website at www.sec.gov.</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common stock.</w:t>
      </w:r>
    </w:p>
    <w:p>
      <w:pPr>
        <w:spacing w:after="0" w:line="187" w:lineRule="exact"/>
        <w:rPr>
          <w:sz w:val="20"/>
          <w:szCs w:val="20"/>
          <w:color w:val="auto"/>
        </w:rPr>
      </w:pPr>
    </w:p>
    <w:p>
      <w:pPr>
        <w:ind w:left="660" w:right="4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losses and we may, in the future, need to raise additional capital to operate our business, which may not be available on favorable terms, if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currently not profitable and may never become profitable.</w:t>
      </w:r>
    </w:p>
    <w:p>
      <w:pPr>
        <w:spacing w:after="0" w:line="225" w:lineRule="exact"/>
        <w:rPr>
          <w:rFonts w:ascii="Arial" w:cs="Arial" w:eastAsia="Arial" w:hAnsi="Arial"/>
          <w:sz w:val="18"/>
          <w:szCs w:val="18"/>
          <w:color w:val="auto"/>
        </w:rPr>
      </w:pPr>
    </w:p>
    <w:p>
      <w:pPr>
        <w:jc w:val="both"/>
        <w:ind w:left="660" w:right="34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COVID-19 pandemic or other pandemics and efforts to reduce their spread has significantly affected worldwide economic conditions and could have a material adverse impact on our business, liquidity, financial condition and results of operations, as well as a change to the overall market size and potential for our products.</w:t>
      </w:r>
    </w:p>
    <w:p>
      <w:pPr>
        <w:spacing w:after="0" w:line="183" w:lineRule="exact"/>
        <w:rPr>
          <w:rFonts w:ascii="Arial" w:cs="Arial" w:eastAsia="Arial" w:hAnsi="Arial"/>
          <w:sz w:val="18"/>
          <w:szCs w:val="18"/>
          <w:color w:val="auto"/>
        </w:rPr>
      </w:pPr>
    </w:p>
    <w:p>
      <w:pPr>
        <w:ind w:left="660" w:right="18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contract with third parties for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rFonts w:ascii="Arial" w:cs="Arial" w:eastAsia="Arial" w:hAnsi="Arial"/>
          <w:sz w:val="17"/>
          <w:szCs w:val="17"/>
          <w:color w:val="auto"/>
        </w:rPr>
      </w:pPr>
    </w:p>
    <w:p>
      <w:pPr>
        <w:ind w:left="660" w:right="5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Both of our business segments and our facilities are subject to periodic inspections by the FDA, which, depending on the outcome of such inspections, could result in certain FDA actions, including the issuance of observations, notices, citations or warning letters.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interruptions could adversely affect our business.</w:t>
      </w:r>
    </w:p>
    <w:p>
      <w:pPr>
        <w:spacing w:after="0" w:line="225"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we have received approval from the FDA to market ASCENIV as a treatment for PIDD, our ability to market or seek approval for ASCENIV for alternative indications could be limited and FDA could require clinical trials beyond what we may deem to be reasonable. Unless additional clinical trials are successfully conducted and the FDA approves a BLA or other required submission for review, we may not be authorized to market ASCENIV for any other indication.</w:t>
      </w:r>
    </w:p>
    <w:p>
      <w:pPr>
        <w:spacing w:after="0" w:line="186"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With the approval to market ASCENIV, BIVIGAM and Nabi-HB, there can be no assurance that we will be successful in further developing and expanding commercial operations or balancing our research and development activities with our commercialization activities.</w:t>
      </w:r>
    </w:p>
    <w:p>
      <w:pPr>
        <w:spacing w:after="0" w:line="14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depend on third-party researchers, developers and vendors to develop, manufacture, supply materials for or test our products and product candidates, and such parties are outside of our control.</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70" w:lineRule="exact"/>
        <w:rPr>
          <w:rFonts w:ascii="Arial" w:cs="Arial" w:eastAsia="Arial" w:hAnsi="Arial"/>
          <w:sz w:val="18"/>
          <w:szCs w:val="18"/>
          <w:color w:val="auto"/>
        </w:rPr>
      </w:pPr>
    </w:p>
    <w:p>
      <w:pPr>
        <w:ind w:left="660" w:right="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3"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7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physicians, payers and patients do not accept and use our current products or our future product candidates, our ability to generate revenue from these products will be materially impaired.</w:t>
      </w:r>
    </w:p>
    <w:p>
      <w:pPr>
        <w:spacing w:after="0" w:line="170"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senior credit facility with Hayfin Services LLP (“Hayfin”) is subject to acceleration in specified circumstances, which may result in Hayfin taking possession and disposing of any collateral.</w:t>
      </w:r>
    </w:p>
    <w:p>
      <w:pPr>
        <w:spacing w:after="0" w:line="170" w:lineRule="exact"/>
        <w:rPr>
          <w:rFonts w:ascii="Arial" w:cs="Arial" w:eastAsia="Arial" w:hAnsi="Arial"/>
          <w:sz w:val="18"/>
          <w:szCs w:val="18"/>
          <w:color w:val="auto"/>
        </w:rPr>
      </w:pPr>
    </w:p>
    <w:p>
      <w:pPr>
        <w:ind w:left="660" w:right="80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Cyberattacks and other security breaches could compromise our proprietary and confidential information, which could harm our business and reputation.</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right="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and may fluctuate in a way that is disproportionate to our operating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To date, we have a history of losses and have historically needed to raise, and in the future may be required to raise, additional capital to operate our business.</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long-term liquidity depends upon our ability to grow our commercial programs, expand our commercial operations at the Boca Facility, improve our supply-chain capabilities, improve production yields, continue to build out our commercial infrastructure and meet our ongoing obligations. In addition, our end-to-end production cycle from procurement of raw materials to commercial release of finished product can take between seven and 12 months or potentially longer, requiring substantial investments in raw material plasma and other manufacturing materials.</w:t>
      </w:r>
    </w:p>
    <w:p>
      <w:pPr>
        <w:spacing w:after="0" w:line="17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currently anticipate, based upon our projected revenue and expenditures, that our current cash, cash equivalents and accounts receivable, will be sufficient to fund our operations, as currently conducted, through the end of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We anticipate that we will not be able to generate a sufficient amount of product revenue to achieve profitability until the beginning of 2024. If we are unable to generate sufficient positive cash flow in the first quarter of 2024 and cannot raise additional capital if needed, we may have to delay, curtail or eliminate our commercialization efforts as well as product development activities. Even if we are able to raise additional capital, such equity or debt financings may only be available on unattractive terms, resulting in significant dilution of stockholders’ interests and, in such event, the value and potential future market price of our common stock may decline. In addition, if we raise additional funds through license arrangements or through the disposition of any of our assets, it may be necessary to relinquish potentially valuable rights to our product candidates or assets or grant licenses on terms that are not favorable to us.</w:t>
      </w:r>
    </w:p>
    <w:p>
      <w:pPr>
        <w:spacing w:after="0" w:line="16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also continue to evaluate a variety of strategic alternatives through our ongoing engagement with Morgan Stanley. The exploration of value-creating opportunities remains a top corporate priority for ADMA.</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Historically, the major source of our cash has been from proceeds from various public offerings of our common stock and the issuance of debt securities. The actual amount of additional cash that we may need, if any, is subject to many factors. There can be no assurances that additional financing will be available if needed or that management will be able to obtain financing on terms acceptable to us or that we will become profitable and generate positive operating cash flow.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not profitable and may never become profitable.</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have a history of losses and expect to incur substantial losses and negative operating cash flows in fiscal 2023, and we may never achieve or maintain profitability. For the years ended December 31, 2022 and 2021, we incurred net losses of $65.9 million and $71.6 million, respectively. From our inception in 2004 through December 31, 2022, we have incurred an accumulated deficit of $478.0 million. We expect that we will not be able to generate a sufficient amount of product revenue to achieve profitability until the beginning of 2024 and if we are unable to achieve positive cash flow we may need to continue to finance our operations through additional equity or debt financings or corporate collaboration and licensing agreements. We also expect to continue to incur significant operating and capital expenditures and anticipate that as our business continues to grow our operating expenses will increase accordingly as we:</w:t>
      </w:r>
    </w:p>
    <w:p>
      <w:pPr>
        <w:spacing w:after="0" w:line="19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commercialization and marketing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additional internal systems, controls and infrastructure;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and build out our plasma center network;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production capacity at the Boca Facility.</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We may not be able to generate these revenues or achieve profitability in the future.</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The COVID-19 pandemic and efforts to reduce its spread has significantly affected worldwide economic conditions, caused supply chain disruptions and could have a material adverse impact on our business, liquidity, financial condition and results of operations.</w:t>
      </w:r>
    </w:p>
    <w:p>
      <w:pPr>
        <w:spacing w:after="0" w:line="14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The COVID-19 pandemic, including the Delta, Omicron and BA.2 variants and other resistant, mutating and emerging strains of the coronavirus, has the potential to adversely impact several aspects of each of our business segments, our commercial manufacturing operations and plasma collection facilities, including but not limited to potential disruptions to our supply-chain operations, including procurement of raw materials and packaging materials, a portion of which are sourced internationally, and the testing of finished drug product that is required prior to its availability for commercial sale. Such testing has historically been performed by contract laboratories outside the United States. While we do not believe that the COVID-19 pandemic has significantly affected operations and immunoglobulin production at our Boca Facility or our ADMA BioCenters plasma collection operations at this time, we may experience adverse effects in the future from the COVID-19 pandemic or future pandemics. For example, our employees becoming ill, the imposition of additional mandatory remote working environments and federal, state and local responses to the pandemic could materially affect the efficiency and pace of our operations and manufacturing at our Boca Facility. Employee or donor illness, if not properly managed, could also impact the availability of and quality of our products. Further, in certain instances and geographic regions, we may experience decreased customer engagement (for example, as a result of a temporary shutdown of a customer’s facilities or the continuation of no in-person meetings) could impact our results of operations. In addition, travel and other restrictions that were implemented in the United States or could be implemented in the future could impact our commercial efforts with respect to any of our products, including BIVIGAM and ASCENIV, as trade shows, industry and medical conferences and other events we had been planning to utilize and exhibit and attend with our staff to increase awareness of our products by physicians and payers were subject to limitations, rescheduling, virtual attendance or outright cancellation in response to the pandemic. Also, due to a combination of previous state and local “shelter-in-place” orders, as well as government stimulus packages, amongst other initiatives, we were experiencing, and may experience in the future, lower than expected donor collections at our FDA-licensed plasma collection centers. We are also subject to delays in shipments of source plasma from our contracted third-party suppliers, as well as delays in deliveries for personal protective equipment, reagents and other non-plasma raw materials and supplies used in the manufacture, testing and distribution of our products. We also experienced supply chain delays as a result of significant resources being diverted towards the rapid development and distribution of COVID-19 vaccines, which could result in our need to carry more inventory than we have in the past, which would put an additional strain on our cash resources. After the COVID-19 global pandemic has settled, we may continue to experience adverse impacts to our business as a result of evolving macroeconomic factors, including general economic uncertainty, unemployment rates, high inflation, recessionary pressures and any actual economic recession that has occurred or may occur in the future.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future we may continue to experience pandemic-related challenges with respect to obtaining and manufacturing a sufficient amount of supplies, raw materials, and finished product to meet our need for commercial and clinical product supply. If we or any of our suppliers or manufacturers are adversely impacted by pandemics or the restrictions resulting from outbreaks, if they or we cannot obtain the necessary supplies, or if third parties need to prioritize other products or customers over us, including under the Defense Production Act, we may experience future delays or disruptions in our supply chain, which could have a material and adverse impact on our business. Moreover, we, our suppliers, and any third-party manufacturers may also need to implement measures and changes, or deviate from typical requirements, because of pandemics that may otherwise adversely impact our supply chains or the quality of the resulting products or supplies. Depending on the change, we may need to obtain FDA pre-approval or otherwise provide the FDA with a notification of the change.</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To the extent that we or our partners are conducting clinical trials, pandemics could cause delays or disruptions in these or future development programs. By example, the pandemic may result in slower enrollment, the need to suspend enrollment into studies, patient withdrawals, postponement of planned clinical or preclinical studies, redirection of site resources from studies, study modification, suspension, or termination, the introduction of remote study procedures and modified informed consent procedures, study site changes, direct delivery of investigational products to patient homes requiring state licensing, study deviations or noncompliance, and changes or delays in site monitoring. The foregoing could require that we consult with relevant review and ethics committees, IRBs, and the FDA. The foregoing could also impact the integrity of study data. The effects of pandemics may also increase the need for clinical trial patient monitoring and regulatory reporting of adverse effects. Pandemics could further impact our ability to interact with the FDA or other regulatory authorities and may result in delays in the conduct of inspections or review of pending applications or submissions. No assurances can be provided as to the timing for completion of any regulatory submissions or applications or other circumstances unknown to us presently or that are out of our direct control. Due to the potential impact of the COVID-19 outbreak on clinical trials, drug development, and manufacturing, the FDA issued a number of guidances specifically concerning COVID-19, including guidance with respect to blood and blood components. The FDA’s guidance is continually evolving.</w:t>
      </w:r>
    </w:p>
    <w:p>
      <w:pPr>
        <w:spacing w:after="0" w:line="17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COVID-19 pandemic resulted in and future pandemics may also result in changes in laws and regulations. By example, in March 2020, the U.S. Congress passed the CARES Act, which includes various provisions regarding FDA drug shortage reporting requirements, as well as provisions regarding supply chain security, such as risk management plan requirements, and the promotion of supply chain redundancy and domestic manufacturing. The CARES Act further included reporting requirements related to the volume of products produced over the course of the year. FDA issued guidance regarding this requirement. This and any future changes in law may require that we change our internal processes and procedures to ensure continued compliance. Additionally, the previous guidelines that were issued by public health authorities or any new or changing recommendations or guidelines may still impact the demand for or usage as well as the prescriptions of our IVIG products.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ultimate impact of the COVID-19 pandemic is highly uncertain and subject to change. We do not yet know the full extent of potential delays or impacts on our business, operations, or financial condition, or on healthcare systems or the global economy as a whole. Although the COVID-19 pandemic has not adversely affected our capital and financial resources to date, the pandemic’s effects could have a material impact on our ability to access the capital markets as needed and on our operations and business, including those of the third parties on which we rely. Because we are unable to determine the ultimate severity or duration of the pandemic or its effects on, among other things, the global, national or local economies, the capital and credit markets, our workforce, our customers or our suppliers, at this time we are unable to predict whether COVID-19 will have a material adverse impact on our business, financial condition, liquidity and results of operations.</w:t>
      </w:r>
    </w:p>
    <w:p>
      <w:pPr>
        <w:spacing w:after="0" w:line="1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a portion of the filling, packaging, testing and labeling of the drug substance we manufacture. This reliance on third parties carries the risk that the services upon which we rely may not be performed in a timely manner or according to our specifications, which could delay the availability of our finished drug product and could adversely affect our commercialization efforts and our revenues.</w:t>
      </w:r>
    </w:p>
    <w:p>
      <w:pPr>
        <w:spacing w:after="0" w:line="14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Third-party fill/finish providers may not perform as agreed or in accordance with FDA requirements. Any significant problem that our fill/finish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fill/finish services meeting the necessary quality standards or at all could have a material and adverse effect on our products, business, financial condition and results from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Although we are utilizing our FDA-approved fill/finish suite that we built at the Boca Facility for a portion of our finished drug product, we also intend to continue to utilize third parties to supplement our fill/finish process for final drug product. Any failure by us, our contract fill/finishers, or other third parties involved in the process for producing our products or product candidates to comply with the applicable manufacturing, including manufacturing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the following risks:</w:t>
      </w:r>
    </w:p>
    <w:p>
      <w:pPr>
        <w:spacing w:after="0" w:line="225" w:lineRule="exact"/>
        <w:rPr>
          <w:sz w:val="20"/>
          <w:szCs w:val="20"/>
          <w:color w:val="auto"/>
        </w:rPr>
      </w:pPr>
    </w:p>
    <w:p>
      <w:pPr>
        <w:ind w:left="660" w:right="200" w:hanging="652"/>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identify contract fill/finishers on acceptable terms or at all because the number of potential service providers is limited and the FDA must inspect and qualify any contract manufacturers for current cGMP compliance as part of our marketing application;</w:t>
      </w:r>
    </w:p>
    <w:p>
      <w:pPr>
        <w:spacing w:after="0" w:line="123" w:lineRule="exact"/>
        <w:rPr>
          <w:rFonts w:ascii="Arial" w:cs="Arial" w:eastAsia="Arial" w:hAnsi="Arial"/>
          <w:sz w:val="16"/>
          <w:szCs w:val="16"/>
          <w:color w:val="auto"/>
        </w:rPr>
      </w:pPr>
    </w:p>
    <w:p>
      <w:pPr>
        <w:ind w:left="660" w:right="38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new fill/finisher would have to be educated in, or develop substantially equivalent processes for, the production of our products and product candidates;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COVID-19 pandemic could adversely affect our contracted fill/finishers’ operations, supply chain or workforce;</w:t>
      </w:r>
    </w:p>
    <w:p>
      <w:pPr>
        <w:spacing w:after="0" w:line="225"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contracted fill/finishers’ resources and level of expertise with plasma-derived biologics may be limited, and therefore they may require a significant amount of support from us in order to implement and maintain the infrastructure and processes required to deliver our finished drug product;</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third-party fill/finishers might be unable to timely provide finished drug product in sufficient quantity  to meet our commercial needs;</w:t>
      </w:r>
    </w:p>
    <w:p>
      <w:pPr>
        <w:spacing w:after="0" w:line="23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inspection procedures and required tests appropriately;</w:t>
      </w:r>
    </w:p>
    <w:p>
      <w:pPr>
        <w:spacing w:after="0" w:line="225" w:lineRule="exact"/>
        <w:rPr>
          <w:rFonts w:ascii="Arial" w:cs="Arial" w:eastAsia="Arial" w:hAnsi="Arial"/>
          <w:sz w:val="18"/>
          <w:szCs w:val="18"/>
          <w:color w:val="auto"/>
        </w:rPr>
      </w:pPr>
    </w:p>
    <w:p>
      <w:pPr>
        <w:ind w:left="660" w:right="44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contract manufacturers may fail to comply with applicable regulatory requirements, placing them and us at risk of regulatory enforcement actions, recalls and other adverse consequences, which may negatively impact our business and their ability to supply products to meet our development, clinical and commercial needs;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fill/finishers could breach or terminate their agreements with us; and</w:t>
      </w:r>
    </w:p>
    <w:p>
      <w:pPr>
        <w:spacing w:after="0" w:line="225"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Each of these risks could delay or prevent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trade and sanction requirements and limits, other acts of God or force majeure events or global health occurrences and emergencies, including the COVID-19 pandemic.</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4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subject to significant uncertainty and are based on assumptions and estimates that may not prove to be accurate, including as a result of changing circumstances during the ongoing COVID-19 pandemic. In particular, the size and growth of the overall U.S. IVIG and source plasma markets are subject to significant variables that can be difficult to measure, estimate or quantify. Our business depends on, among other things, successful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7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Both of our business segments and our facilities, as well as our suppliers and contractors, are subject to periodic inspections by the FDA, which, depending on the outcome of such inspections, could result in certain FDA actions, including the issuance of observations, notices, citations or warning letters.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and our suppliers and contractors may be unable to comply with our specifications, cGMP requirements and with other FDA, state, and foreign regulatory requirements for commercial and clinical supply. The FDA is authorized to perform inspections and remote regulatory assessments of our and our suppliers’ facilities, including the Boca Facility. The FDA also may inspect and approve our and our third-parties’ facilities before they may be used for commercial production.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18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In the event of any FDA enforcement actions, we and our third-party contractors would need to implement remedial actions which may be time-intensive or costly. We may not be able to timely resolve concerns raised by the FDA as a result of an inspection or without expending significant resources. We are unable to control the timing of FDA inspections, communications and actions, and will be required to respond to the FDA and make certain submissions within certain timeframes. We also do not know whether or not the FDA will change its requirements, guidance or expectations. If the FDA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interruptions could adversely affect our business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cyberattacks on our operations and information technology systems and breakdown, human error, employee issues, global health occurrences such as the COVID-19 pandemic, war,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179"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INDs or BLAs, or to repeat clinical trials. The evolving COVID-19 pandemic may directly or indirectly affect the pace of enrollment in clinical trials as patients may be restricted in traveling to and accessing healthcare facilities and physicians’ offices. Additionally, such healthcare facilities and offices have their limited resources directed towards treating patients with COVID-19 symptoms. The commencement and completion of clinical trials or ultimate product approval for any current or future development product candidate may be delayed by several factors, including:</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safety or effectiveness during clinical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to follow our clinical protocols.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66"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16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4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8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clinical trial process may fail to demonstrate that our product candidates are safe for humans and effective for indicated uses. This failure would cause us to abandon a product candidate and may delay development of other product candidates. Any delay in, or termination of, our clinical trials will delay our ability to commercialize our product candidates and generate product revenues.</w:t>
      </w:r>
    </w:p>
    <w:p>
      <w:pPr>
        <w:spacing w:after="0" w:line="18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 issues that may impact our clinical trials and that could delay or prevent our ability to receive marketing approval or commercialize our product candidates, include:</w:t>
      </w:r>
    </w:p>
    <w:p>
      <w:pPr>
        <w:spacing w:after="0" w:line="170"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our CROs;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Regulators requiring us to perform additional or unanticipated clinical trials to obtain approval or becoming subject to additional post-marketing testing, surveillance, or REMS requirements to maintain regulatory approval;</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 or our having insufficient funds for a clinical trial or to pay the substantial user fees required by FDA upon the filing of a marketing application;</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inadequate quality of our product candidates or other materials necessary to conduct clinical trials;</w:t>
      </w:r>
    </w:p>
    <w:p>
      <w:pPr>
        <w:spacing w:after="0" w:line="22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Flaws in our clinical trial design that are not discoverable until the clinical trial has progressed;</w:t>
      </w:r>
    </w:p>
    <w:p>
      <w:pPr>
        <w:spacing w:after="0" w:line="22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make changes to our product candidates that require additional testing or that cause our product candidates to perform differently than expected;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trade policies that may impact our ability to obtain raw materials and/or finished product for commercialization;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FDA or comparable regulatory authorities taking longer than we anticipate to make decisions on our products or product candidates; and</w:t>
      </w:r>
    </w:p>
    <w:p>
      <w:pPr>
        <w:spacing w:after="0" w:line="236" w:lineRule="exact"/>
        <w:rPr>
          <w:rFonts w:ascii="Arial" w:cs="Arial" w:eastAsia="Arial" w:hAnsi="Arial"/>
          <w:sz w:val="17"/>
          <w:szCs w:val="17"/>
          <w:color w:val="auto"/>
        </w:rPr>
      </w:pPr>
    </w:p>
    <w:p>
      <w:pPr>
        <w:ind w:left="660" w:right="38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inability to demonstrate that a product or product candidate provides an advantage over current standards of care or current or future competitive therapies in development.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U.S., and therefore, may not be performed in accordance with standards normally required by the FDA and other regulatory agencies.</w:t>
      </w:r>
    </w:p>
    <w:p>
      <w:pPr>
        <w:spacing w:after="0" w:line="14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00"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revenues generated from new contract manufacturing arrangements with third parties and revenues generated from the sales of manufacturing intermediates. We cannot assure you that we will receive the approvals necessary to commercialize any product candidate we may acquire or develop in the future.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84"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revenues from,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diminish any competitive advantages that we may otherwise enjoy.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of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U.S.</w:t>
      </w:r>
    </w:p>
    <w:p>
      <w:pPr>
        <w:spacing w:after="0" w:line="17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177"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While physicians in the U.S.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8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With the approval of ASCENIV, there can be no assurance that we will be successful in further developing and expanding commercial operations or balancing our research and development activities with our commercialization activities.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 titer antibodies to RSV. This high 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product candidates will require significant additional research and clinical trials, and we will need to overcome significant regulatory burdens prior to commercialization in the U.S.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on third-party researchers, developers and vendors to develop, manufacture or test products and product candidates, as well as for other pre-and-post approval services, and such parties are, to some extent, outside of our control.</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depend on independent investigators and collaborators, such as universities and medical institutions, contract laboratories, CROs, contract manufacturers, contract fill/finishers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We or they may also be subject to regulatory enforcement actions and we may not be able to meet commercial demand. These collaborators may also have relationships with other commercial entities, some of whom may compete with us. If our collaborators assist our competitors at our expense, our competitive position would be harmed. Additionally, any change in the regulatory compliance status of any of our vendors may impede our ability to receive and maintain approval for our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expand our manufacturing processes to fulfill demand for our products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 our production capabilities through the addition of new equipment, including if we do not obtain requisite approval from the FDA.</w:t>
      </w:r>
    </w:p>
    <w:p>
      <w:pPr>
        <w:spacing w:after="0" w:line="222"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We currently anticipate expanding the manufacturing capacity of our Boca Facility by approximately 50% or more. We also anticipate expanding our production capabilities through the addition of our fill-finish machine at our Boca Facility. Following the expansion of any of our manufacturing processes or the addition of new equipment, such as our fill-finish machine, we will need to validate the expanded facility and equipment, make the necessary submissions to FDA, obtain any FDA required approvals and have it inspected by the FDA. Given the significant delays that may result during the validation process, we may experience a significant supply shortage of our products or our production capabilities may be limited until completion of and validation of our facility expansion and new manufacturing equipment.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PAS to allow for the commercial relaunch of BIVIGAM, as well as the FDA’s approval of our BLA for ASCENIV, require us to conduct specified post-marketing studies related to our manufacturing controls and processes and submit specified post-marketing reports to the FDA. If, during the post-marketing period (after marketing approval) previously unknown adverse events,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such products or manufacturing processes;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225" w:lineRule="exact"/>
        <w:rPr>
          <w:rFonts w:ascii="Arial" w:cs="Arial" w:eastAsia="Arial" w:hAnsi="Arial"/>
          <w:sz w:val="18"/>
          <w:szCs w:val="18"/>
          <w:color w:val="auto"/>
        </w:rPr>
      </w:pPr>
    </w:p>
    <w:p>
      <w:pPr>
        <w:ind w:left="980" w:right="8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to conduct further post-marketing studies or clinical trials, implement risk mitigation strategies, or to issue corrective information;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coverage by third-party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penalties or criminal fines.</w:t>
      </w:r>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46"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For the year ended December 31, 2022, two customers BioCare and Curascript, represented an aggregate of 74% of our consolidated revenues. For the year ended December 31, 2021, four customers, BioCare, Reliance Life Sciences Pvt Limited (“Reliance”), Curascript and AmerisourceBergen Corporation, represented an aggregate of 81% of our consolidated revenues.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31, 2022, two customers, BioCare and Healix Infusion Therapy, LLC, represented an aggregate of 92% of our consolidated accounts receivable. As of December 31, 2021, three customers, Curascript, BioCare and Reliance, represented a total of 94% of our consolidated accounts receivable.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8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sell our products at competitive prices;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features and quality standards for our products sufficient to meet the expectations of our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produce and deliver a sufficient quantity of our products in a timely manner to meet our customers’ requirements; and</w:t>
      </w:r>
    </w:p>
    <w:p>
      <w:pPr>
        <w:spacing w:after="0" w:line="22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ongoing COVID-19 pandemic and government responses thereto on our customers and their businesses, operations and financial condition.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monetary sanctions, injunctions to halt manufacture and distribution of products, civil or criminal sanctions, costly litigation, patient injury, refusal of a government to grant approvals and licenses, restrictions on operations or withdrawal of existing approvals and licenses. An inability to address a quality or safety issue by us or by a third-party vendor in an effective and timely manner may also cause negative publicity or a loss of customer confidence in us or our current or future products, which may result in the loss of sales and difficulty in successfully commercializing our current products and launching new products.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state and local regulations, or due to testing results not meeting specifications. As a result, our operating results are subject to potentially significant variability from one reporting period to the next should such normal course losses occur in any given period. However, because our products and product candidates are plasma-based products, not only are we subject to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perceptions by members of the healthcare community, including physicians, about the safety and effectiveness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cost-effectiveness of our products relative to competing products;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reimbursement for our products from government or other healthcare payers;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achieve profitability may be adversely impacted.</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Our current product development portfolio consists primarily of label expansion activities for Nabi-HB, BIVIGAM and ASCENIV, as well as expanding our IP estate with patents issued for </w:t>
      </w:r>
      <w:r>
        <w:rPr>
          <w:rFonts w:ascii="Arial" w:cs="Arial" w:eastAsia="Arial" w:hAnsi="Arial"/>
          <w:sz w:val="18"/>
          <w:szCs w:val="18"/>
          <w:i w:val="1"/>
          <w:iCs w:val="1"/>
          <w:color w:val="auto"/>
        </w:rPr>
        <w:t>S. Pneumoniae</w:t>
      </w:r>
      <w:r>
        <w:rPr>
          <w:rFonts w:ascii="Arial" w:cs="Arial" w:eastAsia="Arial" w:hAnsi="Arial"/>
          <w:sz w:val="18"/>
          <w:szCs w:val="18"/>
          <w:color w:val="auto"/>
        </w:rPr>
        <w:t xml:space="preserve"> hyperimmune IG. We have initiated small scale preclinical activities to potentially expand our current portfolio through new product development efforts or to in-license or acquire additional products and product candidates. If we are not successful in developing or acquiring additional products and product candidates, we will have to depend on our ability to successfully commercialize ASCENIV, as well as our ability to generate revenue from Nabi-HB, BIVIGAM, contract manufacturing, intermediate fractions and plasma attributable to the operations of ADMA BioCenters, to support our operations.</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ADMA BioCenters operations collect information from donors in the U.S. that subjects us to consumer and health privacy laws, which could create enforcement and litigation exposure if we fail to meet their requirements.</w:t>
      </w:r>
    </w:p>
    <w:p>
      <w:pPr>
        <w:spacing w:after="0" w:line="170"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among other things, obligations, including mandatory contractual terms, with respect to safeguarding the privacy, security and transmission of protected health information (“PHI”) held by covered entities and business associates. A “covered entity” is the primary type of HIPAA-regulated entity. Health plans/insurers, healthcare providers engaging in standard transactions (i.e., insurance/health plan claims and encounters, payment and remittance advice, claims status, eligibility, enrollment/disenrollment, referrals and authorizations, coordination of benefits and premium payments), and healthcare clearinghouses (i.e., switches that convert data between standard and non-standard data sets) are covered entities.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(“BAA”) with the service provider that receives PHI on behalf of the entity.</w:t>
      </w:r>
    </w:p>
    <w:p>
      <w:pPr>
        <w:spacing w:after="0" w:line="168"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While we are not a covered entity or business associate subject to HIPAA, even when HIPAA does not apply, according to the U.S. Federal Trade Commission (the “FTC”), failing to take appropriate steps to keep consumers’ personal information secure constitutes unfair acts or practices in or affecting commerce may violate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 driver’s license numbers, government identifiers, credit card and financial account numbers. Some state privacy and security laws apply more broadly than HIPAA and associated regulations. For example, the California Consumer Privacy Act (“CCPA”) was amended by the California Privacy Rights Act,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through implementing regulations or how it will be interpreted and enforced. We could be subject to enforcement action and litigation exposure if we fail to adhere to these data privacy and security laws. Virginia, Colorado, Connecticut and Utah have also enacted privacy laws that become effective in 2023 and are similar in many respects to the CCPA.</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Hayfin Credit Facility is subject to acceleration in specified circumstances, which may result in Hayfin taking possession and disposing of any collateral.</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March 23, 2022 (the “Hayfin Closing Date”), we entered into the Hayfin Credit Agreement with Hayfin (see “Liquidity and Capital Resources”). The Hayfin Credit Agreement provides for a senior secured term loan facility in the principal amount of up to $175.0 million (the “Hayfin Credit Facility”), composed of (i) a term loan made on the Hayfin Closing Date in the principal amount of $150.0 million (the “Hayfin Closing Date Loan”), (ii) a delayed draw term loan in the principal amount of $25.0 million (the “Hayfin Delayed Draw Loan” and, together with the Hayfin Closing Date Loan, the “Hayfin Loans”). The obligation of the lenders to make the Hayfin Delayed Draw Loan expires on June 30, 2023 is subject to the satisfaction of certain conditions, including but not limited to, our meeting certain 12-month revenue targets as set forth in the Hayfin Credit Agreement. The Hayfin Credit Facility has a maturity date of March 23, 2027 (the “Hayfin Maturity Date”). The Hayfin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In addition to an increase in the rate of interest on the Hayfin Loans of 3% per annum, the occurrence of an Event of Default could result in, among other things, the termination of commitments under the Hayfin Credit Facility, the declaration that all outstanding Loans are immediately due and payable in whole or in part, and Hayfin taking immediate possession of, and selling, any collateral securing the Hayfin Loans.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we move forward in clinical development, we continue to discover novel technologies related to our products and we may draft patent applications directed to these technologies. We rely on a combination of patent rights, trade secrets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lose market exclusivity of a product earlier than expected.</w:t>
      </w:r>
    </w:p>
    <w:p>
      <w:pPr>
        <w:spacing w:after="0" w:line="225"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 the pharmaceutical and biotechnology industries, the majority of an innovative product’s commercial value is realized during its market exclusivity period. In the U.S.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4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or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6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 There is no assurance that ASCENIV, or any other of our products for which we are issued a patent, will enjoy market exclusivity for the full time period of the respective patent.</w:t>
      </w:r>
    </w:p>
    <w:p>
      <w:pPr>
        <w:spacing w:after="0" w:line="17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9" w:name="page50"/>
    <w:bookmarkEnd w:id="4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growth, our business may be harmed.</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success will depend on the expansion of our commercial and manufacturing activities, supply of plasma and overall operations and the effective management of our growth, which will place a significant strain on our management and on our administrative, operational and financial resources. To manage this growth, we must expand our facilities, augment our operational, financial and management systems and hire and train additional qualified personnel. Our ability to accomplish each of these objectives may be negatively impacted as a consequence of the COVID-19 pandemic. If we are unable to manage our growth effectively, our business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one or more key members of our management team could adversely affect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1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Further, while many of our employees and certain suppliers with whom we do business operate in a remote working environment during the COVID-19 pandemic, the risk of cybersecurity attacks and data breaches, particularly through phishing attempts, may be increased as we and third parties with whom we interact leverage our IT infrastructure in unanticipated ways during the ongoing COVID-19 pandemic.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hire and retain a substantial number of qualified personnel, our ability to sustain and grow our business may be harmed.</w:t>
      </w:r>
    </w:p>
    <w:p>
      <w:pPr>
        <w:spacing w:after="0" w:line="24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particularly if the COVID-19 pandemic causes significant changes in the competitive market for such personnel, including but not limited to overall increases in the cost of labor or travel restrictions related to COVID-19, prevent us from being able to hire qualified personnel.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currently collect human blood plasma at our ADMA BioCenters facilities, and if we cannot maintain FDA approval for these facilities or obtain FDA approval for additional facilities that we construct or acquire rights to, we may be adversely affected and may not be able to sell or use this human blood plasma for future commercial purposes.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intend to maintain FDA approval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18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84"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There are no assurances we will be able to maintain compliance with all FDA or other regulations.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incur substantial liabilities and may be required to limit commercialization of our products in response to product liability lawsuits.</w:t>
      </w:r>
    </w:p>
    <w:p>
      <w:pPr>
        <w:spacing w:after="0" w:line="24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60"/>
        <w:spacing w:after="0" w:line="381" w:lineRule="auto"/>
        <w:rPr>
          <w:sz w:val="20"/>
          <w:szCs w:val="20"/>
          <w:color w:val="auto"/>
        </w:rPr>
      </w:pPr>
      <w:r>
        <w:rPr>
          <w:rFonts w:ascii="Arial" w:cs="Arial" w:eastAsia="Arial" w:hAnsi="Arial"/>
          <w:sz w:val="15"/>
          <w:szCs w:val="15"/>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00"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 laws governing our conduct in the U.S. are enforceable on the federal, state and local levels by criminal, civil and administrative sanctions. Violations of laws such as the Federal Food, Drug, and Cosmetic Act,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federal and state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applicable state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8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 sale reductions in price and (b) PBM service fees.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delayed implementation of this portion of the rule until January 1, 2026, and previously proposed legislation would permanently prohibit implementation of the rule beginning in 2026.</w:t>
      </w:r>
    </w:p>
    <w:p>
      <w:pPr>
        <w:spacing w:after="0" w:line="184"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Patient Protection and Affordable Care Act (“ACA”) and the companion Health Care and Education Reconciliation Act, which together are referred to as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Failure to satisfy requirements under the Federal Food, Drug, and Cosmetic Act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U.S., Canada and the European Union cannot promote approved products for other indications that are not specifically approved by the competent regulatory authorities such as the FDA in the U.S.,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Federal Food, Drug, and Cosmetic Act and subjects us to civil and criminal sanctions. Furthermore, sanctions under the federal False Claims Act have been brought against companies accused of promoting off-label uses of drugs, because such promotion induces unapproved the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6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U.S., we must obtain and maintain regulatory approvals and comply with regulatory requirements in such jurisdictions. The approval procedures vary among countries in complexity and timing. We may not obtain approvals from regulatory authorities outside the U.S. on a timely basis, if at all, which would preclude us from commercializing products in those markets.</w:t>
      </w:r>
    </w:p>
    <w:p>
      <w:pPr>
        <w:spacing w:after="0" w:line="178"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Also, under the U.S. Foreign Corrupt Practices Act, the U.S. has increasingly focused on regulating the conduct by U.S. businesses occurring outside of the U.S.,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Increasing numbers of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4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Both before and after the approval of our products, our products, operations, facilities, suppliers and CROs are subject to extensive regulation by federal, state and local governmental authorities in the U.S. and other countries, with regulations differing from country to country. In the U.S.,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U.S. without FDA and other federal, state and local business regulatory approvals. Any failure to receive the marketing approvals necessary to commercialize our products or product candidates could harm our business.</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If a prolonged government shutdown reoccurs, it could significantly impact the ability of the FDA to timely review and process our regulatory submissions and other reporting requirements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our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small amounts of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this annual report.</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against transmittable diseases.</w:t>
      </w:r>
    </w:p>
    <w:p>
      <w:pPr>
        <w:spacing w:after="0" w:line="170"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could become supply-constrained and our financial performance would suffer if we cannot obtain adequate quantities of FDA-approved source plasma with proper specifications or other necessary raw materials.</w:t>
      </w:r>
    </w:p>
    <w:p>
      <w:pPr>
        <w:spacing w:after="0" w:line="17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We do not and will not have adequate plasma to manufacture our products. Therefore, we are reliant on the purchase of plasma from third parties and the collection of plasma from our FDA-approved plasma collection centers to manufacture our products. We can give no assurances that appropriate plasma will be available to us on commercially reasonable terms, or at all, to manufacture our products.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171"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Additionally, our supply contract with Grifols for the purchase of normal source plasma (“NSP”) expired on December 31, 2022. There can be no assurances that we will be able to obtain an adequate supply of NSP from other third-party suppliers or be able to collect NSP in the same quantities, or at all, through our ADMA BioCenters plasma collection facilities at a cost that is not higher than the price we paid to Grifols for NSP. If our costs to obtain NSP through collections at our ADMA BioCenters plasma collection facilities or from other third-party suppliers are higher than what we paid to Grifols under our supply contract, our liquidity and results of operations could be adversely impacted.</w:t>
      </w:r>
    </w:p>
    <w:p>
      <w:pPr>
        <w:spacing w:after="0" w:line="176" w:lineRule="exact"/>
        <w:rPr>
          <w:sz w:val="20"/>
          <w:szCs w:val="20"/>
          <w:color w:val="auto"/>
        </w:rPr>
      </w:pPr>
    </w:p>
    <w:p>
      <w:pPr>
        <w:jc w:val="both"/>
        <w:ind w:right="280"/>
        <w:spacing w:after="0" w:line="340" w:lineRule="auto"/>
        <w:rPr>
          <w:sz w:val="20"/>
          <w:szCs w:val="20"/>
          <w:color w:val="auto"/>
        </w:rPr>
      </w:pPr>
      <w:r>
        <w:rPr>
          <w:rFonts w:ascii="Arial" w:cs="Arial" w:eastAsia="Arial" w:hAnsi="Arial"/>
          <w:sz w:val="15"/>
          <w:szCs w:val="15"/>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3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biosimilar pathway established as part of healthcare reform may make it easier for competitors to market biosimilar products.</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U.S., we expect in the future to face greater competition from biosimilar products, including a possible increase in patent challenges.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implementation of the Healthcare Reform Law in the U.S. may adversely affect our business.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Through the March 2010 adoption of the Healthcare Reform Law in the U.S., substantial changes are being made to the current system for paying for healthcare in the U.S.,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84"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16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Corporate responsibility, specifically related to Environmental, Social and Governance (“ESG”) matters, may impose additional costs and expose us to new risks.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Board diversity is an ESG topic that is, in particular, receiving heightened attention by investors, stockholders, lawmakers and listing exchanges. Certain states have passed laws requiring companies to meet certain gender and ethnic diversity requirements on their boards of directors. We may face reputational damage in the event our corporate responsibility initiatives or objectives, including with respect to board diversity,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Finances, Capital Requirements and Other Financial Matters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may require additional funding and may be unable to raise capital when needed, which would adversely affect our operations and could force us to delay, curtail or eliminate some of our commercialization efforts or one or more of our research and development programs.</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operations have consumed substantial amounts of cash since inception. For the years ended December 31, 2022 and 2021, we had negative cash flows from operations of approximately $59.5 million and $112.4 million, respectively. We expect to continue to spend substantial amounts for collecting plasma at our plasma collection centers, plasma center expansion, maintaining our plasma centers, procurement of raw material plasma and other raw materials necessary to scale up our manufacturing operations, commercial product launches and capacity expansion at the Boca Facility. In addition, our end-to-end production cycle from collecting and procuring raw material source plasma to commercial release of finished product can take between seven and 12 months or potentially longer, requiring substantial investments in raw material plasma and other manufacturing materials. We expect that we will not be able to generate a sufficient amount of product revenue to achieve profitability until the beginning of 2024 and if we do not achieve positive cash flow by the beginning of 2024 we may need to continue to finance our operations through additional equity or debt financings or corporate collaboration and licensing agreements. We currently anticipate, based upon our projected revenue and expenditures, that our current cash, cash equivalents and accounts receivable will be sufficient to fund our operations, as currently conducted, through the end of the first quarter of 2024, at which time we believe we will begin to generate positive cash flow from operations. This time frame may change based upon how quickly we are able to execute on our commercialization efforts and operational initiatives and whether or not the assumptions underlying our projected revenues and expenses are correct. If we are unable to generate sufficient revenue to achieve positive cash flow by the beginning of 2024, we may need to raise additional capital and if such capital is not available due to widespread liquidity constraints or significant market instability that could result from the COVID-19 pandemic, we will have to delay, curtail or eliminate our commercialization efforts or our product development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to us in amounts sufficient to enable us to make interest or principal payments on our indebtedness when due.</w:t>
      </w:r>
    </w:p>
    <w:p>
      <w:pPr>
        <w:spacing w:after="0" w:line="248"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The Hayfin Credit Facility provides for a senior secured term loan facility in an aggregate principal amount of up to $175.0 million, of which $150.0 million has been drawn down and is currently outstanding. Borrowings under the Hayfin Credit Facility bear interest at a rate per annum equal to 9.5% plus the greater of (i) one or three-month SOFR as we elect and (ii) 1.25%, as more fully described in “Liquidity and Capital Resources”; provided, however, that upon, and during the continuance of, an Event of Default, the interest rate will automatically increase by an additional 300 basis points. We are currently required to make monthly payments of interest during the term of the Hayfin Credit Facility of approximately $1.5 million, with all principal and unpaid interest due at maturity. In addition, our monthly interest rate obligation is subject to rising interest rates. The Hayfin Credit Facility has a maturity date of March 23, 2027, subject to acceleration pursuant to the Hayfin Credit Agreement, including upon an Event of Default. All of our obligations under the Hayfin Credit Facility are secured by a first-priority lien and security interest in substantially all of our and our subsidiaries’ tangible and intangible assets, including intellectual property, and all of the equity interests in our subsidiaries.</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current cash, cash equivalents and accounts receivable may not be sufficient to repay all of our current outstanding debt obligations as they mature. If we are unable to achieve sufficient positive cash flow to repay our outstanding debt obligations as they mature, we will need to obtain additional financing in the amounts necessary to repay our outstanding debt obligations when due. If we are unable to achieve positive cash flow sufficient to repay our outstanding debt obligations when they mature, our creditors would be able to accelerate all of the amounts due and, in the case of the Hayfin Credit Facility, seek to enforce their security interests, which could lead to our creditors taking immediate possession of and selling substantially all of our assets with no return provided to our stockholders.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cash and cash equivalents could be adversely affected if the financial institutions in which we hold our cash and cash equivalents fail.</w:t>
      </w:r>
    </w:p>
    <w:p>
      <w:pPr>
        <w:spacing w:after="0" w:line="24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92" w:lineRule="exact"/>
        <w:rPr>
          <w:sz w:val="20"/>
          <w:szCs w:val="20"/>
          <w:color w:val="auto"/>
        </w:r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in the future, our ability to produce accurate and timely financial statements could be impaired, which could harm our operating results, investors’ views of us and, as a result, the value of our common stock.</w:t>
      </w:r>
    </w:p>
    <w:p>
      <w:pPr>
        <w:spacing w:after="0" w:line="10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Pursuant to Section 404 of the Sarbanes-Oxley Act of 2002 (the “Sarbanes-Oxley Act”) and related rules, our management is required to report on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may need to implement further upgrades, to our financial, information and operating systems, implement additional financial and management controls, reporting systems and procedures and hire additional accounting and finance staff.</w:t>
      </w:r>
    </w:p>
    <w:p>
      <w:pPr>
        <w:spacing w:after="0" w:line="19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relating to Section 404.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stock could decline and we could be subject to sanctions or investigations by the SEC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(“NOLs”) may be limited.</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We have incurred substantial losses during our history. As of December 31, 2022, we had federal and state NOLs of $334.5 million and $211.7 million, respectively. Federal and State NOLs of approximately $55.2 million and $91.8 million, respectively, will begin to expire at various dates beginning in 2027,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imposes limitations on a company’s ability to use NOLs upon certain changes in such ownership. If we are limited in our ability to use our NOLs in future years in which we have taxable income, we will pay more taxes than if we were able to fully utilize our NOLs. The Biotest Transaction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We may experience ownership changes in the future as a result of subsequent changes in our stock ownership that we cannot predict or control that could result in further limitations being placed on our ability to utilize our federal NOLs.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and may fluctuate in a way that is disproportionate to our operating performance.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or potential sales of substantial amounts of our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the equity markets related to the effects of the COVID-19 pandemic;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or completing preclinical or clinical trials or unsatisfactory results of these trials;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in a decision by federal, state or local business regulatory authority;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acceptance, third-party reimbursement and sales of BIVIGAM and ASCENIV;</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about us or about our competitors, including clinical trial results, regulatory approvals or new product introductions;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licensors or third-party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litigation and other developments relating to our patents or other proprietary rights or those of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in the pharmaceutical or biotechnology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regulation and legislation;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overall market volatility;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anticipated or actual operating results;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in securities analysts’ estimates of our performance, or our failure to meet analysts’ expectations.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March 17, 2023, most of our 222,155,625 outstanding shares of common stock, as well as a substantial number of shares of our common stock underlying outstanding warrants,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b w:val="1"/>
          <w:bCs w:val="1"/>
          <w:i w:val="1"/>
          <w:iCs w:val="1"/>
          <w:color w:val="auto"/>
        </w:rPr>
        <w:t>Our affiliates control a substantial amount of our shares of common stock. Provisions in our Second Amended and Restated Certificate of Incorporation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4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As of December 31, 2022, BlackRock Inc., Perceptive Advisors, LLC, State Street Corp., Vanguard Group Inc., NWQ Investment Management Co. LLC and Caligan LP and our directors and executive officers and their affiliates owned approximately 36%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7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225"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never paid and do not intend to pay cash dividends in the foreseeable future. As a result, capital appreciation, if any, will be your sole source of gain.</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Hayfin Credit Agreement prohibits us from paying dividends. As a result, capital appreciation, if any, of our common stock will be your sole source of gain for the foreseeable future.</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stock regulations may affect your ability to sell our common stock.</w:t>
      </w:r>
    </w:p>
    <w:p>
      <w:pPr>
        <w:spacing w:after="0" w:line="225"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Because the price of our common stock currently trades below $5.00 per share, our common stock is subject to Rule 15g-9 under the Exchange Act, which imposes additional sales practice requirements on broker-dealers which sell these securities to persons other than established customers and accredited investors. Under these rules, broker-dealers who recommend penny stocks to persons other than established customers and “accredited investors” must make a special written suitability determination for the purchaser and receive the purchaser’s written agreement to a transaction prior to sale, which includes an acknowledgement that the purchaser’s financial situation, investment experience and investment objectives forming the basis for the broker-dealer’s suitability determination are accurately stated in such written agreement. Unless an exception is available, the regulations require the delivery, prior to any transaction involving a penny stock, of a disclosure schedule explaining the penny stock market and the associated risks. The additional burdens imposed upon broker-dealers by these requirements could discourage broker-dealers from effecting transactions in our common stock and may make it more difficult for holders of our common stock to sell shares to third parties or to otherwise dispose of them.</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December 31, 2022, there were 29,177,763 shares remaining available for issuance, after giving effect to 24,648,346 shares of our common stock that were subject to outstanding stock options, RSUs and warrants as of December 31, 2022 that may be issued by us without stockholder approval, as well as an additional 24,356,961 shares reserved for the future issuance of awards under our equity compensation plans.</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describes our principal facilities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040" w:type="dxa"/>
            <w:vAlign w:val="bottom"/>
          </w:tcPr>
          <w:p>
            <w:pPr>
              <w:ind w:left="460"/>
              <w:spacing w:after="0"/>
              <w:rPr>
                <w:sz w:val="20"/>
                <w:szCs w:val="20"/>
                <w:color w:val="auto"/>
              </w:rPr>
            </w:pPr>
            <w:r>
              <w:rPr>
                <w:rFonts w:ascii="Arial" w:cs="Arial" w:eastAsia="Arial" w:hAnsi="Arial"/>
                <w:sz w:val="18"/>
                <w:szCs w:val="18"/>
                <w:b w:val="1"/>
                <w:bCs w:val="1"/>
                <w:color w:val="auto"/>
              </w:rPr>
              <w:t>Approximate</w:t>
            </w:r>
          </w:p>
        </w:tc>
        <w:tc>
          <w:tcPr>
            <w:tcW w:w="2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Owned or expiration</w:t>
            </w:r>
          </w:p>
        </w:tc>
      </w:t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4040" w:type="dxa"/>
            <w:vAlign w:val="bottom"/>
          </w:tcPr>
          <w:p>
            <w:pPr>
              <w:ind w:left="1080"/>
              <w:spacing w:after="0"/>
              <w:rPr>
                <w:sz w:val="20"/>
                <w:szCs w:val="20"/>
                <w:color w:val="auto"/>
              </w:rPr>
            </w:pPr>
            <w:r>
              <w:rPr>
                <w:rFonts w:ascii="Arial" w:cs="Arial" w:eastAsia="Arial" w:hAnsi="Arial"/>
                <w:sz w:val="18"/>
                <w:szCs w:val="18"/>
                <w:b w:val="1"/>
                <w:bCs w:val="1"/>
                <w:color w:val="auto"/>
              </w:rPr>
              <w:t>Principal Business Activity</w:t>
            </w:r>
          </w:p>
        </w:tc>
        <w:tc>
          <w:tcPr>
            <w:tcW w:w="2040" w:type="dxa"/>
            <w:vAlign w:val="bottom"/>
          </w:tcPr>
          <w:p>
            <w:pPr>
              <w:ind w:left="460"/>
              <w:spacing w:after="0"/>
              <w:rPr>
                <w:sz w:val="20"/>
                <w:szCs w:val="20"/>
                <w:color w:val="auto"/>
              </w:rPr>
            </w:pPr>
            <w:r>
              <w:rPr>
                <w:rFonts w:ascii="Arial" w:cs="Arial" w:eastAsia="Arial" w:hAnsi="Arial"/>
                <w:sz w:val="18"/>
                <w:szCs w:val="18"/>
                <w:b w:val="1"/>
                <w:bCs w:val="1"/>
                <w:color w:val="auto"/>
              </w:rPr>
              <w:t>Square Feet</w:t>
            </w:r>
          </w:p>
        </w:tc>
        <w:tc>
          <w:tcPr>
            <w:tcW w:w="292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date of lease</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Ramsey, NJ</w:t>
            </w:r>
          </w:p>
        </w:tc>
        <w:tc>
          <w:tcPr>
            <w:tcW w:w="4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Corporate Headquarters</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4,200</w:t>
            </w:r>
          </w:p>
        </w:tc>
        <w:tc>
          <w:tcPr>
            <w:tcW w:w="2920" w:type="dxa"/>
            <w:vAlign w:val="bottom"/>
            <w:shd w:val="clear" w:color="auto" w:fill="CCEEFF"/>
          </w:tcPr>
          <w:p>
            <w:pPr>
              <w:jc w:val="center"/>
              <w:ind w:right="290"/>
              <w:spacing w:after="0"/>
              <w:rPr>
                <w:sz w:val="20"/>
                <w:szCs w:val="20"/>
                <w:color w:val="auto"/>
              </w:rPr>
            </w:pPr>
            <w:r>
              <w:rPr>
                <w:rFonts w:ascii="Arial" w:cs="Arial" w:eastAsia="Arial" w:hAnsi="Arial"/>
                <w:sz w:val="18"/>
                <w:szCs w:val="18"/>
                <w:color w:val="auto"/>
                <w:w w:val="90"/>
              </w:rPr>
              <w:t>December 31, 2026 *</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Boca Raton, FL</w:t>
            </w:r>
          </w:p>
        </w:tc>
        <w:tc>
          <w:tcPr>
            <w:tcW w:w="4040" w:type="dxa"/>
            <w:vAlign w:val="bottom"/>
          </w:tcPr>
          <w:p>
            <w:pPr>
              <w:ind w:left="1080"/>
              <w:spacing w:after="0"/>
              <w:rPr>
                <w:sz w:val="20"/>
                <w:szCs w:val="20"/>
                <w:color w:val="auto"/>
              </w:rPr>
            </w:pPr>
            <w:r>
              <w:rPr>
                <w:rFonts w:ascii="Arial" w:cs="Arial" w:eastAsia="Arial" w:hAnsi="Arial"/>
                <w:sz w:val="18"/>
                <w:szCs w:val="18"/>
                <w:color w:val="auto"/>
              </w:rPr>
              <w:t>Manufacturing and Administration</w:t>
            </w:r>
          </w:p>
        </w:tc>
        <w:tc>
          <w:tcPr>
            <w:tcW w:w="2040" w:type="dxa"/>
            <w:vAlign w:val="bottom"/>
          </w:tcPr>
          <w:p>
            <w:pPr>
              <w:jc w:val="right"/>
              <w:ind w:right="390"/>
              <w:spacing w:after="0"/>
              <w:rPr>
                <w:sz w:val="20"/>
                <w:szCs w:val="20"/>
                <w:color w:val="auto"/>
              </w:rPr>
            </w:pPr>
            <w:r>
              <w:rPr>
                <w:rFonts w:ascii="Arial" w:cs="Arial" w:eastAsia="Arial" w:hAnsi="Arial"/>
                <w:sz w:val="18"/>
                <w:szCs w:val="18"/>
                <w:color w:val="auto"/>
              </w:rPr>
              <w:t>84,462</w:t>
            </w:r>
          </w:p>
        </w:tc>
        <w:tc>
          <w:tcPr>
            <w:tcW w:w="2920" w:type="dxa"/>
            <w:vAlign w:val="bottom"/>
          </w:tcPr>
          <w:p>
            <w:pPr>
              <w:jc w:val="center"/>
              <w:ind w:right="270"/>
              <w:spacing w:after="0"/>
              <w:rPr>
                <w:sz w:val="20"/>
                <w:szCs w:val="20"/>
                <w:color w:val="auto"/>
              </w:rPr>
            </w:pPr>
            <w:r>
              <w:rPr>
                <w:rFonts w:ascii="Arial" w:cs="Arial" w:eastAsia="Arial" w:hAnsi="Arial"/>
                <w:sz w:val="18"/>
                <w:szCs w:val="18"/>
                <w:color w:val="auto"/>
                <w:w w:val="91"/>
              </w:rPr>
              <w:t>Owned</w:t>
            </w: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40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Laboratory and Administration</w:t>
            </w:r>
          </w:p>
        </w:tc>
        <w:tc>
          <w:tcPr>
            <w:tcW w:w="2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44,495</w:t>
            </w:r>
          </w:p>
        </w:tc>
        <w:tc>
          <w:tcPr>
            <w:tcW w:w="2920" w:type="dxa"/>
            <w:vAlign w:val="bottom"/>
            <w:shd w:val="clear" w:color="auto" w:fill="CCEEFF"/>
          </w:tcPr>
          <w:p>
            <w:pPr>
              <w:jc w:val="center"/>
              <w:ind w:right="270"/>
              <w:spacing w:after="0"/>
              <w:rPr>
                <w:sz w:val="20"/>
                <w:szCs w:val="20"/>
                <w:color w:val="auto"/>
              </w:rPr>
            </w:pPr>
            <w:r>
              <w:rPr>
                <w:rFonts w:ascii="Arial" w:cs="Arial" w:eastAsia="Arial" w:hAnsi="Arial"/>
                <w:sz w:val="18"/>
                <w:szCs w:val="18"/>
                <w:color w:val="auto"/>
                <w:w w:val="91"/>
              </w:rPr>
              <w:t>Owned</w:t>
            </w:r>
          </w:p>
        </w:tc>
      </w:tr>
    </w:tbl>
    <w:p>
      <w:pPr>
        <w:spacing w:after="0" w:line="202" w:lineRule="exact"/>
        <w:rPr>
          <w:sz w:val="20"/>
          <w:szCs w:val="20"/>
          <w:color w:val="auto"/>
        </w:rPr>
      </w:pPr>
    </w:p>
    <w:p>
      <w:pPr>
        <w:ind w:right="180" w:firstLine="656"/>
        <w:spacing w:after="0" w:line="263" w:lineRule="auto"/>
        <w:tabs>
          <w:tab w:leader="none" w:pos="7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Pursuant to a shared services agreement, as amended, with Areth, LLC (“Areth”) for office, warehouse space and related services pursuant to which the Company pays Areth monthly lease payments in the amount of $10,000. Areth is a company controlled by Dr. Jerrold B. Grossman, our Vice Chairman of the Board of Directors, and Adam S. Grossman, our President and Chief Executive Officer.</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We also have ten plasma collection centers in leased facilities mainly in the southeastern part of the U.S., which require lease payments through the respective lease terms that expire at various dates through 2033 (see Note 12 to the consolidated financial statements appearing elsewhere in this report).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our leased and owned properties are adequate to meet our current and future needs.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We are and may become subject to certain legal proceedings and claims arising in connection with the normal course of our business. Neither the Company nor any of its subsidiaries are a party to any material pending legal proceedings, other than ordinary routine litigation incidental to our business.</w:t>
      </w:r>
    </w:p>
    <w:p>
      <w:pPr>
        <w:spacing w:after="0" w:line="12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Our Common Stock had been listed on the Nasdaq Capital Market (“Nasdaq”) under the symbol “ADMA” since November 10, 2014. Since October 22, 2019, our Common Stock has been listed on the Nasdaq Global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As of December 31, 2022, there were 8 record holders of our Common Stock, based upon information received from our transfer agent. However, this number does not include beneficial owners whose shares were held of record by nominees or broker dealers. As of February 1, 2023, we estimate that there are more than 30,000 beneficial owners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never paid any cash dividends on our capital stock. We anticipate that we will retain earnings, if any, to support operations and to finance the growth and development of our business. In addition, the terms of our Credit Agreement with Hayfin precludes us from paying cash dividends without their consent. Therefore, we do not expect to pay any cash dividends for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center"/>
        <w:ind w:right="88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Unregistered Securities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During the year ended December 31, 2022, we had no sales of unregistered securities that have not been previously disclosed in a Current Report on Form 8-K or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securities during the three months ended December 31, 2022.</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consolidated financial statements and notes thereto included elsewhere in this Annual Report on Form 10-K. The various sections of this discussion contain a number of forward-looking statements, all of which are based on our current expectations and could be materially affected by the uncertainties and risk factors described throughout this Annual Report. See “Special Note Regarding Forward-Looking Statements.” Our actual results may differ materially.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ADMA Biologics, Inc. (the “Company,” “ADMA,” “we,” “us” or “our”) is an end-to-end commercial biopharmaceutical company dedicated to manufacturing, marketing and developing specialty plasma-derived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Through our ADMA BioManufacturing business segment, we currently have three products with U.S. Food and Drug Administration (the “FDA”) approval,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we received FDA approval on May 9, 2019 and commenced commercial sales in August 2019; (ii) ASCENIV (Immune Globulin Intravenous, Human – slra 10% Liquid), an IVIG product indicated for the treatment of PI, for which we received FDA approval on April 1, 2019 and commenced first commercial sales in October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 10,259,865 related to methods of treatment and prevention of </w:t>
      </w:r>
      <w:r>
        <w:rPr>
          <w:rFonts w:ascii="Arial" w:cs="Arial" w:eastAsia="Arial" w:hAnsi="Arial"/>
          <w:sz w:val="17"/>
          <w:szCs w:val="17"/>
          <w:i w:val="1"/>
          <w:iCs w:val="1"/>
          <w:color w:val="auto"/>
        </w:rPr>
        <w:t>S. pneumonia</w:t>
      </w:r>
      <w:r>
        <w:rPr>
          <w:rFonts w:ascii="Arial" w:cs="Arial" w:eastAsia="Arial" w:hAnsi="Arial"/>
          <w:sz w:val="17"/>
          <w:szCs w:val="17"/>
          <w:color w:val="auto"/>
        </w:rPr>
        <w:t xml:space="preserve"> infection for an immunoglobulin manufactured to contain standardized antibodies to numerous serotypes of </w:t>
      </w:r>
      <w:r>
        <w:rPr>
          <w:rFonts w:ascii="Arial" w:cs="Arial" w:eastAsia="Arial" w:hAnsi="Arial"/>
          <w:sz w:val="17"/>
          <w:szCs w:val="17"/>
          <w:i w:val="1"/>
          <w:iCs w:val="1"/>
          <w:color w:val="auto"/>
        </w:rPr>
        <w:t>S. pneumoniae</w:t>
      </w:r>
      <w:r>
        <w:rPr>
          <w:rFonts w:ascii="Arial" w:cs="Arial" w:eastAsia="Arial" w:hAnsi="Arial"/>
          <w:sz w:val="17"/>
          <w:szCs w:val="17"/>
          <w:color w:val="auto"/>
        </w:rPr>
        <w:t>. Our products and product candidates are intended to be used by physician specialists focused on caring for immune-compromised patients with or at risk for certain infectious diseases.</w:t>
      </w:r>
    </w:p>
    <w:p>
      <w:pPr>
        <w:spacing w:after="0" w:line="18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manufacture these products at our FDA-licensed, plasma fractionation and purification facility located in Boca Raton, Florida with a peak annual processing capability of up to 600,000 liters (the “Boca Facility”). Based on current production yields, our ongoing supply chain enhancements and capacity expansion initiatives, we believe this facility has the potential to produce sufficient quantities of our immune globulin (“IG”) products representing annual revenues of $210 million or more in 2023, more than $250 million in annual revenue in 2024 and potentially in excess of $300 million of annual revenue thereafter, as well as achieving profitability during the first quarter of 2024. At these revenue levels, we forecast achieving consolidated gross margins in the range of 40-50% and net income margins in the range of 20-30%. These assumptions translate to potential annual gross profit and net income in the range of $100-150 million and $50-100 million, respectively, during the 2024-2025 time period and beyond.</w:t>
      </w:r>
    </w:p>
    <w:p>
      <w:pPr>
        <w:spacing w:after="0" w:line="17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Through our ADMA BioCenters subsidiary, we currently operate ten source plasma collection facilities in the U.S. This business unit, which we refer to as our Plasma Collection Centers business segment, provides us with a portion of our blood plasma for the manufacture of our products, and also allows us to sell certain quantities of source plasma to third-party customers for further manufacturing. With respect to our operational plasma collection centers, eight plasma collection centers currently hold FDA licenses, with the remaining plasma collection centers anticipated to receive FDA approvals throughout 2023. In addition, three of our FDA-approved plasma collection centers also have approvals from the Korean Ministry of Food and Drug Safety (“MFDS”), as well as FDA approval to operate a Hepatitis B immunization program. After giving effect to the supply chain robustness initiatives undertaken in 2021 and 2022 as it pertains to our plasma collection network expansion, we remain on track to achieve our goal of having 10 FDA-licensed plasma collection centers by the end of 2023. A typical plasma collection center, such as those operated by ADMA BioCenters, can collect approximately 30,000 to 50,000 liters of source and hyperimmune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sell plasma-derived intermediate fractions to certain customers, which are generated as part of our FDA-approved manufacturing process for IG and IVIG products. In January 2020, we announced our entry into a five-year manufacturing and supply agreement to produce and sell these intermediate by-products, which are used as the starting raw material to produce other plasma-derived biologics. In addition, from time to time we provide contract manufacturing services for certain third-party clients. We also provide laboratory contracting services to certain customers and anticipate providing contract filling, labeling and packing services utilizing our FDA-approved in-house fill-finish capabilities.</w:t>
      </w:r>
    </w:p>
    <w:p>
      <w:pPr>
        <w:spacing w:after="0" w:line="17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On June 6, 2017, we completed the acquisition of certain assets (the “Biotest Assets”) of the Therapy Business Unit (“BTBU”) of Biotest Pharmaceuticals Corporation (“BPC” and, together with Biotest AG, “Biotest”), which included two FDA-licensed products, Nabi-HB and BIVIGAM, and the Boca Facility (the “Biotest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BIVIGAM</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6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May 9, 2019, the FDA approved the Prior Approval Supplement (the “PAS”) for the use of our IVIG manufacturing process, thereby enabling us to commence commercial sales of this product in the U.S.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of 2019.</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April 28,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 since the beginning of the third quarter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ASCENIV</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April 1,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We are able to identify the high titer or “hyperimmune” plasma that meets our internal and required specifications for ASCENIV with our patented testing methods and assay. This type of high titer plasma is typically found in less than 10% of the total donor collection samples we test.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ASCENIV is approved for the treatment of Primary Immune Deficiency Disorder (“PIDD”),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work/school/daycare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Due to the COVID-19 pandemic, our plans have been delayed. In the future however, we may work with the FDA and the immunology and infectious disease community to design an appropriate clinical trial to evaluate the use of ASCENIV in this patient population. Commercial sales of ASCENIV commenced in October of 2019 and our commercial and medical education efforts are focused on the labeled indication of patients with PIDD. ASCENIV’s prescriber and patient base continued to expand during the fourth quarter of 2022, which drove record utilization and pull-through for the product. These elevated demand trends have sustained into 2023, and ADMA currently expects the product’s rapid growth will continue throughout 2023 and beyond.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Nabi-HB</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It is a major global health problem. It can cause chronic infection and places people at high risk of death from cirrhosis and liver cancer. Nabi-HB has a well-documented record of long-term safety and effectiveness since its initial market introduction. The FDA approved Nabi-HB on March 24, 1999. Production of Nabi-HB at the Boca Facility has continued under our leadership since the third quarter of 2017. In early 2018, we received authorization from the FDA for the release of our first commercial batch of Nabi-HB for commercial distribution in the U.S. and we continue to manufacture Nabi-HB under HHS License No.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IMPACT OF THE COVID-19 CRISIS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continue to monitor the ongoing developments related to the COVID-19 pandemic, including the emergence of the Delta, Omicron and BA.2 variants and other resistant strains of the coronavirus, and its impacts to our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8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Due to a combination of previously mandated state and local “shelter-in-place” orders, as well as government stimulus packages, persisting social distancing measures and varying roll-outs of vaccinations by state, we experienced lower than normal donor collections at our FDA approved plasma collection centers during 2021. We are also subject to delays in shipments of source plasma from our contracted third-party suppliers, as well as delays in deliveries for personal protective equipment, reagents and other non-plasma raw materials and supplies used in the manufacture and distribution of our products. In addition, we are subject to supply chain delays as a result of certain of our suppliers diverting significant resources towards the rapid development and distribution of COVID-19 vaccines and, as a result, we have elected to carry more raw materials inventory than we have in the past. The COVID-19 pandemic previously impacted, to a certain degree, our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our ability to communicate with potential customers.</w:t>
      </w:r>
    </w:p>
    <w:p>
      <w:pPr>
        <w:spacing w:after="0" w:line="166"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The pandemic could also impact our ability to interact with the FDA or other regulatory authorities and may result in delays in the conduct of inspections or review of pending applications or submissions. Although we received FDA approvals for four of our plasma collection centers during the year ended December 31, 2022, received several FDA approvals and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During the years ended December 31, 2022 and 2021, our revenue attributable to international customers was approximately 5% and 13%, respectively, of our total revenues. As we seek to grow this aspect of our business, we may also be subject to the impacts of the COVID-19 pandemic in locations outside the United States.</w:t>
      </w:r>
    </w:p>
    <w:p>
      <w:pPr>
        <w:spacing w:after="0" w:line="18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Notwithstanding the foregoing, the COVID-19 pandemic to date has not had a material impact on our financial condition or results of operations, and we do not believe that our production operations at the Boca Facility, our contract fill/finishers or our plasma collection facilities have been significantly impacted by the COVID-19 pandemic. As a result, we do not anticipate and have not experienced any material impairments with respect to any of our long-lived assets, including our property and equipment, goodwill or intangible assets.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Although the COVID-19 pandemic has not, to date, materially adversely impacted our capital and financial resources, because we are unable to determine the ultimate severity or duration of the pandemic or its long-term effects on, among other things, the global, national or local economies, the capital and credit markets or our workforce, customers or suppliers, at this time we are unable to predict whether COVID-19, or any known or future variant or government order, will have a material adverse impact on our business, financial condition, liquidity and results of operations. After the COVID-19 global pandemic has settled, we may continue to experience adverse impacts to our business as a result of evolving macroeconomic factors, including general economic uncertainty, unemployment rates, inflationary pressures and any actual economic recession that has occurred or may occur in the future.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certain other deductions from gross revenues, the realizable value of accounts receivable, valuation of inventory, impairment of long-lived assets, assumptions used in projecting future liquidity and capital requirements, assumptions used in the fair value of awards granted under our equity incentive plans and warrants issued in connection with the issuance of notes payable and the valuation allowance for our deferred tax assets.</w:t>
      </w:r>
    </w:p>
    <w:p>
      <w:pPr>
        <w:spacing w:after="0" w:line="18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Some of the estimates and assumptions we have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elsewhere in this Annual Report on Form 10-K. Estimates and assumptions used in projecting future liquidity and capital requirements are described in Note 1 to the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8" w:name="page69"/>
    <w:bookmarkEnd w:id="6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Historically, adjustments to these estimates to reflect actual results or updated expectations, have not been material to our overall business. However, two of our primary immunoglobulin products, ASCENIV and BIVIGAM, were only approved for commercial sale by the FDA in 2019, and as such our historical experience with rebates with respect to these products is limited. If any of our ratios, factors, assessments, experiences or judgments are not indicative or accurate estimates of our future experience, our results could be materially affected. Estimates that are most at risk for material adjustment are those associated with U.S. Medicaid rebates because of the extensive time delay between the recording of the accrual and its ultimate settlement, an interval that can generally take up to several years or more. While our results of operations to date have not required any material adjustment due to this risk, the delay between when this obligation is initially recorded and ultimately settled could potentially materially impact our revenues and our results of operations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Valuation of 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All equity-based payments, including grants of stock options and restricted stock units (“RSUs”), are recognized at their estimated fair value at the date of grant, and compensation expense is recognized on a straight-line basis over the grantee’s requisite vesting period. For the purpose of valuing stock options granted to our employees, directors and officers, we use the Black-Scholes option pricing model.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we utilize the U.S. Treasury yield curve in effect at the time of the grant with a term consistent with the expected term of our awards. The expected term of the options granted is in accordance with SEC Staff Accounting Bulletins 107 and 110 and is based on the average between vesting terms and contractual terms. The expected dividend yield reflects our current and expected future policy for dividends on our Common Stock. The expected stock price volatility for our stock options was calculated by examining the historical volatility of our Common Stock since our Common Stock became publicly traded in the fourth quarter of 2013. We will continue to analyze the expected stock price volatility and expected term assumptions and will adjust our Black-Scholes option pricing assumptions as appropriate. Any changes in the foregoing Black-Scholes assumptions, or an election by us to utilize an alternative method for valuing stock options granted to employees, directors and officers, could potentially impact our stock-based compensation expense and our results of operations.</w:t>
      </w:r>
    </w:p>
    <w:p>
      <w:pPr>
        <w:spacing w:after="0" w:line="17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also use the Black-Scholes option pricing model for the purpose of estimating the fair value of warrants we issue from time to time in connection with the issuance of notes payable. Changes in our Black-Scholes assumptions, or an election by us to utilize an alternative method for valuing warrants issued to our lenders, could impact our interest expense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assess the recoverability of our long-lived assets, which include property and equipment and definite-lived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2022 and 2021, we determined that there was no impairment of our long-lived assets. Examples of events or circumstances that may be indicative of impairment that would require the use of significant judgment by management include:</w:t>
      </w:r>
    </w:p>
    <w:p>
      <w:pPr>
        <w:spacing w:after="0" w:line="16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adverse change in legal factors or in the business climate that could affect the value of the asset.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and continued cash flow losses.</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significant adverse change in the extent or manner in which an asset is used, such as a restriction imposed by the FDA or other regulatory authorities that could affect our ability to manufacture our products using a particular asset.</w:t>
      </w:r>
    </w:p>
    <w:p>
      <w:pPr>
        <w:ind w:left="660" w:right="34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expectation of losses or reduced profits associated with an asset. This could result, for example, from the introduction of a competitor’s product that impacts projected revenue growth, or a change in the acceptance of a product by patients, physicians and payers that results in an inability to sustain projected product revenues.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Goodwill is not amortized but is assessed for impairment on an annual basis or more frequently if impairment indicators exist. The testing of goodwill for impairment requires us to determine whether or not the fair value of the reporting unit associated with the goodwill is less than its carrying amount, including goodwill and other intangible assets. An impairment charge is recorded to the extent the reporting unit’s carrying value exceeds its fair value, with the impairment loss recognized not to exceed the total amount of goodwill allocated to that reporting unit. In order to determine the fair value of the reporting unit, we utilize the fair value of the Company as a whole, as determined by its market capitalization. Determination of the fair value and carrying value of each reporting unit, relative to the fair value of the Company, requires management to employ certain estimates, assumptions and judgment, which we believe are reasonable. However, any changes to these estimates and assumptions could impact our determination of whether or not our goodwill is impaired. We did not recognize any impairment charges related to goodwill for the years ended December 31, 2022 and 2021.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have historically maintained a full valuation allowance against all of our net deferred tax assets, and as a result have recorded no income tax benefit in the accompanying consolidated financial statements. This valuation allowance reflects our assessment of whether it is more likely than not that we will generate sufficient taxable income in the future to be able to utilize our deferred tax assets. In determining whether a valuation allowance is warranted, we evaluate factors such as prior earnings history, expected future earnings, carryback and carryforward periods and tax strategies. We consider all positive and negative evidence to estimate if sufficient future taxable income will be generated to realize our deferred tax assets. We consider cumulative losses in recent years to be a significant type of negative evidence, and based on our history of losses, at this time we have not included future projected taxable income as a source of income to recognize our deferred tax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2022 Compared to December 31, 2021</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presents a summary of the changes in our results of operations for the year ended December 31, 2022 compared to the year ended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60" w:type="dxa"/>
            <w:vAlign w:val="bottom"/>
            <w:gridSpan w:val="8"/>
          </w:tcPr>
          <w:p>
            <w:pPr>
              <w:jc w:val="right"/>
              <w:ind w:right="1020"/>
              <w:spacing w:after="0"/>
              <w:rPr>
                <w:sz w:val="20"/>
                <w:szCs w:val="20"/>
                <w:color w:val="auto"/>
              </w:rPr>
            </w:pPr>
            <w:r>
              <w:rPr>
                <w:rFonts w:ascii="Arial" w:cs="Arial" w:eastAsia="Arial" w:hAnsi="Arial"/>
                <w:sz w:val="18"/>
                <w:szCs w:val="18"/>
                <w:b w:val="1"/>
                <w:bCs w:val="1"/>
                <w:color w:val="auto"/>
              </w:rPr>
              <w:t>Year Ended December 31,</w:t>
            </w:r>
          </w:p>
        </w:tc>
      </w:tr>
      <w:tr>
        <w:trPr>
          <w:trHeight w:val="198"/>
        </w:trPr>
        <w:tc>
          <w:tcPr>
            <w:tcW w:w="73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rPr>
              <w:t>Increase</w:t>
            </w:r>
          </w:p>
        </w:tc>
        <w:tc>
          <w:tcPr>
            <w:tcW w:w="10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(Decrease)</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154,079,692</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80,942,625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73,137,067</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118,814,535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79,769,341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39,045,194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35,265,157</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1,173,284</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34,091,873</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3,613,764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3,646,060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(32,296)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Plasma center operating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17,843,096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12,288,723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5,554,373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715,353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715,353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52,458,024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42,896,889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9,561,135</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(39,365,080)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(58,373,741)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19,008,661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(19,279,373)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(13,056,834)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(6,222,539)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(6,669,941)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(589,556)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(372,513)</w:t>
            </w:r>
          </w:p>
        </w:tc>
      </w:tr>
      <w:tr>
        <w:trPr>
          <w:trHeight w:val="27"/>
        </w:trPr>
        <w:tc>
          <w:tcPr>
            <w:tcW w:w="7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(65,903,950)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(71,647,618)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5,743,668</w:t>
            </w: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00" w:firstLine="648"/>
        <w:spacing w:after="0" w:line="254" w:lineRule="auto"/>
        <w:rPr>
          <w:sz w:val="20"/>
          <w:szCs w:val="20"/>
          <w:color w:val="auto"/>
        </w:rPr>
      </w:pPr>
      <w:r>
        <w:rPr>
          <w:rFonts w:ascii="Arial" w:cs="Arial" w:eastAsia="Arial" w:hAnsi="Arial"/>
          <w:sz w:val="18"/>
          <w:szCs w:val="18"/>
          <w:color w:val="auto"/>
        </w:rPr>
        <w:t>We recorded total revenues of $154.1 million during the year ended December 31, 2022, as compared to $80.9 million during the year ended December 31, 2021, an increase of $73.1 million, or approximately 90%. The increase is mainly due to increased sales of our immunoglobulin products and intermediate fractions generated by our Boca Facility manufacturing operations in 2022 totaling $69.2 million as we conclude our third full year of commercial sales of BIVIGAM and ASCENIV. We attribute this increase in revenue to the continued expansion of our customer base in 2022 and to increasing physician, payer and patient acceptance of both BIVIGAM and ASCENIV. We also experienced a $4.0 million increase in plasma revenues generated by our Plasma Collection Centers business segment due to increased sales of plasma through spot market opportunities beyond our long-term supply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 and Gross Profit</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Cost of product revenue was $118.8 million for the year ended December 31, 2022, as compared to $79.8 million for the year ended December 31, 2021. This increase of $39.0 million is primarily attributable to volume-related increases in product revenue costs related to the sale of our immunoglobulin products of $30.4 million and increased product revenue costs related to our ADMA BioCenters business segment in the amount of $4.3 million. In addition, we also experienced an increase in other manufacturing expenses of approximately $4.4 million in fiscal 2022 as compared to fiscal 2021, which is indicative of certain inflationary pressures being experienced by our industry for labor, materials, freight, fuel surcharges and third-party services.</w:t>
      </w:r>
    </w:p>
    <w:p>
      <w:pPr>
        <w:spacing w:after="0" w:line="16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gross profit of $35.3 million for the year ended December 31, 2022 represents an improvement over the same period of a year ago of $34.1 million and is mainly due to the higher sales volume, the improved margins we are experiencing with BIVIGAM at the larger plasma pool production scale, and to the increased relative contribution of ASCENIV to our total revenues. As a result, we achieved a gross margin of 22.9% for the year ended December 31, 2022, as compared to a gross margin of 1.4% for the year ended December 31, 2021.</w:t>
      </w:r>
    </w:p>
    <w:p>
      <w:pPr>
        <w:spacing w:after="0" w:line="18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Subsequent to the FDA approvals for BIVIGAM and ASCENIV received in 2019 through December 31, 2022, substantially all of the normal source plasma (“NSP”) used in our Boca Facility IG production was sourced under a supply agreement we had in place with Grifols Worldwide Operations Limited, the successor-in-interest to BPC (“Grifols”). This agreement expired on December 31, 2022 and was not renewed. Although we have executed additional agreements with other third-party suppliers of NSP, we anticipate that a substantial portion of the NSP used in IG production in 2023 and beyond will be sourced from our ADMA BioCenters plasma collection facilities. As a number of these facilities are still in their initial stages of operation, we expect that the cost of collecting NSP at many of these facilities will exceed the price per liter of NSP we were paying to Grifols and other third-party suppliers. As a result, we expect the production costs for our immune globulin products to increase in the near term, which could adversely impact our cost of product revenue and gross margins, without giving effect to other supply chain initiatives completed and anticipated manufacturing efficiencies expected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Research and development expenses (“R&amp;D”) of $3.6 million for the year ended December 31, 2022 was essentially unchanged from the year ended December 31, 2021, as the lower compensation costs (including stock-based compensation) in 2022 resulting from the 2021 resignation of our former Chief Medical and Chief Scientific Officer was offset by increased expenses associated with post-marketing commitment clinical studies for ASCENIV and BIVIGAM (see Note 10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Plasma Center Operating Expenses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Plasma center operating expenses increased by $5.6 million to $17.8 million for the year ended December 31, 2022, as compared to $12.3 million for the year ended December 31, 2021. Plasma center operating expenses consist of certain general and administrative plasma center costs, initial opening, marketing and start-up costs, rent expense, maintenance, utilities, compensation and benefits for center and administrative staff, advertising and promotion expenses and computer software fees related to donor collections. The majority of our plasma collection centers have been in a development or start-up stage in fiscal 2022 and 2021.</w:t>
      </w:r>
    </w:p>
    <w:p>
      <w:pPr>
        <w:spacing w:after="0" w:line="188" w:lineRule="exact"/>
        <w:rPr>
          <w:sz w:val="20"/>
          <w:szCs w:val="20"/>
          <w:color w:val="auto"/>
        </w:rPr>
      </w:pPr>
    </w:p>
    <w:p>
      <w:pPr>
        <w:ind w:right="120" w:firstLine="648"/>
        <w:spacing w:after="0" w:line="253" w:lineRule="auto"/>
        <w:rPr>
          <w:sz w:val="20"/>
          <w:szCs w:val="20"/>
          <w:color w:val="auto"/>
        </w:rPr>
      </w:pPr>
      <w:r>
        <w:rPr>
          <w:rFonts w:ascii="Arial" w:cs="Arial" w:eastAsia="Arial" w:hAnsi="Arial"/>
          <w:sz w:val="18"/>
          <w:szCs w:val="18"/>
          <w:color w:val="auto"/>
        </w:rPr>
        <w:t>During fiscal 2022, we opened three new plasma collection facilities, and an additional facility opened in March of 2023. In addition, for those plasma collection centers that were in construction or development but not yet operational, we still needed to incur staffing, training, travel and other costs during the build-out period so that these facilities can be operational on the day they open. The increase in plasma center operating expenses in 2022 is mainly attributable to increases in donor fees, some of which are specialty programs and promotions by the newly opened centers, of $10.7 million, employee compensation costs of $5.8 million, softgoods and supplies of $3.8 million, depreciation expense of $1.1 million, rent expense of $0.5 million, plasma testing expenses of $2.8 million, travel expense of $0.2 million, software maintenance expense of $0.4 million, janitorial and utilities expense of $0.5 million, professional services of $0.4 million, postage and freight of $0.3 million and advertising expenses of $0.3 million. These amounts were partially offset by a substantial increase in plasma collections which resulted in a reduction in our plasma center operating expenses by approximately $21.4 million.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Selling, general and administrative expenses (“SG&amp;A”) were $52.5 million for the year ended December 31, 2022, an increase of $9.6 million from the year ended December 31, 2021. As we continued to support the increase in the size and scope of our Boca Facility manufacturing and commercial operations in 2022, we experienced increases in employee compensation and related expenses, including travel, relocation and recruiting, of $4.6 million, $1.8 million of which is stock-based compensation. We also experienced increases in insurance expense of $1.4 million and utilities of $0.5 million in 2022, as well as an increase in data services and market intelligence fees in the amount of $1.5 million in support of the commercialization efforts for BIVIGAM and ASCENIV. In addition, we incurred professional fees in connection with the Morgan Stanley strategic alternatives process in the amount of $1.4 million, with no comparable amount in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for intangible assets acquired in the Biotest Transaction was $0.7 million for the years ended December 31,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225"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Our operating loss was $39.4 million for the year ended December 31, 2022, as compared to $58.4 million for the year ended December 31, 2021. The decrease in operating loss was mainly due to the improved gross profit for the year ended December 31, 2022 of $34.1 million, partially offset by the increases in plasma center operating expenses and SG&amp;A.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Interest expense was $19.3 million for the year ended December 31, 2022, as compared to $13.1 million for the year ended December 31, 2021. The increase reflects the additional indebtedness and increase in amortization of debt discount resulting from the refinancing of our senior credit facility on March 23, 2022 (see “Liquidity and Capital Resources”). The refinancing transaction resulted in additional indebtedness at closing in the approximate amount of $51.8 million, and our debt principal increased by an additional $3.0 million subsequent to closing as our new senior credit facility allows us to pay “in kind” a portion of our monthly interest obligation in the form of additional indebtedness to the lender. We expect to continue to pay a portion of our monthly interest obligation “in kind” during 2023. As a result, and given the expected continued rise in global interest rates, we expect our principal debt balance and the associated interest expense to increase over the course of fiscal 2023 as compared to previous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connection with the refinancing of our senior credit facility on March 23, 2022, we incurred a loss on the extinguishment of debt in the amount of $6.7 million as a result of the redemption premium we paid to retire our previously existing credit facility in the amount of $2.0 million, and the write-off of unamortized debt discount of $4.7 million related to that facility (see Note 7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Our net loss was $65.9 million for the year ended December 31, 2022, as compared to $71.6 million for the year ended December 31, 2021. The decrease in net loss of $5.7 million was mainly due to the decrease in operating loss, largely offset by the higher interest expense and loss on extinguishment of debt in 2022.</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At December 31, 2022, we had working capital of $231.1 million, primarily consisting of $163.3 million of inventory, cash and cash equivalents of $86.5 million and accounts receivable of $15.5 million, partially offset by current liabilities of $39.3 million, as compared to working capital at December 31, 2021 of $178.4 million, primarily consisting of $124.7 million of inventory, cash and cash equivalents of $51.1 million and accounts receivable of $28.6 million, partially offset by $30.4 million of current liabilities. We have incurred an accumulated deficit of $478.0 million since inception and had negative cash flows from operations of $59.5 million and $112.4 million for the years ended December 31, 2022 and 2021, respectively. We have funded our operations over the past few years primarily from the sale of our equity and debt securities. Our material cash requirements are primarily comprised of:</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left="1300" w:hanging="320"/>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procurement of raw material plasma and other raw materials necessary to maintain and scale up our manufacturing operations;</w:t>
      </w:r>
    </w:p>
    <w:p>
      <w:pPr>
        <w:spacing w:after="0" w:line="34" w:lineRule="exact"/>
        <w:rPr>
          <w:rFonts w:ascii="Arial" w:cs="Arial" w:eastAsia="Arial" w:hAnsi="Arial"/>
          <w:sz w:val="17"/>
          <w:szCs w:val="17"/>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compensation and benefits;</w:t>
      </w:r>
    </w:p>
    <w:p>
      <w:pPr>
        <w:spacing w:after="0" w:line="9" w:lineRule="exact"/>
        <w:rPr>
          <w:rFonts w:ascii="Arial" w:cs="Arial" w:eastAsia="Arial" w:hAnsi="Arial"/>
          <w:sz w:val="18"/>
          <w:szCs w:val="18"/>
          <w:color w:val="auto"/>
        </w:rPr>
      </w:pPr>
    </w:p>
    <w:p>
      <w:pPr>
        <w:ind w:left="1300" w:right="160" w:hanging="320"/>
        <w:spacing w:after="0" w:line="250"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to complete the buildout for and maintain our plasma collection facilities and for equipment upgrades and capacity expansion at the Boca Facility;</w:t>
      </w: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Plasma donor fees and plasma center supplies;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 on our debt;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programs and continued commercialization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Boca Facility maintenance, repairs and supplies;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Conducting required post-marketing clinical trials for our FDA-approved products.</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our end-to-end production cycle time from procurement of raw materials to commercial release of finished product can take between seven and 12 months or potentially longer, requiring substantial inventories of raw material plasma and other manufacturing materials and single use disposables.</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expect that we will not be able to generate a sufficient amount of product revenue to achieve profitability until the beginning of 2024. We currently anticipate, based upon our projected revenue and expenditures, that our current cash, cash equivalents and accounts receivable will be sufficient to fund our operations, as currently conducted, through the end of the first quarter of 2024, at which time we believe we will begin to generate positive cash flow from operations. This time frame may change based on several factors, including the success of our commercial efforts with respect to the sale of our products and the acceptability of our immune globulin products by physicians, patients or payers, and whether or not the assumptions underlying our projected revenues and expenses are correct. If we are unable to achieve positive cash flow by the beginning of 2024, we may need to raise additional capital and if such capital is not available due to widespread liquidity constraints or significant market instability that could result from the COVID-19 pandemic, inflationary pressures or other factors beyond our control, we may have to delay, curtail or eliminate some of our commercialization efforts or product development activities. If we are unable to generate sufficient revenue to achieve positive cash flow by the beginning of 2024 and need to raise additional capital, we may decide to do so through public or private equity offerings or debt financings, or we may enter into a corporate collaboration or licensing arrangement. The sale of additional or equity debt securities, if convertible, could result in dilution to our stockholders and, in such event, the value and potential future market price of our common stock may decline.</w:t>
      </w:r>
    </w:p>
    <w:p>
      <w:pPr>
        <w:spacing w:after="0" w:line="179" w:lineRule="exact"/>
        <w:rPr>
          <w:sz w:val="20"/>
          <w:szCs w:val="20"/>
          <w:color w:val="auto"/>
        </w:rPr>
      </w:pPr>
    </w:p>
    <w:p>
      <w:pPr>
        <w:ind w:right="160" w:firstLine="728"/>
        <w:spacing w:after="0" w:line="277" w:lineRule="auto"/>
        <w:rPr>
          <w:sz w:val="20"/>
          <w:szCs w:val="20"/>
          <w:color w:val="auto"/>
        </w:rPr>
      </w:pPr>
      <w:r>
        <w:rPr>
          <w:rFonts w:ascii="Arial" w:cs="Arial" w:eastAsia="Arial" w:hAnsi="Arial"/>
          <w:sz w:val="18"/>
          <w:szCs w:val="18"/>
          <w:color w:val="auto"/>
        </w:rPr>
        <w:t>ADMA continues to evaluate a variety of strategic alternatives through its ongoing engagement with Morgan Stanley. The exploration of value-creating opportunities remains a top corporate priority for ADMA.</w:t>
      </w:r>
    </w:p>
    <w:p>
      <w:pPr>
        <w:spacing w:after="0" w:line="17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March 23, 2022, (the “Hayfin Closing Date”) we and all of our subsidiaries entered into a Credit and Guaranty Agreement (the “Hayfin Credit Agreement”) with Hayfin Services LLP (“Hayfin”). The Hayfin Credit Agreement, as amended, provides for a senior secured term loan facility in a principal amount of up to $175.0 million (the “Hayfin Credit Facility”), composed of (i) a term loan made on the Hayfin Closing Date in the principal amount of $150.0 million (the “Hayfin Closing Date Loan”), and (ii) a delayed draw term loan in the principal amount of $25.0 million (the “Hayfin Delayed Draw Loan” and, together with the Hayfin Closing Date Loan, the “Hayfin Loans”). Pursuant to an amendment to the Hayfin Credit Agreement dated March 22, 2023, the obligation of the lenders to make the Hayfin Delayed Draw Loan expires on June 30, 2023. The obligation of the lenders to make the Hayfin Delayed Draw Loan is subject to the satisfaction of certain conditions, including, but not limited to, our meeting certain 12-month revenue targets as set forth in the Hayfin Credit Agreement which have been met. The Hayfin Credit Facility has a maturity date of March 23, 2027 (the “Hayfin Maturity Date”), subject to acceleration pursuant to the Hayfin Credit Agreement, including upon an Event of Default (as defined in the Hayfin Credit Agreement).</w:t>
      </w:r>
    </w:p>
    <w:p>
      <w:pPr>
        <w:spacing w:after="0" w:line="19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the Hayfin Closing Date, we used $100.0 million of the Hayfin Closing Date Loan to terminate and pay in full all of the outstanding obligations under our previous senior credit facility with Perceptive (see Note 7 to the Consolidated Financial Statements). We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The remainder of the proceeds received or to be received from the Hayfin Loans will be used for working capital and other general corporate purposes.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Borrowings under the Hayfin Credit Agreement currently bear interest at the adjusted Term Secured Overnight Financing Rate (“SOFR”) for either a one-month or three-month tenor, as elected by us, and subject to a floor of 1.25%, plus an applicable margin of 9.5% (the “Applicable Margin”); provided, however, that upon, and during the continuance of, an Event of Default, the Applicable Margin shall increase by an additional 3% per annum. We will also pay “in kind” a portion of the interest on the Hayfin Loans for each monthly or quarterly interest period in an amount equal to 2.5% per annum. Such interest paid “in kind” will reduce our quarterly cash interest obligation by approximately $1.0 million and will be added to the principal amount of the outstanding debt under the Hayfin Credit Facility. As a result, our outstanding debt principal on the Hayfin Loans will increase each month as long as we elect to continue to pay a portion of our interest obligation “in kind.” On the Hayfin Closing Date and as of December 31, 2022, the stated interest rate on the Hayfin Loans interest rate was 10.75% and approximately 13.9%, respectively. Based on the interest rate in effect as of the date of this report, on the last day of each calendar month or quarter during the term of the Hayfin Credit Facility, we are required to pay accrued interest to Hayfin of approximately $1.6 million per month or approximately $4.7 million per quarter, after giving effect to the “in kind” interest of 2.5% per annum, but without giving effect to the Hayfin Delayed Draw Loan, which we have yet to draw upon.</w:t>
      </w:r>
    </w:p>
    <w:p>
      <w:pPr>
        <w:spacing w:after="0" w:line="18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interest obligations under the Hayfin credit agreement are subject to variable interest rates based on the Term SOFR in effect at the beginning of each monthly interest period. With the global rise in interest rates, we expect our interest rate and our monthly cash interest obligation to be higher in fiscal 2023 as compared to previous years. For example, our stated interest rate, which was 10.75% for the month of June 2022, increased to approximately 12.06% for the month of September and was approximately 14.16% for the month of February 2023.</w:t>
      </w:r>
    </w:p>
    <w:p>
      <w:pPr>
        <w:spacing w:after="0" w:line="17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On the Hayfin Maturity Date, we will pay Hayfin the entire outstanding principal amount underlying the Hayfin Loans and any accrued and unpaid interest thereon, as well as an exit fee of 1.0% of the outstanding principal amount being paid. Prior to the Hayfin Maturity Date, there are no scheduled principal payments on the Hayfin Loans. We may prepay outstanding principal on the Hayfin Loans at any time and from time to time upon five business days’ prior written notice, subject to the payment to Hayfin of, (A) any accrued but unpaid interest on the prepaid principal amount plus (B) a prepayment fee in the amount equal to (i) 7.0% of the prepaid principal amount, if prepaid on or prior to the first anniversary of the Hayfin Closing Date,</w:t>
      </w:r>
    </w:p>
    <w:p>
      <w:pPr>
        <w:spacing w:after="0" w:line="2" w:lineRule="exact"/>
        <w:rPr>
          <w:sz w:val="20"/>
          <w:szCs w:val="20"/>
          <w:color w:val="auto"/>
        </w:rPr>
      </w:pPr>
    </w:p>
    <w:p>
      <w:pPr>
        <w:ind w:right="40" w:firstLine="8"/>
        <w:spacing w:after="0" w:line="253"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we are required to pay the 1.0% exit fee for the amount of principal being paid.</w:t>
      </w:r>
    </w:p>
    <w:p>
      <w:pPr>
        <w:spacing w:after="0" w:line="19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All of our obligations under the Hayfin Credit Agreement are secured by a first-priority lien and security interest in substantially all of our tangible and intangible assets, including intellectual property and all of the equity interests in our subsidiaries. The Hayfin Credit Agreement contains certain representations and warranties, affirmative covenants, negative covenants and conditions that are customarily required for similar financings. The negative covenants restrict or limit our ability and the ability of our subsidiaries to, among other things and subject to certain exceptions contained in the Hayfin Credit Agreement, incur new indebtedness; create liens on assets; engage in certain fundamental corporate changes, such as mergers or acquisitions, or changes to our or our subsidiaries’ business activities; make certain Investments or Restricted Payments (each as defined in the Hayfin Credit Agreement); change our fiscal year; pay dividends; repay other certain indebtedness; engage in certain affiliate transactions; or enter into, amend or terminate any other agreements that have the impact of restricting our ability to make loan repayments under the Hayfin Credit Agreement. In addition, we are required (i) at all times prior to the Maturity Date to maintain a minimum cash balance of $6.0 million; and (ii) as of the last day of each fiscal quarter, report IVIG product and related revenues for the trailing 12-month period that exceed the amounts set forth in the Hayfin Credit Agreement, which range from $75.0 million for the fiscal quarter ending June 30, 2022 to $250.0 million for the fiscal quarter ending December 31, 2026 and each fiscal quarter thereafter. As of December 31, 2022, we were in compliance with all of the financial covenants contained in the Hayfin Credit Agreement.</w:t>
      </w:r>
    </w:p>
    <w:p>
      <w:pPr>
        <w:spacing w:after="0" w:line="168" w:lineRule="exact"/>
        <w:rPr>
          <w:sz w:val="20"/>
          <w:szCs w:val="20"/>
          <w:color w:val="auto"/>
        </w:rPr>
      </w:pPr>
    </w:p>
    <w:p>
      <w:pPr>
        <w:ind w:right="220" w:firstLine="648"/>
        <w:spacing w:after="0" w:line="220" w:lineRule="exact"/>
        <w:rPr>
          <w:sz w:val="20"/>
          <w:szCs w:val="20"/>
          <w:color w:val="auto"/>
        </w:rPr>
      </w:pPr>
      <w:r>
        <w:rPr>
          <w:rFonts w:ascii="Arial" w:cs="Arial" w:eastAsia="Arial" w:hAnsi="Arial"/>
          <w:sz w:val="17"/>
          <w:szCs w:val="17"/>
          <w:color w:val="auto"/>
        </w:rPr>
        <w:t>On December 9, 2022, we completed an underwritten public offering whereby we issued 24,125,873 shares of our common stock. Net proceeds after underwriting discounts and expenses associated with the offering were approximately $64.6 million and are being used to accelerate commercialization and production activities, complete plasma center buildouts and obtain FDA approvals, to conclude post</w:t>
      </w:r>
      <w:r>
        <w:rPr>
          <w:rFonts w:ascii="MS PGothic" w:cs="MS PGothic" w:eastAsia="MS PGothic" w:hAnsi="MS PGothic"/>
          <w:sz w:val="17"/>
          <w:szCs w:val="17"/>
          <w:color w:val="auto"/>
        </w:rPr>
        <w:t>‑</w:t>
      </w:r>
      <w:r>
        <w:rPr>
          <w:rFonts w:ascii="Arial" w:cs="Arial" w:eastAsia="Arial" w:hAnsi="Arial"/>
          <w:sz w:val="17"/>
          <w:szCs w:val="17"/>
          <w:color w:val="auto"/>
        </w:rPr>
        <w:t>FDA marketing approval research and development projects, and for working capital, capital expenditures and general corporate purposes.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October 25, 2021, we completed an underwritten public offering whereby we issued 57.5 million shares of our common stock and received gross proceeds of $57.5 million. Net proceeds, after underwriting discounts and expenses associated with the offering, were approximately $53.8 million, and were used to advance the commercial sales of our FDA approved products through the procurement of raw materials for the manufacturing of BIVIGAM and ASCENIV, to expand our plasma collection facility network, to scale up the manufacturing capacity of the Boca Facility and make continuous improvements in order to adhere to cGMP compliance, to explore business development opportunities and for general corporate purposes and other capital expenditures.</w:t>
      </w:r>
    </w:p>
    <w:p>
      <w:pPr>
        <w:spacing w:after="0" w:line="192"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September 3, 2021, we entered into a distribution agreement with Raymond James &amp; Associates, Inc., as agent (“Agent”), pursuant to which we may offer and sell, from time to time, at our option, through or to the Agent, up to an aggregate of $50 million of shares of our common stock (the “Distribution Agreement”). We currently intend to use any net proceeds from the sale of our common stock under the Distribution Agreement for general corporate purposes, including procurement of source plasma and other raw materials, supply chain initiatives and production expenditures, funding expansion of plasma collection centers, working capital, capital expenditures, expansion and resources for commercialization activities, and other potential research and development and business opportunities. During the year ended December 31, 2021, we issued 5,540,831 shares of our common stock under the Distribution Agreement and received net proceeds of $6.9 million. We did not issue any shares under this agreement during the year ended December 31, 2022, and we currently have approximately $42.8 million of shares available to sell under the Distribution Agreement.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(59,508,257)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(112,368,982)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(13,911,171)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(13,511,258)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108,851,852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121,048,206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35,432,424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(4,832,034)</w:t>
            </w: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51,089,118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55,921,152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86,521,542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Cash used in operations for the year ended December 31, 2022 was $59.5 million, a decrease of $52.9 million from the same period of a year ago, mainly due to the improvement in our operating results after giving effect to non-cash items, driven by higher revenues and gross margins, and reductions in accounts receivable related to the timing of shipments and collections from customers. The following table illustrates the primary components of our cash flows from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(65,903,950)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(71,647,618)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Non-cash expenses, gains and losses</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24,680,958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10,959,055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accounts receivable</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13,071,809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(15,339,567)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inventories</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(38,555,957)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(43,188,489)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Changes in prepaid expenses and other current 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(755,900)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(1,292,779)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Changes in accounts payable and accrued expenses</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8,334,553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9,697,041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(379,770)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(1,556,625)</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used in operations</w:t>
            </w:r>
          </w:p>
        </w:tc>
        <w:tc>
          <w:tcPr>
            <w:tcW w:w="41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(59,508,257)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(112,368,982)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980" w:type="dxa"/>
            <w:vAlign w:val="bottom"/>
            <w:vMerge w:val="restart"/>
          </w:tcPr>
          <w:p>
            <w:pPr>
              <w:jc w:val="right"/>
              <w:ind w:right="2899"/>
              <w:spacing w:after="0"/>
              <w:rPr>
                <w:sz w:val="20"/>
                <w:szCs w:val="20"/>
                <w:color w:val="auto"/>
              </w:rPr>
            </w:pPr>
            <w:r>
              <w:rPr>
                <w:rFonts w:ascii="Arial" w:cs="Arial" w:eastAsia="Arial" w:hAnsi="Arial"/>
                <w:sz w:val="14"/>
                <w:szCs w:val="14"/>
                <w:color w:val="auto"/>
              </w:rPr>
              <w:t>72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470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7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Net cash used in investing activities for the year ended December 31, 2022 was $13.9 million, which consisted of $8.7 million for the construction and buildout of several new plasma collection facilities and $5.2 million for equipment purchases and upgrades to the Boca Facility. Net cash used in investing activities for the year ended December 31, 2021 was $13.5 million, which consisted of $8.6 million for the construction and buildout of new plasma collection facilities and $4.9 million of capital expenditures at the Boca Facility, which included equipment purchases and continued implementation of our in-house fill/finish capabilities. While we do not have any firm commitments for material capital expenditures in 2023, we expect our total capital expenditures will be between $8.0 million and $12.0 million for fiscal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cash provided by financing activities for the year ended December 31, 2022 was $108.9 million, as we received approximately $47.0 in net proceeds from the refinancing of our senior credit facility in March of 2022 and $64.6 million in net proceeds from the December 9, 2022 public offering of our common stock. Cash provided by financing activities during the year ended December 31, 2021 was $121.0 million, which is mainly comprised of the net proceeds of $67.3 million from the sale of our common stock through several sale agreements and $53.8 million from the October 2021 underwritten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Inflation impacted a number of facets of our business during the years ended December 31, 2022 and 2021 at each of our business segments. We experienced price increases for, among other items, certain raw materials, consumable supplies, services for repairs and maintenance of our facilities, utilities, shipping and freight charges, fuel surcharges and labor costs. We expect this trend to continue at least into 2023 or longer, which could have a significant impact on our future results of operations. In addition, some of our plasma purchase agreements provide for annual price increases that are tied to various consumer price indices, which have resulted in higher than historical percentage price increases and has resulted in and is expected to continue to result in higher source plasma and other raw material and supplies costs in fiscal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statements required to be filed pursuant to this Item 8 appear in a separate section of this Annual Report on Form 10-K, beginning on page F-1.</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set of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Management of ADMA Biologics, Inc. (the “Company”) is responsible for establishing and maintaining adequate internal control over financial reporting for the Company. Internal control over financial reporting is defined in Rule 13a-15(f) or 15d-15(f) promulgated under the Exchange Act,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our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Internal control over financial reporting is designed to provide reasonable assurance regarding the reliability of financial reporting and the preparation of financial statements prepared for external purposes in accordance with U.S.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Management, with the participation of the Company’s Chief Executive Officer and Chief Financial Officer, assessed the effectiveness of its internal control over financial reporting as of December 31, 2022. In making this assessment, management used the criteria set forth in the Internal Control-Integrated Framework (2013) issued by the Committee of Sponsoring Organizations of the Treadway Commission. Based on its assessment, management concluded that the Company’s internal control over financial reporting was effective as of December 31, 2022 based on those criteria.</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a Smaller Reporting Company, the Company is not required to include in this Annual Report on Form 10-K a report on the effectiveness of its internal control over financial reporting by the Company’s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2022 that has materially affected, or is reasonably likely to materially affect, our internal control over financial reporting.</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Information required to be disclosed by this Item with respect to our executive officers is incorporated into this Annual Report on Form 10-K by reference from the section entitled “Executive Officers and Director and Officer Compensation: Executive Officers” contained in our definitive proxy statement for our 2023 annual meeting of stockholders, which we intend to file within 120 days of the end of our fiscal year ended December 31, 2022.</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Information required to be disclosed by this Item about our Board of Directors (the “Board”) is incorporated into this Annual Report on Form 10-K by reference from the section entitled “Proposal No. 1: Election of Directors” contained in our definitive proxy statement for our 2023 annual meeting of stockholders, which we intend to file within 120 days of the end of our fiscal year ended December 31,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necessary, information required to be disclosed by this Item about the Section 16(a) compliance of our directors and executive officers is incorporated into this Annual Report on Form 10-K, as applicable, by reference from the section entitled “Delinquent Section 16(a) Reports” contained in our definitive proxy statement for our 2023 annual meeting of stockholders, which we intend to file within 120 days of the end of our fiscal year ended December 31, 2022.</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Information required to be disclosed by this Item about our Board, the Audit Committee of our Board, our audit committee financial expert, our Code of Ethics and Business Conduct Standards, and other corporate governance matters is incorporated into this Annual Report on Form 10-K by reference from the section entitled “Corporate Governance” contained in our definitive proxy statement for our 2023 annual meeting of stockholders, which we intend to file within 120 days of the end of our fiscal year ended December 31, 2022.</w:t>
      </w:r>
    </w:p>
    <w:p>
      <w:pPr>
        <w:spacing w:after="0" w:line="18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The text of our Code of Ethics and Business Conduct Standards, which applies to our directors and employees (including our principal executive officer, principal financial officer, principal accounting officer or controller and persons performing similar functions), is posted in the “Corporate Governance” section of the Investors section of our website, www.admabiologics.com. A copy of the Code of Ethics and Business Conduct Standards can be obtained free of charge on our website. We intend to disclose on our website any amendments to, or waivers from, our Code of Ethics and Business Conduct Standards that are required to be disclosed pursuant to the rules of the SEC and The Nasdaq Stock Market.</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presented on our website is not a part of this Annual Report on Form 10-K and the reference to our website is intended to be an inactive textual reference only.</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right="380" w:firstLine="648"/>
        <w:spacing w:after="0" w:line="263" w:lineRule="auto"/>
        <w:rPr>
          <w:sz w:val="20"/>
          <w:szCs w:val="20"/>
          <w:color w:val="auto"/>
        </w:rPr>
      </w:pPr>
      <w:r>
        <w:rPr>
          <w:rFonts w:ascii="Arial" w:cs="Arial" w:eastAsia="Arial" w:hAnsi="Arial"/>
          <w:sz w:val="18"/>
          <w:szCs w:val="18"/>
          <w:color w:val="auto"/>
        </w:rPr>
        <w:t>Information required to be disclosed by this Item is incorporated into this Annual Report on Form 10-K by reference from the section entitled “Executive Officers and Director and Officer Compensation” contained in our definitive proxy statement for our 2023 annual meeting of stockholders, which we intend to file within 120 days of the end of our fiscal year ended December 31, 2022.</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Information required to be disclosed by this Item is incorporated into this Annual Report on Form 10-K by reference from the sections entitled “Security Ownership of Certain Beneficial Owners and Management and Related Stockholder Matters” contained in our definitive proxy statement for our 2023 annual meeting of stockholders, which we intend to file within 120 days of the end of our fiscal year ended December 31, 2022.</w:t>
      </w:r>
    </w:p>
    <w:p>
      <w:pPr>
        <w:spacing w:after="0" w:line="14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The information required to be disclosed by this Item is incorporated in this Annual Report on Form 10-K by reference from the section entitled “Certain Relationships and Related Transactions, and Director Independence” contained in our definitive proxy statement for our 2023 annual meeting of stockholders, which we intend to file within 120 days of the end of our fiscal year ended December 31, 2022.</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information required to be disclosed by this Item is incorporated into this Annual Report on Form 10-K by reference from the section entitled “Audit and Other Fees” contained in our definitive proxy statement for our 2023 annual meeting of stockholders, which we intend to file within 120 days of the end of our fiscal year ended December 31,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color w:val="auto"/>
                <w:w w:val="80"/>
              </w:rPr>
              <w:t>Page</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4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F-2</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2022 and 2021</w:t>
            </w:r>
          </w:p>
        </w:tc>
        <w:tc>
          <w:tcPr>
            <w:tcW w:w="1840" w:type="dxa"/>
            <w:vAlign w:val="bottom"/>
          </w:tcPr>
          <w:p>
            <w:pPr>
              <w:jc w:val="center"/>
              <w:ind w:left="1190"/>
              <w:spacing w:after="0"/>
              <w:rPr>
                <w:sz w:val="20"/>
                <w:szCs w:val="20"/>
                <w:color w:val="auto"/>
              </w:rPr>
            </w:pPr>
            <w:r>
              <w:rPr>
                <w:rFonts w:ascii="Arial" w:cs="Arial" w:eastAsia="Arial" w:hAnsi="Arial"/>
                <w:sz w:val="18"/>
                <w:szCs w:val="18"/>
                <w:color w:val="auto"/>
                <w:w w:val="88"/>
              </w:rPr>
              <w:t>F-4</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Operations for the years ended December 31, 2022 and 2021</w:t>
            </w:r>
          </w:p>
        </w:tc>
        <w:tc>
          <w:tcPr>
            <w:tcW w:w="184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F-5</w:t>
            </w: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Stockholders’ Equity for the years ended December 31, 2022 and 2021</w:t>
            </w:r>
          </w:p>
        </w:tc>
        <w:tc>
          <w:tcPr>
            <w:tcW w:w="1840" w:type="dxa"/>
            <w:vAlign w:val="bottom"/>
          </w:tcPr>
          <w:p>
            <w:pPr>
              <w:jc w:val="center"/>
              <w:ind w:left="1190"/>
              <w:spacing w:after="0"/>
              <w:rPr>
                <w:sz w:val="20"/>
                <w:szCs w:val="20"/>
                <w:color w:val="auto"/>
              </w:rPr>
            </w:pPr>
            <w:r>
              <w:rPr>
                <w:rFonts w:ascii="Arial" w:cs="Arial" w:eastAsia="Arial" w:hAnsi="Arial"/>
                <w:sz w:val="18"/>
                <w:szCs w:val="18"/>
                <w:color w:val="auto"/>
                <w:w w:val="88"/>
              </w:rPr>
              <w:t>F-6</w:t>
            </w: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Statements of Cash Flows for the years ended December 31, 2022 and 2021</w:t>
            </w:r>
          </w:p>
        </w:tc>
        <w:tc>
          <w:tcPr>
            <w:tcW w:w="184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88"/>
              </w:rPr>
              <w:t>F-7</w:t>
            </w: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840" w:type="dxa"/>
            <w:vAlign w:val="bottom"/>
          </w:tcPr>
          <w:p>
            <w:pPr>
              <w:jc w:val="center"/>
              <w:ind w:left="1190"/>
              <w:spacing w:after="0"/>
              <w:rPr>
                <w:sz w:val="20"/>
                <w:szCs w:val="20"/>
                <w:color w:val="auto"/>
              </w:rPr>
            </w:pPr>
            <w:r>
              <w:rPr>
                <w:rFonts w:ascii="Arial" w:cs="Arial" w:eastAsia="Arial" w:hAnsi="Arial"/>
                <w:sz w:val="18"/>
                <w:szCs w:val="18"/>
                <w:color w:val="auto"/>
                <w:w w:val="88"/>
              </w:rPr>
              <w:t>F-8</w:t>
            </w:r>
          </w:p>
        </w:tc>
      </w:tr>
      <w:tr>
        <w:trPr>
          <w:trHeight w:val="403"/>
        </w:trPr>
        <w:tc>
          <w:tcPr>
            <w:tcW w:w="920" w:type="dxa"/>
            <w:vAlign w:val="bottom"/>
          </w:tcPr>
          <w:p>
            <w:pPr>
              <w:ind w:left="660"/>
              <w:spacing w:after="0"/>
              <w:rPr>
                <w:sz w:val="20"/>
                <w:szCs w:val="20"/>
                <w:color w:val="auto"/>
              </w:rPr>
            </w:pPr>
            <w:r>
              <w:rPr>
                <w:rFonts w:ascii="Arial" w:cs="Arial" w:eastAsia="Arial" w:hAnsi="Arial"/>
                <w:sz w:val="18"/>
                <w:szCs w:val="18"/>
                <w:color w:val="auto"/>
              </w:rPr>
              <w:t>(2)</w:t>
            </w:r>
          </w:p>
        </w:tc>
        <w:tc>
          <w:tcPr>
            <w:tcW w:w="8480" w:type="dxa"/>
            <w:vAlign w:val="bottom"/>
          </w:tcPr>
          <w:p>
            <w:pPr>
              <w:ind w:left="40"/>
              <w:spacing w:after="0"/>
              <w:rPr>
                <w:sz w:val="20"/>
                <w:szCs w:val="20"/>
                <w:color w:val="auto"/>
              </w:rPr>
            </w:pPr>
            <w:r>
              <w:rPr>
                <w:rFonts w:ascii="Arial" w:cs="Arial" w:eastAsia="Arial" w:hAnsi="Arial"/>
                <w:sz w:val="18"/>
                <w:szCs w:val="18"/>
                <w:color w:val="auto"/>
              </w:rPr>
              <w:t>Financial Statement Schedules.</w:t>
            </w:r>
          </w:p>
        </w:tc>
        <w:tc>
          <w:tcPr>
            <w:tcW w:w="1840" w:type="dxa"/>
            <w:vAlign w:val="bottom"/>
          </w:tcPr>
          <w:p>
            <w:pPr>
              <w:spacing w:after="0"/>
              <w:rPr>
                <w:sz w:val="24"/>
                <w:szCs w:val="24"/>
                <w:color w:val="auto"/>
              </w:rPr>
            </w:pPr>
          </w:p>
        </w:tc>
      </w:tr>
      <w:tr>
        <w:trPr>
          <w:trHeight w:val="230"/>
        </w:trPr>
        <w:tc>
          <w:tcPr>
            <w:tcW w:w="920" w:type="dxa"/>
            <w:vAlign w:val="bottom"/>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Required information is included in the footnotes to the financial statements.</w:t>
            </w:r>
          </w:p>
        </w:tc>
        <w:tc>
          <w:tcPr>
            <w:tcW w:w="1840" w:type="dxa"/>
            <w:vAlign w:val="bottom"/>
          </w:tcPr>
          <w:p>
            <w:pPr>
              <w:spacing w:after="0"/>
              <w:rPr>
                <w:sz w:val="20"/>
                <w:szCs w:val="20"/>
                <w:color w:val="auto"/>
              </w:rPr>
            </w:pPr>
          </w:p>
        </w:tc>
      </w:tr>
      <w:tr>
        <w:trPr>
          <w:trHeight w:val="432"/>
        </w:trPr>
        <w:tc>
          <w:tcPr>
            <w:tcW w:w="920" w:type="dxa"/>
            <w:vAlign w:val="bottom"/>
          </w:tcPr>
          <w:p>
            <w:pPr>
              <w:ind w:left="660"/>
              <w:spacing w:after="0"/>
              <w:rPr>
                <w:sz w:val="20"/>
                <w:szCs w:val="20"/>
                <w:color w:val="auto"/>
              </w:rPr>
            </w:pPr>
            <w:r>
              <w:rPr>
                <w:rFonts w:ascii="Arial" w:cs="Arial" w:eastAsia="Arial" w:hAnsi="Arial"/>
                <w:sz w:val="18"/>
                <w:szCs w:val="18"/>
                <w:color w:val="auto"/>
              </w:rPr>
              <w:t>(3)</w:t>
            </w:r>
          </w:p>
        </w:tc>
        <w:tc>
          <w:tcPr>
            <w:tcW w:w="8480" w:type="dxa"/>
            <w:vAlign w:val="bottom"/>
          </w:tcPr>
          <w:p>
            <w:pPr>
              <w:ind w:left="40"/>
              <w:spacing w:after="0"/>
              <w:rPr>
                <w:sz w:val="20"/>
                <w:szCs w:val="20"/>
                <w:color w:val="auto"/>
              </w:rPr>
            </w:pPr>
            <w:r>
              <w:rPr>
                <w:rFonts w:ascii="Arial" w:cs="Arial" w:eastAsia="Arial" w:hAnsi="Arial"/>
                <w:sz w:val="18"/>
                <w:szCs w:val="18"/>
                <w:color w:val="auto"/>
              </w:rPr>
              <w:t>Index to Exhibits.</w:t>
            </w:r>
          </w:p>
        </w:tc>
        <w:tc>
          <w:tcPr>
            <w:tcW w:w="1840" w:type="dxa"/>
            <w:vAlign w:val="bottom"/>
          </w:tcPr>
          <w:p>
            <w:pPr>
              <w:spacing w:after="0"/>
              <w:rPr>
                <w:sz w:val="24"/>
                <w:szCs w:val="24"/>
                <w:color w:val="auto"/>
              </w:rPr>
            </w:pPr>
          </w:p>
        </w:tc>
      </w:tr>
      <w:tr>
        <w:trPr>
          <w:trHeight w:val="568"/>
        </w:trPr>
        <w:tc>
          <w:tcPr>
            <w:tcW w:w="920" w:type="dxa"/>
            <w:vAlign w:val="bottom"/>
          </w:tcPr>
          <w:p>
            <w:pPr>
              <w:spacing w:after="0"/>
              <w:rPr>
                <w:sz w:val="24"/>
                <w:szCs w:val="24"/>
                <w:color w:val="auto"/>
              </w:rPr>
            </w:pPr>
          </w:p>
        </w:tc>
        <w:tc>
          <w:tcPr>
            <w:tcW w:w="8480" w:type="dxa"/>
            <w:vAlign w:val="bottom"/>
          </w:tcPr>
          <w:p>
            <w:pPr>
              <w:jc w:val="right"/>
              <w:ind w:right="3615"/>
              <w:spacing w:after="0"/>
              <w:rPr>
                <w:sz w:val="20"/>
                <w:szCs w:val="20"/>
                <w:color w:val="auto"/>
              </w:rPr>
            </w:pPr>
            <w:r>
              <w:rPr>
                <w:rFonts w:ascii="Arial" w:cs="Arial" w:eastAsia="Arial" w:hAnsi="Arial"/>
                <w:sz w:val="14"/>
                <w:szCs w:val="14"/>
                <w:color w:val="auto"/>
              </w:rPr>
              <w:t>76</w:t>
            </w:r>
          </w:p>
        </w:tc>
        <w:tc>
          <w:tcPr>
            <w:tcW w:w="1840" w:type="dxa"/>
            <w:vAlign w:val="bottom"/>
          </w:tcPr>
          <w:p>
            <w:pPr>
              <w:spacing w:after="0"/>
              <w:rPr>
                <w:sz w:val="24"/>
                <w:szCs w:val="24"/>
                <w:color w:val="auto"/>
              </w:rPr>
            </w:pPr>
          </w:p>
        </w:tc>
      </w:tr>
      <w:tr>
        <w:trPr>
          <w:trHeight w:val="46"/>
        </w:trPr>
        <w:tc>
          <w:tcPr>
            <w:tcW w:w="920" w:type="dxa"/>
            <w:vAlign w:val="bottom"/>
            <w:tcBorders>
              <w:bottom w:val="single" w:sz="8" w:color="auto"/>
            </w:tcBorders>
          </w:tcPr>
          <w:p>
            <w:pPr>
              <w:spacing w:after="0"/>
              <w:rPr>
                <w:sz w:val="4"/>
                <w:szCs w:val="4"/>
                <w:color w:val="auto"/>
              </w:rPr>
            </w:pPr>
          </w:p>
        </w:tc>
        <w:tc>
          <w:tcPr>
            <w:tcW w:w="84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45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 w:lineRule="exact"/>
        <w:rPr>
          <w:sz w:val="20"/>
          <w:szCs w:val="20"/>
          <w:color w:val="auto"/>
        </w:rPr>
      </w:pPr>
    </w:p>
    <w:p>
      <w:pPr>
        <w:ind w:left="1020" w:right="80" w:hanging="1011"/>
        <w:spacing w:after="0" w:line="260" w:lineRule="auto"/>
        <w:tabs>
          <w:tab w:leader="none" w:pos="1000" w:val="left"/>
        </w:tabs>
        <w:rPr>
          <w:rFonts w:ascii="Arial" w:cs="Arial" w:eastAsia="Arial" w:hAnsi="Arial"/>
          <w:sz w:val="18"/>
          <w:szCs w:val="18"/>
          <w:color w:val="0000EE"/>
        </w:rPr>
      </w:pPr>
      <w:hyperlink r:id="rId89">
        <w:r>
          <w:rPr>
            <w:rFonts w:ascii="Arial" w:cs="Arial" w:eastAsia="Arial" w:hAnsi="Arial"/>
            <w:sz w:val="18"/>
            <w:szCs w:val="18"/>
            <w:u w:val="single" w:color="auto"/>
            <w:color w:val="0000EE"/>
          </w:rPr>
          <w:t>2.1</w:t>
        </w:r>
      </w:hyperlink>
      <w:r>
        <w:rPr>
          <w:rFonts w:ascii="Arial" w:cs="Arial" w:eastAsia="Arial" w:hAnsi="Arial"/>
          <w:sz w:val="18"/>
          <w:szCs w:val="18"/>
          <w:color w:val="0000EE"/>
        </w:rPr>
        <w:tab/>
        <w:t>Master Purchase and Sale Agreement, dated as of January 21, 2017, by and among Biotest Pharmaceuticals Corporation, ADMA BioManufacturing, LLC, ADMA Biologics, Inc., Biotest AG and Biotest US Corporation (incorporated herein by reference to Exhibit 2.1 to the Company’s Current Report on Form 8-K, filed with the SEC on January 23, 2017).</w:t>
      </w:r>
    </w:p>
    <w:p>
      <w:pPr>
        <w:sectPr>
          <w:pgSz w:w="11900" w:h="16838" w:orient="portrait"/>
          <w:cols w:equalWidth="0" w:num="1">
            <w:col w:w="11220"/>
          </w:cols>
          <w:pgMar w:left="320" w:top="121" w:right="359" w:bottom="1440" w:gutter="0" w:footer="0" w:header="0"/>
        </w:sectPr>
      </w:pPr>
    </w:p>
    <w:p>
      <w:pPr>
        <w:spacing w:after="0" w:line="2" w:lineRule="exact"/>
        <w:rPr>
          <w:sz w:val="20"/>
          <w:szCs w:val="20"/>
          <w:color w:val="auto"/>
        </w:rPr>
      </w:pPr>
    </w:p>
    <w:p>
      <w:pPr>
        <w:spacing w:after="0"/>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3.1</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91">
        <w:r>
          <w:rPr>
            <w:rFonts w:ascii="Arial" w:cs="Arial" w:eastAsia="Arial" w:hAnsi="Arial"/>
            <w:sz w:val="16"/>
            <w:szCs w:val="16"/>
            <w:u w:val="single" w:color="auto"/>
            <w:color w:val="0000EE"/>
          </w:rPr>
          <w:t>3.1.1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3.2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3">
        <w:r>
          <w:rPr>
            <w:rFonts w:ascii="Arial" w:cs="Arial" w:eastAsia="Arial" w:hAnsi="Arial"/>
            <w:sz w:val="18"/>
            <w:szCs w:val="18"/>
            <w:u w:val="single" w:color="auto"/>
            <w:color w:val="0000EE"/>
          </w:rPr>
          <w:t>3.3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4.1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4.2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6">
        <w:r>
          <w:rPr>
            <w:rFonts w:ascii="Arial" w:cs="Arial" w:eastAsia="Arial" w:hAnsi="Arial"/>
            <w:sz w:val="18"/>
            <w:szCs w:val="18"/>
            <w:u w:val="single" w:color="auto"/>
            <w:color w:val="0000EE"/>
          </w:rPr>
          <w:t>4.3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4.4</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4.5</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4.6</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00">
        <w:r>
          <w:rPr>
            <w:rFonts w:ascii="Arial" w:cs="Arial" w:eastAsia="Arial" w:hAnsi="Arial"/>
            <w:sz w:val="18"/>
            <w:szCs w:val="18"/>
            <w:u w:val="single" w:color="auto"/>
            <w:color w:val="0000EE"/>
          </w:rPr>
          <w:t>4.7</w:t>
        </w:r>
      </w:hyperlink>
    </w:p>
    <w:p>
      <w:pPr>
        <w:spacing w:after="0" w:line="20" w:lineRule="exact"/>
        <w:rPr>
          <w:sz w:val="20"/>
          <w:szCs w:val="20"/>
          <w:color w:val="auto"/>
        </w:rPr>
      </w:pPr>
      <w:r>
        <w:rPr>
          <w:sz w:val="20"/>
          <w:szCs w:val="20"/>
          <w:color w:val="auto"/>
        </w:rPr>
        <w:br w:type="column"/>
      </w:r>
    </w:p>
    <w:p>
      <w:pPr>
        <w:ind w:right="800"/>
        <w:spacing w:after="0" w:line="266" w:lineRule="auto"/>
        <w:rPr>
          <w:sz w:val="20"/>
          <w:szCs w:val="20"/>
          <w:color w:val="auto"/>
        </w:rPr>
      </w:pPr>
      <w:r>
        <w:rPr>
          <w:rFonts w:ascii="Arial" w:cs="Arial" w:eastAsia="Arial" w:hAnsi="Arial"/>
          <w:sz w:val="18"/>
          <w:szCs w:val="18"/>
          <w:color w:val="auto"/>
        </w:rPr>
        <w:t>Second Amended and Restated Certificate of Incorporation of the Company (incorporated herein by reference to Exhibit 3.1 to the Company’s Current Report on Form 8-K, filed with the SEC on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40"/>
        <w:spacing w:after="0" w:line="281" w:lineRule="auto"/>
        <w:rPr>
          <w:sz w:val="20"/>
          <w:szCs w:val="20"/>
          <w:color w:val="auto"/>
        </w:rPr>
      </w:pPr>
      <w:r>
        <w:rPr>
          <w:rFonts w:ascii="Arial" w:cs="Arial" w:eastAsia="Arial" w:hAnsi="Arial"/>
          <w:sz w:val="17"/>
          <w:szCs w:val="17"/>
          <w:color w:val="auto"/>
        </w:rPr>
        <w:t>Certificate of Amendment of the Second Amended and Restated Certificate of Incorporation of ADMA Biologics, Inc., dated as of May 27, 2021 (incorporated by reference to Exhibit 3.1 to the Company’s Current Report on Form 8-K filed on May 28, 2021).</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Amended and Restated Bylaws (incorporated herein by reference to Exhibit 3.1 to the Company’s Current Report on Form 8-K, filed with the SEC on October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40"/>
        <w:spacing w:after="0" w:line="266" w:lineRule="auto"/>
        <w:rPr>
          <w:sz w:val="20"/>
          <w:szCs w:val="20"/>
          <w:color w:val="auto"/>
        </w:rPr>
      </w:pPr>
      <w:r>
        <w:rPr>
          <w:rFonts w:ascii="Arial" w:cs="Arial" w:eastAsia="Arial" w:hAnsi="Arial"/>
          <w:sz w:val="18"/>
          <w:szCs w:val="18"/>
          <w:color w:val="auto"/>
        </w:rPr>
        <w:t>Certificate of Designation of Series A Junior Participating Preferred Stock of ADMA Biologics, Inc. (incorporated by reference to Exhibit 3.1 to the Company’s Current Report on Form 8-K filed with the SEC on December 21, 2021).</w:t>
      </w:r>
    </w:p>
    <w:p>
      <w:pPr>
        <w:ind w:right="40"/>
        <w:spacing w:after="0" w:line="266" w:lineRule="auto"/>
        <w:rPr>
          <w:sz w:val="20"/>
          <w:szCs w:val="20"/>
          <w:color w:val="auto"/>
        </w:rPr>
      </w:pPr>
      <w:r>
        <w:rPr>
          <w:rFonts w:ascii="Arial" w:cs="Arial" w:eastAsia="Arial" w:hAnsi="Arial"/>
          <w:sz w:val="18"/>
          <w:szCs w:val="18"/>
          <w:color w:val="auto"/>
        </w:rPr>
        <w:t>Specimen Common Stock Certificate (incorporated herein by reference to Exhibit 4.1 to Amendment No. 1 to the Company’s Current Report on Form 8-K/A, filed with the SEC on March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0"/>
        <w:spacing w:after="0" w:line="281" w:lineRule="auto"/>
        <w:rPr>
          <w:sz w:val="20"/>
          <w:szCs w:val="20"/>
          <w:color w:val="auto"/>
        </w:rPr>
      </w:pPr>
      <w:r>
        <w:rPr>
          <w:rFonts w:ascii="Arial" w:cs="Arial" w:eastAsia="Arial" w:hAnsi="Arial"/>
          <w:sz w:val="17"/>
          <w:szCs w:val="17"/>
          <w:color w:val="auto"/>
        </w:rPr>
        <w:t>Warrant Agreement, dated December 21, 2012, issued by the Company to Hercules Technology Growth Capital, Inc. (incorporated herein by reference to Exhibit 4.3 to the Company’s Registration Statement on Form S-1, filed with the SEC on February 11, 2013).</w:t>
      </w:r>
    </w:p>
    <w:p>
      <w:pPr>
        <w:spacing w:after="0" w:line="1"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Form of Warrant Agreement, dated May 13, 2016, issued by the Company to Oxford Finance LLC (incorporated herein by reference to Exhibit 4.6 to the Company’s Quarterly Report on Form 10-Q, filed with the SEC on May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80"/>
        <w:spacing w:after="0" w:line="299" w:lineRule="auto"/>
        <w:rPr>
          <w:sz w:val="20"/>
          <w:szCs w:val="20"/>
          <w:color w:val="auto"/>
        </w:rPr>
      </w:pPr>
      <w:r>
        <w:rPr>
          <w:rFonts w:ascii="Arial" w:cs="Arial" w:eastAsia="Arial" w:hAnsi="Arial"/>
          <w:sz w:val="16"/>
          <w:szCs w:val="16"/>
          <w:color w:val="auto"/>
        </w:rPr>
        <w:t>Warrant to Purchase Stock, dated October 10, 2017, issued by the Company to Marathon Healthcare Finance Fund, L.P. (incorporated herein by reference to Exhibit 4.2 to the Company’s Current Report on Form 8-K, filed with the SEC on October 11, 2017).</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7"/>
          <w:szCs w:val="17"/>
          <w:color w:val="auto"/>
        </w:rPr>
        <w:t>Warrant to Purchase Stock, dated February 11, 2019, issued by the Company to Perceptive Credit Holdings II, LP (incorporated herein by reference to Exhibit 4.2 to the Company’s Current Report on Form 8-K, filed with the SEC on 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-6350</wp:posOffset>
            </wp:positionV>
            <wp:extent cx="7132320"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80"/>
        <w:spacing w:after="0" w:line="266" w:lineRule="auto"/>
        <w:rPr>
          <w:sz w:val="20"/>
          <w:szCs w:val="20"/>
          <w:color w:val="auto"/>
        </w:rPr>
      </w:pPr>
      <w:r>
        <w:rPr>
          <w:rFonts w:ascii="Arial" w:cs="Arial" w:eastAsia="Arial" w:hAnsi="Arial"/>
          <w:sz w:val="18"/>
          <w:szCs w:val="18"/>
          <w:color w:val="auto"/>
        </w:rPr>
        <w:t>Warrant to Purchase Stock, dated May 3, 2019, issued by the Company to Perceptive Credit Holdings II, LP (incorporated by reference to Exhibit 4.2 to the Company’s Current Report on Form 8-K filed with the SEC on May 3, 2019).</w:t>
      </w:r>
    </w:p>
    <w:p>
      <w:pPr>
        <w:ind w:right="60"/>
        <w:spacing w:after="0" w:line="260" w:lineRule="auto"/>
        <w:rPr>
          <w:sz w:val="20"/>
          <w:szCs w:val="20"/>
          <w:color w:val="auto"/>
        </w:rPr>
      </w:pPr>
      <w:r>
        <w:rPr>
          <w:rFonts w:ascii="Arial" w:cs="Arial" w:eastAsia="Arial" w:hAnsi="Arial"/>
          <w:sz w:val="18"/>
          <w:szCs w:val="18"/>
          <w:color w:val="auto"/>
        </w:rPr>
        <w:t>Warrant to Purchase Stock, dated December 8, 2020, issued by the Company to Perceptive Credit Holdings II, LP (incorporated by reference to Exhibit 4.7 to the Company’s Annual Report on Form 10-K for the year ended December 31, 2020, filed with the SEC on 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360" w:space="660"/>
            <w:col w:w="10200"/>
          </w:cols>
          <w:pgMar w:left="320" w:top="121" w:right="359" w:bottom="1440" w:gutter="0" w:footer="0" w:header="0"/>
          <w:type w:val="continuous"/>
        </w:sectPr>
      </w:pPr>
    </w:p>
    <w:p>
      <w:pPr>
        <w:spacing w:after="0"/>
        <w:rPr>
          <w:rFonts w:ascii="Arial" w:cs="Arial" w:eastAsia="Arial" w:hAnsi="Arial"/>
          <w:sz w:val="17"/>
          <w:szCs w:val="17"/>
          <w:u w:val="single" w:color="auto"/>
          <w:color w:val="0000EE"/>
        </w:rPr>
      </w:pPr>
      <w:hyperlink r:id="rId107">
        <w:r>
          <w:rPr>
            <w:rFonts w:ascii="Arial" w:cs="Arial" w:eastAsia="Arial" w:hAnsi="Arial"/>
            <w:sz w:val="17"/>
            <w:szCs w:val="17"/>
            <w:u w:val="single" w:color="auto"/>
            <w:color w:val="0000EE"/>
          </w:rPr>
          <w:t>4.8</w:t>
        </w:r>
      </w:hyperlink>
    </w:p>
    <w:p>
      <w:pPr>
        <w:spacing w:after="0" w:line="264" w:lineRule="exact"/>
        <w:rPr>
          <w:sz w:val="20"/>
          <w:szCs w:val="20"/>
          <w:color w:val="auto"/>
        </w:rPr>
      </w:pPr>
    </w:p>
    <w:p>
      <w:pPr>
        <w:spacing w:after="0"/>
        <w:rPr>
          <w:rFonts w:ascii="Arial" w:cs="Arial" w:eastAsia="Arial" w:hAnsi="Arial"/>
          <w:sz w:val="17"/>
          <w:szCs w:val="17"/>
          <w:u w:val="single" w:color="auto"/>
          <w:color w:val="0000EE"/>
        </w:rPr>
      </w:pPr>
      <w:hyperlink r:id="rId107">
        <w:r>
          <w:rPr>
            <w:rFonts w:ascii="Arial" w:cs="Arial" w:eastAsia="Arial" w:hAnsi="Arial"/>
            <w:sz w:val="17"/>
            <w:szCs w:val="17"/>
            <w:u w:val="single" w:color="auto"/>
            <w:color w:val="0000EE"/>
          </w:rPr>
          <w:t>4.9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054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66" w:lineRule="auto"/>
        <w:rPr>
          <w:sz w:val="20"/>
          <w:szCs w:val="20"/>
          <w:color w:val="auto"/>
        </w:rPr>
      </w:pPr>
      <w:r>
        <w:rPr>
          <w:rFonts w:ascii="Arial" w:cs="Arial" w:eastAsia="Arial" w:hAnsi="Arial"/>
          <w:sz w:val="18"/>
          <w:szCs w:val="18"/>
          <w:color w:val="auto"/>
        </w:rPr>
        <w:t>Note, dated February 11, 2019, issued by the Company to Perceptive Credit Holdings II, LP (incorporated herein by reference to Exhibit 4.1 to the Company’s Current Report on Form 8-K, filed with the SEC on February 12, 2019).</w:t>
      </w:r>
    </w:p>
    <w:p>
      <w:pPr>
        <w:ind w:right="60"/>
        <w:spacing w:after="0" w:line="277" w:lineRule="auto"/>
        <w:rPr>
          <w:sz w:val="20"/>
          <w:szCs w:val="20"/>
          <w:color w:val="auto"/>
        </w:rPr>
      </w:pPr>
      <w:r>
        <w:rPr>
          <w:rFonts w:ascii="Arial" w:cs="Arial" w:eastAsia="Arial" w:hAnsi="Arial"/>
          <w:sz w:val="18"/>
          <w:szCs w:val="18"/>
          <w:color w:val="auto"/>
        </w:rPr>
        <w:t>Note, dated May 3, 2019, issued by the Company to Perceptive Credit Holdings II, LP (incorporated herein by reference to Exhibit 4.1 to the Company’s Current Report on Form 8-K, filed with the SEC on May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4890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 w:space="720"/>
            <w:col w:w="10200"/>
          </w:cols>
          <w:pgMar w:left="320" w:top="121" w:right="359" w:bottom="1440" w:gutter="0" w:footer="0" w:header="0"/>
          <w:type w:val="continuous"/>
        </w:sectPr>
      </w:pP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2"/>
          <w:szCs w:val="12"/>
          <w:i w:val="1"/>
          <w:iCs w:val="1"/>
          <w:u w:val="single" w:color="auto"/>
          <w:color w:val="0000EE"/>
        </w:rPr>
        <w:t>Table of Contents</w:t>
      </w:r>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4.10</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4.11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4.12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10.1†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10.2†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10.3†</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117">
        <w:r>
          <w:rPr>
            <w:rFonts w:ascii="Arial" w:cs="Arial" w:eastAsia="Arial" w:hAnsi="Arial"/>
            <w:sz w:val="16"/>
            <w:szCs w:val="16"/>
            <w:u w:val="single" w:color="auto"/>
            <w:color w:val="0000EE"/>
          </w:rPr>
          <w:t>10.3.1†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10.4†</w:t>
        </w:r>
      </w:hyperlink>
    </w:p>
    <w:p>
      <w:pPr>
        <w:spacing w:after="0" w:line="252" w:lineRule="exact"/>
        <w:rPr>
          <w:sz w:val="20"/>
          <w:szCs w:val="20"/>
          <w:color w:val="auto"/>
        </w:rPr>
      </w:pPr>
    </w:p>
    <w:p>
      <w:pPr>
        <w:spacing w:after="0"/>
        <w:rPr>
          <w:rFonts w:ascii="Arial" w:cs="Arial" w:eastAsia="Arial" w:hAnsi="Arial"/>
          <w:sz w:val="16"/>
          <w:szCs w:val="16"/>
          <w:u w:val="single" w:color="auto"/>
          <w:color w:val="0000EE"/>
        </w:rPr>
      </w:pPr>
      <w:hyperlink r:id="rId119">
        <w:r>
          <w:rPr>
            <w:rFonts w:ascii="Arial" w:cs="Arial" w:eastAsia="Arial" w:hAnsi="Arial"/>
            <w:sz w:val="16"/>
            <w:szCs w:val="16"/>
            <w:u w:val="single" w:color="auto"/>
            <w:color w:val="0000EE"/>
          </w:rPr>
          <w:t>10.4.1†</w:t>
        </w:r>
      </w:hyperlink>
    </w:p>
    <w:p>
      <w:pPr>
        <w:spacing w:after="0" w:line="275" w:lineRule="exact"/>
        <w:rPr>
          <w:sz w:val="20"/>
          <w:szCs w:val="20"/>
          <w:color w:val="auto"/>
        </w:rPr>
      </w:pPr>
    </w:p>
    <w:p>
      <w:pPr>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10.5+</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rFonts w:ascii="Arial" w:cs="Arial" w:eastAsia="Arial" w:hAnsi="Arial"/>
          <w:sz w:val="16"/>
          <w:szCs w:val="16"/>
          <w:u w:val="single" w:color="auto"/>
          <w:color w:val="0000EE"/>
        </w:rPr>
      </w:pPr>
      <w:hyperlink r:id="rId121">
        <w:r>
          <w:rPr>
            <w:rFonts w:ascii="Arial" w:cs="Arial" w:eastAsia="Arial" w:hAnsi="Arial"/>
            <w:sz w:val="16"/>
            <w:szCs w:val="16"/>
            <w:u w:val="single" w:color="auto"/>
            <w:color w:val="0000EE"/>
          </w:rPr>
          <w:t>10.5.1+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10.5.2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10.5.3</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24">
        <w:r>
          <w:rPr>
            <w:rFonts w:ascii="Arial" w:cs="Arial" w:eastAsia="Arial" w:hAnsi="Arial"/>
            <w:sz w:val="16"/>
            <w:szCs w:val="16"/>
            <w:u w:val="single" w:color="auto"/>
            <w:color w:val="0000EE"/>
          </w:rPr>
          <w:t>10.5.4+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5054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Note, dated December 8, 2020, issued by the Company to Perceptive Credit Holdings II, L.P. (incorporated by reference to Exhibit 4.1 to the Company’s Current Report on Form 8-K filed with the SEC on 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-281305</wp:posOffset>
            </wp:positionV>
            <wp:extent cx="7132320" cy="291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200"/>
        <w:spacing w:after="0" w:line="266" w:lineRule="auto"/>
        <w:rPr>
          <w:sz w:val="20"/>
          <w:szCs w:val="20"/>
          <w:color w:val="auto"/>
        </w:rPr>
      </w:pPr>
      <w:r>
        <w:rPr>
          <w:rFonts w:ascii="Arial" w:cs="Arial" w:eastAsia="Arial" w:hAnsi="Arial"/>
          <w:sz w:val="18"/>
          <w:szCs w:val="18"/>
          <w:color w:val="auto"/>
        </w:rPr>
        <w:t>Description of Securities Registered under Section 12 of the Securities Exchange Act of 1934 (incorporated by reference to Exhibit 4.11 to the Company’s Annual Report on Form 10-K, filed with the SEC on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4457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60"/>
        <w:spacing w:after="0" w:line="260" w:lineRule="auto"/>
        <w:rPr>
          <w:sz w:val="20"/>
          <w:szCs w:val="20"/>
          <w:color w:val="auto"/>
        </w:rPr>
      </w:pPr>
      <w:r>
        <w:rPr>
          <w:rFonts w:ascii="Arial" w:cs="Arial" w:eastAsia="Arial" w:hAnsi="Arial"/>
          <w:sz w:val="18"/>
          <w:szCs w:val="18"/>
          <w:color w:val="auto"/>
        </w:rPr>
        <w:t>Form of Warrant to Purchase Stock, in the form issued by the Company to various entities affiliated with Hayfin Services LLP, dated as of March 23, 2022 (incorporated by reference to Exhibit 4.13 to the Company’s Annual Report on Form 10-K, filed with the SEC on March 24, 2022).</w:t>
      </w:r>
    </w:p>
    <w:p>
      <w:pPr>
        <w:spacing w:after="0" w:line="2"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2007 Employee Stock Option Plan, as amended by Amendment No. 3 (incorporated herein by reference to Exhibit A to the Information Statement on Schedule 14C, filed with the SEC on October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18"/>
          <w:szCs w:val="18"/>
          <w:color w:val="auto"/>
        </w:rPr>
        <w:t>Amended and Restated ADMA Biologics, Inc. 2014 Omnibus Incentive Compensation Plan (incorporated herein by reference to Exhibit 10.1 to the Company’s Registration Statement on Form S-8, filed with the SEC on August 18, 2017).</w:t>
      </w:r>
    </w:p>
    <w:p>
      <w:pPr>
        <w:ind w:right="220"/>
        <w:spacing w:after="0" w:line="299" w:lineRule="auto"/>
        <w:rPr>
          <w:sz w:val="20"/>
          <w:szCs w:val="20"/>
          <w:color w:val="auto"/>
        </w:rPr>
      </w:pPr>
      <w:r>
        <w:rPr>
          <w:rFonts w:ascii="Arial" w:cs="Arial" w:eastAsia="Arial" w:hAnsi="Arial"/>
          <w:sz w:val="16"/>
          <w:szCs w:val="16"/>
          <w:color w:val="auto"/>
        </w:rPr>
        <w:t>Amended and Restated Employment Agreement, dated January 29, 2019, by and between ADMA Biologics, Inc. and Adam Grossman (incorporated herein by reference to Exhibit 10.1 to the Company’s Current Report on Form 8-K, filed with the SEC on January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480"/>
        <w:spacing w:after="0" w:line="299" w:lineRule="auto"/>
        <w:rPr>
          <w:sz w:val="20"/>
          <w:szCs w:val="20"/>
          <w:color w:val="auto"/>
        </w:rPr>
      </w:pPr>
      <w:r>
        <w:rPr>
          <w:rFonts w:ascii="Arial" w:cs="Arial" w:eastAsia="Arial" w:hAnsi="Arial"/>
          <w:sz w:val="16"/>
          <w:szCs w:val="16"/>
          <w:color w:val="auto"/>
        </w:rPr>
        <w:t>Amendment to Employment Agreement, dated as of September 29, 2021, by and between ADMA Biologics, Inc. and Adam Grossman (incorporated by reference to Exhibit 10.2 to the Company’s Current Report on Form 8-K, filed with the SEC on October 1, 2021).</w:t>
      </w:r>
    </w:p>
    <w:p>
      <w:pPr>
        <w:spacing w:after="0" w:line="1"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Amended and Restated Employment Agreement, dated January 29, 2019, by and between ADMA Biologics, Inc. and Brian Lenz (incorporated herein by reference to Exhibit 10.3 to the Company’s Current Report on Form 8-K, filed with the SEC on January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-33020</wp:posOffset>
            </wp:positionV>
            <wp:extent cx="7132320" cy="3340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0">
                      <a:extLst>
                        <a:ext uri="{28A0092B-C50C-407E-A947-70E740481C1C}"/>
                      </a:extLst>
                    </a:blip>
                    <a:srcRect/>
                    <a:stretch>
                      <a:fillRect/>
                    </a:stretch>
                  </pic:blipFill>
                  <pic:spPr bwMode="auto">
                    <a:xfrm>
                      <a:off x="0" y="0"/>
                      <a:ext cx="7132320" cy="334010"/>
                    </a:xfrm>
                    <a:prstGeom prst="rect">
                      <a:avLst/>
                    </a:prstGeom>
                    <a:noFill/>
                  </pic:spPr>
                </pic:pic>
              </a:graphicData>
            </a:graphic>
          </wp:anchor>
        </w:drawing>
      </w:r>
    </w:p>
    <w:p>
      <w:pPr>
        <w:ind w:right="780"/>
        <w:spacing w:after="0" w:line="299" w:lineRule="auto"/>
        <w:rPr>
          <w:sz w:val="20"/>
          <w:szCs w:val="20"/>
          <w:color w:val="auto"/>
        </w:rPr>
      </w:pPr>
      <w:r>
        <w:rPr>
          <w:rFonts w:ascii="Arial" w:cs="Arial" w:eastAsia="Arial" w:hAnsi="Arial"/>
          <w:sz w:val="16"/>
          <w:szCs w:val="16"/>
          <w:color w:val="auto"/>
        </w:rPr>
        <w:t>Amendment to Employment Agreement, dated as of September 29, 2021, by and between ADMA Biologics, Inc. and Brian Lenz (incorporated by reference to Exhibit 10.3 to the Company’s Current Report on Form 8-K, filed with the SEC on October 1, 2021).</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Plasma Purchase Agreement, dated as of November 17, 2011, by and between Biotest Pharmaceuticals Corporation and ADMA Biologics, Inc., as amended by First Amendment to Plasma Purchase Agreement, dated as of December 1, 2011, by and between Biotest Pharmaceuticals Corporation and ADMA Biologics, Inc. (incorporated herein by reference to Exhibit 10.9 to Amendment No. 3 to the Company’s Current Report on Form 8-K/A, filed with the SEC on June 22,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445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60" w:lineRule="auto"/>
        <w:rPr>
          <w:sz w:val="20"/>
          <w:szCs w:val="20"/>
          <w:color w:val="auto"/>
        </w:rPr>
      </w:pPr>
      <w:r>
        <w:rPr>
          <w:rFonts w:ascii="Arial" w:cs="Arial" w:eastAsia="Arial" w:hAnsi="Arial"/>
          <w:sz w:val="18"/>
          <w:szCs w:val="18"/>
          <w:color w:val="auto"/>
        </w:rPr>
        <w:t>Second Amendment to Plasma Purchase Agreement, dated as of December 18, 2015, by and between Biotest Pharmaceuticals Corporation and ADMA Biologics, Inc. (incorporated herein by reference to Exhibit 10.3.1 to the Company’s Annual Report on Form 10-K, filed with the SEC on March 23, 2016).</w:t>
      </w:r>
    </w:p>
    <w:p>
      <w:pPr>
        <w:spacing w:after="0" w:line="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Third Amendment to Plasma Purchase Agreement, dated as of April 8, 2016, by and between Biotest Pharmaceuticals Corporation and ADMA Biologics, Inc. (incorporated herein by reference to Exhibit 10.3.2 to the Company’s Quarterly Report on Form 10-Q, filed with the SEC on May 13,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4457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2">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280"/>
        <w:spacing w:after="0" w:line="260" w:lineRule="auto"/>
        <w:rPr>
          <w:sz w:val="20"/>
          <w:szCs w:val="20"/>
          <w:color w:val="auto"/>
        </w:rPr>
      </w:pPr>
      <w:r>
        <w:rPr>
          <w:rFonts w:ascii="Arial" w:cs="Arial" w:eastAsia="Arial" w:hAnsi="Arial"/>
          <w:sz w:val="18"/>
          <w:szCs w:val="18"/>
          <w:color w:val="auto"/>
        </w:rPr>
        <w:t>Fourth Amendment to Plasma Purchase Agreement, dated as of June 6, 2017, by and between Biotest Pharmaceuticals Corporation and ADMA Biologics, Inc. (incorporated herein by reference to Exhibit 10.9 to the Company’s Quarterly Report on Form 10-Q, filed with the SEC on August 11, 2017).</w:t>
      </w:r>
    </w:p>
    <w:p>
      <w:pPr>
        <w:spacing w:after="0" w:line="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Fifth Amendment to Plasma Purchase Agreement, dated as of January 1, 2019, by and between Grifols Worldwide Operations Limited (as successor-in-interest to Biotest Pharmaceuticals Corporation) and ADMA Biologics, Inc. (incorporated herein by reference to Exhibit 10.1 to the Company’s Current Report on Form 8-K, filed with the SEC on January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890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3">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 w:space="460"/>
            <w:col w:w="10200"/>
          </w:cols>
          <w:pgMar w:left="320" w:top="121" w:right="359" w:bottom="1440" w:gutter="0" w:footer="0" w:header="0"/>
          <w:type w:val="continuous"/>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2"/>
          <w:szCs w:val="12"/>
          <w:i w:val="1"/>
          <w:iCs w:val="1"/>
          <w:u w:val="single" w:color="auto"/>
          <w:color w:val="0000EE"/>
        </w:rPr>
        <w:t>Table of Contents</w:t>
      </w:r>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10.6+</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36">
        <w:r>
          <w:rPr>
            <w:rFonts w:ascii="Arial" w:cs="Arial" w:eastAsia="Arial" w:hAnsi="Arial"/>
            <w:sz w:val="16"/>
            <w:szCs w:val="16"/>
            <w:u w:val="single" w:color="auto"/>
            <w:color w:val="0000EE"/>
          </w:rPr>
          <w:t>10.6.1+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10.7+</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38">
        <w:r>
          <w:rPr>
            <w:rFonts w:ascii="Arial" w:cs="Arial" w:eastAsia="Arial" w:hAnsi="Arial"/>
            <w:sz w:val="16"/>
            <w:szCs w:val="16"/>
            <w:u w:val="single" w:color="auto"/>
            <w:color w:val="0000EE"/>
          </w:rPr>
          <w:t>10.7.1+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10.8</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10.9</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10.10</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10.11</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10.12</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10.13</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10.14</w:t>
        </w:r>
      </w:hyperlink>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Plasma Supply Agreement, dated as of June 6, 2017, by and between ADMA BioManufacturing, LLC and Biotest Pharmaceuticals Corporation (incorporated herein by reference to Exhibit 10.5 to the Company’s Quarterly Report on Form 10-Q, filed with the SEC on 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-417195</wp:posOffset>
            </wp:positionV>
            <wp:extent cx="7132320" cy="4286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right="200"/>
        <w:spacing w:after="0" w:line="260" w:lineRule="auto"/>
        <w:rPr>
          <w:sz w:val="20"/>
          <w:szCs w:val="20"/>
          <w:color w:val="auto"/>
        </w:rPr>
      </w:pPr>
      <w:r>
        <w:rPr>
          <w:rFonts w:ascii="Arial" w:cs="Arial" w:eastAsia="Arial" w:hAnsi="Arial"/>
          <w:sz w:val="18"/>
          <w:szCs w:val="18"/>
          <w:color w:val="auto"/>
        </w:rPr>
        <w:t>Amendment #1 to the Plasma Supply Agreement, dated as of July 19, 2018, by and between Biotest Pharmaceuticals Corporation and ADMA BioManufacturing, LLC (incorporated herein by reference to Exhibit 10.2 to the Company’s Quarterly Report on Form 10-Q, filed with the SEC on August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460"/>
        <w:spacing w:after="0" w:line="260" w:lineRule="auto"/>
        <w:rPr>
          <w:sz w:val="20"/>
          <w:szCs w:val="20"/>
          <w:color w:val="auto"/>
        </w:rPr>
      </w:pPr>
      <w:r>
        <w:rPr>
          <w:rFonts w:ascii="Arial" w:cs="Arial" w:eastAsia="Arial" w:hAnsi="Arial"/>
          <w:sz w:val="18"/>
          <w:szCs w:val="18"/>
          <w:color w:val="auto"/>
        </w:rPr>
        <w:t>Plasma Purchase Agreement, dated as of June 6, 2017, by and between ADMA BioManufacturing, LLC and Biotest Pharmaceuticals Corporation (incorporated herein by reference to Exhibit 10.6 to the Company’s Quarterly Report on Form 10-Q, filed with the SEC on August 11, 2017).</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Amendment to Plasma Purchase Agreement, dated as of July 19, 2018, by and between Biotest Pharmaceuticals Corporation and ADMA BioManufacturing, LLC (incorporated herein by reference to Exhibit 10.3 to the Company’s Quarterly Report on Form 10-Q, filed with the SEC on August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4457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260"/>
        <w:spacing w:after="0" w:line="260" w:lineRule="auto"/>
        <w:rPr>
          <w:sz w:val="20"/>
          <w:szCs w:val="20"/>
          <w:color w:val="auto"/>
        </w:rPr>
      </w:pPr>
      <w:r>
        <w:rPr>
          <w:rFonts w:ascii="Arial" w:cs="Arial" w:eastAsia="Arial" w:hAnsi="Arial"/>
          <w:sz w:val="18"/>
          <w:szCs w:val="18"/>
          <w:color w:val="auto"/>
        </w:rPr>
        <w:t>Amended and Restated Agreement for Services, effective as of January 1, 2016, as amended, by and between ADMA Biologics, LLC and Areth LLC (incorporated herein by reference to Exhibit 10.18 to the Company’s Quarterly Report on Form 10-Q, filed with the SEC on August 12, 2016).</w:t>
      </w:r>
    </w:p>
    <w:p>
      <w:pPr>
        <w:spacing w:after="0" w:line="2"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color w:val="auto"/>
        </w:rPr>
        <w:t>Lease, effective as of February 17, 2017, by and between Home Center Properties, LLC and ADMA BioCenters Georgia Inc. (incorporated herein by reference to Exhibit 10.22 to the Company’s Annual Report on Form 10-K, filed with the SEC on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80"/>
        <w:spacing w:after="0" w:line="266" w:lineRule="auto"/>
        <w:rPr>
          <w:sz w:val="20"/>
          <w:szCs w:val="20"/>
          <w:color w:val="auto"/>
        </w:rPr>
      </w:pPr>
      <w:r>
        <w:rPr>
          <w:rFonts w:ascii="Arial" w:cs="Arial" w:eastAsia="Arial" w:hAnsi="Arial"/>
          <w:sz w:val="18"/>
          <w:szCs w:val="18"/>
          <w:color w:val="auto"/>
        </w:rPr>
        <w:t>Form of Indemnification Agreement (incorporated herein by reference to Exhibit 10.12 to the Company’s Current Report on Form 8-K, filed with the SEC on February 13, 2012).</w:t>
      </w:r>
    </w:p>
    <w:p>
      <w:pPr>
        <w:jc w:val="both"/>
        <w:ind w:right="520"/>
        <w:spacing w:after="0" w:line="276" w:lineRule="auto"/>
        <w:rPr>
          <w:sz w:val="20"/>
          <w:szCs w:val="20"/>
          <w:color w:val="auto"/>
        </w:rPr>
      </w:pPr>
      <w:r>
        <w:rPr>
          <w:rFonts w:ascii="Arial" w:cs="Arial" w:eastAsia="Arial" w:hAnsi="Arial"/>
          <w:sz w:val="17"/>
          <w:szCs w:val="17"/>
          <w:color w:val="auto"/>
        </w:rPr>
        <w:t>Credit Agreement and Guaranty, dated as of February 11, 2019, by and among the Company, ADMA Plasma Biologics, Inc., ADMA BioCenters Georgia Inc., ADMA BioManufacturing, LLC, and Perceptive Credit Holdings II, LP. (incorporated herein by reference to Exhibit 10.1 to the Company’s Current Report on Form 8-K, filed with the SEC on 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40"/>
        <w:spacing w:after="0" w:line="260" w:lineRule="auto"/>
        <w:rPr>
          <w:sz w:val="20"/>
          <w:szCs w:val="20"/>
          <w:color w:val="auto"/>
        </w:rPr>
      </w:pPr>
      <w:r>
        <w:rPr>
          <w:rFonts w:ascii="Arial" w:cs="Arial" w:eastAsia="Arial" w:hAnsi="Arial"/>
          <w:sz w:val="18"/>
          <w:szCs w:val="18"/>
          <w:color w:val="auto"/>
        </w:rPr>
        <w:t>Amendment No. 1 to Credit Agreement and Guaranty, dated as of May 3, 2019, by and among the Company, ADMA Plasma Biologics, Inc., ADMA BioCenters Georgia Inc., ADMA BioManufacturing, LLC and Perceptive Credit Holdings II, LP (incorporated by reference to Exhibit 10.1 to the Company’s Current Report on Form 8-K filed with the SEC on May 3, 2019).</w:t>
      </w:r>
    </w:p>
    <w:p>
      <w:pPr>
        <w:spacing w:after="0" w:line="2"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color w:val="auto"/>
        </w:rPr>
        <w:t>Amendment No. 2 to the Credit Agreement and Guaranty, dated December 8, 2020, by and among the Company, ADMA Plasma Biologics, Inc., ADMA BioCenters Georgia Inc., ADMA BioManufacturing, LLC and Perceptive Credit Holdings II, LP. (incorporated by reference to Exhibit 10.1 to the Company’s Current Report on Form 8-K filed on December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63" w:lineRule="auto"/>
        <w:rPr>
          <w:sz w:val="20"/>
          <w:szCs w:val="20"/>
          <w:color w:val="auto"/>
        </w:rPr>
      </w:pPr>
      <w:r>
        <w:rPr>
          <w:rFonts w:ascii="Arial" w:cs="Arial" w:eastAsia="Arial" w:hAnsi="Arial"/>
          <w:sz w:val="18"/>
          <w:szCs w:val="18"/>
          <w:color w:val="auto"/>
        </w:rPr>
        <w:t>Security Agreement, dated as of February 11, 2019, by and among the Company, ADMA Plasma Biologics, Inc., ADMA Bio Centers Georgia Inc., ADMA BioManufacturing, LLC, and Perceptive Credit Holdings II, LP. (incorporated herein by reference to Exhibit 10.2 to the Company’s Current Report on Form 8-K, filed with the SEC on February 12, 2019).</w:t>
      </w:r>
    </w:p>
    <w:p>
      <w:pPr>
        <w:spacing w:after="0" w:line="200" w:lineRule="exact"/>
        <w:rPr>
          <w:sz w:val="20"/>
          <w:szCs w:val="20"/>
          <w:color w:val="auto"/>
        </w:rPr>
      </w:pPr>
    </w:p>
    <w:p>
      <w:pPr>
        <w:sectPr>
          <w:pgSz w:w="11900" w:h="16838" w:orient="portrait"/>
          <w:cols w:equalWidth="0" w:num="2">
            <w:col w:w="560" w:space="460"/>
            <w:col w:w="10200"/>
          </w:cols>
          <w:pgMar w:left="320" w:top="121" w:right="359" w:bottom="1440" w:gutter="0" w:footer="0" w:header="0"/>
          <w:type w:val="continuous"/>
        </w:sectPr>
      </w:pP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2"/>
          <w:szCs w:val="12"/>
          <w:i w:val="1"/>
          <w:iCs w:val="1"/>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10.15+</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10.15.1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10.16+</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6"/>
          <w:szCs w:val="16"/>
          <w:u w:val="single" w:color="auto"/>
          <w:color w:val="0000EE"/>
        </w:rPr>
      </w:pPr>
      <w:hyperlink r:id="rId155">
        <w:r>
          <w:rPr>
            <w:rFonts w:ascii="Arial" w:cs="Arial" w:eastAsia="Arial" w:hAnsi="Arial"/>
            <w:sz w:val="16"/>
            <w:szCs w:val="16"/>
            <w:u w:val="single" w:color="auto"/>
            <w:color w:val="0000EE"/>
          </w:rPr>
          <w:t>10.16.1+</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6"/>
          <w:szCs w:val="16"/>
          <w:u w:val="single" w:color="auto"/>
          <w:color w:val="0000EE"/>
        </w:rPr>
      </w:pPr>
      <w:hyperlink r:id="rId156">
        <w:r>
          <w:rPr>
            <w:rFonts w:ascii="Arial" w:cs="Arial" w:eastAsia="Arial" w:hAnsi="Arial"/>
            <w:sz w:val="16"/>
            <w:szCs w:val="16"/>
            <w:u w:val="single" w:color="auto"/>
            <w:color w:val="0000EE"/>
          </w:rPr>
          <w:t>10.16.2+</w:t>
        </w:r>
      </w:hyperlink>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10.17</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10.18+</w:t>
        </w:r>
      </w:hyperlink>
    </w:p>
    <w:p>
      <w:pPr>
        <w:spacing w:after="0" w:line="252" w:lineRule="exact"/>
        <w:rPr>
          <w:sz w:val="20"/>
          <w:szCs w:val="20"/>
          <w:color w:val="auto"/>
        </w:rPr>
      </w:pPr>
    </w:p>
    <w:p>
      <w:pPr>
        <w:spacing w:after="0"/>
        <w:rPr>
          <w:rFonts w:ascii="Arial" w:cs="Arial" w:eastAsia="Arial" w:hAnsi="Arial"/>
          <w:sz w:val="17"/>
          <w:szCs w:val="17"/>
          <w:u w:val="single" w:color="auto"/>
          <w:color w:val="0000EE"/>
        </w:rPr>
      </w:pPr>
      <w:hyperlink r:id="rId159">
        <w:r>
          <w:rPr>
            <w:rFonts w:ascii="Arial" w:cs="Arial" w:eastAsia="Arial" w:hAnsi="Arial"/>
            <w:sz w:val="17"/>
            <w:szCs w:val="17"/>
            <w:u w:val="single" w:color="auto"/>
            <w:color w:val="0000EE"/>
          </w:rPr>
          <w:t>10.19++</w:t>
        </w:r>
      </w:hyperlink>
    </w:p>
    <w:p>
      <w:pPr>
        <w:spacing w:after="0" w:line="264" w:lineRule="exact"/>
        <w:rPr>
          <w:sz w:val="20"/>
          <w:szCs w:val="20"/>
          <w:color w:val="auto"/>
        </w:rPr>
      </w:pPr>
    </w:p>
    <w:p>
      <w:pPr>
        <w:spacing w:after="0"/>
        <w:rPr>
          <w:rFonts w:ascii="Arial" w:cs="Arial" w:eastAsia="Arial" w:hAnsi="Arial"/>
          <w:sz w:val="18"/>
          <w:szCs w:val="18"/>
          <w:u w:val="single" w:color="auto"/>
          <w:color w:val="0000EE"/>
        </w:rPr>
      </w:pPr>
      <w:hyperlink r:id="rId160">
        <w:r>
          <w:rPr>
            <w:rFonts w:ascii="Arial" w:cs="Arial" w:eastAsia="Arial" w:hAnsi="Arial"/>
            <w:sz w:val="18"/>
            <w:szCs w:val="18"/>
            <w:u w:val="single" w:color="auto"/>
            <w:color w:val="0000EE"/>
          </w:rPr>
          <w:t>10.20</w:t>
        </w:r>
      </w:hyperlink>
    </w:p>
    <w:p>
      <w:pPr>
        <w:spacing w:after="0" w:line="200" w:lineRule="exact"/>
        <w:rPr>
          <w:sz w:val="20"/>
          <w:szCs w:val="20"/>
          <w:color w:val="auto"/>
        </w:rPr>
      </w:pPr>
    </w:p>
    <w:p>
      <w:pPr>
        <w:spacing w:after="0" w:line="268" w:lineRule="exact"/>
        <w:rPr>
          <w:sz w:val="20"/>
          <w:szCs w:val="20"/>
          <w:color w:val="auto"/>
        </w:rPr>
      </w:pPr>
    </w:p>
    <w:p>
      <w:pPr>
        <w:spacing w:after="0"/>
        <w:rPr>
          <w:rFonts w:ascii="Arial" w:cs="Arial" w:eastAsia="Arial" w:hAnsi="Arial"/>
          <w:sz w:val="18"/>
          <w:szCs w:val="18"/>
          <w:u w:val="single" w:color="auto"/>
          <w:color w:val="0000EE"/>
        </w:rPr>
      </w:pPr>
      <w:hyperlink r:id="rId161">
        <w:r>
          <w:rPr>
            <w:rFonts w:ascii="Arial" w:cs="Arial" w:eastAsia="Arial" w:hAnsi="Arial"/>
            <w:sz w:val="18"/>
            <w:szCs w:val="18"/>
            <w:u w:val="single" w:color="auto"/>
            <w:color w:val="0000EE"/>
          </w:rPr>
          <w:t>10.21</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10.22</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10.23</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10.24</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65">
        <w:r>
          <w:rPr>
            <w:rFonts w:ascii="Arial" w:cs="Arial" w:eastAsia="Arial" w:hAnsi="Arial"/>
            <w:sz w:val="18"/>
            <w:szCs w:val="18"/>
            <w:u w:val="single" w:color="auto"/>
            <w:color w:val="0000EE"/>
          </w:rPr>
          <w:t>10.25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5054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6">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440"/>
        <w:spacing w:after="0" w:line="299" w:lineRule="auto"/>
        <w:rPr>
          <w:sz w:val="20"/>
          <w:szCs w:val="20"/>
          <w:color w:val="auto"/>
        </w:rPr>
      </w:pPr>
      <w:r>
        <w:rPr>
          <w:rFonts w:ascii="Arial" w:cs="Arial" w:eastAsia="Arial" w:hAnsi="Arial"/>
          <w:sz w:val="16"/>
          <w:szCs w:val="16"/>
          <w:color w:val="auto"/>
        </w:rPr>
        <w:t>License Agreement, effective as of December 31, 2012, by and between ADMA Biologics, Inc. and Biotest AG (incorporated herein by reference to Exhibit 10.21 to the Company’s Registration Statement on Form S-1, filed with the SEC on February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-281305</wp:posOffset>
            </wp:positionV>
            <wp:extent cx="7132320" cy="291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right="360"/>
        <w:spacing w:after="0" w:line="281" w:lineRule="auto"/>
        <w:rPr>
          <w:sz w:val="20"/>
          <w:szCs w:val="20"/>
          <w:color w:val="auto"/>
        </w:rPr>
      </w:pPr>
      <w:r>
        <w:rPr>
          <w:rFonts w:ascii="Arial" w:cs="Arial" w:eastAsia="Arial" w:hAnsi="Arial"/>
          <w:sz w:val="17"/>
          <w:szCs w:val="17"/>
          <w:color w:val="auto"/>
        </w:rPr>
        <w:t>First Amendment to License Agreement, dated as of June 6, 2017, by and between the Company and Biotest AG (incorporated herein by reference to Exhibit 10.8 to the Company’s Quarterly Report on Form 10-Q, filed with the SEC on August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-6350</wp:posOffset>
            </wp:positionV>
            <wp:extent cx="7132320"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200"/>
        <w:spacing w:after="0" w:line="260" w:lineRule="auto"/>
        <w:rPr>
          <w:sz w:val="20"/>
          <w:szCs w:val="20"/>
          <w:color w:val="auto"/>
        </w:rPr>
      </w:pPr>
      <w:r>
        <w:rPr>
          <w:rFonts w:ascii="Arial" w:cs="Arial" w:eastAsia="Arial" w:hAnsi="Arial"/>
          <w:sz w:val="18"/>
          <w:szCs w:val="18"/>
          <w:color w:val="auto"/>
        </w:rPr>
        <w:t>Manufacturing Agreement, dated as of September 30, 2011, by and between ADMA BioManufacturing, LLC (as successor-in-interest to Biotest Pharmaceuticals Corporation) and Sanofi Pasteur S.A. (incorporated herein by reference to Exhibit 10.24 to the Company’s Annual Report on Form 10-K, filed with the SEC on March 29, 2018).</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Amendment #2 to the Manufacturing Agreement, effective as of August 1, 2016, by and between ADMA BioManufacturing, LLC (as successor-in-interest to Biotest Pharmaceuticals Corporation) and Sanofi Pasteur S.A. (incorporated herein by reference to Exhibit 10.24.1 to the Company’s Annual Report on Form 10-K, filed with the SEC on March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-5715</wp:posOffset>
            </wp:positionV>
            <wp:extent cx="7132320"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9">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right="100"/>
        <w:spacing w:after="0" w:line="260" w:lineRule="auto"/>
        <w:rPr>
          <w:sz w:val="20"/>
          <w:szCs w:val="20"/>
          <w:color w:val="auto"/>
        </w:rPr>
      </w:pPr>
      <w:r>
        <w:rPr>
          <w:rFonts w:ascii="Arial" w:cs="Arial" w:eastAsia="Arial" w:hAnsi="Arial"/>
          <w:sz w:val="18"/>
          <w:szCs w:val="18"/>
          <w:color w:val="auto"/>
        </w:rPr>
        <w:t>Amendment #3 to the Manufacturing Agreement, effective as of December 21, 2017, by and between ADMA BioManufacturing, LLC and Sanofi Pasteur S.A. (incorporated herein by reference to Exhibit 10.24.2 to the Company’s Annual Report on Form 10-K, filed with the SEC on March 29, 2018).</w:t>
      </w:r>
    </w:p>
    <w:p>
      <w:pPr>
        <w:spacing w:after="0" w:line="2" w:lineRule="exact"/>
        <w:rPr>
          <w:sz w:val="20"/>
          <w:szCs w:val="20"/>
          <w:color w:val="auto"/>
        </w:rPr>
      </w:pPr>
    </w:p>
    <w:p>
      <w:pPr>
        <w:ind w:right="360"/>
        <w:spacing w:after="0" w:line="299" w:lineRule="auto"/>
        <w:rPr>
          <w:sz w:val="20"/>
          <w:szCs w:val="20"/>
          <w:color w:val="auto"/>
        </w:rPr>
      </w:pPr>
      <w:r>
        <w:rPr>
          <w:rFonts w:ascii="Arial" w:cs="Arial" w:eastAsia="Arial" w:hAnsi="Arial"/>
          <w:sz w:val="16"/>
          <w:szCs w:val="16"/>
          <w:color w:val="auto"/>
        </w:rPr>
        <w:t>Stockholders Agreement, dated as of June 6, 2017, by and between the Company and Biotest Pharmaceuticals Corporation (incorporated herein by reference to Exhibit 10.2 to the Company’s Current Report on Form 8-K, filed with the SEC on June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160"/>
        <w:spacing w:after="0" w:line="299" w:lineRule="auto"/>
        <w:rPr>
          <w:sz w:val="20"/>
          <w:szCs w:val="20"/>
          <w:color w:val="auto"/>
        </w:rPr>
      </w:pPr>
      <w:r>
        <w:rPr>
          <w:rFonts w:ascii="Arial" w:cs="Arial" w:eastAsia="Arial" w:hAnsi="Arial"/>
          <w:sz w:val="16"/>
          <w:szCs w:val="16"/>
          <w:color w:val="auto"/>
        </w:rPr>
        <w:t>Transition Services Agreement, dated as of January 1, 2019, by and between the Company and Biotest Pharmaceuticals Corporation (incorporated herein by reference to Exhibit 10.22 to the Company’s Annual Report on Form 10-K, filed with the SEC on March 13, 2019).</w:t>
      </w:r>
    </w:p>
    <w:p>
      <w:pPr>
        <w:spacing w:after="0" w:line="1"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Amendment #1 to Transition Services Agreement, dated as of August 29, 2019, by and between ADMA BioManufacturing, LLC and Biotest Pharmaceuticals Corporation (incorporated by reference from Exhibit 10.1 to Current Report on Form 8-K, filed on 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4457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160"/>
        <w:spacing w:after="0" w:line="260" w:lineRule="auto"/>
        <w:rPr>
          <w:sz w:val="20"/>
          <w:szCs w:val="20"/>
          <w:color w:val="auto"/>
        </w:rPr>
      </w:pPr>
      <w:r>
        <w:rPr>
          <w:rFonts w:ascii="Arial" w:cs="Arial" w:eastAsia="Arial" w:hAnsi="Arial"/>
          <w:sz w:val="18"/>
          <w:szCs w:val="18"/>
          <w:color w:val="auto"/>
        </w:rPr>
        <w:t>Amendment 3 to the Amended and Restated Agreement for Services, effective as of November 7, 2019, by and between ADMA Biologics, LLC and Areth LLC (incorporated herein by reference to the Exhibit 10.27 to the Company’s Annual Report on Form 10-K filed March 12, 2020).</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Amendment 4 to the Amended and Restated Agreement For Services Between ADMA BioManufacturing, LLC and Areth LLC (incorporated by reference to Exhibit 10.1 to the Company’s Quarterly Report on Form 10-Q filed on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Distribution Agreement, dated September 3, 2021, by and between ADMA Biologics, Inc. and Raymond James &amp; Associates,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Exhibit 1.1 to the Company’s Current Report on Form 8-K filed on September 3, 2021).</w:t>
      </w:r>
    </w:p>
    <w:p>
      <w:pPr>
        <w:spacing w:after="0" w:line="22"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Form of Retention Bonus Agreement (incorporated by reference to Exhibit 10.1 to the Company’s Current Report on Form 8-K filed on October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660"/>
        <w:spacing w:after="0" w:line="266" w:lineRule="auto"/>
        <w:rPr>
          <w:sz w:val="20"/>
          <w:szCs w:val="20"/>
          <w:color w:val="auto"/>
        </w:rPr>
      </w:pPr>
      <w:r>
        <w:rPr>
          <w:rFonts w:ascii="Arial" w:cs="Arial" w:eastAsia="Arial" w:hAnsi="Arial"/>
          <w:sz w:val="18"/>
          <w:szCs w:val="18"/>
          <w:color w:val="auto"/>
        </w:rPr>
        <w:t>Separation Agreement and Release, dated August 6, 2021, by and between ADMA Biologics, Inc. and James Mond (incorporated by reference to Exhibit 10.2 to the Company’s Current Report on Form 8-K filed on August 11, 2021).</w:t>
      </w:r>
    </w:p>
    <w:p>
      <w:pPr>
        <w:ind w:right="40"/>
        <w:spacing w:after="0" w:line="342" w:lineRule="auto"/>
        <w:rPr>
          <w:sz w:val="20"/>
          <w:szCs w:val="20"/>
          <w:color w:val="auto"/>
        </w:rPr>
      </w:pPr>
      <w:r>
        <w:rPr>
          <w:rFonts w:ascii="Arial" w:cs="Arial" w:eastAsia="Arial" w:hAnsi="Arial"/>
          <w:sz w:val="16"/>
          <w:szCs w:val="16"/>
          <w:color w:val="auto"/>
        </w:rPr>
        <w:t>Credit Agreement and Guaranty, dated as of March 23, 2022, by and among the Company, Hayfin Services LLP and the lenders party thereto (incorporated by reference to Exhibit 10.24 to the Company’s Annual Report on Form 10-K, filed with the SEC on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64890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4">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380"/>
            <w:col w:w="10220"/>
          </w:cols>
          <w:pgMar w:left="320" w:top="121"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2"/>
          <w:szCs w:val="12"/>
          <w:i w:val="1"/>
          <w:iCs w:val="1"/>
          <w:u w:val="single" w:color="auto"/>
          <w:color w:val="0000EE"/>
        </w:rPr>
        <w:t>Table of Contents</w:t>
      </w:r>
    </w:p>
    <w:p>
      <w:pPr>
        <w:sectPr>
          <w:pgSz w:w="11900" w:h="16838" w:orient="portrait"/>
          <w:cols w:equalWidth="0" w:num="1">
            <w:col w:w="11180"/>
          </w:cols>
          <w:pgMar w:left="320" w:top="121" w:right="39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10.25.1*</w:t>
      </w:r>
    </w:p>
    <w:p>
      <w:pPr>
        <w:spacing w:after="0" w:line="264" w:lineRule="exact"/>
        <w:rPr>
          <w:sz w:val="20"/>
          <w:szCs w:val="20"/>
          <w:color w:val="auto"/>
        </w:rPr>
      </w:pPr>
    </w:p>
    <w:p>
      <w:pPr>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10.26</w:t>
        </w:r>
      </w:hyperlink>
    </w:p>
    <w:p>
      <w:pPr>
        <w:spacing w:after="0" w:line="252" w:lineRule="exact"/>
        <w:rPr>
          <w:sz w:val="20"/>
          <w:szCs w:val="20"/>
          <w:color w:val="auto"/>
        </w:rPr>
      </w:pPr>
    </w:p>
    <w:p>
      <w:pPr>
        <w:spacing w:after="0"/>
        <w:rPr>
          <w:rFonts w:ascii="Arial" w:cs="Arial" w:eastAsia="Arial" w:hAnsi="Arial"/>
          <w:sz w:val="18"/>
          <w:szCs w:val="18"/>
          <w:u w:val="single" w:color="auto"/>
          <w:color w:val="0000EE"/>
        </w:rPr>
      </w:pPr>
      <w:hyperlink r:id="rId177">
        <w:r>
          <w:rPr>
            <w:rFonts w:ascii="Arial" w:cs="Arial" w:eastAsia="Arial" w:hAnsi="Arial"/>
            <w:sz w:val="18"/>
            <w:szCs w:val="18"/>
            <w:u w:val="single" w:color="auto"/>
            <w:color w:val="0000EE"/>
          </w:rPr>
          <w:t>10.27†</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21.1*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23.1*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5054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8">
                      <a:extLst>
                        <a:ext uri="{28A0092B-C50C-407E-A947-70E740481C1C}"/>
                      </a:extLst>
                    </a:blip>
                    <a:srcRect/>
                    <a:stretch>
                      <a:fillRect/>
                    </a:stretch>
                  </pic:blipFill>
                  <pic:spPr bwMode="auto">
                    <a:xfrm>
                      <a:off x="0" y="0"/>
                      <a:ext cx="5054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color w:val="auto"/>
        </w:rPr>
        <w:t>Amendment No. 1 to Credit Agreement and Guaranty, dated March 23, 2023 by and among the Company, Hayfin Services LLP and the lenders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-281305</wp:posOffset>
            </wp:positionV>
            <wp:extent cx="713232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99" w:lineRule="auto"/>
        <w:rPr>
          <w:sz w:val="20"/>
          <w:szCs w:val="20"/>
          <w:color w:val="auto"/>
        </w:rPr>
      </w:pPr>
      <w:r>
        <w:rPr>
          <w:rFonts w:ascii="Arial" w:cs="Arial" w:eastAsia="Arial" w:hAnsi="Arial"/>
          <w:sz w:val="16"/>
          <w:szCs w:val="16"/>
          <w:color w:val="auto"/>
        </w:rPr>
        <w:t>Security Agreement, dated as of March 23, 2022, by and among the Company, certain subsidiaries of the Company and Hayfin Services LLP (incorporated by reference to Exhibit 10.25 to the Company’s Annual Report on Form 10-K, filed with the SEC on March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80"/>
        <w:spacing w:after="0" w:line="266" w:lineRule="auto"/>
        <w:rPr>
          <w:sz w:val="20"/>
          <w:szCs w:val="20"/>
          <w:color w:val="auto"/>
        </w:rPr>
      </w:pPr>
      <w:r>
        <w:rPr>
          <w:rFonts w:ascii="Arial" w:cs="Arial" w:eastAsia="Arial" w:hAnsi="Arial"/>
          <w:sz w:val="18"/>
          <w:szCs w:val="18"/>
          <w:color w:val="auto"/>
        </w:rPr>
        <w:t>ADMA Biologics, Inc. 2022 Equity Compensation Plan (incorporated herein by reference to Exhibit 10.1 to the Registrant’s Current Report on Form 8-K filed with the Commission on June 21, 2022)</w:t>
      </w:r>
    </w:p>
    <w:p>
      <w:pPr>
        <w:spacing w:after="0"/>
        <w:rPr>
          <w:sz w:val="20"/>
          <w:szCs w:val="20"/>
          <w:color w:val="auto"/>
        </w:rPr>
      </w:pPr>
      <w:r>
        <w:rPr>
          <w:rFonts w:ascii="Arial" w:cs="Arial" w:eastAsia="Arial" w:hAnsi="Arial"/>
          <w:sz w:val="18"/>
          <w:szCs w:val="18"/>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14605</wp:posOffset>
            </wp:positionV>
            <wp:extent cx="71323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Consent of CohnReznick LLP.</w:t>
      </w:r>
    </w:p>
    <w:p>
      <w:pPr>
        <w:spacing w:after="0" w:line="36"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Certification of Principal Executive Officer pursuant to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160"/>
        <w:spacing w:after="0" w:line="266" w:lineRule="auto"/>
        <w:rPr>
          <w:sz w:val="20"/>
          <w:szCs w:val="20"/>
          <w:color w:val="auto"/>
        </w:rPr>
      </w:pPr>
      <w:r>
        <w:rPr>
          <w:rFonts w:ascii="Arial" w:cs="Arial" w:eastAsia="Arial" w:hAnsi="Arial"/>
          <w:sz w:val="18"/>
          <w:szCs w:val="18"/>
          <w:color w:val="auto"/>
        </w:rPr>
        <w:t>Certification of Principal Financial Officer pursuant to Rules 13a-14(a) and 15d-14(a), as adopted pursuant to Section 302 of the Sarbanes-Oxley Act of 2002.</w:t>
      </w:r>
    </w:p>
    <w:p>
      <w:pPr>
        <w:ind w:right="180"/>
        <w:spacing w:after="0" w:line="266" w:lineRule="auto"/>
        <w:rPr>
          <w:sz w:val="20"/>
          <w:szCs w:val="20"/>
          <w:color w:val="auto"/>
        </w:rPr>
      </w:pPr>
      <w:r>
        <w:rPr>
          <w:rFonts w:ascii="Arial" w:cs="Arial" w:eastAsia="Arial" w:hAnsi="Arial"/>
          <w:sz w:val="18"/>
          <w:szCs w:val="18"/>
          <w:color w:val="auto"/>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-6985</wp:posOffset>
            </wp:positionV>
            <wp:extent cx="713232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40"/>
        <w:spacing w:after="0" w:line="266" w:lineRule="auto"/>
        <w:rPr>
          <w:sz w:val="20"/>
          <w:szCs w:val="20"/>
          <w:color w:val="auto"/>
        </w:rPr>
      </w:pPr>
      <w:r>
        <w:rPr>
          <w:rFonts w:ascii="Arial" w:cs="Arial" w:eastAsia="Arial" w:hAnsi="Arial"/>
          <w:sz w:val="18"/>
          <w:szCs w:val="18"/>
          <w:color w:val="auto"/>
        </w:rPr>
        <w:t>Certification of Principal Financial Officer pursuant to 18 U.S.C. Section 1350, as adopted pursuant to Section 906 of the Sarbanes-Oxley Act of 2002.</w:t>
      </w:r>
    </w:p>
    <w:p>
      <w:pPr>
        <w:ind w:right="100"/>
        <w:spacing w:after="0" w:line="256" w:lineRule="auto"/>
        <w:rPr>
          <w:sz w:val="20"/>
          <w:szCs w:val="20"/>
          <w:color w:val="auto"/>
        </w:rPr>
      </w:pPr>
      <w:r>
        <w:rPr>
          <w:rFonts w:ascii="Arial" w:cs="Arial" w:eastAsia="Arial" w:hAnsi="Arial"/>
          <w:sz w:val="18"/>
          <w:szCs w:val="18"/>
          <w:color w:val="auto"/>
        </w:rPr>
        <w:t>The following materials from ADMA Biologics, Inc. Form 10-K for the year ended December 31, 2022, formatted in Extensible Business Reporting Language (XBRL): (i) Consolidated Balance Sheets at December 31, 2022 and December 31, 2021, (ii) Consolidated Statements of Operations for the years ended December 31, 2022 and 2021, (iii) Consolidated Statements of Changes in Stockholders’ Equity for the years ended December 31, 2022 and 2021, (iv) Consolidated Statements of Cash Flows for the years ended December 31, 2022 and 2021;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64890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648906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-121920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 w:space="380"/>
            <w:col w:w="10160"/>
          </w:cols>
          <w:pgMar w:left="320" w:top="121" w:right="399" w:bottom="1440" w:gutter="0" w:footer="0" w:header="0"/>
          <w:type w:val="continuous"/>
        </w:sectPr>
      </w:pPr>
    </w:p>
    <w:p>
      <w:pPr>
        <w:spacing w:after="0" w:line="52" w:lineRule="exact"/>
        <w:rPr>
          <w:sz w:val="20"/>
          <w:szCs w:val="20"/>
          <w:color w:val="auto"/>
        </w:rPr>
      </w:pPr>
    </w:p>
    <w:p>
      <w:pPr>
        <w:ind w:right="60" w:firstLine="8"/>
        <w:spacing w:after="0" w:line="277" w:lineRule="auto"/>
        <w:tabs>
          <w:tab w:leader="none" w:pos="1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as to certain portions of this exhibit. Such portions have been redacted and submitted separately to the SEC.</w:t>
      </w:r>
    </w:p>
    <w:p>
      <w:pPr>
        <w:spacing w:after="0" w:line="170" w:lineRule="exact"/>
        <w:rPr>
          <w:sz w:val="20"/>
          <w:szCs w:val="20"/>
          <w:color w:val="auto"/>
        </w:rPr>
      </w:pPr>
    </w:p>
    <w:p>
      <w:pPr>
        <w:ind w:right="2340" w:firstLine="8"/>
        <w:spacing w:after="0" w:line="500" w:lineRule="auto"/>
        <w:tabs>
          <w:tab w:leader="none" w:pos="2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Portions of this exhibit and the schedules thereto have been omitted pursuant to Item 601(b)(10)(iv) of Regulation S-K.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compensatory plan, contract or arrangement.</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ADMA Biologics, Inc.</w:t>
      </w:r>
    </w:p>
    <w:p>
      <w:pPr>
        <w:spacing w:after="0" w:line="229" w:lineRule="exact"/>
        <w:rPr>
          <w:sz w:val="20"/>
          <w:szCs w:val="20"/>
          <w:color w:val="auto"/>
        </w:rPr>
      </w:pPr>
    </w:p>
    <w:p>
      <w:pPr>
        <w:spacing w:after="0"/>
        <w:tabs>
          <w:tab w:leader="none" w:pos="5600" w:val="left"/>
          <w:tab w:leader="none" w:pos="6160" w:val="left"/>
        </w:tabs>
        <w:rPr>
          <w:sz w:val="20"/>
          <w:szCs w:val="20"/>
          <w:color w:val="auto"/>
        </w:rPr>
      </w:pPr>
      <w:r>
        <w:rPr>
          <w:rFonts w:ascii="Arial" w:cs="Arial" w:eastAsia="Arial" w:hAnsi="Arial"/>
          <w:sz w:val="18"/>
          <w:szCs w:val="18"/>
          <w:color w:val="auto"/>
        </w:rPr>
        <w:t>Date: March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Adam S. Grossman</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-130175</wp:posOffset>
            </wp:positionV>
            <wp:extent cx="321437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5"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2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Adam S. Grossman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Lenz</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Steven A. Elms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Elms</w:t>
      </w:r>
    </w:p>
    <w:p>
      <w:pPr>
        <w:spacing w:after="0" w:line="225" w:lineRule="exact"/>
        <w:rPr>
          <w:sz w:val="20"/>
          <w:szCs w:val="20"/>
          <w:color w:val="auto"/>
        </w:rPr>
      </w:pPr>
    </w:p>
    <w:p>
      <w:pPr>
        <w:ind w:right="1140"/>
        <w:spacing w:after="0" w:line="377" w:lineRule="auto"/>
        <w:rPr>
          <w:sz w:val="20"/>
          <w:szCs w:val="20"/>
          <w:color w:val="auto"/>
        </w:rPr>
      </w:pPr>
      <w:r>
        <w:rPr>
          <w:rFonts w:ascii="Arial" w:cs="Arial" w:eastAsia="Arial" w:hAnsi="Arial"/>
          <w:sz w:val="16"/>
          <w:szCs w:val="16"/>
          <w:color w:val="auto"/>
        </w:rPr>
        <w:t>/s/ Dr. Jerrold B. Grossman Dr. Jerrold B.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28854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Martha J. Demski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3">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Martha J. Demski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Bryant E. Fong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Bryant E. Fong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P. Guiheen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854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Lawrence P. Guiheen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Young T.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T. Kwon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647"/>
        </w:trPr>
        <w:tc>
          <w:tcPr>
            <w:tcW w:w="3800" w:type="dxa"/>
            <w:vAlign w:val="bottom"/>
            <w:gridSpan w:val="2"/>
          </w:tcPr>
          <w:p>
            <w:pPr>
              <w:spacing w:after="0"/>
              <w:rPr>
                <w:sz w:val="20"/>
                <w:szCs w:val="20"/>
                <w:color w:val="auto"/>
              </w:rPr>
            </w:pPr>
            <w:r>
              <w:rPr>
                <w:rFonts w:ascii="Arial" w:cs="Arial" w:eastAsia="Arial" w:hAnsi="Arial"/>
                <w:sz w:val="18"/>
                <w:szCs w:val="18"/>
                <w:color w:val="auto"/>
                <w:w w:val="99"/>
              </w:rPr>
              <w:t>President and Chief Executive Officer (Principal</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Executive Officer) and Director</w:t>
            </w:r>
          </w:p>
        </w:tc>
        <w:tc>
          <w:tcPr>
            <w:tcW w:w="3600" w:type="dxa"/>
            <w:vAlign w:val="bottom"/>
          </w:tcPr>
          <w:p>
            <w:pPr>
              <w:spacing w:after="0"/>
              <w:rPr>
                <w:sz w:val="20"/>
                <w:szCs w:val="20"/>
                <w:color w:val="auto"/>
              </w:rPr>
            </w:pPr>
          </w:p>
        </w:tc>
      </w:tr>
      <w:tr>
        <w:trPr>
          <w:trHeight w:val="647"/>
        </w:trPr>
        <w:tc>
          <w:tcPr>
            <w:tcW w:w="380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Officer (Principal Financial Officer and Principal</w:t>
            </w:r>
          </w:p>
        </w:tc>
        <w:tc>
          <w:tcPr>
            <w:tcW w:w="3600" w:type="dxa"/>
            <w:vAlign w:val="bottom"/>
          </w:tcPr>
          <w:p>
            <w:pPr>
              <w:spacing w:after="0"/>
              <w:rPr>
                <w:sz w:val="18"/>
                <w:szCs w:val="18"/>
                <w:color w:val="auto"/>
              </w:rPr>
            </w:pP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0" w:type="dxa"/>
            <w:vAlign w:val="bottom"/>
          </w:tcPr>
          <w:p>
            <w:pPr>
              <w:spacing w:after="0"/>
              <w:rPr>
                <w:sz w:val="20"/>
                <w:szCs w:val="20"/>
                <w:color w:val="auto"/>
              </w:rPr>
            </w:pPr>
          </w:p>
        </w:tc>
      </w:tr>
      <w:tr>
        <w:trPr>
          <w:trHeight w:val="662"/>
        </w:trPr>
        <w:tc>
          <w:tcPr>
            <w:tcW w:w="38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675"/>
        </w:trPr>
        <w:tc>
          <w:tcPr>
            <w:tcW w:w="3800" w:type="dxa"/>
            <w:vAlign w:val="bottom"/>
            <w:gridSpan w:val="2"/>
          </w:tcPr>
          <w:p>
            <w:pPr>
              <w:spacing w:after="0"/>
              <w:rPr>
                <w:sz w:val="20"/>
                <w:szCs w:val="20"/>
                <w:color w:val="auto"/>
              </w:rPr>
            </w:pPr>
            <w:r>
              <w:rPr>
                <w:rFonts w:ascii="Arial" w:cs="Arial" w:eastAsia="Arial" w:hAnsi="Arial"/>
                <w:sz w:val="18"/>
                <w:szCs w:val="18"/>
                <w:color w:val="auto"/>
              </w:rPr>
              <w:t>Vice Chairman of the Board of Directors</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675"/>
        </w:trPr>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675"/>
        </w:trPr>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688"/>
        </w:trPr>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r>
        <w:trPr>
          <w:trHeight w:val="675"/>
        </w:trPr>
        <w:tc>
          <w:tcPr>
            <w:tcW w:w="38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0" w:type="dxa"/>
            <w:vAlign w:val="bottom"/>
          </w:tcPr>
          <w:p>
            <w:pPr>
              <w:ind w:left="1240"/>
              <w:spacing w:after="0"/>
              <w:rPr>
                <w:sz w:val="20"/>
                <w:szCs w:val="20"/>
                <w:color w:val="auto"/>
              </w:rPr>
            </w:pPr>
            <w:r>
              <w:rPr>
                <w:rFonts w:ascii="Arial" w:cs="Arial" w:eastAsia="Arial" w:hAnsi="Arial"/>
                <w:sz w:val="18"/>
                <w:szCs w:val="18"/>
                <w:color w:val="auto"/>
              </w:rPr>
              <w:t>March 23, 2023</w:t>
            </w:r>
          </w:p>
        </w:tc>
      </w:tr>
    </w:tbl>
    <w:p>
      <w:pPr>
        <w:spacing w:after="0" w:line="200" w:lineRule="exact"/>
        <w:rPr>
          <w:sz w:val="20"/>
          <w:szCs w:val="20"/>
          <w:color w:val="auto"/>
        </w:rPr>
      </w:pPr>
    </w:p>
    <w:p>
      <w:pPr>
        <w:sectPr>
          <w:pgSz w:w="11900" w:h="16838" w:orient="portrait"/>
          <w:cols w:equalWidth="0" w:num="2">
            <w:col w:w="3120" w:space="720"/>
            <w:col w:w="7400"/>
          </w:cols>
          <w:pgMar w:left="320" w:top="121"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10140" w:type="dxa"/>
            <w:vAlign w:val="bottom"/>
            <w:gridSpan w:val="8"/>
          </w:tcPr>
          <w:p>
            <w:pPr>
              <w:spacing w:after="0"/>
              <w:rPr>
                <w:sz w:val="20"/>
                <w:szCs w:val="20"/>
                <w:color w:val="auto"/>
              </w:rPr>
            </w:pPr>
            <w:r>
              <w:rPr>
                <w:rFonts w:ascii="Arial" w:cs="Arial" w:eastAsia="Arial" w:hAnsi="Arial"/>
                <w:sz w:val="14"/>
                <w:szCs w:val="14"/>
                <w:i w:val="1"/>
                <w:iCs w:val="1"/>
                <w:color w:val="0000EE"/>
              </w:rPr>
              <w:t>Table of Contents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85"/>
        </w:trPr>
        <w:tc>
          <w:tcPr>
            <w:tcW w:w="102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698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rPr>
              <w:t>ADMA BIOLOGICS, INC. AND SUBSIDIARIES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980" w:type="dxa"/>
            <w:vAlign w:val="bottom"/>
            <w:gridSpan w:val="6"/>
          </w:tcPr>
          <w:p>
            <w:pPr>
              <w:jc w:val="center"/>
              <w:ind w:right="2060"/>
              <w:spacing w:after="0"/>
              <w:rPr>
                <w:sz w:val="20"/>
                <w:szCs w:val="20"/>
                <w:color w:val="auto"/>
              </w:rPr>
            </w:pPr>
            <w:r>
              <w:rPr>
                <w:rFonts w:ascii="Arial" w:cs="Arial" w:eastAsia="Arial" w:hAnsi="Arial"/>
                <w:sz w:val="18"/>
                <w:szCs w:val="18"/>
                <w:b w:val="1"/>
                <w:bCs w:val="1"/>
                <w:color w:val="auto"/>
              </w:rPr>
              <w:t>CONSOLIDATED FINANCIAL STATEMENTS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480" w:type="dxa"/>
            <w:vAlign w:val="bottom"/>
            <w:gridSpan w:val="5"/>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Page</w:t>
            </w:r>
          </w:p>
        </w:tc>
      </w:tr>
      <w:tr>
        <w:trPr>
          <w:trHeight w:val="189"/>
        </w:trPr>
        <w:tc>
          <w:tcPr>
            <w:tcW w:w="10140" w:type="dxa"/>
            <w:vAlign w:val="bottom"/>
            <w:gridSpan w:val="8"/>
            <w:shd w:val="clear" w:color="auto" w:fill="CCEEFF"/>
          </w:tcPr>
          <w:p>
            <w:pPr>
              <w:spacing w:after="0" w:line="169" w:lineRule="exact"/>
              <w:rPr>
                <w:sz w:val="20"/>
                <w:szCs w:val="20"/>
                <w:color w:val="auto"/>
              </w:rPr>
            </w:pPr>
            <w:r>
              <w:rPr>
                <w:rFonts w:ascii="Arial" w:cs="Arial" w:eastAsia="Arial" w:hAnsi="Arial"/>
                <w:sz w:val="18"/>
                <w:szCs w:val="18"/>
                <w:color w:val="0000EE"/>
              </w:rPr>
              <w:t>Report of Independent Registered Public Accounting Firm (PCAOB ID )</w:t>
            </w:r>
            <w:r>
              <w:rPr>
                <w:rFonts w:ascii="Arial" w:cs="Arial" w:eastAsia="Arial" w:hAnsi="Arial"/>
                <w:sz w:val="18"/>
                <w:szCs w:val="18"/>
                <w:color w:val="000000"/>
              </w:rPr>
              <w:t>596</w:t>
            </w:r>
          </w:p>
        </w:tc>
        <w:tc>
          <w:tcPr>
            <w:tcW w:w="1000" w:type="dxa"/>
            <w:vAlign w:val="bottom"/>
            <w:tcBorders>
              <w:top w:val="single" w:sz="8" w:color="auto"/>
            </w:tcBorders>
            <w:shd w:val="clear" w:color="auto" w:fill="CCEEFF"/>
          </w:tcPr>
          <w:p>
            <w:pPr>
              <w:ind w:left="740"/>
              <w:spacing w:after="0" w:line="169" w:lineRule="exact"/>
              <w:rPr>
                <w:sz w:val="20"/>
                <w:szCs w:val="20"/>
                <w:color w:val="auto"/>
              </w:rPr>
            </w:pPr>
            <w:r>
              <w:rPr>
                <w:rFonts w:ascii="Arial" w:cs="Arial" w:eastAsia="Arial" w:hAnsi="Arial"/>
                <w:sz w:val="18"/>
                <w:szCs w:val="18"/>
                <w:color w:val="auto"/>
                <w:w w:val="88"/>
              </w:rPr>
              <w:t>F-2</w:t>
            </w:r>
          </w:p>
        </w:tc>
        <w:tc>
          <w:tcPr>
            <w:tcW w:w="100" w:type="dxa"/>
            <w:vAlign w:val="bottom"/>
            <w:shd w:val="clear" w:color="auto" w:fill="CCEEFF"/>
          </w:tcPr>
          <w:p>
            <w:pPr>
              <w:spacing w:after="0"/>
              <w:rPr>
                <w:sz w:val="16"/>
                <w:szCs w:val="16"/>
                <w:color w:val="auto"/>
              </w:rPr>
            </w:pPr>
          </w:p>
        </w:tc>
      </w:tr>
      <w:tr>
        <w:trPr>
          <w:trHeight w:val="176"/>
        </w:trPr>
        <w:tc>
          <w:tcPr>
            <w:tcW w:w="52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4860" w:type="dxa"/>
            <w:vAlign w:val="bottom"/>
            <w:tcBorders>
              <w:top w:val="single" w:sz="8" w:color="CCEEFF"/>
            </w:tcBorders>
            <w:gridSpan w:val="4"/>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F-4</w:t>
            </w:r>
          </w:p>
        </w:tc>
      </w:tr>
      <w:tr>
        <w:trPr>
          <w:trHeight w:val="20"/>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101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F-5</w:t>
            </w:r>
          </w:p>
        </w:tc>
      </w:tr>
      <w:tr>
        <w:trPr>
          <w:trHeight w:val="20"/>
        </w:trPr>
        <w:tc>
          <w:tcPr>
            <w:tcW w:w="102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15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140" w:type="dxa"/>
            <w:vAlign w:val="bottom"/>
            <w:gridSpan w:val="8"/>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for the years ended December 31, 2022 and 2021</w:t>
            </w:r>
          </w:p>
        </w:tc>
        <w:tc>
          <w:tcPr>
            <w:tcW w:w="1100" w:type="dxa"/>
            <w:vAlign w:val="bottom"/>
            <w:gridSpan w:val="2"/>
          </w:tcPr>
          <w:p>
            <w:pPr>
              <w:ind w:left="740"/>
              <w:spacing w:after="0" w:line="176" w:lineRule="exact"/>
              <w:rPr>
                <w:sz w:val="20"/>
                <w:szCs w:val="20"/>
                <w:color w:val="auto"/>
              </w:rPr>
            </w:pPr>
            <w:r>
              <w:rPr>
                <w:rFonts w:ascii="Arial" w:cs="Arial" w:eastAsia="Arial" w:hAnsi="Arial"/>
                <w:sz w:val="18"/>
                <w:szCs w:val="18"/>
                <w:color w:val="auto"/>
              </w:rPr>
              <w:t>F-6</w:t>
            </w:r>
          </w:p>
        </w:tc>
      </w:tr>
      <w:tr>
        <w:trPr>
          <w:trHeight w:val="21"/>
        </w:trPr>
        <w:tc>
          <w:tcPr>
            <w:tcW w:w="102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1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Cash Flows for the years ended December 31, 2022 and 2021</w:t>
            </w:r>
          </w:p>
        </w:tc>
        <w:tc>
          <w:tcPr>
            <w:tcW w:w="1100" w:type="dxa"/>
            <w:vAlign w:val="bottom"/>
            <w:gridSpan w:val="2"/>
            <w:shd w:val="clear" w:color="auto" w:fill="CCEEFF"/>
          </w:tcPr>
          <w:p>
            <w:pPr>
              <w:ind w:left="740"/>
              <w:spacing w:after="0" w:line="176" w:lineRule="exact"/>
              <w:rPr>
                <w:sz w:val="20"/>
                <w:szCs w:val="20"/>
                <w:color w:val="auto"/>
              </w:rPr>
            </w:pPr>
            <w:r>
              <w:rPr>
                <w:rFonts w:ascii="Arial" w:cs="Arial" w:eastAsia="Arial" w:hAnsi="Arial"/>
                <w:sz w:val="18"/>
                <w:szCs w:val="18"/>
                <w:color w:val="auto"/>
              </w:rPr>
              <w:t>F-7</w:t>
            </w:r>
          </w:p>
        </w:tc>
      </w:tr>
      <w:tr>
        <w:trPr>
          <w:trHeight w:val="175"/>
        </w:trPr>
        <w:tc>
          <w:tcPr>
            <w:tcW w:w="64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3680" w:type="dxa"/>
            <w:vAlign w:val="bottom"/>
            <w:tcBorders>
              <w:top w:val="single" w:sz="8" w:color="CCEEFF"/>
            </w:tcBorders>
            <w:gridSpan w:val="2"/>
          </w:tcPr>
          <w:p>
            <w:pPr>
              <w:spacing w:after="0"/>
              <w:rPr>
                <w:sz w:val="15"/>
                <w:szCs w:val="15"/>
                <w:color w:val="auto"/>
              </w:rPr>
            </w:pPr>
          </w:p>
        </w:tc>
        <w:tc>
          <w:tcPr>
            <w:tcW w:w="1100" w:type="dxa"/>
            <w:vAlign w:val="bottom"/>
            <w:tcBorders>
              <w:top w:val="single" w:sz="8" w:color="CCEEFF"/>
            </w:tcBorders>
            <w:gridSpan w:val="2"/>
          </w:tcPr>
          <w:p>
            <w:pPr>
              <w:ind w:left="740"/>
              <w:spacing w:after="0" w:line="176" w:lineRule="exact"/>
              <w:rPr>
                <w:sz w:val="20"/>
                <w:szCs w:val="20"/>
                <w:color w:val="auto"/>
              </w:rPr>
            </w:pPr>
            <w:r>
              <w:rPr>
                <w:rFonts w:ascii="Arial" w:cs="Arial" w:eastAsia="Arial" w:hAnsi="Arial"/>
                <w:sz w:val="18"/>
                <w:szCs w:val="18"/>
                <w:color w:val="auto"/>
              </w:rPr>
              <w:t>F-8</w:t>
            </w:r>
          </w:p>
        </w:tc>
      </w:tr>
      <w:tr>
        <w:trPr>
          <w:trHeight w:val="522"/>
        </w:trPr>
        <w:tc>
          <w:tcPr>
            <w:tcW w:w="1020" w:type="dxa"/>
            <w:vAlign w:val="bottom"/>
            <w:tcBorders>
              <w:top w:val="single" w:sz="8" w:color="0000EE"/>
            </w:tcBorders>
          </w:tcPr>
          <w:p>
            <w:pPr>
              <w:spacing w:after="0"/>
              <w:rPr>
                <w:sz w:val="24"/>
                <w:szCs w:val="24"/>
                <w:color w:val="auto"/>
              </w:rPr>
            </w:pPr>
          </w:p>
        </w:tc>
        <w:tc>
          <w:tcPr>
            <w:tcW w:w="214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60" w:type="dxa"/>
            <w:vAlign w:val="bottom"/>
            <w:gridSpan w:val="4"/>
          </w:tcPr>
          <w:p>
            <w:pPr>
              <w:jc w:val="center"/>
              <w:ind w:right="4180"/>
              <w:spacing w:after="0"/>
              <w:rPr>
                <w:sz w:val="20"/>
                <w:szCs w:val="20"/>
                <w:color w:val="auto"/>
              </w:rPr>
            </w:pPr>
            <w:r>
              <w:rPr>
                <w:rFonts w:ascii="Arial" w:cs="Arial" w:eastAsia="Arial" w:hAnsi="Arial"/>
                <w:sz w:val="14"/>
                <w:szCs w:val="14"/>
                <w:color w:val="auto"/>
                <w:w w:val="95"/>
              </w:rPr>
              <w:t>F-1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10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ADMA Biologics,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Financial Statements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ADMA Biologics, Inc. and subsidiaries (the “Company”) as of December 31, 2022 and 2021; the related consolidated statements of operations, changes in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Critical Audit Matters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2022, the Company’s inventory totaled $163,280,047. As described in the notes to the consolidated financial statements, the valuation of inventory involves significant estimates relating to the capitalization of labor and overhead costs to the work in process and finished goods inventories as well as lower of cost or net realizable value considerations. Given the significance of the inventory value, the importance of inventory to the Company’s operations, the various components and the multiple locations and the complexity of the computations, auditing the inventory was challenging and involved a relatively high degree of auditor judgement and subjectivity, extensive testing, and the involvement of more senior members of the engagement team to design the appropriate responsive audit procedures and to supervise, execute and review the test results.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obtained an understanding of and tested the Company’s process to estimate labor and overhead in the inventory to devise our responsive audit approach. We performed substantive test procedures relating to the inventory valuation, which included verifying significant components of the valuation to supporting records, assessing the application of direct labor costs included in the valuation and assessing the appropriateness of the components of the indirect overhead pools as well as the application of such pool to the valuation. We verified the completeness and accuracy of the data used in management’s valuation and the mathematical accuracy of the direct labor and overhead applications. To assess management’s assertion that inventory is carried at the lower of cost or net realizable value, we tested subsequent sales transactions and net sales proceeds.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Sales Rebate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2 to the consolidated financial statements, revenue from the sale of the Company’s products is recorded net of estimated rebates, price protection arrangements and customer incentives, including prompt pay discounts, wholesaler chargebacks and other wholesaler fees. Estimated rebates are also attributable to government programs that mandate various reductions from list price, which are reflected as liabilities and settled through cash payments.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Auditing the sales rebate liabilities related to U.S. Medicaid, Medicare Part D, and managed care is complex because of the subjectivity of certain assumptions and judgments required to develop estimates. These significant assumptions and judgments include consideration of legal interpretations of applicable laws and regulations, historical claims experience, payer channel mix, current contract prices, unbilled claims and claims submission time lags. Additionally, auditing this matter is challenging given the Company’s limited history in selling certain of its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obtained an understanding of the Company’s process to estimate rebate liabilities to devise our responsive audit approach. We performed substantive test procedures related to the rebate accruals, which included testing the significant assumptions and mathematical accuracy. We tested the completeness and accuracy of the data used in the estimates and developed expectations of the key inputs using independent sources. To address the completeness of the reserves, we also assessed the historical accuracy of management’s estimates by comparing actual activity to previous estimates and performing analytical procedures. Finally, we considered subsequent events and any new information after the financial statement date that would require an adjustment to the accruals.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Liquidity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matter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asserts that the cash on hand and certain other sources of funding as described in Note 1 to the consolidated financial statements provide sufficient liquidity to satisfy obligations for at least one year from the date of issuance of these consolidated financial statements. We concluded that liquidity considerations involved in the Company’s ability to continue as a going concern are complex and therefore a critical audit matter as such are complex. Finally, there is a high degree of subjectivity in the estimates prepared by management and in our selection of appropriate audit procedures, resulting in this to be a challenging audit area.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How we addressed the matter in our audit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obtained an understanding the Company’s process to prepare cash flow projections to devise our responsive audit approach. We obtained and audited management’s projections, considering their completeness with respect to cash obligations. Through cumulative audit knowledge, we applied judgement in obtaining evidence to support the projections and scrutinized the sources and probability of realization of the projected funds. We compared the data provided to sensitivity adjusted projections, made inquiries of management and applied our industry knowledge. Finally, we considered management’s overall ability to put forth reasonable projections based on the performance of retrospective audit procedures on historic cash flow projections and based on the results of audit procedures applied to other estimates.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December 31, 2022 and 2021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3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86,521,542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51,089,118</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15,505,048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28,576,857</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163,280,047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124,724,091</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5,095,146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4,339,245</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270,401,783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208,729,311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58,261,481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50,935,074</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1,013,415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1,728,768</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3,529,509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3,529,509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to 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10,485,447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7,262,658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4,770,246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4,067,404</w:t>
            </w:r>
          </w:p>
        </w:tc>
      </w:tr>
      <w:tr>
        <w:trPr>
          <w:trHeight w:val="30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348,461,881</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276,252,724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197"/>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13,229,390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12,429,409</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24,989,349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17,214,988</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142,834</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905,369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591,084</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39,266,942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30,378,315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Senior notes payable, net of discount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142,833,063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94,866,239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1,975,865</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End of term fee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10,704,176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7,462,388</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350,454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397,351</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196,487,666</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135,080,158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10,000,000 shares authorized, no shares issued and outstanding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 voting, $0.0001 par value, 300,000,000 shares authorized, 221,816,930 and 195,813,817 shares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19,581</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629,968,704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553,265,706</w:t>
            </w:r>
          </w:p>
        </w:tc>
      </w:tr>
      <w:tr>
        <w:trPr>
          <w:trHeight w:val="223"/>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(478,016,671)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(412,112,721)</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151,974,215</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141,172,566</w:t>
            </w:r>
          </w:p>
        </w:tc>
        <w:tc>
          <w:tcPr>
            <w:tcW w:w="100" w:type="dxa"/>
            <w:vAlign w:val="bottom"/>
            <w:tcBorders>
              <w:top w:val="single" w:sz="8" w:color="CCEEFF"/>
            </w:tcBorders>
          </w:tcPr>
          <w:p>
            <w:pPr>
              <w:spacing w:after="0"/>
              <w:rPr>
                <w:sz w:val="19"/>
                <w:szCs w:val="19"/>
                <w:color w:val="auto"/>
              </w:rPr>
            </w:pPr>
          </w:p>
        </w:tc>
      </w:tr>
      <w:tr>
        <w:trPr>
          <w:trHeight w:val="28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348,461,881</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276,252,724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510"/>
              <w:spacing w:after="0"/>
              <w:rPr>
                <w:sz w:val="20"/>
                <w:szCs w:val="20"/>
                <w:color w:val="auto"/>
              </w:rPr>
            </w:pPr>
            <w:r>
              <w:rPr>
                <w:rFonts w:ascii="Arial" w:cs="Arial" w:eastAsia="Arial" w:hAnsi="Arial"/>
                <w:sz w:val="18"/>
                <w:szCs w:val="18"/>
                <w:b w:val="1"/>
                <w:bCs w:val="1"/>
                <w:color w:val="auto"/>
              </w:rPr>
              <w:t>ADMA BIOLOGICS,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Years Ended December 31, 2022 and 2021</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gridSpan w:val="5"/>
          </w:tcPr>
          <w:p>
            <w:pPr>
              <w:jc w:val="right"/>
              <w:ind w:right="221"/>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153,936,858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80,799,791</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License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142,834</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154,079,692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80,942,625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118,814,535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79,769,341</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35,265,157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3,613,764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3,646,060</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Plasma center operating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17,843,096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12,288,723</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715,353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715,353</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52,458,024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42,896,889</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74,630,237</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59,547,025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(39,365,080)</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(58,373,741)</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44,833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34,532</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w w:val="99"/>
              </w:rPr>
              <w:t>(19,279,373)</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(13,056,834)</w:t>
            </w: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(634,389)</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(251,575)</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Other expense, net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(26,538,870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(13,273,877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30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(65,903,950)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(71,647,618)</w:t>
            </w:r>
          </w:p>
        </w:tc>
      </w:tr>
      <w:tr>
        <w:trPr>
          <w:trHeight w:val="196"/>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30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COMMON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196"/>
        </w:trPr>
        <w:tc>
          <w:tcPr>
            <w:tcW w:w="1020" w:type="dxa"/>
            <w:vAlign w:val="bottom"/>
            <w:tcBorders>
              <w:top w:val="single" w:sz="8" w:color="CCEEFF"/>
            </w:tcBorders>
          </w:tcPr>
          <w:p>
            <w:pPr>
              <w:spacing w:after="0"/>
              <w:rPr>
                <w:sz w:val="17"/>
                <w:szCs w:val="17"/>
                <w:color w:val="auto"/>
              </w:rPr>
            </w:pPr>
          </w:p>
        </w:tc>
        <w:tc>
          <w:tcPr>
            <w:tcW w:w="76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gridSpan w:val="2"/>
          </w:tcPr>
          <w:p>
            <w:pPr>
              <w:ind w:left="220"/>
              <w:spacing w:after="0"/>
              <w:rPr>
                <w:sz w:val="20"/>
                <w:szCs w:val="20"/>
                <w:color w:val="auto"/>
              </w:rPr>
            </w:pPr>
            <w:r>
              <w:rPr>
                <w:rFonts w:ascii="Arial" w:cs="Arial" w:eastAsia="Arial" w:hAnsi="Arial"/>
                <w:sz w:val="18"/>
                <w:szCs w:val="18"/>
                <w:b w:val="1"/>
                <w:bCs w:val="1"/>
                <w:color w:val="auto"/>
              </w:rPr>
              <w:t>Basic and Diluted</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197,874,895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w w:val="93"/>
              </w:rPr>
              <w:t>139,578,538</w:t>
            </w:r>
          </w:p>
        </w:tc>
      </w:tr>
      <w:tr>
        <w:trPr>
          <w:trHeight w:val="22"/>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ADMA BIOLOGICS, INC. AND SUBSIDIARIES CONSOLIDATED STATEMENTS OF CHANGES IN STOCKHOLDERS’ EQUITY Years Ended December 31, 2022 and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462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23"/>
        </w:trPr>
        <w:tc>
          <w:tcPr>
            <w:tcW w:w="4620" w:type="dxa"/>
            <w:vAlign w:val="bottom"/>
          </w:tcPr>
          <w:p>
            <w:pPr>
              <w:spacing w:after="0"/>
              <w:rPr>
                <w:sz w:val="19"/>
                <w:szCs w:val="19"/>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320" w:type="dxa"/>
            <w:vAlign w:val="bottom"/>
            <w:gridSpan w:val="2"/>
          </w:tcPr>
          <w:p>
            <w:pPr>
              <w:jc w:val="center"/>
              <w:ind w:right="121"/>
              <w:spacing w:after="0"/>
              <w:rPr>
                <w:sz w:val="20"/>
                <w:szCs w:val="20"/>
                <w:color w:val="auto"/>
              </w:rPr>
            </w:pPr>
            <w:r>
              <w:rPr>
                <w:rFonts w:ascii="Arial" w:cs="Arial" w:eastAsia="Arial" w:hAnsi="Arial"/>
                <w:sz w:val="18"/>
                <w:szCs w:val="18"/>
                <w:b w:val="1"/>
                <w:bCs w:val="1"/>
                <w:color w:val="auto"/>
                <w:w w:val="94"/>
              </w:rPr>
              <w:t>Deficit</w:t>
            </w:r>
          </w:p>
        </w:tc>
        <w:tc>
          <w:tcPr>
            <w:tcW w:w="16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104,902,888</w:t>
            </w: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428,704,039</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(340,465,103)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88,249,426</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3,488,253</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3,488,253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90,846,029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121,135,018</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121,144,103</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taxes and retired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64,900</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(61,604)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(61,598)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(71,647,618)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(71,647,618)</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195,813,817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553,265,706</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(412,112,721)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141,172,566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5,214,531</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5,214,531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Warrants issued in connection with note payable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9,569,604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9,569,604</w:t>
            </w: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Vesting of Restricted Stock Units, net of shares withheld for</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1,808,561</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(2,899,021)</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(2,898,840)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68,679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175,008</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175,015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net of 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24,125,873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64,642,876</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64,645,289</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rPr>
              <w:t>(65,903,950)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(65,903,950)</w:t>
            </w: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221,816,930</w:t>
            </w: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629,968,704</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(478,016,671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151,974,215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Arial" w:cs="Arial" w:eastAsia="Arial" w:hAnsi="Arial"/>
                <w:sz w:val="14"/>
                <w:szCs w:val="14"/>
                <w:i w:val="1"/>
                <w:iCs w:val="1"/>
                <w:color w:val="0000EE"/>
              </w:rPr>
              <w:t>Table of Contents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67"/>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rPr>
              <w:t>ADMA BIOLOGICS,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7660" w:type="dxa"/>
            <w:vAlign w:val="bottom"/>
          </w:tcPr>
          <w:p>
            <w:pPr>
              <w:jc w:val="center"/>
              <w:ind w:left="1470"/>
              <w:spacing w:after="0"/>
              <w:rPr>
                <w:sz w:val="20"/>
                <w:szCs w:val="20"/>
                <w:color w:val="auto"/>
              </w:rPr>
            </w:pPr>
            <w:r>
              <w:rPr>
                <w:rFonts w:ascii="Arial" w:cs="Arial" w:eastAsia="Arial" w:hAnsi="Arial"/>
                <w:sz w:val="18"/>
                <w:szCs w:val="18"/>
                <w:b w:val="1"/>
                <w:bCs w:val="1"/>
                <w:color w:val="auto"/>
                <w:w w:val="89"/>
              </w:rPr>
              <w:t>Years Ended December 31, 2022 and 2021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Years Ended 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(65,903,950)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(71,647,618)</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7,113,369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5,495,502</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Loss on disposal of fixed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426,536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220,761</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paid in kind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5,214,531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3,488,253</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debt discount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2,401,669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1,897,373</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6,669,941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license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(142,834)</w:t>
            </w:r>
          </w:p>
        </w:tc>
      </w:tr>
      <w:tr>
        <w:trPr>
          <w:trHeight w:val="216"/>
        </w:trPr>
        <w:tc>
          <w:tcPr>
            <w:tcW w:w="868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13,071,809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(15,339,567)</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(38,555,957)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(43,188,489)</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(755,900)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(1,292,779)</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Deposits and other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(1,775,205)</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1,355,700</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7,534,572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8,341,341</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and non-current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(502,238)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218,580</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(59,508,257)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(112,368,982)</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(13,911,171)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(13,511,258)</w:t>
            </w:r>
          </w:p>
        </w:tc>
      </w:tr>
      <w:tr>
        <w:trPr>
          <w:trHeight w:val="27"/>
        </w:trPr>
        <w:tc>
          <w:tcPr>
            <w:tcW w:w="102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(13,911,171)</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(13,511,258)</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(100,000,000)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 net of offering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64,645,289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121,144,103</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Payment of debt refinancing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note payable</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151,750,000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Taxes paid on vested Restricted Stock Units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(2,898,840)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(61,598)</w:t>
            </w:r>
          </w:p>
        </w:tc>
      </w:tr>
      <w:tr>
        <w:trPr>
          <w:trHeight w:val="216"/>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Payments on finance lease obligations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(36,684)</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(34,299)</w:t>
            </w:r>
          </w:p>
        </w:tc>
      </w:tr>
      <w:tr>
        <w:trPr>
          <w:trHeight w:val="216"/>
        </w:trPr>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the exercise of stock options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gridSpan w:val="2"/>
          </w:tcPr>
          <w:p>
            <w:pPr>
              <w:ind w:left="420"/>
              <w:spacing w:after="0"/>
              <w:rPr>
                <w:sz w:val="20"/>
                <w:szCs w:val="20"/>
                <w:color w:val="auto"/>
              </w:rPr>
            </w:pPr>
            <w:r>
              <w:rPr>
                <w:rFonts w:ascii="Arial" w:cs="Arial" w:eastAsia="Arial" w:hAnsi="Arial"/>
                <w:sz w:val="18"/>
                <w:szCs w:val="18"/>
                <w:color w:val="auto"/>
              </w:rPr>
              <w:t>Payment of deferred financing fees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(2,782,928)</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108,851,852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121,048,206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35,432,424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(4,832,034)</w:t>
            </w: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51,089,118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55,921,152</w:t>
            </w:r>
          </w:p>
        </w:tc>
      </w:tr>
      <w:tr>
        <w:trPr>
          <w:trHeight w:val="282"/>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86,521,542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51,089,118</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2" w:name="page93"/>
    <w:bookmarkEnd w:id="9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2022 AND 2021</w:t>
      </w:r>
    </w:p>
    <w:p>
      <w:pPr>
        <w:spacing w:after="0" w:line="20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BUSINESS</w:t>
      </w:r>
    </w:p>
    <w:p>
      <w:pPr>
        <w:spacing w:after="0" w:line="229"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ADMA Biologics, Inc. (“ADMA” or the “Company”) is an end-to-end commercial biopharmaceutical company dedicated to manufacturing, marketing and developing specialty plasma-derived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7" w:lineRule="exact"/>
        <w:rPr>
          <w:sz w:val="20"/>
          <w:szCs w:val="20"/>
          <w:color w:val="auto"/>
        </w:rPr>
      </w:pPr>
    </w:p>
    <w:p>
      <w:pPr>
        <w:ind w:right="20" w:firstLine="607"/>
        <w:spacing w:after="0" w:line="254" w:lineRule="auto"/>
        <w:rPr>
          <w:sz w:val="20"/>
          <w:szCs w:val="20"/>
          <w:color w:val="auto"/>
        </w:rPr>
      </w:pPr>
      <w:r>
        <w:rPr>
          <w:rFonts w:ascii="Arial" w:cs="Arial" w:eastAsia="Arial" w:hAnsi="Arial"/>
          <w:sz w:val="18"/>
          <w:szCs w:val="18"/>
          <w:color w:val="auto"/>
        </w:rPr>
        <w:t>ADMA operates through its wholly-owned subsidiaries ADMA BioManufacturing, LLC (“ADMA BioManufacturing”) and ADMA BioCenters Georgia Inc. (“ADMA BioCenters”). ADMA BioManufacturing was formed in January 2017 to facilitate the acquisition of the Biotest Therapy Business Unit (“BTBU”) from BPC Plasma, Inc. (formerly Biotest Pharmaceuticals Corporation) (“BPC” and, together with Biotest AG, “Biotest”) on June 6, 2017. The acquisition included certain assets (the “Biotest Assets”) of BTBU, which included the U.S. Food and Drug Administration (“FDA”)-licensed BIVIGAM and Nabi-HB immunoglobulin products, and an FDA-licensed plasma fractionation manufacturing facility located in Boca Raton, FL (the “Boca Facility”) (the “Biotest Transaction”). BTBU had previously been the Company’s third-party contract manufacturer. ADMA BioCenters is the Company’s source plasma collection business with ten plasma collection facilities located throughout the U.S., eight of which hold an approved license with the FDA.</w:t>
      </w:r>
    </w:p>
    <w:p>
      <w:pPr>
        <w:spacing w:after="0" w:line="192" w:lineRule="exact"/>
        <w:rPr>
          <w:sz w:val="20"/>
          <w:szCs w:val="20"/>
          <w:color w:val="auto"/>
        </w:rPr>
      </w:pPr>
    </w:p>
    <w:p>
      <w:pPr>
        <w:ind w:firstLine="607"/>
        <w:spacing w:after="0" w:line="253" w:lineRule="auto"/>
        <w:rPr>
          <w:sz w:val="20"/>
          <w:szCs w:val="20"/>
          <w:color w:val="auto"/>
        </w:rPr>
      </w:pPr>
      <w:r>
        <w:rPr>
          <w:rFonts w:ascii="Arial" w:cs="Arial" w:eastAsia="Arial" w:hAnsi="Arial"/>
          <w:sz w:val="18"/>
          <w:szCs w:val="18"/>
          <w:color w:val="auto"/>
        </w:rPr>
        <w:t>The Company has three FDA-approved products, all of which are currently marketed and commercially available: (i) BIVIGAM (Immune Globulin Intravenous, Human), an Intravenous Immune Globulin (“IVIG”) product indicated for the treatment of Primary Humoral Immunodeficiency (“PI”), also known as Primary Immunodeficiency Disease (“PIDD”) or Inborn Errors of Immunity, and for which the Company received FDA approval on May 9, 2019 and commenced commercial sales in August 2019; (ii) ASCENIV (Immune Globulin Intravenous, Human – slra 10% Liquid), an IVIG product indicated for the treatment of PI, for which the Company received FDA approval on April 1, 2019 and commenced first commercial sales in October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provides contract manufacturing and laboratory services for certain clients and generates revenues from the sale of intermediate by-products that result from the immunoglobulin production process.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92" w:lineRule="exact"/>
        <w:rPr>
          <w:sz w:val="20"/>
          <w:szCs w:val="20"/>
          <w:color w:val="auto"/>
        </w:rPr>
      </w:pPr>
    </w:p>
    <w:p>
      <w:pPr>
        <w:ind w:firstLine="607"/>
        <w:spacing w:after="0" w:line="287" w:lineRule="auto"/>
        <w:rPr>
          <w:sz w:val="20"/>
          <w:szCs w:val="20"/>
          <w:color w:val="auto"/>
        </w:rPr>
      </w:pPr>
      <w:r>
        <w:rPr>
          <w:rFonts w:ascii="Arial" w:cs="Arial" w:eastAsia="Arial" w:hAnsi="Arial"/>
          <w:sz w:val="16"/>
          <w:szCs w:val="16"/>
          <w:color w:val="auto"/>
        </w:rPr>
        <w:t>As of December 31, 2022, the Company had working capital of $231.1 million, including $86.5 million of cash and cash equivalents. Based upon the Company’s current projected revenue and expenditures, including capital expenditures and continued implementation of the Company’s commercialization and expansion activities, the Company’s management currently believes that its cash, cash equivalents, projected revenue and accounts receivable will be sufficient to fund ADMA’s operations, as currently conducted, through the end of the first quarter of 2024, at which time the Company believes it will begin to generate positive cash flow from operations. These estimates may change based upon several factors, including the success of the Company’s commercial sales of its products, whether or not the assumptions underlying the Company’s projected revenues and expenses are correct and the acceptability of ADMA’s immune globulin products by physicians, patients or payers. There can be no assurance that the Company’s approved products will be commercially viable, or that plant capacity expansion, plasma center buildouts or other capital improvements will be successfully completed or that any product developed in the future will be approved. The Company is subject to risks common to companies in the biotechnology and pharmaceutical manufacturing industries including, but not limited to, dependence on collaborative arrangements, development by the Company or its competitors of new technological innovations, dependence on key personnel, inflationary pressures, supply chain constraints, protection of proprietary technology, and compliance with FDA and other governmental regulations and approval requirements.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280" w:firstLine="607"/>
        <w:spacing w:after="0" w:line="277" w:lineRule="auto"/>
        <w:rPr>
          <w:sz w:val="20"/>
          <w:szCs w:val="20"/>
          <w:color w:val="auto"/>
        </w:rPr>
      </w:pPr>
      <w:r>
        <w:rPr>
          <w:rFonts w:ascii="Arial" w:cs="Arial" w:eastAsia="Arial" w:hAnsi="Arial"/>
          <w:sz w:val="18"/>
          <w:szCs w:val="18"/>
          <w:color w:val="auto"/>
        </w:rPr>
        <w:t>The Company continues to evaluate a variety of strategic alternatives through its ongoing engagement with Morgan Stanley. The exploration of value-creating opportunities remains a top corporate priority for ADMA.</w:t>
      </w:r>
    </w:p>
    <w:p>
      <w:pPr>
        <w:spacing w:after="0" w:line="170" w:lineRule="exact"/>
        <w:rPr>
          <w:sz w:val="20"/>
          <w:szCs w:val="20"/>
          <w:color w:val="auto"/>
        </w:rPr>
      </w:pPr>
    </w:p>
    <w:p>
      <w:pPr>
        <w:ind w:right="280" w:firstLine="607"/>
        <w:spacing w:after="0" w:line="263" w:lineRule="auto"/>
        <w:rPr>
          <w:sz w:val="20"/>
          <w:szCs w:val="20"/>
          <w:color w:val="auto"/>
        </w:rPr>
      </w:pPr>
      <w:r>
        <w:rPr>
          <w:rFonts w:ascii="Arial" w:cs="Arial" w:eastAsia="Arial" w:hAnsi="Arial"/>
          <w:sz w:val="18"/>
          <w:szCs w:val="18"/>
          <w:color w:val="auto"/>
        </w:rPr>
        <w:t>On December 9, 2022, the Company issued 24,125,873 shares of its common stock through an underwritten public offering and received net proceeds of $64.6 million, and on March 23, 2022 the Company received approximately $47.0 million in net proceeds from the refinancing of its senior credit facility (see Note 7).</w:t>
      </w:r>
    </w:p>
    <w:p>
      <w:pPr>
        <w:spacing w:after="0" w:line="180"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 and basis of presentation</w:t>
      </w:r>
    </w:p>
    <w:p>
      <w:pPr>
        <w:spacing w:after="0" w:line="225" w:lineRule="exact"/>
        <w:rPr>
          <w:sz w:val="20"/>
          <w:szCs w:val="20"/>
          <w:color w:val="auto"/>
        </w:rPr>
      </w:pPr>
    </w:p>
    <w:p>
      <w:pPr>
        <w:ind w:right="20" w:firstLine="607"/>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ADMA and its wholly-owned subsidiaries, and have been prepared in conformity with accounting principles generally accepted in the United States of America (“U.S. GAAP”) and in accordance with Article 8 of Regulation S-X of the Securities and Exchange Commission (the “SEC”). All intercompany balances have been eliminated in consolidation. Any reference in these notes to applicable guidance is meant to refer to U.S. GAAP as found in the Accounting Standards Codification (“ASC”) and Accounting Standards Updates (“ASU”) of the Financial Accounting Standards Board (the “FASB”). During the years ended December 31, 2022 and 2021, comprehensive loss was equal to the net loss amounts presented for the respective periods in the accompanying consolidated statements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firstLine="607"/>
        <w:spacing w:after="0" w:line="273" w:lineRule="auto"/>
        <w:rPr>
          <w:sz w:val="20"/>
          <w:szCs w:val="20"/>
          <w:color w:val="auto"/>
        </w:rPr>
      </w:pPr>
      <w:r>
        <w:rPr>
          <w:rFonts w:ascii="Arial" w:cs="Arial" w:eastAsia="Arial" w:hAnsi="Arial"/>
          <w:sz w:val="17"/>
          <w:szCs w:val="17"/>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and chargebacks deducted from gross revenues, the realizable value of accounts receivable, valuation of inventory, assumptions used in projecting future liquidity and capital requirements, assumptions used in the fair value of awards granted under the Company’s equity incentive plans and warrants issued in connection with the issuance of notes payable and the valuation allowance for the Company’s deferred tax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considers all highly liquid instruments purchased with a maturity of three months or less to be cash equivalents.</w:t>
      </w:r>
    </w:p>
    <w:p>
      <w:pPr>
        <w:spacing w:after="0" w:line="225" w:lineRule="exact"/>
        <w:rPr>
          <w:sz w:val="20"/>
          <w:szCs w:val="20"/>
          <w:color w:val="auto"/>
        </w:rPr>
      </w:pPr>
    </w:p>
    <w:p>
      <w:pPr>
        <w:ind w:right="40" w:firstLine="607"/>
        <w:spacing w:after="0" w:line="273" w:lineRule="auto"/>
        <w:rPr>
          <w:sz w:val="20"/>
          <w:szCs w:val="20"/>
          <w:color w:val="auto"/>
        </w:rPr>
      </w:pPr>
      <w:r>
        <w:rPr>
          <w:rFonts w:ascii="Arial" w:cs="Arial" w:eastAsia="Arial" w:hAnsi="Arial"/>
          <w:sz w:val="17"/>
          <w:szCs w:val="17"/>
          <w:color w:val="auto"/>
        </w:rPr>
        <w:t>The Company regularly maintains cash and cash equivalents at third-party financial institutions in excess of the Federal Deposit Insurance Corporation insurance limit. Although the Company monitors the daily cash balances in its operating accounts and adjusts the balances as appropriate, these balances could be impacted, and there could be a material adverse effect on the Company’s business, if one or more of the financial institutions with which the Company has deposits fails or is subject to other adverse conditions in the financial or credit markets. To date, the Company has not experienced a loss or lack of access to its deposited cash or cash equivalents; however, the Company cannot provide assurance that access to its cash and cash equivalents will not be impacted by adverse conditions in the financial and credit markets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ind w:right="200" w:firstLine="607"/>
        <w:spacing w:after="0" w:line="257" w:lineRule="auto"/>
        <w:rPr>
          <w:sz w:val="20"/>
          <w:szCs w:val="20"/>
          <w:color w:val="auto"/>
        </w:rPr>
      </w:pPr>
      <w:r>
        <w:rPr>
          <w:rFonts w:ascii="Arial" w:cs="Arial" w:eastAsia="Arial" w:hAnsi="Arial"/>
          <w:sz w:val="18"/>
          <w:szCs w:val="18"/>
          <w:color w:val="auto"/>
        </w:rPr>
        <w:t xml:space="preserve">Accounts receivable is reported at realizable value, net of allowances for contractual credits and doubtful accounts in the amount of $0.1 million and $0.2 million at December 31, 2022 and 2021, respectively, which are recognized in the period the related revenue is recorded. </w:t>
      </w:r>
      <w:r>
        <w:rPr>
          <w:rFonts w:ascii="Arial" w:cs="Arial" w:eastAsia="Arial" w:hAnsi="Arial"/>
          <w:sz w:val="18"/>
          <w:szCs w:val="18"/>
          <w:color w:val="212529"/>
        </w:rPr>
        <w:t>The Company extends</w:t>
      </w:r>
      <w:r>
        <w:rPr>
          <w:rFonts w:ascii="Arial" w:cs="Arial" w:eastAsia="Arial" w:hAnsi="Arial"/>
          <w:sz w:val="18"/>
          <w:szCs w:val="18"/>
          <w:color w:val="auto"/>
        </w:rPr>
        <w:t xml:space="preserve"> </w:t>
      </w:r>
      <w:r>
        <w:rPr>
          <w:rFonts w:ascii="Arial" w:cs="Arial" w:eastAsia="Arial" w:hAnsi="Arial"/>
          <w:sz w:val="18"/>
          <w:szCs w:val="18"/>
          <w:color w:val="212529"/>
        </w:rPr>
        <w:t xml:space="preserve">credit to its customers based upon an evaluation of each customer’s financial condition and credit history. Evaluations of the financial condition and associated credit risk of customers are performed on an ongoing basis. </w:t>
      </w:r>
      <w:r>
        <w:rPr>
          <w:rFonts w:ascii="Arial" w:cs="Arial" w:eastAsia="Arial" w:hAnsi="Arial"/>
          <w:sz w:val="18"/>
          <w:szCs w:val="18"/>
          <w:color w:val="000000"/>
        </w:rPr>
        <w:t>Based on these evaluations, the Company has concluded that its credit risk is</w:t>
      </w:r>
      <w:r>
        <w:rPr>
          <w:rFonts w:ascii="Arial" w:cs="Arial" w:eastAsia="Arial" w:hAnsi="Arial"/>
          <w:sz w:val="18"/>
          <w:szCs w:val="18"/>
          <w:color w:val="212529"/>
        </w:rPr>
        <w:t xml:space="preserve"> </w:t>
      </w:r>
      <w:r>
        <w:rPr>
          <w:rFonts w:ascii="Arial" w:cs="Arial" w:eastAsia="Arial" w:hAnsi="Arial"/>
          <w:sz w:val="18"/>
          <w:szCs w:val="18"/>
          <w:color w:val="000000"/>
        </w:rPr>
        <w:t>minimal (see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80" w:firstLine="607"/>
        <w:spacing w:after="0" w:line="255" w:lineRule="auto"/>
        <w:rPr>
          <w:sz w:val="20"/>
          <w:szCs w:val="20"/>
          <w:color w:val="auto"/>
        </w:rPr>
      </w:pPr>
      <w:r>
        <w:rPr>
          <w:rFonts w:ascii="Arial" w:cs="Arial" w:eastAsia="Arial" w:hAnsi="Arial"/>
          <w:sz w:val="18"/>
          <w:szCs w:val="18"/>
          <w:color w:val="auto"/>
        </w:rPr>
        <w:t>Raw materials inventory consists of various materials purchased from suppliers, including normal source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allocation of Boca Facility overhead to inventory is generally based upon the estimated square footage of the Boca Facility that is used in the production of the Company’s products relative to the total square footage of the facility.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firstLine="607"/>
        <w:spacing w:after="0" w:line="270" w:lineRule="auto"/>
        <w:rPr>
          <w:sz w:val="20"/>
          <w:szCs w:val="20"/>
          <w:color w:val="auto"/>
        </w:rPr>
      </w:pPr>
      <w:r>
        <w:rPr>
          <w:rFonts w:ascii="Arial" w:cs="Arial" w:eastAsia="Arial" w:hAnsi="Arial"/>
          <w:sz w:val="17"/>
          <w:szCs w:val="17"/>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For both the Company’s immune globulin products and plasma intended for resale and internal use,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 In addition, costs associated with the production of conformance or engineering lots that would not qualify as immediately available for commercial sale are charged to cost of product revenue and not capitalized into inventory.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80" w:firstLine="607"/>
        <w:spacing w:after="0" w:line="259" w:lineRule="auto"/>
        <w:rPr>
          <w:sz w:val="20"/>
          <w:szCs w:val="20"/>
          <w:color w:val="auto"/>
        </w:rPr>
      </w:pPr>
      <w:r>
        <w:rPr>
          <w:rFonts w:ascii="Arial" w:cs="Arial" w:eastAsia="Arial" w:hAnsi="Arial"/>
          <w:sz w:val="18"/>
          <w:szCs w:val="18"/>
          <w:color w:val="auto"/>
        </w:rPr>
        <w:t>Assets comprising property and equipment (see Note 4) are stated at cost less accumulated depreciation. Depreciation is calculated using the straight-line method over the asset’s estimated useful life. Land is not depreciated. The buildings have been assigned a useful life of 30 years. Property and equipment other than land and buildings have useful lives ranging from 3 to 15 years. Leasehold improvements are amortized over the lesser of the lease term or their estimated useful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right="220" w:firstLine="607"/>
        <w:spacing w:after="0" w:line="263" w:lineRule="auto"/>
        <w:rPr>
          <w:sz w:val="20"/>
          <w:szCs w:val="20"/>
          <w:color w:val="auto"/>
        </w:rPr>
      </w:pPr>
      <w:r>
        <w:rPr>
          <w:rFonts w:ascii="Arial" w:cs="Arial" w:eastAsia="Arial" w:hAnsi="Arial"/>
          <w:sz w:val="18"/>
          <w:szCs w:val="18"/>
          <w:color w:val="auto"/>
        </w:rPr>
        <w:t>Goodwill represents the excess of purchase price over the fair value of net assets acquired by the Company. Goodwill at December 31, 2022 and 2021 was $3.5 million, all of which is attributable to the Company’s ADMA BioManufacturing business segment. There were no changes to the carrying amount of goodwill during the years ended December 31, 2022 and 2021.</w:t>
      </w:r>
    </w:p>
    <w:p>
      <w:pPr>
        <w:spacing w:after="0" w:line="184" w:lineRule="exact"/>
        <w:rPr>
          <w:sz w:val="20"/>
          <w:szCs w:val="20"/>
          <w:color w:val="auto"/>
        </w:rPr>
      </w:pPr>
    </w:p>
    <w:p>
      <w:pPr>
        <w:ind w:right="40" w:firstLine="607"/>
        <w:spacing w:after="0" w:line="272" w:lineRule="auto"/>
        <w:rPr>
          <w:sz w:val="20"/>
          <w:szCs w:val="20"/>
          <w:color w:val="auto"/>
        </w:rPr>
      </w:pPr>
      <w:r>
        <w:rPr>
          <w:rFonts w:ascii="Arial" w:cs="Arial" w:eastAsia="Arial" w:hAnsi="Arial"/>
          <w:sz w:val="17"/>
          <w:szCs w:val="17"/>
          <w:color w:val="auto"/>
        </w:rPr>
        <w:t>Goodwill is not amortized but is assessed for impairment on an annual basis or more frequently if impairment indicators exist. The Company has the option to perform a qualitative assessment of goodwill to determine whether it is more likely than not that the fair value of its reporting unit is less than its carrying amount, including goodwill and other intangible assets. If the Company concludes that this is the case, then it must perform a goodwill impairment test by comparing the fair value of the reporting unit to its carrying value. An impairment charge is recorded to the extent the reporting unit’s carrying value exceeds its fair value, not to exceed the total amount of goodwill allocated to that reporting unit. The Company performs its annual goodwill impairment test as of October 1 of each year. The Company’s annual goodwill impairment tests as of October 1, 2022 and 2021 did not result in any impairment charges related to goodwill for the years ended December 31, 2022 and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ind w:right="120" w:firstLine="607"/>
        <w:spacing w:after="0" w:line="296" w:lineRule="auto"/>
        <w:rPr>
          <w:sz w:val="20"/>
          <w:szCs w:val="20"/>
          <w:color w:val="auto"/>
        </w:rPr>
      </w:pPr>
      <w:r>
        <w:rPr>
          <w:rFonts w:ascii="Arial" w:cs="Arial" w:eastAsia="Arial" w:hAnsi="Arial"/>
          <w:sz w:val="16"/>
          <w:szCs w:val="16"/>
          <w:color w:val="auto"/>
        </w:rPr>
        <w:t>The Company assesses the recoverability of its long-lived assets, which include property and equipment and finite-lived intangible assets, whenever significant events or changes in circumstances indicate impairment may have occurred. If indicators of impairment exist, projected future undiscounted cash flows associated with the asset are compared to its carrying amount to determine whether the asset’s carrying value is recoverable. Any resulting impairment is recorded as a reduction in the carrying value of the related asset in excess of fair value and a charge to operating results. For the years ended December 31, 2022 and 2021, the Company determined that there was no impairment of its long-lived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ind w:right="60" w:firstLine="607"/>
        <w:spacing w:after="0" w:line="272" w:lineRule="auto"/>
        <w:rPr>
          <w:sz w:val="20"/>
          <w:szCs w:val="20"/>
          <w:color w:val="auto"/>
        </w:rPr>
      </w:pPr>
      <w:r>
        <w:rPr>
          <w:rFonts w:ascii="Arial" w:cs="Arial" w:eastAsia="Arial" w:hAnsi="Arial"/>
          <w:sz w:val="17"/>
          <w:szCs w:val="17"/>
          <w:color w:val="auto"/>
        </w:rPr>
        <w:t>Revenues for the years ended December 31, 2022 and 2021 are comprised of (i) revenues from the sale of the Company’s immunoglobulin products, BIVIGAM, ASCENIV and Nabi-HB, (ii) product revenues from the sale of human plasma collected by the Company’s Plasma Collection Centers business segment, (iii) contract manufacturing and laboratory services revenue, (iv) revenues from the sale of intermediate by-products; and (v) license and other revenues primarily attributable to the out-licensing of ASCENIV to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140" w:firstLine="607"/>
        <w:spacing w:after="0" w:line="271" w:lineRule="auto"/>
        <w:rPr>
          <w:sz w:val="20"/>
          <w:szCs w:val="20"/>
          <w:color w:val="auto"/>
        </w:rPr>
      </w:pPr>
      <w:r>
        <w:rPr>
          <w:rFonts w:ascii="Arial" w:cs="Arial" w:eastAsia="Arial" w:hAnsi="Arial"/>
          <w:sz w:val="17"/>
          <w:szCs w:val="17"/>
          <w:color w:val="auto"/>
        </w:rPr>
        <w:t>Product revenue is recognized when the customer is deemed to have control over the product. Control is determined based on when the product is shipped or delivered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price protection arrangements and customer incentives, including prompt pay discounts, wholesaler chargebacks and other wholesaler fees. These estimates are based on contractual arrangements, historical experience and certain other assumptions, and the Company believes that such estimates are reasonable. 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78" w:lineRule="exact"/>
        <w:rPr>
          <w:sz w:val="20"/>
          <w:szCs w:val="20"/>
          <w:color w:val="auto"/>
        </w:rPr>
      </w:pPr>
    </w:p>
    <w:p>
      <w:pPr>
        <w:ind w:right="100" w:firstLine="607"/>
        <w:spacing w:after="0" w:line="263" w:lineRule="auto"/>
        <w:rPr>
          <w:sz w:val="20"/>
          <w:szCs w:val="20"/>
          <w:color w:val="auto"/>
        </w:rPr>
      </w:pPr>
      <w:r>
        <w:rPr>
          <w:rFonts w:ascii="Arial" w:cs="Arial" w:eastAsia="Arial" w:hAnsi="Arial"/>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product revenue</w:t>
      </w:r>
    </w:p>
    <w:p>
      <w:pPr>
        <w:spacing w:after="0" w:line="225" w:lineRule="exact"/>
        <w:rPr>
          <w:sz w:val="20"/>
          <w:szCs w:val="20"/>
          <w:color w:val="auto"/>
        </w:rPr>
      </w:pPr>
    </w:p>
    <w:p>
      <w:pPr>
        <w:ind w:right="240" w:firstLine="607"/>
        <w:spacing w:after="0" w:line="259" w:lineRule="auto"/>
        <w:rPr>
          <w:sz w:val="20"/>
          <w:szCs w:val="20"/>
          <w:color w:val="auto"/>
        </w:rPr>
      </w:pPr>
      <w:r>
        <w:rPr>
          <w:rFonts w:ascii="Arial" w:cs="Arial" w:eastAsia="Arial" w:hAnsi="Arial"/>
          <w:sz w:val="18"/>
          <w:szCs w:val="18"/>
          <w:color w:val="auto"/>
        </w:rPr>
        <w:t>Cost of product revenue includes costs associated with the manufacture of the Company’s FDA approved products and intermediates and for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in development, the expenses are classified as research and development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expenses</w:t>
      </w:r>
    </w:p>
    <w:p>
      <w:pPr>
        <w:spacing w:after="0" w:line="225" w:lineRule="exact"/>
        <w:rPr>
          <w:sz w:val="20"/>
          <w:szCs w:val="20"/>
          <w:color w:val="auto"/>
        </w:rPr>
      </w:pPr>
    </w:p>
    <w:p>
      <w:pPr>
        <w:ind w:right="40" w:firstLine="607"/>
        <w:spacing w:after="0" w:line="263" w:lineRule="auto"/>
        <w:rPr>
          <w:sz w:val="20"/>
          <w:szCs w:val="20"/>
          <w:color w:val="auto"/>
        </w:rPr>
      </w:pPr>
      <w:r>
        <w:rPr>
          <w:rFonts w:ascii="Arial" w:cs="Arial" w:eastAsia="Arial" w:hAnsi="Arial"/>
          <w:sz w:val="18"/>
          <w:szCs w:val="18"/>
          <w:color w:val="auto"/>
        </w:rPr>
        <w:t>Research and development expenses consist of clinical research organization costs, costs related to clinical trials, post-marketing commitment studies for BIVIGAM and ASCENIV, wages, benefits and stock-based compensation for employees directly related to research and development activities. All research and development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Plasma center operating expenses</w:t>
      </w:r>
    </w:p>
    <w:p>
      <w:pPr>
        <w:spacing w:after="0" w:line="225" w:lineRule="exact"/>
        <w:rPr>
          <w:sz w:val="20"/>
          <w:szCs w:val="20"/>
          <w:color w:val="auto"/>
        </w:rPr>
      </w:pPr>
    </w:p>
    <w:p>
      <w:pPr>
        <w:ind w:right="220" w:firstLine="607"/>
        <w:spacing w:after="0" w:line="263" w:lineRule="auto"/>
        <w:rPr>
          <w:sz w:val="20"/>
          <w:szCs w:val="20"/>
          <w:color w:val="auto"/>
        </w:rPr>
      </w:pPr>
      <w:r>
        <w:rPr>
          <w:rFonts w:ascii="Arial" w:cs="Arial" w:eastAsia="Arial" w:hAnsi="Arial"/>
          <w:sz w:val="18"/>
          <w:szCs w:val="18"/>
          <w:color w:val="auto"/>
        </w:rPr>
        <w:t>Plasma center operating expenses consist of certain general and administrative plasma center costs, initial opening, marketing and start-up costs, rent expense, maintenance, utilities, compensation and benefits for center and administrative staff, advertising and promotion expenses and computer software fees related to donor collections.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and marketing expenses</w:t>
      </w:r>
    </w:p>
    <w:p>
      <w:pPr>
        <w:spacing w:after="0" w:line="225" w:lineRule="exact"/>
        <w:rPr>
          <w:sz w:val="20"/>
          <w:szCs w:val="20"/>
          <w:color w:val="auto"/>
        </w:rPr>
      </w:pPr>
    </w:p>
    <w:p>
      <w:pPr>
        <w:jc w:val="both"/>
        <w:ind w:right="100" w:firstLine="607"/>
        <w:spacing w:after="0" w:line="311" w:lineRule="auto"/>
        <w:rPr>
          <w:sz w:val="20"/>
          <w:szCs w:val="20"/>
          <w:color w:val="auto"/>
        </w:rPr>
      </w:pPr>
      <w:r>
        <w:rPr>
          <w:rFonts w:ascii="Arial" w:cs="Arial" w:eastAsia="Arial" w:hAnsi="Arial"/>
          <w:sz w:val="16"/>
          <w:szCs w:val="16"/>
          <w:color w:val="auto"/>
        </w:rPr>
        <w:t>Advertising and marketing expense includes cost for promotional materials and trade show expenses for the marketing of the Company’s products and services and expenses incurred for attracting donors to the Company’s plasma collection centers. All advertising and marketing expenses are expensed as incurred. Advertising and marketing expenses were $2.2 million and $1.4 million for the years ended December 31, 2022 and 2021,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ind w:firstLine="607"/>
        <w:spacing w:after="0" w:line="271" w:lineRule="auto"/>
        <w:rPr>
          <w:sz w:val="20"/>
          <w:szCs w:val="20"/>
          <w:color w:val="auto"/>
        </w:rPr>
      </w:pPr>
      <w:r>
        <w:rPr>
          <w:rFonts w:ascii="Arial" w:cs="Arial" w:eastAsia="Arial" w:hAnsi="Arial"/>
          <w:sz w:val="17"/>
          <w:szCs w:val="17"/>
          <w:color w:val="auto"/>
        </w:rPr>
        <w:t xml:space="preserve">The Company follows recognized accounting guidance which requires all equity-based payments, including grants of stock options, to be recognized in the statement of operations as compensation expense based on their fair values at the date of grant. Compensation expense related to awards to employees and directors with service-based vesting conditions is recognized on a straight-line basis over the associated vesting period of the award based on the grant date fair value of the award. Stock options granted under the Company’s equity incentive plans generally have a four-year vesting period and a term of 10 years. For milestone-based equity awards (see Note 8) the Company periodically assesses the probability of vesting for each milestone-based award and adjusts compensation expense based on its probability assessment. Pursuant to ASU No. 2016-09, </w:t>
      </w:r>
      <w:r>
        <w:rPr>
          <w:rFonts w:ascii="Arial" w:cs="Arial" w:eastAsia="Arial" w:hAnsi="Arial"/>
          <w:sz w:val="17"/>
          <w:szCs w:val="17"/>
          <w:i w:val="1"/>
          <w:iCs w:val="1"/>
          <w:color w:val="auto"/>
        </w:rPr>
        <w:t>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 (Topic 718)</w:t>
      </w:r>
      <w:r>
        <w:rPr>
          <w:rFonts w:ascii="Arial" w:cs="Arial" w:eastAsia="Arial" w:hAnsi="Arial"/>
          <w:sz w:val="17"/>
          <w:szCs w:val="17"/>
          <w:color w:val="auto"/>
        </w:rPr>
        <w:t>, the Company has elected not to establish a forfeiture rate, as stock-based compensation expense related to forfeitures of</w:t>
      </w:r>
      <w:r>
        <w:rPr>
          <w:rFonts w:ascii="Arial" w:cs="Arial" w:eastAsia="Arial" w:hAnsi="Arial"/>
          <w:sz w:val="17"/>
          <w:szCs w:val="17"/>
          <w:i w:val="1"/>
          <w:iCs w:val="1"/>
          <w:color w:val="auto"/>
        </w:rPr>
        <w:t xml:space="preserve"> </w:t>
      </w:r>
      <w:r>
        <w:rPr>
          <w:rFonts w:ascii="Arial" w:cs="Arial" w:eastAsia="Arial" w:hAnsi="Arial"/>
          <w:sz w:val="17"/>
          <w:szCs w:val="17"/>
          <w:color w:val="auto"/>
        </w:rPr>
        <w:t>unvested equity awards is fully reversed at the time of forfeiture.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60" w:firstLine="607"/>
        <w:spacing w:after="0" w:line="293" w:lineRule="auto"/>
        <w:rPr>
          <w:sz w:val="20"/>
          <w:szCs w:val="20"/>
          <w:color w:val="auto"/>
        </w:rPr>
      </w:pPr>
      <w:r>
        <w:rPr>
          <w:rFonts w:ascii="Arial" w:cs="Arial" w:eastAsia="Arial" w:hAnsi="Arial"/>
          <w:sz w:val="16"/>
          <w:szCs w:val="16"/>
          <w:color w:val="auto"/>
        </w:rPr>
        <w:t>The Company recognizes deferred tax assets and liabilities for the expected future tax consequences of events that have been included in the consolidated financial statements or its tax returns. Under this method, deferred tax assets and liabilities are recognized for the temporary differences between the tax bases of assets and liabilities and their respective financial reporting amounts at enacted tax rates in effect for the years in which the temporary differences are expected to reverse. The Company records a valuation allowance on its deferred tax assets if it is more likely than not that the Company will not generate sufficient taxable income to utilize its deferred tax assets (see Note 11). The Company is subject to income tax examinations by major taxing authorities for all tax years since 2018 and for previous periods as it relates to the Company’s net operating loss carryforwards.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ind w:right="140" w:firstLine="607"/>
        <w:spacing w:after="0" w:line="287"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 average number of shares of common stock outstanding during the period. Diluted loss per share is calculated by dividing net loss attributable to common stockholders as adjusted for the effect of dilutive securities, if any, by the weighted average number of shares of common stock and dilutive common stock outstanding during the period.</w:t>
      </w:r>
    </w:p>
    <w:p>
      <w:pPr>
        <w:spacing w:after="0" w:line="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Potentially dilutive common stock includes the shares of common stock issuable upon the exercise of outstanding stock options and warrants (using the treasury stock method). Potentially dilutive common stock in the diluted net loss per share computation is excluded to the extent that it would be anti-dilutive. No potentially dilutive securities are included in the computation of any diluted per share amounts as the Company reported a net loss for all periods presented. For the years ended December 31, 2022 and 2021, the following securities were excluded from the calculation of diluted loss per common share because of their anti-dilutive effects: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For the Years Ended December</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8,256,211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7,862,722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2,866,987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4,485,133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13,525,148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4,528,160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24,648,346</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16,876,015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ind w:right="280" w:firstLine="607"/>
        <w:spacing w:after="0" w:line="263" w:lineRule="auto"/>
        <w:rPr>
          <w:sz w:val="20"/>
          <w:szCs w:val="20"/>
          <w:color w:val="auto"/>
        </w:rPr>
      </w:pPr>
      <w:r>
        <w:rPr>
          <w:rFonts w:ascii="Arial" w:cs="Arial" w:eastAsia="Arial" w:hAnsi="Arial"/>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notes payable (see Note 7) approximates fair value due to the variable interest rate on this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140" w:firstLine="607"/>
        <w:spacing w:after="0" w:line="277" w:lineRule="auto"/>
        <w:rPr>
          <w:sz w:val="20"/>
          <w:szCs w:val="20"/>
          <w:color w:val="auto"/>
        </w:rPr>
      </w:pPr>
      <w:r>
        <w:rPr>
          <w:rFonts w:ascii="Arial" w:cs="Arial" w:eastAsia="Arial" w:hAnsi="Arial"/>
          <w:sz w:val="18"/>
          <w:szCs w:val="18"/>
          <w:color w:val="auto"/>
        </w:rPr>
        <w:t>There were no new accounting pronouncements adopted during the years ended December 31, 2022 and 2021 that had a significant impact on the Company’s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3.</w:t>
            </w: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6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500" w:type="dxa"/>
            <w:vAlign w:val="bottom"/>
          </w:tcPr>
          <w:p>
            <w:pPr>
              <w:spacing w:after="0"/>
              <w:rPr>
                <w:sz w:val="24"/>
                <w:szCs w:val="24"/>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The following table provides the components of inventories: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48,644,527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36,755,720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56,170,853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58,968,535</w:t>
            </w:r>
          </w:p>
        </w:tc>
      </w:tr>
      <w:tr>
        <w:trPr>
          <w:trHeight w:val="223"/>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58,464,667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28,999,836</w:t>
            </w:r>
          </w:p>
        </w:tc>
      </w:tr>
      <w:tr>
        <w:trPr>
          <w:trHeight w:val="216"/>
        </w:trPr>
        <w:tc>
          <w:tcPr>
            <w:tcW w:w="868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163,280,047</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124,724,091</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07"/>
        <w:spacing w:after="0" w:line="311" w:lineRule="auto"/>
        <w:rPr>
          <w:sz w:val="20"/>
          <w:szCs w:val="20"/>
          <w:color w:val="auto"/>
        </w:rPr>
      </w:pPr>
      <w:r>
        <w:rPr>
          <w:rFonts w:ascii="Arial" w:cs="Arial" w:eastAsia="Arial" w:hAnsi="Arial"/>
          <w:sz w:val="16"/>
          <w:szCs w:val="16"/>
          <w:color w:val="auto"/>
        </w:rPr>
        <w:t>Raw materials includes plasma and other materials expected to be used in the production of BIVIGAM, ASCENIV and Nabi-HB. These materials will be consumed in the production of goods expected to be available for sale or otherwise have alternative uses that provide a probable future benefit. All other activities and materials associated with the production of inventories used in research and development activities are expensed as incurred.</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Work-in-process inventory primarily consists of bulk drug substance and unlabeled filled vials of the Company’s immunoglobulin products.</w:t>
      </w:r>
    </w:p>
    <w:p>
      <w:pPr>
        <w:spacing w:after="0" w:line="237" w:lineRule="exact"/>
        <w:rPr>
          <w:sz w:val="20"/>
          <w:szCs w:val="20"/>
          <w:color w:val="auto"/>
        </w:rPr>
      </w:pPr>
    </w:p>
    <w:p>
      <w:pPr>
        <w:ind w:right="220" w:firstLine="607"/>
        <w:spacing w:after="0" w:line="308" w:lineRule="auto"/>
        <w:rPr>
          <w:sz w:val="20"/>
          <w:szCs w:val="20"/>
          <w:color w:val="auto"/>
        </w:rPr>
      </w:pPr>
      <w:r>
        <w:rPr>
          <w:rFonts w:ascii="Arial" w:cs="Arial" w:eastAsia="Arial" w:hAnsi="Arial"/>
          <w:sz w:val="17"/>
          <w:szCs w:val="17"/>
          <w:color w:val="auto"/>
        </w:rPr>
        <w:t>Finished goods inventory is comprised of immunoglobulin product inventory and related intermediates that are available for commercial sale, as well as plasma collected at the Company’s plasma collection centers which is expected to be sold to third-party customers.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4.</w:t>
            </w: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752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at December 31, 2022 and 2021 is summarized as follows: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Manufacturing and laboratory equipment</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18,767,807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16,702,991</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auto"/>
              </w:rPr>
              <w:t>Office equipment and computer software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5,318,669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4,082,462</w:t>
            </w: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3,389,140</w:t>
            </w:r>
          </w:p>
        </w:tc>
      </w:tr>
      <w:tr>
        <w:trPr>
          <w:trHeight w:val="216"/>
        </w:trPr>
        <w:tc>
          <w:tcPr>
            <w:tcW w:w="8020" w:type="dxa"/>
            <w:vAlign w:val="bottom"/>
            <w:gridSpan w:val="3"/>
          </w:tcPr>
          <w:p>
            <w:pPr>
              <w:spacing w:after="0"/>
              <w:rPr>
                <w:sz w:val="20"/>
                <w:szCs w:val="20"/>
                <w:color w:val="auto"/>
              </w:rPr>
            </w:pPr>
            <w:r>
              <w:rPr>
                <w:rFonts w:ascii="Arial" w:cs="Arial" w:eastAsia="Arial" w:hAnsi="Arial"/>
                <w:sz w:val="18"/>
                <w:szCs w:val="18"/>
                <w:color w:val="auto"/>
              </w:rPr>
              <w:t>Construction in process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6,726,995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5,496,222</w:t>
            </w:r>
          </w:p>
        </w:tc>
      </w:tr>
      <w:tr>
        <w:trPr>
          <w:trHeight w:val="216"/>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17,930,905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11,129,639</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Land</w:t>
            </w: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4,339,441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4,339,441</w:t>
            </w:r>
          </w:p>
        </w:tc>
      </w:tr>
      <w:tr>
        <w:trPr>
          <w:trHeight w:val="223"/>
        </w:trPr>
        <w:tc>
          <w:tcPr>
            <w:tcW w:w="8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19,544,307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19,067,032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77,738,022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64,206,927</w:t>
            </w:r>
          </w:p>
        </w:tc>
      </w:tr>
      <w:tr>
        <w:trPr>
          <w:trHeight w:val="223"/>
        </w:trPr>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(19,476,541)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(13,271,853)</w:t>
            </w:r>
          </w:p>
        </w:tc>
      </w:tr>
      <w:tr>
        <w:trPr>
          <w:trHeight w:val="216"/>
        </w:trPr>
        <w:tc>
          <w:tcPr>
            <w:tcW w:w="802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58,261,481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50,935,074</w:t>
            </w:r>
          </w:p>
        </w:tc>
        <w:tc>
          <w:tcPr>
            <w:tcW w:w="100" w:type="dxa"/>
            <w:vAlign w:val="bottom"/>
            <w:tcBorders>
              <w:top w:val="single" w:sz="8" w:color="CCEEFF"/>
            </w:tcBorders>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07"/>
        <w:spacing w:after="0" w:line="277" w:lineRule="auto"/>
        <w:rPr>
          <w:sz w:val="20"/>
          <w:szCs w:val="20"/>
          <w:color w:val="auto"/>
        </w:rPr>
      </w:pPr>
      <w:r>
        <w:rPr>
          <w:rFonts w:ascii="Arial" w:cs="Arial" w:eastAsia="Arial" w:hAnsi="Arial"/>
          <w:sz w:val="18"/>
          <w:szCs w:val="18"/>
          <w:color w:val="auto"/>
        </w:rPr>
        <w:t>The Company recorded depreciation expense on property and equipment of $6.4 million and $4.8 million for the years ended December 31, 2022 and 2021, respectively.</w:t>
      </w:r>
    </w:p>
    <w:p>
      <w:pPr>
        <w:spacing w:after="0" w:line="166"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Intangible assets at December 31, 2022 and 2021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 2022</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90"/>
              </w:rPr>
              <w:t>December 31, 2021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1"/>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Amortization</w:t>
            </w:r>
          </w:p>
        </w:tc>
        <w:tc>
          <w:tcPr>
            <w:tcW w:w="260" w:type="dxa"/>
            <w:vAlign w:val="bottom"/>
          </w:tcPr>
          <w:p>
            <w:pPr>
              <w:spacing w:after="0"/>
              <w:rPr>
                <w:sz w:val="20"/>
                <w:szCs w:val="20"/>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24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6"/>
              </w:rPr>
              <w:t>Amortization</w:t>
            </w:r>
          </w:p>
        </w:tc>
        <w:tc>
          <w:tcPr>
            <w:tcW w:w="240" w:type="dxa"/>
            <w:vAlign w:val="bottom"/>
          </w:tcPr>
          <w:p>
            <w:pPr>
              <w:spacing w:after="0"/>
              <w:rPr>
                <w:sz w:val="20"/>
                <w:szCs w:val="20"/>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Trademark and other intangible rights</w:t>
            </w: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Nabi-HB</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4,100,046</w:t>
            </w:r>
          </w:p>
        </w:tc>
        <w:tc>
          <w:tcPr>
            <w:tcW w:w="50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3,270,276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829,770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4,100,046</w:t>
            </w:r>
          </w:p>
        </w:tc>
        <w:tc>
          <w:tcPr>
            <w:tcW w:w="4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2,684,554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1,415,492</w:t>
            </w: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Rights to intermediates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907,421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723,776</w:t>
            </w:r>
          </w:p>
        </w:tc>
        <w:tc>
          <w:tcPr>
            <w:tcW w:w="2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183,645</w:t>
            </w: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907,421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594,145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313,276</w:t>
            </w:r>
          </w:p>
        </w:tc>
      </w:tr>
      <w:tr>
        <w:trPr>
          <w:trHeight w:val="256"/>
        </w:trPr>
        <w:tc>
          <w:tcPr>
            <w:tcW w:w="3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3,994,052</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1,013,415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5,007,467</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3,278,699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49"/>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F-13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500" w:firstLine="486"/>
        <w:spacing w:after="0" w:line="311" w:lineRule="auto"/>
        <w:rPr>
          <w:sz w:val="20"/>
          <w:szCs w:val="20"/>
          <w:color w:val="auto"/>
        </w:rPr>
      </w:pPr>
      <w:r>
        <w:rPr>
          <w:rFonts w:ascii="Arial" w:cs="Arial" w:eastAsia="Arial" w:hAnsi="Arial"/>
          <w:sz w:val="16"/>
          <w:szCs w:val="16"/>
          <w:color w:val="auto"/>
        </w:rPr>
        <w:t>Under the previous contract manufacturing agreement between ADMA and BPC, intermediate by-products derived from the manufacture of ASCENIV were property of Biotest. As a result of the Biotest Transaction, ADMA obtained the right to these intermediate products, which are being amortized over a period of seven years. The intangible rights to Nabi-HB are also being amortized over a period of seven years.</w:t>
      </w:r>
    </w:p>
    <w:p>
      <w:pPr>
        <w:spacing w:after="0" w:line="149"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Amortization expense related to the Company’s intangible assets for the years ended December 31, 2022 and 2021 was $0.7 million. Estimated aggregate future aggregate amortization expense is expected to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jc w:val="right"/>
              <w:ind w:right="5010"/>
              <w:spacing w:after="0"/>
              <w:rPr>
                <w:sz w:val="20"/>
                <w:szCs w:val="20"/>
                <w:color w:val="auto"/>
              </w:rPr>
            </w:pPr>
            <w:r>
              <w:rPr>
                <w:rFonts w:ascii="Arial" w:cs="Arial" w:eastAsia="Arial" w:hAnsi="Arial"/>
                <w:sz w:val="18"/>
                <w:szCs w:val="18"/>
                <w:color w:val="auto"/>
                <w:w w:val="84"/>
              </w:rPr>
              <w:t>2023</w:t>
            </w:r>
          </w:p>
        </w:tc>
        <w:tc>
          <w:tcPr>
            <w:tcW w:w="5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715,352</w:t>
            </w:r>
          </w:p>
        </w:tc>
      </w:tr>
      <w:tr>
        <w:trPr>
          <w:trHeight w:val="230"/>
        </w:trPr>
        <w:tc>
          <w:tcPr>
            <w:tcW w:w="5460" w:type="dxa"/>
            <w:vAlign w:val="bottom"/>
          </w:tcPr>
          <w:p>
            <w:pPr>
              <w:jc w:val="right"/>
              <w:ind w:right="5010"/>
              <w:spacing w:after="0"/>
              <w:rPr>
                <w:sz w:val="20"/>
                <w:szCs w:val="20"/>
                <w:color w:val="auto"/>
              </w:rPr>
            </w:pPr>
            <w:r>
              <w:rPr>
                <w:rFonts w:ascii="Arial" w:cs="Arial" w:eastAsia="Arial" w:hAnsi="Arial"/>
                <w:sz w:val="18"/>
                <w:szCs w:val="18"/>
                <w:color w:val="auto"/>
                <w:w w:val="84"/>
              </w:rPr>
              <w:t>2024</w:t>
            </w:r>
          </w:p>
        </w:tc>
        <w:tc>
          <w:tcPr>
            <w:tcW w:w="5780" w:type="dxa"/>
            <w:vAlign w:val="bottom"/>
          </w:tcPr>
          <w:p>
            <w:pPr>
              <w:jc w:val="right"/>
              <w:ind w:right="10"/>
              <w:spacing w:after="0"/>
              <w:rPr>
                <w:sz w:val="20"/>
                <w:szCs w:val="20"/>
                <w:color w:val="auto"/>
              </w:rPr>
            </w:pPr>
            <w:r>
              <w:rPr>
                <w:rFonts w:ascii="Arial" w:cs="Arial" w:eastAsia="Arial" w:hAnsi="Arial"/>
                <w:sz w:val="18"/>
                <w:szCs w:val="18"/>
                <w:color w:val="auto"/>
              </w:rPr>
              <w:t>298,063</w:t>
            </w:r>
          </w:p>
        </w:tc>
      </w:tr>
    </w:tbl>
    <w:p>
      <w:pPr>
        <w:spacing w:after="0" w:line="183"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EXPENSES AND OTHER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w w:val="98"/>
              </w:rPr>
              <w:t>Accrued expenses and other current liabilities at December 31, 2022 and 2021 are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11,436,484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5,040,200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Accrued distribution fees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3,166,896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4,739,651</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incentives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4,193,919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4,066,109</w:t>
            </w: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Accrued testing</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1,189,970</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payroll and other compensation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4,086,379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1,197,337</w:t>
            </w:r>
          </w:p>
        </w:tc>
      </w:tr>
      <w:tr>
        <w:trPr>
          <w:trHeight w:val="223"/>
        </w:trPr>
        <w:tc>
          <w:tcPr>
            <w:tcW w:w="8020" w:type="dxa"/>
            <w:vAlign w:val="bottom"/>
            <w:gridSpan w:val="5"/>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1,795,804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981,721</w:t>
            </w:r>
          </w:p>
        </w:tc>
      </w:tr>
      <w:tr>
        <w:trPr>
          <w:trHeight w:val="256"/>
        </w:trPr>
        <w:tc>
          <w:tcPr>
            <w:tcW w:w="160" w:type="dxa"/>
            <w:vAlign w:val="bottom"/>
            <w:tcBorders>
              <w:bottom w:val="single" w:sz="8" w:color="CCEEFF"/>
            </w:tcBorders>
            <w:shd w:val="clear" w:color="auto" w:fill="CCEEFF"/>
          </w:tcPr>
          <w:p>
            <w:pPr>
              <w:spacing w:after="0"/>
              <w:rPr>
                <w:sz w:val="22"/>
                <w:szCs w:val="22"/>
                <w:color w:val="auto"/>
              </w:rPr>
            </w:pPr>
          </w:p>
        </w:tc>
        <w:tc>
          <w:tcPr>
            <w:tcW w:w="7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24,989,349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17,214,988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3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gridSpan w:val="2"/>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Senior Notes Payable</w:t>
            </w:r>
          </w:p>
        </w:tc>
        <w:tc>
          <w:tcPr>
            <w:tcW w:w="64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A summary of outstanding senior notes payable is as follows: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2022</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2021</w:t>
            </w:r>
          </w:p>
        </w:tc>
      </w:tr>
      <w:tr>
        <w:trPr>
          <w:trHeight w:val="216"/>
        </w:trPr>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Notes payable</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154,747,746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5"/>
          </w:tcPr>
          <w:p>
            <w:pPr>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60" w:type="dxa"/>
            <w:vAlign w:val="bottom"/>
            <w:shd w:val="clear" w:color="auto" w:fill="CCEEFF"/>
          </w:tcPr>
          <w:p>
            <w:pPr>
              <w:spacing w:after="0"/>
              <w:rPr>
                <w:sz w:val="19"/>
                <w:szCs w:val="19"/>
                <w:color w:val="auto"/>
              </w:rPr>
            </w:pPr>
          </w:p>
        </w:tc>
        <w:tc>
          <w:tcPr>
            <w:tcW w:w="78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Debt discount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(11,914,683)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(5,133,761)</w:t>
            </w:r>
          </w:p>
        </w:tc>
      </w:tr>
      <w:tr>
        <w:trPr>
          <w:trHeight w:val="230"/>
        </w:trPr>
        <w:tc>
          <w:tcPr>
            <w:tcW w:w="8020" w:type="dxa"/>
            <w:vAlign w:val="bottom"/>
            <w:tcBorders>
              <w:top w:val="single" w:sz="8" w:color="CCEEFF"/>
            </w:tcBorders>
            <w:gridSpan w:val="5"/>
          </w:tcPr>
          <w:p>
            <w:pPr>
              <w:spacing w:after="0"/>
              <w:rPr>
                <w:sz w:val="20"/>
                <w:szCs w:val="20"/>
                <w:color w:val="auto"/>
              </w:rPr>
            </w:pPr>
            <w:r>
              <w:rPr>
                <w:rFonts w:ascii="Arial" w:cs="Arial" w:eastAsia="Arial" w:hAnsi="Arial"/>
                <w:sz w:val="18"/>
                <w:szCs w:val="18"/>
                <w:color w:val="auto"/>
              </w:rPr>
              <w:t>Senior notes payable</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142,833,063</w:t>
            </w:r>
          </w:p>
        </w:tc>
        <w:tc>
          <w:tcPr>
            <w:tcW w:w="1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94,866,239</w:t>
            </w:r>
          </w:p>
        </w:tc>
        <w:tc>
          <w:tcPr>
            <w:tcW w:w="100" w:type="dxa"/>
            <w:vAlign w:val="bottom"/>
            <w:tcBorders>
              <w:top w:val="single" w:sz="8" w:color="CCEEFF"/>
            </w:tcBorders>
          </w:tcPr>
          <w:p>
            <w:pPr>
              <w:spacing w:after="0"/>
              <w:rPr>
                <w:sz w:val="20"/>
                <w:szCs w:val="20"/>
                <w:color w:val="auto"/>
              </w:rPr>
            </w:pPr>
          </w:p>
        </w:tc>
      </w:tr>
      <w:tr>
        <w:trPr>
          <w:trHeight w:val="26"/>
        </w:trPr>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 xml:space="preserve">On March 23, 2022 (the “Hayfin Closing Date”), the Company and all of its subsidiaries entered into a Credit and Guaranty Agreement (the “Hayfin Credit Agreement”) with Hayfin Services LLP (“Hayfin”). The Hayfin Credit Agreement provides for a senior secured term loan facility in a principal amount of up to $175.0 million (the “Hayfin Credit Facility”), composed of (i) a term loan made on the Hayfin Closing Date in the principal amount of $ 150.0 million </w:t>
      </w:r>
      <w:r>
        <w:rPr>
          <w:rFonts w:ascii="Arial" w:cs="Arial" w:eastAsia="Arial" w:hAnsi="Arial"/>
          <w:sz w:val="13"/>
          <w:szCs w:val="13"/>
          <w:color w:val="auto"/>
        </w:rPr>
        <w:t>(</w:t>
      </w:r>
      <w:r>
        <w:rPr>
          <w:rFonts w:ascii="Arial" w:cs="Arial" w:eastAsia="Arial" w:hAnsi="Arial"/>
          <w:sz w:val="17"/>
          <w:szCs w:val="17"/>
          <w:color w:val="auto"/>
        </w:rPr>
        <w:t>the “Hayfin Closing Date Loan”), and (ii) a delayed draw term loan in the principal amount of $25.0 million (the “Hayfin Delayed Draw Loan” and, together with the Hayfin Closing Date Loan, the “Hayfin Loans”). The obligation of the lenders to make the Hayfin Delayed Draw Loan was to expire on March 22, 2023 (see Note 17) and is subject to the satisfaction of certain conditions, including, but not limited to, the Company’s meeting certain 12-month revenue targets as set forth in the Hayfin Credit Agreement, which the Company has met. The Hayfin Credit Facility has a maturity date of March 23, 2027 (the “Hayfin Maturity Date”), subject to acceleration pursuant to the Hayfin Credit Agreement, including upon an Event of Default (as defined in the Hayfin Credit Agreement).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On the Hayfin Closing Date, the Company used $100.0 million of the Hayfin Closing Date Loan to terminate and pay in full all of the outstanding obligations under the Company’s previously existing credit facility (the “Perceptive Credit Facility”) with Perceptive Credit Holdings II, LP (“Perceptive”). The Company also used $2.0 million of the Hayfin Closing Date Loan proceeds to pay a redemption premium to Perceptive and used approximately $1.0 million of the Hayfin Closing Date Loan proceeds to pay certain fees and expenses incurred in connection with this transaction. In addition, a $1.8 million upfront fee payable to Hayfin was paid “in kind” and was added to the outstanding principal balance in accordance with the terms of the Hayfin Credit Agreement. In connection with the retirement of the Perceptive Credit Facility and all of the obligations thereunder, the Company recorded a loss on extinguishment of debt in the amount of $6.7 million, consisting of the write-off of unamortized discount related to the Perceptive indebtedness and the redemption premium paid to Perceptive.</w:t>
      </w:r>
    </w:p>
    <w:p>
      <w:pPr>
        <w:spacing w:after="0" w:line="19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Borrowings under the Hayfin Credit Agreement bear interest, at the Company’s election, at either (a) a base rate (equal to the highest of (i) the rate of interest per annum last quoted by The Wall Street Journal as the “Prime Rate” in the United States, (ii) the federal funds rate in effect on such day plus 0.50% and (iii) adjusted Term Secured Overnight Financing Rate (“SOFR”) for a one-month tenor in effect on such day plus 1.00%), plus an applicable margin of 8.5%, or (b) adjusted Term SOFR for either a one-month or three-month tenor, as elected by the Company, and subject to a floor of 1.25%, plus an applicable margin of 9.5% (the “Applicable Margin”); provided, however, that upon, and during the continuance of, an Event of Default, the Applicable Margin shall increase by an additional 3% per annum. On the last day of each calendar month or quarter during the term of the Hayfin Credit Facility, the Company will pay accrued interest to Hayfin. The rate of interest in effect as of the Hayfin Closing Date and as of December 31, 2022 was 10.75% and approximately 13.9%, respectively. The Company is also permitted to pay “in kind” a portion of the interest on the Hayfin Loans for each monthly or quarterly interest period in an amount equal to 2.5% per annum, which is added to the principal amount of the outstanding debt under the Hayfin Credit Facility. From the Hayfin Closing Date through December 31, 2022, approximately $3.0 million of interest was paid in kind and added to the balance of the outstanding Hayfin Loans.</w:t>
      </w:r>
    </w:p>
    <w:p>
      <w:pPr>
        <w:spacing w:after="0" w:line="18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On the Hayfin Maturity Date, the Company will pay Hayfin the entire outstanding principal amount underlying the Hayfin Loans and any accrued and unpaid interest thereon, as well as an exit fee of 1.0% of the outstanding principal amount being paid. This exit fee is recorded separately as a non-current liability on the accompanying consolidated balance sheet as of December 31, 2022. Prior to the Hayfin Maturity Date, there are no scheduled principal payments on the Hayfin Loans. The Company may prepay outstanding principal on the Hayfin Loans at any time and from time to time upon five business days’ prior written notice, subject to the payment to Hayfin of, (A) any accrued but unpaid interest on the prepaid principal amount plus (B) an early prepayment fee in the amount equal to (i) 7.0% of the prepaid principal amount, if prepaid on or prior to the first anniversary of the Hayfin Closing Date, (ii) 3.0% of the prepaid principal amount, if prepaid after the first anniversary of the Hayfin Closing Date and on or prior to the second anniversary of the Hayfin Closing Date, or (iii) 1.0% of the prepaid principal amount, if prepaid after the second anniversary of the Hayfin Closing Date and on or prior to the third anniversary of the Hayfin Closing Date. In addition, for any prepayments of principal or payment of principal on the Hayfin Maturity Date, the Company is also required to pay the exit fee.</w:t>
      </w:r>
    </w:p>
    <w:p>
      <w:pPr>
        <w:spacing w:after="0" w:line="185" w:lineRule="exact"/>
        <w:rPr>
          <w:sz w:val="20"/>
          <w:szCs w:val="20"/>
          <w:color w:val="auto"/>
        </w:rPr>
      </w:pPr>
    </w:p>
    <w:p>
      <w:pPr>
        <w:ind w:firstLine="486"/>
        <w:spacing w:after="0" w:line="283" w:lineRule="auto"/>
        <w:rPr>
          <w:sz w:val="20"/>
          <w:szCs w:val="20"/>
          <w:color w:val="auto"/>
        </w:rPr>
      </w:pPr>
      <w:r>
        <w:rPr>
          <w:rFonts w:ascii="Arial" w:cs="Arial" w:eastAsia="Arial" w:hAnsi="Arial"/>
          <w:sz w:val="16"/>
          <w:szCs w:val="16"/>
          <w:color w:val="auto"/>
        </w:rPr>
        <w:t>All of the Company’s obligations under the Hayfin Credit Agreement are secured by a first-priority lien and security interest in substantially all of the Company’s tangible and intangible assets, including intellectual property, and all of the equity interests in the Company’s subsidiaries. The Hayfin Credit Agreement contains certain representations and warranties, affirmative covenants, negative covenants and conditions that are customarily required for similar financings. The negative covenants restrict or limit the ability of the Company and its subsidiaries to, among other things and subject to certain exceptions contained in the Hayfin Credit Agreement, incur new indebtedness; create liens on assets; engage in certain fundamental corporate changes, such as mergers or acquisitions, or changes to the Company’s or its subsidiaries’ business activities; make certain Investments or Restricted Payments (each as defined in the Hayfin Credit Agreement); change its fiscal year; pay dividends; repay certain other indebtedness; engage in certain affiliate transactions; or enter into, amend or terminate any other agreements that have the impact of restricting the Company’s ability to make loan repayments under the Hayfin Credit Agreement. In addition, the Company is required (i) at all times prior to the Maturity Date to maintain a minimum cash balance of $6.0 million; and</w:t>
      </w:r>
    </w:p>
    <w:p>
      <w:pPr>
        <w:spacing w:after="0" w:line="6" w:lineRule="exact"/>
        <w:rPr>
          <w:sz w:val="20"/>
          <w:szCs w:val="20"/>
          <w:color w:val="auto"/>
        </w:rPr>
      </w:pPr>
    </w:p>
    <w:p>
      <w:pPr>
        <w:ind w:right="180" w:firstLine="8"/>
        <w:spacing w:after="0" w:line="302" w:lineRule="auto"/>
        <w:tabs>
          <w:tab w:leader="none" w:pos="26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as of the last day of each fiscal quarter, report IVIG product and related revenues for the trailing 12-month period that exceed the amounts set forth in the Hayfin Credit Agreement, which range from $75.0 million for the fiscal quarter ended June 30, 2022 to $250.0 million for the fiscal quarter ended December 31, 2026. As of December 31, 2022, the Company was in compliance with all of the covenants contained in the Hayfin Credit Agreement.</w:t>
      </w:r>
    </w:p>
    <w:p>
      <w:pPr>
        <w:spacing w:after="0" w:line="155" w:lineRule="exact"/>
        <w:rPr>
          <w:sz w:val="20"/>
          <w:szCs w:val="20"/>
          <w:color w:val="auto"/>
        </w:rPr>
      </w:pPr>
    </w:p>
    <w:p>
      <w:pPr>
        <w:ind w:right="260" w:firstLine="495"/>
        <w:spacing w:after="0" w:line="257" w:lineRule="auto"/>
        <w:rPr>
          <w:sz w:val="20"/>
          <w:szCs w:val="20"/>
          <w:color w:val="auto"/>
        </w:rPr>
      </w:pPr>
      <w:r>
        <w:rPr>
          <w:rFonts w:ascii="Arial" w:cs="Arial" w:eastAsia="Arial" w:hAnsi="Arial"/>
          <w:sz w:val="18"/>
          <w:szCs w:val="18"/>
          <w:color w:val="auto"/>
        </w:rPr>
        <w:t>As consideration for the Hayfin Credit Agreement, the Company issued to various entities affiliated with Hayfin, on the Hayfin Closing Date, warrants to purchase an aggregate of 9,103,047 shares of the Company’s common stock (the “Hayfin Warrants”). The Hayfin Warrants have an exercise price equal to $1.6478 per share, which is equal to the trailing 30-day Volume Weighted-average Price of the Company’s common stock on the business day immediately prior to the Hayfin Closing Date. The Hayfin Warrants were valued by the Company at approximately $9.6 million as of the Hayfin Closing Date and have an expiration date of March 23, 2029.</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the upfront fee and exit fee paid or payable to Hayfin, the expenses incurred by the Company in connection with this transaction and the value of the Hayfin Warrants, the Company recognized an aggregate discount on the Hayfin Loans in the amount of $13.9 million. The Company records debt discount as a reduction to the face amount of the debt, and the debt discount is amortized as interest expense over the life of the debt using the interest method. Based on the fair value of the Hayfin Warrants and the aggregate amount of fees and expenses associated with obtaining the Hayfin Credit Facility, the effective interest rate on the Hayfin Loans as of the Hayfin Closing Date and as of December 31, 2022 was approximately 13.0% and 16.1%, respectively.</w:t>
      </w:r>
    </w:p>
    <w:p>
      <w:pPr>
        <w:spacing w:after="0" w:line="188"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is currently authorized to issue up to 10 million shares of preferred stock, $0.0001 par value per share. There were no shares of preferred stock outstanding at 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As of December 31, 2022 and 2021, the Company was authorized to issue 300,000,000 shares of its common stock, $0.0001 par value per share, and 221,816,930 and 195,813,817 shares of common stock were outstanding as of December 31, 2022 and 2021, respectively. On May 27, 2021, the Company amended its Second Amended and Restated Certificate of Incorporation to increase the number of shares of common stock that the Company is authorized to issue from 150,000,000 to 300,000,000. After giving effect to shares reserved for the issuance of warrants and for awards issued under the Company’s equity incentive plans, 29,177,763 shares of common stock were available for issuance as of December 31, 2022.</w:t>
      </w:r>
    </w:p>
    <w:p>
      <w:pPr>
        <w:spacing w:after="0" w:line="161" w:lineRule="exact"/>
        <w:rPr>
          <w:sz w:val="20"/>
          <w:szCs w:val="20"/>
          <w:color w:val="auto"/>
        </w:rPr>
      </w:pPr>
    </w:p>
    <w:p>
      <w:pPr>
        <w:ind w:right="200" w:firstLine="648"/>
        <w:spacing w:after="0" w:line="220" w:lineRule="exact"/>
        <w:rPr>
          <w:sz w:val="20"/>
          <w:szCs w:val="20"/>
          <w:color w:val="auto"/>
        </w:rPr>
      </w:pPr>
      <w:r>
        <w:rPr>
          <w:rFonts w:ascii="Arial" w:cs="Arial" w:eastAsia="Arial" w:hAnsi="Arial"/>
          <w:sz w:val="17"/>
          <w:szCs w:val="17"/>
          <w:color w:val="auto"/>
        </w:rPr>
        <w:t>On December 9, 2022, the Company completed an underwritten public offering whereby the Company issued 24,125,873 shares of its common stock. Net proceeds after underwriting discounts and expenses associated with the offering were approximately $64.6 million and are being used to accelerate commercialization and production activities, complete plasma center buildouts and obtain FDA approvals, to conclude post</w:t>
      </w:r>
      <w:r>
        <w:rPr>
          <w:rFonts w:ascii="MS PGothic" w:cs="MS PGothic" w:eastAsia="MS PGothic" w:hAnsi="MS PGothic"/>
          <w:sz w:val="17"/>
          <w:szCs w:val="17"/>
          <w:color w:val="auto"/>
        </w:rPr>
        <w:t>‑</w:t>
      </w:r>
      <w:r>
        <w:rPr>
          <w:rFonts w:ascii="Arial" w:cs="Arial" w:eastAsia="Arial" w:hAnsi="Arial"/>
          <w:sz w:val="17"/>
          <w:szCs w:val="17"/>
          <w:color w:val="auto"/>
        </w:rPr>
        <w:t>FDA marketing approval research and development projects, and for working capital, capital expenditures and general corporate purposes.</w:t>
      </w:r>
    </w:p>
    <w:p>
      <w:pPr>
        <w:spacing w:after="0" w:line="20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During the year ended December 31, 2022, outstanding stock options aggregating to 68,679 shares of common stock were exercised, and the Company received net proceeds from the exercises of approximately $0.2 million.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25, 2021, the Company completed an underwritten public offering whereby the Company issued 57.5 million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received gross proceeds of $57.5 million. Net proceeds after underwriting discounts and expenses associated with the offering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$53.8 million, and were used to advance the commercial sales of the Company’s FDA approved products through the procurement of raw materials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manufacturing of BIVIGAM and ASCENIV, to expand the Company’s plasma collection facility network, to scale up the manufacturing capacity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Boca Facility and make continuous improvements in order to adhere to cGMP compliance, to explore business development opportunities and for general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purposes and other capital expenditures.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September 3, 2021, the Company entered into a distribution agreement with Raymond James &amp; Associates, Inc., as agent (“Agent”), pursuant to which the Company may offer and sell, from time to time, at its option, through or to the Agent, up to an aggregate of $50 million of shares of the Company’s common stock (the “Distribution Agreement”). The Company currently intends to use any net proceeds from the sale of its common stock under the Distribution Agreement for general corporate purposes, including procurement of source plasma and other raw materials, supply chain initiatives and production expenditures, funding expansion of plasma centers, working capital, capital expenditures, expansion and resources for commercialization activities, and other potential research and development and business opportunities. The Company currently has approximately $42.8 million of shares available to sell under the Distribution Agreement. There were no sales under the Distribution Agreement during the year ended December 31, 2022. During the year ended December 31, 2021, the Company issued 5,540,831 shares of its common stock under the Distribution Agreement and received net proceeds of $6.9 million.</w:t>
      </w:r>
    </w:p>
    <w:p>
      <w:pPr>
        <w:spacing w:after="0" w:line="18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August 5, 2020, the Company entered into an open market sale agreement (as amended from time to time, the “Sale Agreement”) with Jefferies LLC (“Jefferies”), pursuant to which the Company could offer and sell, from time to time, at its option, through or to Jefferies, up to an aggregate of $50 million of shares of the Company’s common stock. On November 5, 2020 and February 3, 2021, the Company and Jefferies amended the Sale Agreement to provide for increases in the aggregate offering amount under the Sale Agreement such that the Company could sell shares having an aggregate offering price of up to $105.4 million under the Sale Agreement, as amended. The Sale Agreement was terminated on August 31, 2021. For the year ended December 31, 2021, the Company issued and sold 27,805,198 shares of common stock under the 2020 Sale Agreement and received net proceeds of $60.4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March 23, 2022, the Company issued the Hayfin Warrants, whereby affiliates of Hayfin may purchase an aggregate of 9,103,047 shares of common stock at an exercise price $1.6478 per share (see Note 7). The Hayfin Warrants was valued at $9.6 million, using the Black-Scholes option pricing model assuming an expected term of 7 years, a volatility of 68.1%, a dividend yield of 0% and a risk-free interest rate of 2.36%.</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During the year ended December 31, 2022, warrants to purchase 31,750 shares of common stock that had been issued to a former noteholder of the Company expired. At December 31, 2022 and 2021, the Company had outstanding warrants to purchase an aggregate of 13,525,148 and 4,528,160 shares, respectively, of common stock, with a weighted average exercise price of $1.99 and $2.82 per share, respectively, and expiration dates ranging between May 2023 and December 2030.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Equity Incentive Plans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From time to time the Company granted stock options or other equity-based awards under the Company’s Amended and Restated 2014 Omnibus Incentive Compensation Plan (the “2014 Plan”).</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2014 Plan, as amended, was approved by the Company’s Board of Directors (the “Board”) on March 15, 2017 and by the Company’s stockholders on May 25, 2017. The maximum number of shares that were reserved for grant under the 2014 Plan was: (a) 2,334,940 shares; plus (b) an annual increase as of the first day of the Company’s fiscal year, beginning in 2018 and occurring each year thereafter through 2022, equal to 4% of the outstanding shares of common stock as of the end of the Company’s immediately preceding fiscal year, or any lesser number of shares determined by the Board; provided, however, that no more than an aggregate of 10 million shares of common stock may be issued pursuant to incentive stock options intended to qualify under Section 422 of the Internal Revenue Code. As of December 31, 2021, an aggregate of 69,090 shares were available for issuance under the 2014 Plan. In accordance with the foregoing, on January 1, 2022 the aggregate number of shares available for issuance increased to 7,901,643.</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years ended December 31, 2022 and 2021, the Company granted options to purchase an aggregate of 1,194,032 and 1,895,550 shares of common stock, respectively, to its directors and employees under the 2014 Plan. The fair value of stock options granted was determined on the date of grant using the Black-Scholes model. The Black-Scholes option pricing model was developed for use in estimating the fair value of publicly traded options, which have no vesting restrictions and are fully transferable. The Company’s employee stock options have characteristics significantly different from those of traded options, and changes in the underlying Black-Scholes assumptions can materially affect the fair value estimate. To determine the risk-free interest rate, the Company utilized the U.S. Treasury yield curve in effect at the time of the grant with a term consistent with the term of the awards granted by the Company. The expected term of the options granted is in accordance with Staff Accounting Bulletins 107 and 110, which is based on the average between vesting terms and contractual terms. The expected dividend yield reflects the Company’s current and expected future policy for dividends on the Company’s common stock. For the years ended December 31, 2022 and 2021, the expected stock price volatility for the Company’s stock options was calculated by examining the historical volatility of the Company’s common stock since the stock became publicly traded in the fourth quarter of 2013.</w:t>
      </w:r>
    </w:p>
    <w:p>
      <w:pPr>
        <w:spacing w:after="0" w:line="10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grant date fair values of stock options awarded during the years ended December 31, 2022 and 2021 were determined using the Black-Scholes option pricing model with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Years Ended</w:t>
            </w:r>
          </w:p>
        </w:tc>
      </w:tr>
      <w:tr>
        <w:trPr>
          <w:trHeight w:val="198"/>
        </w:trPr>
        <w:tc>
          <w:tcPr>
            <w:tcW w:w="860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r>
      <w:tr>
        <w:trPr>
          <w:trHeight w:val="241"/>
        </w:trPr>
        <w:tc>
          <w:tcPr>
            <w:tcW w:w="860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term</w:t>
            </w:r>
          </w:p>
        </w:tc>
        <w:tc>
          <w:tcPr>
            <w:tcW w:w="1100" w:type="dxa"/>
            <w:vAlign w:val="bottom"/>
          </w:tcPr>
          <w:p>
            <w:pPr>
              <w:ind w:left="160"/>
              <w:spacing w:after="0"/>
              <w:rPr>
                <w:sz w:val="20"/>
                <w:szCs w:val="20"/>
                <w:color w:val="auto"/>
              </w:rPr>
            </w:pPr>
            <w:r>
              <w:rPr>
                <w:rFonts w:ascii="Arial" w:cs="Arial" w:eastAsia="Arial" w:hAnsi="Arial"/>
                <w:sz w:val="18"/>
                <w:szCs w:val="18"/>
                <w:color w:val="auto"/>
                <w:w w:val="87"/>
              </w:rPr>
              <w:t>5.5-6.3 years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5.5-6.3 years</w:t>
            </w: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0.80-1.27%</w:t>
            </w:r>
          </w:p>
        </w:tc>
      </w:tr>
    </w:tbl>
    <w:p>
      <w:pPr>
        <w:spacing w:after="0" w:line="21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June 21, 2022, the Company’s stockholders approved the ADMA Biologics, Inc. 2022 Compensation Plan (the “2022 Equity Plan”). Approval of the 2022 Equity Plan resulted in approximately 18 million additional shares of the Company’s common stock being reserved for future awards. The 2022 Equity Plan provides for the Board or a Committee of the Board (the “Committee”) to grant awards to optionees and to determine the exercise price, vesting term, expiration date and all other terms and conditions of the awards, including acceleration of the vesting of an award at any time. Any options granted under the 2022 Equity Plan are intended to be Incentive Stock Options (“ISOs”), unless specified by the Committee to be Non-Qualified Options (“NQOs”) as defined by the Internal Revenue Code. ISOs and NQOs may be granted to employees, consultants or Board members at an option price not less than the fair market value of the common stock subject to the stock option agreement. The following table summarizes information about stock options outstanding as of December 31, 2022 and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41"/>
        </w:trPr>
        <w:tc>
          <w:tcPr>
            <w:tcW w:w="53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Exercise Price</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1"/>
              </w:rPr>
              <w:t>Options outstanding, vested and expected to vest at December 31, 2020</w:t>
            </w:r>
          </w:p>
        </w:tc>
        <w:tc>
          <w:tcPr>
            <w:tcW w:w="3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6,922,931</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Forfeited</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(529,202)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(426,557)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1,895,550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2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Exercised</w:t>
            </w:r>
          </w:p>
        </w:tc>
        <w:tc>
          <w:tcPr>
            <w:tcW w:w="3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1"/>
              </w:rPr>
              <w:t>Options outstanding, vested and expected to vest at December 31, 2021</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7,862,722</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(31,540)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Expired</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(700,324)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1,194,032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Exercised</w:t>
            </w:r>
          </w:p>
        </w:tc>
        <w:tc>
          <w:tcPr>
            <w:tcW w:w="4700" w:type="dxa"/>
            <w:vAlign w:val="bottom"/>
            <w:gridSpan w:val="3"/>
          </w:tcPr>
          <w:p>
            <w:pPr>
              <w:jc w:val="right"/>
              <w:ind w:right="160"/>
              <w:spacing w:after="0"/>
              <w:rPr>
                <w:sz w:val="20"/>
                <w:szCs w:val="20"/>
                <w:color w:val="auto"/>
              </w:rPr>
            </w:pPr>
            <w:r>
              <w:rPr>
                <w:rFonts w:ascii="Arial" w:cs="Arial" w:eastAsia="Arial" w:hAnsi="Arial"/>
                <w:sz w:val="18"/>
                <w:szCs w:val="18"/>
                <w:color w:val="auto"/>
              </w:rPr>
              <w:t>(68,679)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Options outstanding, vested and expected to vest at December 31, 2022</w:t>
            </w:r>
          </w:p>
        </w:tc>
        <w:tc>
          <w:tcPr>
            <w:tcW w:w="3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8,256,211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r>
      <w:tr>
        <w:trPr>
          <w:trHeight w:val="196"/>
        </w:trPr>
        <w:tc>
          <w:tcPr>
            <w:tcW w:w="5320" w:type="dxa"/>
            <w:vAlign w:val="bottom"/>
          </w:tcPr>
          <w:p>
            <w:pPr>
              <w:spacing w:after="0"/>
              <w:rPr>
                <w:sz w:val="17"/>
                <w:szCs w:val="17"/>
                <w:color w:val="auto"/>
              </w:rPr>
            </w:pPr>
          </w:p>
        </w:tc>
        <w:tc>
          <w:tcPr>
            <w:tcW w:w="448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r>
      <w:tr>
        <w:trPr>
          <w:trHeight w:val="256"/>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3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6,213,959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35"/>
        </w:trPr>
        <w:tc>
          <w:tcPr>
            <w:tcW w:w="5320" w:type="dxa"/>
            <w:vAlign w:val="bottom"/>
          </w:tcPr>
          <w:p>
            <w:pPr>
              <w:spacing w:after="0"/>
              <w:rPr>
                <w:sz w:val="24"/>
                <w:szCs w:val="24"/>
                <w:color w:val="auto"/>
              </w:rPr>
            </w:pPr>
          </w:p>
        </w:tc>
        <w:tc>
          <w:tcPr>
            <w:tcW w:w="4700" w:type="dxa"/>
            <w:vAlign w:val="bottom"/>
            <w:gridSpan w:val="3"/>
          </w:tcPr>
          <w:p>
            <w:pPr>
              <w:jc w:val="right"/>
              <w:ind w:right="4260"/>
              <w:spacing w:after="0"/>
              <w:rPr>
                <w:sz w:val="20"/>
                <w:szCs w:val="20"/>
                <w:color w:val="auto"/>
              </w:rPr>
            </w:pPr>
            <w:r>
              <w:rPr>
                <w:rFonts w:ascii="Arial" w:cs="Arial" w:eastAsia="Arial" w:hAnsi="Arial"/>
                <w:sz w:val="14"/>
                <w:szCs w:val="14"/>
                <w:color w:val="auto"/>
              </w:rPr>
              <w:t>F-18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32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December 31, 2022, the Company had $2.3 million of unrecognized compensation expense related to stock options granted under the Company’s equity incentive plans, which is expected to be recognized over a weighted-average period of 2.2 years. The weighted average remaining contractual term of stock options outstanding and expected to vest at December 31, 2022 is 6.1 years. The weighted average remaining contractual term of stock options exercisable at December 31, 2022 is 5.3 years.The following table summarizes additional information regarding outstanding and exercisable options under the stock option plans at December 31,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0"/>
              </w:rPr>
              <w:t>Stock Options Outstanding</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4"/>
              </w:rPr>
              <w:t>Stock Options Exercisable</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89"/>
              </w:rPr>
              <w:t>Weighted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Weighted</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Average</w:t>
            </w:r>
          </w:p>
        </w:tc>
        <w:tc>
          <w:tcPr>
            <w:tcW w:w="60" w:type="dxa"/>
            <w:vAlign w:val="bottom"/>
          </w:tcPr>
          <w:p>
            <w:pPr>
              <w:spacing w:after="0"/>
              <w:rPr>
                <w:sz w:val="18"/>
                <w:szCs w:val="18"/>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Average</w:t>
            </w:r>
          </w:p>
        </w:tc>
        <w:tc>
          <w:tcPr>
            <w:tcW w:w="9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Aggregate</w:t>
            </w:r>
          </w:p>
        </w:tc>
      </w:tr>
      <w:tr>
        <w:trPr>
          <w:trHeight w:val="216"/>
        </w:trPr>
        <w:tc>
          <w:tcPr>
            <w:tcW w:w="440" w:type="dxa"/>
            <w:vAlign w:val="bottom"/>
          </w:tcPr>
          <w:p>
            <w:pPr>
              <w:spacing w:after="0"/>
              <w:rPr>
                <w:sz w:val="18"/>
                <w:szCs w:val="18"/>
                <w:color w:val="auto"/>
              </w:rPr>
            </w:pPr>
          </w:p>
        </w:tc>
        <w:tc>
          <w:tcPr>
            <w:tcW w:w="2560" w:type="dxa"/>
            <w:vAlign w:val="bottom"/>
            <w:gridSpan w:val="2"/>
          </w:tcPr>
          <w:p>
            <w:pPr>
              <w:ind w:left="640"/>
              <w:spacing w:after="0"/>
              <w:rPr>
                <w:sz w:val="20"/>
                <w:szCs w:val="20"/>
                <w:color w:val="auto"/>
              </w:rPr>
            </w:pPr>
            <w:r>
              <w:rPr>
                <w:rFonts w:ascii="Arial" w:cs="Arial" w:eastAsia="Arial" w:hAnsi="Arial"/>
                <w:sz w:val="18"/>
                <w:szCs w:val="18"/>
                <w:color w:val="auto"/>
              </w:rPr>
              <w:t>Range of</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Options</w:t>
            </w: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rPr>
              <w:t>Life</w:t>
            </w:r>
          </w:p>
        </w:tc>
        <w:tc>
          <w:tcPr>
            <w:tcW w:w="940" w:type="dxa"/>
            <w:vAlign w:val="bottom"/>
            <w:gridSpan w:val="3"/>
          </w:tcPr>
          <w:p>
            <w:pPr>
              <w:jc w:val="center"/>
              <w:ind w:right="160"/>
              <w:spacing w:after="0"/>
              <w:rPr>
                <w:sz w:val="20"/>
                <w:szCs w:val="20"/>
                <w:color w:val="auto"/>
              </w:rPr>
            </w:pPr>
            <w:r>
              <w:rPr>
                <w:rFonts w:ascii="Arial" w:cs="Arial" w:eastAsia="Arial" w:hAnsi="Arial"/>
                <w:sz w:val="18"/>
                <w:szCs w:val="18"/>
                <w:color w:val="auto"/>
                <w:w w:val="89"/>
              </w:rPr>
              <w:t>Exercise</w:t>
            </w:r>
          </w:p>
        </w:tc>
        <w:tc>
          <w:tcPr>
            <w:tcW w:w="6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Options</w:t>
            </w:r>
          </w:p>
        </w:tc>
        <w:tc>
          <w:tcPr>
            <w:tcW w:w="16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rPr>
              <w:t>Life</w:t>
            </w:r>
          </w:p>
        </w:tc>
        <w:tc>
          <w:tcPr>
            <w:tcW w:w="100" w:type="dxa"/>
            <w:vAlign w:val="bottom"/>
          </w:tcPr>
          <w:p>
            <w:pPr>
              <w:spacing w:after="0"/>
              <w:rPr>
                <w:sz w:val="18"/>
                <w:szCs w:val="18"/>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Intrinsic</w:t>
            </w:r>
          </w:p>
        </w:tc>
      </w:tr>
      <w:tr>
        <w:trPr>
          <w:trHeight w:val="237"/>
        </w:trPr>
        <w:tc>
          <w:tcPr>
            <w:tcW w:w="440" w:type="dxa"/>
            <w:vAlign w:val="bottom"/>
          </w:tcPr>
          <w:p>
            <w:pPr>
              <w:spacing w:after="0"/>
              <w:rPr>
                <w:sz w:val="20"/>
                <w:szCs w:val="20"/>
                <w:color w:val="auto"/>
              </w:rPr>
            </w:pPr>
          </w:p>
        </w:tc>
        <w:tc>
          <w:tcPr>
            <w:tcW w:w="2560" w:type="dxa"/>
            <w:vAlign w:val="bottom"/>
            <w:gridSpan w:val="2"/>
          </w:tcPr>
          <w:p>
            <w:pPr>
              <w:ind w:left="400"/>
              <w:spacing w:after="0"/>
              <w:rPr>
                <w:sz w:val="20"/>
                <w:szCs w:val="20"/>
                <w:color w:val="auto"/>
              </w:rPr>
            </w:pPr>
            <w:r>
              <w:rPr>
                <w:rFonts w:ascii="Arial" w:cs="Arial" w:eastAsia="Arial" w:hAnsi="Arial"/>
                <w:sz w:val="18"/>
                <w:szCs w:val="18"/>
                <w:color w:val="auto"/>
              </w:rPr>
              <w:t>Exercise Prices</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(Years)</w:t>
            </w:r>
          </w:p>
        </w:tc>
        <w:tc>
          <w:tcPr>
            <w:tcW w:w="160" w:type="dxa"/>
            <w:vAlign w:val="bottom"/>
          </w:tcPr>
          <w:p>
            <w:pPr>
              <w:spacing w:after="0"/>
              <w:rPr>
                <w:sz w:val="20"/>
                <w:szCs w:val="20"/>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c>
          <w:tcPr>
            <w:tcW w:w="6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Value</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Outstanding</w:t>
            </w:r>
          </w:p>
        </w:tc>
        <w:tc>
          <w:tcPr>
            <w:tcW w:w="16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2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Value</w:t>
            </w:r>
          </w:p>
        </w:tc>
      </w:tr>
      <w:tr>
        <w:trPr>
          <w:trHeight w:val="216"/>
        </w:trPr>
        <w:tc>
          <w:tcPr>
            <w:tcW w:w="2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$1.10 - $1.67</w:t>
            </w: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1,523,824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9.1</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$ 3,452,237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959,663</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$1.73 - $2.60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1,623,353</w:t>
            </w:r>
          </w:p>
        </w:tc>
        <w:tc>
          <w:tcPr>
            <w:tcW w:w="40" w:type="dxa"/>
            <w:vAlign w:val="bottom"/>
          </w:tcPr>
          <w:p>
            <w:pPr>
              <w:spacing w:after="0"/>
              <w:rPr>
                <w:sz w:val="18"/>
                <w:szCs w:val="18"/>
                <w:color w:val="auto"/>
              </w:rPr>
            </w:pPr>
          </w:p>
        </w:tc>
        <w:tc>
          <w:tcPr>
            <w:tcW w:w="1240" w:type="dxa"/>
            <w:vAlign w:val="bottom"/>
            <w:gridSpan w:val="3"/>
          </w:tcPr>
          <w:p>
            <w:pPr>
              <w:ind w:left="800"/>
              <w:spacing w:after="0"/>
              <w:rPr>
                <w:sz w:val="20"/>
                <w:szCs w:val="20"/>
                <w:color w:val="auto"/>
              </w:rPr>
            </w:pPr>
            <w:r>
              <w:rPr>
                <w:rFonts w:ascii="Arial" w:cs="Arial" w:eastAsia="Arial" w:hAnsi="Arial"/>
                <w:sz w:val="18"/>
                <w:szCs w:val="18"/>
                <w:color w:val="auto"/>
              </w:rPr>
              <w:t>8.0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2,491,181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943,200</w:t>
            </w: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1,430,931</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$2.62</w:t>
            </w: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4,083,311</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1,696,824</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3,852,447</w:t>
            </w:r>
          </w:p>
        </w:tc>
        <w:tc>
          <w:tcPr>
            <w:tcW w:w="11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1,495,461</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$3.98</w:t>
            </w:r>
          </w:p>
        </w:tc>
        <w:tc>
          <w:tcPr>
            <w:tcW w:w="2340" w:type="dxa"/>
            <w:vAlign w:val="bottom"/>
          </w:tcPr>
          <w:p>
            <w:pPr>
              <w:ind w:left="20"/>
              <w:spacing w:after="0"/>
              <w:rPr>
                <w:sz w:val="20"/>
                <w:szCs w:val="20"/>
                <w:color w:val="auto"/>
              </w:rPr>
            </w:pPr>
            <w:r>
              <w:rPr>
                <w:rFonts w:ascii="Arial" w:cs="Arial" w:eastAsia="Arial" w:hAnsi="Arial"/>
                <w:sz w:val="18"/>
                <w:szCs w:val="18"/>
                <w:color w:val="auto"/>
              </w:rPr>
              <w:t>- $5.97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470,428</w:t>
            </w:r>
          </w:p>
        </w:tc>
        <w:tc>
          <w:tcPr>
            <w:tcW w:w="40" w:type="dxa"/>
            <w:vAlign w:val="bottom"/>
          </w:tcPr>
          <w:p>
            <w:pPr>
              <w:spacing w:after="0"/>
              <w:rPr>
                <w:sz w:val="18"/>
                <w:szCs w:val="18"/>
                <w:color w:val="auto"/>
              </w:rPr>
            </w:pPr>
          </w:p>
        </w:tc>
        <w:tc>
          <w:tcPr>
            <w:tcW w:w="1240" w:type="dxa"/>
            <w:vAlign w:val="bottom"/>
            <w:gridSpan w:val="3"/>
          </w:tcPr>
          <w:p>
            <w:pPr>
              <w:ind w:left="800"/>
              <w:spacing w:after="0"/>
              <w:rPr>
                <w:sz w:val="20"/>
                <w:szCs w:val="20"/>
                <w:color w:val="auto"/>
              </w:rPr>
            </w:pPr>
            <w:r>
              <w:rPr>
                <w:rFonts w:ascii="Arial" w:cs="Arial" w:eastAsia="Arial" w:hAnsi="Arial"/>
                <w:sz w:val="18"/>
                <w:szCs w:val="18"/>
                <w:color w:val="auto"/>
              </w:rPr>
              <w:t>4.7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456,857</w:t>
            </w: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93"/>
              </w:rPr>
              <w:t>$6.02</w:t>
            </w:r>
          </w:p>
        </w:tc>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$9.03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307,795</w:t>
            </w: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8.05</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307,795</w:t>
            </w:r>
          </w:p>
        </w:tc>
        <w:tc>
          <w:tcPr>
            <w:tcW w:w="11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440" w:type="dxa"/>
            <w:vAlign w:val="bottom"/>
          </w:tcPr>
          <w:p>
            <w:pPr>
              <w:spacing w:after="0"/>
              <w:rPr>
                <w:sz w:val="20"/>
                <w:szCs w:val="20"/>
                <w:color w:val="auto"/>
              </w:rPr>
            </w:pPr>
            <w:r>
              <w:rPr>
                <w:rFonts w:ascii="Arial" w:cs="Arial" w:eastAsia="Arial" w:hAnsi="Arial"/>
                <w:sz w:val="18"/>
                <w:szCs w:val="18"/>
                <w:color w:val="auto"/>
                <w:w w:val="93"/>
              </w:rPr>
              <w:t>$9.37</w:t>
            </w:r>
          </w:p>
        </w:tc>
        <w:tc>
          <w:tcPr>
            <w:tcW w:w="2340" w:type="dxa"/>
            <w:vAlign w:val="bottom"/>
          </w:tcPr>
          <w:p>
            <w:pPr>
              <w:ind w:left="20"/>
              <w:spacing w:after="0"/>
              <w:rPr>
                <w:sz w:val="20"/>
                <w:szCs w:val="20"/>
                <w:color w:val="auto"/>
              </w:rPr>
            </w:pPr>
            <w:r>
              <w:rPr>
                <w:rFonts w:ascii="Arial" w:cs="Arial" w:eastAsia="Arial" w:hAnsi="Arial"/>
                <w:sz w:val="18"/>
                <w:szCs w:val="18"/>
                <w:color w:val="auto"/>
              </w:rPr>
              <w:t>- $10.80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247,500</w:t>
            </w:r>
          </w:p>
        </w:tc>
        <w:tc>
          <w:tcPr>
            <w:tcW w:w="40" w:type="dxa"/>
            <w:vAlign w:val="bottom"/>
          </w:tcPr>
          <w:p>
            <w:pPr>
              <w:spacing w:after="0"/>
              <w:rPr>
                <w:sz w:val="19"/>
                <w:szCs w:val="19"/>
                <w:color w:val="auto"/>
              </w:rPr>
            </w:pPr>
          </w:p>
        </w:tc>
        <w:tc>
          <w:tcPr>
            <w:tcW w:w="1240" w:type="dxa"/>
            <w:vAlign w:val="bottom"/>
            <w:gridSpan w:val="3"/>
          </w:tcPr>
          <w:p>
            <w:pPr>
              <w:ind w:left="800"/>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10.28</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247,500</w:t>
            </w:r>
          </w:p>
        </w:tc>
        <w:tc>
          <w:tcPr>
            <w:tcW w:w="1120" w:type="dxa"/>
            <w:vAlign w:val="bottom"/>
            <w:gridSpan w:val="3"/>
          </w:tcPr>
          <w:p>
            <w:pPr>
              <w:ind w:left="780"/>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4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8,256,211</w:t>
            </w:r>
          </w:p>
        </w:tc>
        <w:tc>
          <w:tcPr>
            <w:tcW w:w="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w:t>
            </w:r>
          </w:p>
        </w:tc>
        <w:tc>
          <w:tcPr>
            <w:tcW w:w="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$ 7,640,242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6,213,959</w:t>
            </w:r>
          </w:p>
        </w:tc>
        <w:tc>
          <w:tcPr>
            <w:tcW w:w="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5.3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3,886,055</w:t>
            </w:r>
          </w:p>
        </w:tc>
        <w:tc>
          <w:tcPr>
            <w:tcW w:w="6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During the years ended December 31, 2022 and 2021, the Company granted Restricted Stock Units (“RSUs”) representing an aggregate of 1,174,266 and 4,384,744 shares, respectively, to certain management employees of the Company and during 2022, to members of the Board. Except for the RSUs granted under the Company’s retention incentive program discussed below, the RSUs generally vest annually over a period of four years for employees and semi-annually over a period of one year for directors. The RSUs granted during the year ended December 31, 2021 include 3,832,500 shares granted under a retention incentive program implemented by the Company for its executive management and certain employees (see Note 10), whereby the Company issued an aggregate of 2,685,000 time-based RSUs and 1,147,500 milestone-based RSUs. Fifty percent of the time-based RSUs granted under the retention incentive program vested on December 31, 2022, with the remainder vesting in quarterly installments through December 31, 2024. The milestone-based RSUs vested upon achievement of the applicable milestone, and all of the milestone-based RSUs vested during the year ended December 31, 2022. The milestones required to be achieved in order for the milestone-based RSUs to vest were determined by the Board and were consistent with the 2022 operating plan approved by the Board.</w:t>
      </w:r>
    </w:p>
    <w:p>
      <w:pPr>
        <w:spacing w:after="0" w:line="18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During the years ended December 31, 2022 and 2021, 2,727,412 and 92,750 shares, respectively, vested in connection with grants of RSUs. With respect to the RSUs vested during the year ended December 31, 2022,918,851 shares valued at approximately $2.9 million were withheld by the Company to cover employees’ tax liabilities. For the RSUs vested during the year ended December 31, 2021, 27,850 shares valued at approximately $62,000 were withheld by the Company to cover employees’ tax liabilities. These shares have been retired by the Company or were otherwise no longer outstanding as of December 31, 2022. A summary of the Company’s unvested RSU activity and related information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8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Average Grant</w:t>
            </w:r>
          </w:p>
        </w:tc>
      </w:tr>
      <w:tr>
        <w:trPr>
          <w:trHeight w:val="241"/>
        </w:trPr>
        <w:tc>
          <w:tcPr>
            <w:tcW w:w="38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9"/>
              </w:rPr>
              <w:t>Date Fair Value</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4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326,000</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4,384,744</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(92,750)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6060" w:type="dxa"/>
            <w:vAlign w:val="bottom"/>
            <w:gridSpan w:val="3"/>
          </w:tcPr>
          <w:p>
            <w:pPr>
              <w:jc w:val="right"/>
              <w:ind w:right="160"/>
              <w:spacing w:after="0"/>
              <w:rPr>
                <w:sz w:val="20"/>
                <w:szCs w:val="20"/>
                <w:color w:val="auto"/>
              </w:rPr>
            </w:pPr>
            <w:r>
              <w:rPr>
                <w:rFonts w:ascii="Arial" w:cs="Arial" w:eastAsia="Arial" w:hAnsi="Arial"/>
                <w:sz w:val="18"/>
                <w:szCs w:val="18"/>
                <w:color w:val="auto"/>
              </w:rPr>
              <w:t>(132,861)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47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4,485,133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5840" w:type="dxa"/>
            <w:vAlign w:val="bottom"/>
            <w:gridSpan w:val="2"/>
          </w:tcPr>
          <w:p>
            <w:pPr>
              <w:jc w:val="right"/>
              <w:spacing w:after="0"/>
              <w:rPr>
                <w:sz w:val="20"/>
                <w:szCs w:val="20"/>
                <w:color w:val="auto"/>
              </w:rPr>
            </w:pPr>
            <w:r>
              <w:rPr>
                <w:rFonts w:ascii="Arial" w:cs="Arial" w:eastAsia="Arial" w:hAnsi="Arial"/>
                <w:sz w:val="18"/>
                <w:szCs w:val="18"/>
                <w:color w:val="auto"/>
              </w:rPr>
              <w:t>1,174,266</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(2,727,412)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Forfeited</w:t>
            </w:r>
          </w:p>
        </w:tc>
        <w:tc>
          <w:tcPr>
            <w:tcW w:w="6060" w:type="dxa"/>
            <w:vAlign w:val="bottom"/>
            <w:gridSpan w:val="3"/>
          </w:tcPr>
          <w:p>
            <w:pPr>
              <w:jc w:val="right"/>
              <w:ind w:right="160"/>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5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4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2,866,987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549"/>
        </w:trPr>
        <w:tc>
          <w:tcPr>
            <w:tcW w:w="3860" w:type="dxa"/>
            <w:vAlign w:val="bottom"/>
          </w:tcPr>
          <w:p>
            <w:pPr>
              <w:spacing w:after="0"/>
              <w:rPr>
                <w:sz w:val="24"/>
                <w:szCs w:val="24"/>
                <w:color w:val="auto"/>
              </w:rPr>
            </w:pPr>
          </w:p>
        </w:tc>
        <w:tc>
          <w:tcPr>
            <w:tcW w:w="6060" w:type="dxa"/>
            <w:vAlign w:val="bottom"/>
            <w:gridSpan w:val="3"/>
          </w:tcPr>
          <w:p>
            <w:pPr>
              <w:jc w:val="right"/>
              <w:ind w:right="4160"/>
              <w:spacing w:after="0"/>
              <w:rPr>
                <w:sz w:val="20"/>
                <w:szCs w:val="20"/>
                <w:color w:val="auto"/>
              </w:rPr>
            </w:pPr>
            <w:r>
              <w:rPr>
                <w:rFonts w:ascii="Arial" w:cs="Arial" w:eastAsia="Arial" w:hAnsi="Arial"/>
                <w:sz w:val="14"/>
                <w:szCs w:val="14"/>
                <w:color w:val="auto"/>
              </w:rPr>
              <w:t>F-19</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6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As of December 31, 2022, the Company had $3.8 million of unrecognized compensation expense related to unvested RSUs granted under the Company’s equity incentive plans, which is expected to be recognized over a weighted-average period of 2.4 years.</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Total stock-based compensation expense for all awards granted under the Company’s equity incentive plans for the years ended December 31, 2022 and 2021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153,924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Plasma center operating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81,668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60,257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4,716,219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2,958,008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397,168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316,064</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5,214,531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3,488,253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Company leases an office building and equipment from Areth, LLC (“Areth”) pursuant to an agreement for services effective as of January 1, 2016, as amended from time to time, and pays monthly rent on this facility in the amount of $10,000. On October 18, 2022, the Company amended the agreement to extend its term to December 31, 2026, with automatic successive one-year renewals thereafter. Either party may terminate the agreement by providing the other party with one year’s prior written notice. Rent expense for the years ended December 31, 2022 and 2021 amounted to $0.1 million.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years ended December 31, 2022 and 2021.</w:t>
      </w:r>
    </w:p>
    <w:p>
      <w:pPr>
        <w:spacing w:after="0" w:line="16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During the years ended December 31, 2022 and 2021, the Company purchased certain specialized medical equipment and services related to the Company’s plasma collection centers, as well as personal protective equipment, from GenesisBPS and its affiliates (“Genesis”) in the amount of $0.2 million. Genesis is owned by Dr. Grossman and Adam Grossman.</w:t>
      </w:r>
    </w:p>
    <w:p>
      <w:pPr>
        <w:spacing w:after="0" w:line="184"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See Note 7 for a discussion of the Company’s prior credit facility and related transactions with Perceptive, a holder of more than 5% of the Company’s common stock.</w:t>
      </w:r>
    </w:p>
    <w:p>
      <w:pPr>
        <w:spacing w:after="0" w:line="103"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During the year ended December 31, 2021, in connection with the resignation of Dr. James Mond, the Company’s former Chief Scientific and Medical Officer, the Company recognized an expense and corresponding liability in the amount of $0.8 million for payments to be made under a separation and transition agreement with Dr. Mond. These payments were made in scheduled installments over a period of 10 months.</w:t>
      </w:r>
    </w:p>
    <w:p>
      <w:pPr>
        <w:spacing w:after="0" w:line="165"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In connection with the 2022 public offering of the Company’s common stock (see Note 8) on December 9, 2022: (i) Mr. Grossman purchased 14,983 shares of common stock directly and 14,982 shares of common stock indirectly through an entity he controls, and (ii) Brian Lenz, the Company’s Executive Vice President and Chief Financial Officer, purchased 6,993 shares of common stock, all at the public offering price of $2.86 per share.</w:t>
      </w:r>
    </w:p>
    <w:p>
      <w:pPr>
        <w:spacing w:after="0" w:line="14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In connection with the 2021 public offering of the Company’s common stock (see Note 8) on October 25, 2021: (i) Mr. Grossman purchased 100,000 shares of common stock directly and 250,000 shares of common stock indirectly through an entity he controls, (ii) Dr. Grossman purchased 100,000 shares of common stock, (iii) Dr. Young Kwon, a member of the Board, purchased 100,000 shares of common stock, and (iv) Brian Lenz, the Company’s Executive Vice President and Chief Financial Officer, purchased 30,000 shares of common stock, all at the public offering price of $1.00 per share.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66"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Legal Matters</w:t>
      </w:r>
    </w:p>
    <w:p>
      <w:pPr>
        <w:spacing w:after="0" w:line="225"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Pandemic</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continues to monitor the ongoing developments related to the COVID-19 pandemic, including the emergence of the Delta, Omicron and BA.2 variants and other resistant strains of the coronavirus, and its impacts to the Company’s commercial and manufacturing operations and plasma collection facilities, including collections of source plasma, procurement of raw materials and packaging materials, a portion of which are sourced internationally, and the testing of finished drug product that is required prior to its availability for commercial sale. A substantial portion of such testing has historically been performed by contract laboratories outside the United States.</w:t>
      </w:r>
    </w:p>
    <w:p>
      <w:pPr>
        <w:spacing w:after="0" w:line="17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Due to a combination of previously mandated state and local “shelter-in-place” orders, as well as government stimulus packages, persisting social distancing measures and varying roll-outs of vaccinations by state, the Company experienced lower than normal donor collections at its FDA approved plasma collection centers during 2021. The Company was also subject to delays in shipments of source plasma from its contracted third-party suppliers, as well as delays in deliveries for personal protective equipment, reagents and other non-plasma raw materials and supplies used in the manufacture and distribution of its products. In addition, the Company is subject to supply chain delays as a result of certain of its suppliers diverting significant resources towards the rapid development and distribution of COVID-19 vaccines and, as a result, the Company has elected to carry more raw materials inventory than it has in the past. The COVID-19 pandemic previously impacted, to a certain degree, the Company’s customer engagement initiatives, whereby ADMA’s sales and medical affairs field personnel faced difficulties communicating directly with physicians and other healthcare professionals, as well as the cancellation or postponement of a number of key scientific and medical meetings, further limiting the Company’s ability to communicate with potential customers.</w:t>
      </w:r>
    </w:p>
    <w:p>
      <w:pPr>
        <w:spacing w:after="0" w:line="18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pandemic could also impact the Company’s ability to interact with the FDA or other regulatory authorities and may result in delays in the conduct of inspections or review of pending applications or submissions. Although the Company received FDA approvals for four of its plasma collection centers during the year ended December 31, 2022 and received several FDA approvals and two FDA inspections of the Boca Facility were completed during the year ended December 31, 2021, no assurances can be provided as to the timing for completion of any future regulatory submissions or applications that may be impacted by restrictions related to COVID-19.</w:t>
      </w:r>
    </w:p>
    <w:p>
      <w:pPr>
        <w:spacing w:after="0" w:line="188" w:lineRule="exact"/>
        <w:rPr>
          <w:sz w:val="20"/>
          <w:szCs w:val="20"/>
          <w:color w:val="auto"/>
        </w:rPr>
      </w:pPr>
    </w:p>
    <w:p>
      <w:pPr>
        <w:ind w:right="580" w:firstLine="648"/>
        <w:spacing w:after="0" w:line="263" w:lineRule="auto"/>
        <w:rPr>
          <w:sz w:val="20"/>
          <w:szCs w:val="20"/>
          <w:color w:val="auto"/>
        </w:rPr>
      </w:pPr>
      <w:r>
        <w:rPr>
          <w:rFonts w:ascii="Arial" w:cs="Arial" w:eastAsia="Arial" w:hAnsi="Arial"/>
          <w:sz w:val="18"/>
          <w:szCs w:val="18"/>
          <w:color w:val="auto"/>
        </w:rPr>
        <w:t>During the years ended December 31, 2022 and 2021, revenue attributable to international customers was approximately 5% and 13%, respectively, of the Company’s total revenues. As the Company seeks to grow this aspect of its business, it may also be subject to the impacts of the COVID-19 pandemic in locations outside the United States.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Notwithstanding the foregoing, the COVID-19 pandemic to date has not had a material impact on the Company’s financial condition or results of operations, and the Company does not believe that its production operations at the Boca Facility, the Company’s contract fill/finishers or its plasma collection facilities have been significantly impacted by the COVID-19 pandemic. As a result, the Company does not anticipate and has not experienced any material impairments with respect to any of its long-lived assets, including the Company’s property and equipment, goodwill or intangible assets.</w:t>
      </w:r>
    </w:p>
    <w:p>
      <w:pPr>
        <w:spacing w:after="0" w:line="15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Although the COVID-19 pandemic has not, to date, materially adversely impacted the Company’s capital and financial resources, because the Company is unable to determine the ultimate severity or duration of the COVID-19 pandemic or other pandemics or their long-term effects on, among other things, the global, national or local economies, the capital and credit markets or the Company’s workforce, customers or our suppliers, at this time the Company is unable to predict whether COVID-19 or other pandemics will have a material adverse impact on the Company’s business, financial condition, liquidity or results of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Vendor Commitments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Pursuant to the terms of a plasma purchase agreement with BPC dated as of November 17, 2011 (the “2011 Plasma Purchase Agreement”), the Company agreed to purchase from BPC an annual minimum volume of source plasma containing antibodies to RSV to be used in the manufacture of ASCENIV. The Company must purchase a to-be-determined and agreed upon annual minimum volume from BPC, but may also collect high-titer RSV plasma from up to five wholly-owned ADMA plasma collection facilities. During 2015, the Company and BPC amended the 2011 Plasma Purchase Agreement to allow the Company the ability to collect its raw material RSV high-titer plasma from other third-party collection organizations, thus allowing the Company to expand its reach for raw material supply as it executes its commercialization plans for ASCENIV. As part of the closing of the Biotest Transaction, the parties amended the 2011 Plasma Purchase Agreement to extend the initial term through the ten-year anniversary of the closing date of the Biotest Transaction. Unless terminated earlier, the 2011 Plasma Purchase Agreement expires in June 2027, after which it may be renewed for two additional five-year periods if agreed to by the parties. On December 10, 2018, BPC assigned its rights and obligations under the 2011 Plasma Purchase Agreement to Grifols Worldwide Operations Limited (“Grifols”) as its successor-in-interest, effective January 1, 2019. On January 1, 2019, Grifols and the Company entered into an additional amendment to the 2011 Plasma Purchase Agreement for the purchase of source plasma containing antibodies to RSV from Grifols. Pursuant to this amendment, until January 1, 2022, the Company could purchase RSV plasma from Grifols from the two plasma collection centers that were transferred to BPC on January 1, 2019 at a price equal to cost plus five percent (5%) (without any additional increase due to inflation). Effective January 1, 2022, RSV plasma purchased from these two plasma collection centers are subject to the pricing terms in effect for RSV plasma purchased from other plasma collection centers owned by Grifols.</w:t>
      </w:r>
    </w:p>
    <w:p>
      <w:pPr>
        <w:spacing w:after="0" w:line="18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June 6, 2017, the Company and BPC entered into a Plasma Supply Agreement pursuant to which BPC supplies, on an exclusive basis subject to certain exceptions, to ADMA BioManufacturing an annual minimum volume of hyperimmune plasma that contain antibodies to the Hepatitis B virus for the manufacture of Nabi-HB. The Plasma Supply Agreement has a 10-year term. On July 19, 2018, the Company and BPC entered into an amendment to the Plasma Supply Agreement to provide, among other things, that in the event BPC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BPC, then BPC shall reimburse ADMA BioManufacturing for the difference in price ADMA BioManufacturing incurs. On December 10, 2018, BPC assigned its rights and obligations under the Plasma Supply Agreement to Grifols, effective January 1, 2019.</w:t>
      </w:r>
    </w:p>
    <w:p>
      <w:pPr>
        <w:spacing w:after="0" w:line="192"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June 6, 2017, the Company and BPC entered into a Plasma Purchase Agreement (the “2017 Plasma Purchase Agreement”), pursuant to which ADMA BioManufacturing purchases normal source plasma (“NSP”) from BPC at agreed upon annual quantities and prices. The 2017 Plasma Purchase Agreement has an initial term of five years after which the 2017 Plasma Purchase Agreement may be renewed for additional two terms of two years each upon the mutual written consent of the parties. On July 19, 2018, the Company and BPC entered into an amendment to the 2017 Plasma Purchase Agreement to, among other things, provide agreed upon amounts of normal source plasma to be supplied by BPC to ADMA BioManufacturing in calendar year 2019 at a specified price per liter, provided that ADMA BioManufacturing delivers a valid purchase order to BPC. Additionally, pursuant to the amendment to the 2017 Plasma Purchase Agreement, BPC agreed that, for calendar years 2020 and 2021, it shall supply no less than a high double-digit percentage of ADMA BioManufacturing’s requested NSP amounts, provided that such requested NSP amounts are within an agreed range, at a price per liter to be mutually determined. Furthermore, pursuant to the amendment to the 2017 Plasma Purchase Agreement, in the event BPC fails to supply ADMA BioManufacturing with at least a high double-digit percentage of ADMA BioManufacturing’s requested NSP amounts, BPC shall promptly reimburse ADMA BioManufacturing the difference in price ADMA BioManufacturing incurs due to BPC’s election not to supply NSP to ADMA BioManufacturing in such amounts as requested. On December 10, 2018, BPC assigned its rights and obligations under the Plasma Purchase Agreement to Grifols, effective January 1, 2019.</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Effective as of May 12, 2021, the Company and Grifols amended the foregoing 2017 Plasma Purchase Agreement whereby, among other things, the term of the agreement was extended through December 31, 2022, while certain historical provisions were deleted. The 2017 Plasma Purchase Agreement expired on December 31, 2022 and was not renewed. In order to maintain a reliable supply of raw material plasma thereafter, the Company has executed additional agreements with multiple third-party suppliers of NSP. The Company has also increased its number of planned plasma collection center buildouts such that the Company expects to have ten FDA-approved plasma collection centers in operation by the end of 2023, while also continuing to increase its plasma collection capabilities at its ADMA BioCenters plasma collection centers business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Post-Marketing Commitments</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FDA approval of the BLA for BIVIGAM on December 19, 2012, Biotest committed to perform two additional post-marketing studies, a pediatric study to evaluate the efficacy and safety of BIVIGAM in children and adolescents, and a post-authorization safety study to further assess the potential risk of hypotension and hepatic and renal impairment in BIVIGAM-treated patients with primary humoral immunodeficiency. The Pediatric study for BIVIGAM has been completed, and the safety study is still pending completion. ADMA has assumed the remaining obligations, and the costs of the studies will be expensed as incurred as research and development expenses. For the years ended December 31, 2022 and 2021, the Company incurred expenses related to these studies of $2.2 million and $1.7 million, respectively. The Company currently expects to incur expenses of approximately $2.0 million to complete these studies, with both studies anticipated to be completed by June of 2023.</w:t>
      </w:r>
    </w:p>
    <w:p>
      <w:pPr>
        <w:spacing w:after="0" w:line="16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FDA approval of ASCENIV on April 1, 2019, the Company is required to perform a pediatric study to evaluate the safety and efficacy of ASCENIV in children and adolescents. For the years ended December 31, 2022 and 2021, the Company incurred expenses related to this study in the amount of $0.5 million and $0.6 million, respectively. The Company expects to incur expenses of approximately $1.5 million to complete this study, which is required to be completed by June of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Employment Contracts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entered into employment agreements with Mr. Grossman and Mr. Lenz.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Commitments</w:t>
      </w:r>
    </w:p>
    <w:p>
      <w:pPr>
        <w:spacing w:after="0" w:line="225" w:lineRule="exact"/>
        <w:rPr>
          <w:sz w:val="20"/>
          <w:szCs w:val="20"/>
          <w:color w:val="auto"/>
        </w:rPr>
      </w:pPr>
    </w:p>
    <w:p>
      <w:pPr>
        <w:ind w:right="220" w:firstLine="648"/>
        <w:spacing w:after="0" w:line="254" w:lineRule="auto"/>
        <w:rPr>
          <w:sz w:val="20"/>
          <w:szCs w:val="20"/>
          <w:color w:val="auto"/>
        </w:rPr>
      </w:pPr>
      <w:r>
        <w:rPr>
          <w:rFonts w:ascii="Arial" w:cs="Arial" w:eastAsia="Arial" w:hAnsi="Arial"/>
          <w:sz w:val="18"/>
          <w:szCs w:val="18"/>
          <w:color w:val="auto"/>
        </w:rPr>
        <w:t>On September 28, 2021, following the approval of the Board upon recommendation of the Compensation Committee of the Board, and in consultation with an independent compensation consultant, the Company implemented a retention incentive program, consisting of cash payments and awards of RSUs (see Note 8), to the Company’s management, including Mr. Grossman and Mr. Lenz, and to certain other employees. The purpose of the retention program was to promote and ensure business continuity and provide an incentive to the Company’s executive management and certain other employees considering the operational challenges presented by the ongoing COVID-19 pandemic and the competitive work environment in which the Company operates as an FDA regulated manufacturer of specialized biologic therapies. The retention awards were granted considering the nationwide labor shortages and the increased employee turnover rates that the Company, its pharmaceutical peers and other companies outside of the Company’s industry have reported experiencing.</w:t>
      </w:r>
    </w:p>
    <w:p>
      <w:pPr>
        <w:spacing w:after="0" w:line="19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cash portion of the retention program consisted of two tranches. The first tranche was paid to employees on September 30, 2021 in the amount of $1.3 million, and the second tranche aggregating to approximately $1.3 million was paid on June 15, 2022. Based on the terms of the retention agreements the Company entered into with each applicable executive and employee, approximately $0.8 million of each tranche was recognized over the retention service period, which began on October 1, 2021 and ended on December 31, 2022, with the remainder having been recognized as expense when paid.</w:t>
      </w:r>
    </w:p>
    <w:p>
      <w:pPr>
        <w:spacing w:after="0" w:line="18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December 31, 2022. The Company does not anticipate recognizing any significant losses relating to these arrangements.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66"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income taxes at the U.S. federal statutory rate to the benefit for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Benefit at U.S. federal statutory rate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(13,839,830)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(15,045,999)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State taxes - deferred</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(1,773,349)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(251,839)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15,117,100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14,618,762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(211,343)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(239,585)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 in federal net operating loss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623,679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162(m) disallowance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63,515</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(154,605)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660"/>
              <w:spacing w:after="0"/>
              <w:rPr>
                <w:sz w:val="20"/>
                <w:szCs w:val="20"/>
                <w:color w:val="auto"/>
              </w:rPr>
            </w:pPr>
            <w:r>
              <w:rPr>
                <w:rFonts w:ascii="Arial" w:cs="Arial" w:eastAsia="Arial" w:hAnsi="Arial"/>
                <w:sz w:val="18"/>
                <w:szCs w:val="18"/>
                <w:color w:val="auto"/>
              </w:rPr>
              <w:t>A summary of the Company’s deferred tax assets is as follows: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net operating loss carryforwards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81,526,316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73,036,983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Federal and state research credits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407,280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31,333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limitation carryforwards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12,194,369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6,013,040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Transaction costs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881,782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977,046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519,819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1,236,128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1,030,064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96,725,385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81,608,285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valuation allowance for deferred tax assets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(96,725,385)</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(81,608,285)</w:t>
            </w:r>
          </w:p>
        </w:tc>
        <w:tc>
          <w:tcPr>
            <w:tcW w:w="0" w:type="dxa"/>
            <w:vAlign w:val="bottom"/>
          </w:tcPr>
          <w:p>
            <w:pPr>
              <w:spacing w:after="0"/>
              <w:rPr>
                <w:sz w:val="1"/>
                <w:szCs w:val="1"/>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As of December 31, 2022, the Company had federal and state (post-apportioned basis) net operating losses (“NOLs”) of $334.5 million and $211.7 million, respectively, as well as federal research and development tax credit carryforwards of approximately $0.4 million. Approximately $55.2 million and $91.8 million of the foregoing federal and state NOLs, respectively, will expire at various dates from 2027 through 2042, if not limited by triggering events prior to such time. Under the provisions of the Internal Revenue Code, changes in ownership of the Company, in certain circumstances, would limit the amount of federal NOLs that can be utilized annually in the future to offset taxable income. In particular, Section 382 of the Internal Revenue Code (“Section 382”) imposes limitations on an entity’s ability to use NOLs upon certain changes in ownership. If the Company is limited in its ability to use its NOLs in future years in which it has taxable income, then the Company will pay more taxes than if it were otherwise able to fully utilize its NOLs. The Company may experience ownership changes in the future as a result of subsequent shifts in ownership of the Company’s capital stock that the Company cannot predict or control that could result in further limitations being placed on the Company’s ability to utilize its federal NOLs. As of December 31, 2022, the Company performed a preliminary analysis of limitations imposed by Section 382 and determined that no ownership changes occurred in the current year which would cause additional limitations on the use of the NOLs.</w:t>
      </w:r>
    </w:p>
    <w:p>
      <w:pPr>
        <w:spacing w:after="0" w:line="18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of December 31, 2021, the Company performed an analysis of limitations imposed by Section 382 and as a result the Company wrote off the deferred tax assets related to $3.0 million of federal NOLs, $1.0 million of federal research and development tax credits and $28.1 million of state NOLs which were limited by historical ownership changes. As a result, there was a $3.9 million reduction to the Company’s net deferred tax assets, which was offset by a corresponding $3.9 million reduction in the Company’s valuation allowance, resulting in no net impact to the Company’s provision for income taxes for the year ended December 31, 2021.</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valuation allowance, if needed, reduces deferred tax assets to the amount expected to be realized. When determining the amount of net deferred tax assets that are more likely than not to be realized, the Company assesses all available positive and negative evidence. This evidence includes, but is not limited to, prior earnings history, expected future earnings, carry-back and carry-forward periods and the feasibility of ongoing tax strategies that could potentially enhance the likelihood of the realization of a deferred tax asset. The weight given to the positive and negative evidence is commensurate with the extent the evidence may be objectively verified. As such, it is generally difficult for positive evidence regarding projected future taxable income, exclusive of reversing taxable temporary differences, to outweigh objective negative evidence of recent financial reporting losses. Based on these criteria and the relative weighting of both the positive and negative evidence available, management continues to maintain a full valuation allowance against its net deferred tax assets.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accordance with U.S. GAAP, the Company is required to determine whether a tax position of the Company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would reduce net assets. The amount of the liability for which an exposure exists is measured as the largest amount of benefit determined on a cumulative probability basis that the Company believes is more likely than not to be realized upon ultimate settlement of the position. Components of the liability are classified as either a current or a long-term liability in the accompanying consolidated balance sheets based on when the Company expects each of the items to be settled. The Company does not have any unrecognized tax benefits as of December 31, 2022 and 2021 and does not anticipate a significant change in unrecognized tax benefits during the next 12 months.</w:t>
      </w:r>
    </w:p>
    <w:p>
      <w:pPr>
        <w:spacing w:after="0" w:line="177"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OBLIGATIONS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as of the lease commencement date. For the lease liabilities recognized during the years ended December 31, 2022 and 2021, the Company used discount rates of 13% to 14% to determine the present value of its lease obligations. The Company’s operating lease expense is recognized on a straight-line basis over the lease term and is reflected in Plasma center operating expenses and Selling, general and administrative expenses in the accompanying consolidated statements of operations. Aggregate lease expense for the Company’s operating leases for the years ended December 31, 2022 and 2021 was $2.1 million and $1.4 million, respectively. Aggregate cash paid on these leases for the years ended December 31, 2022 and 2021 was $1.8 million and $1.4 million,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During the year ended December 31, 2022, the Company recognized additional right-to-use assets and corresponding lease liabilities aggregating to approximately $4.0 million in connection with two new property leases where the Company has opened additional plasma collection facilities, a property lease for the storage of raw materials inventory and a property lease for the building that the Company utilizes as its corporate headquarters (see Note 9). During the year ended December 31, 2021, the Company recognized additional right-to-use assets and corresponding lease liabilities of $3.6 million in connection with four new property leases where the Company has opened additional plasma collection facilities. Including a finance lease the Company entered into in June 2018, the Company has aggregate lease liabilities of $11.6 million and $8.1 million as of December 31, 2022 and 2021, respectively, which are comprised primarily of the leases for the Company’s plasma collection centers. The Company’s operating leases have a weighted average remaining term of 8.4 years. Scheduled payments under the Company’s lease obligations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2,367,057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2,343,314</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2,366,432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2,116,036</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2,040,690</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8,238,571</w:t>
            </w:r>
          </w:p>
        </w:tc>
        <w:tc>
          <w:tcPr>
            <w:tcW w:w="10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19,472,100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(7,862,555)</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(905,369)</w:t>
            </w:r>
          </w:p>
        </w:tc>
      </w:tr>
      <w:tr>
        <w:trPr>
          <w:trHeight w:val="230"/>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2022</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10,704,176</w:t>
            </w:r>
          </w:p>
        </w:tc>
        <w:tc>
          <w:tcPr>
            <w:tcW w:w="100" w:type="dxa"/>
            <w:vAlign w:val="bottom"/>
            <w:tcBorders>
              <w:top w:val="single" w:sz="8" w:color="CCEEFF"/>
            </w:tcBorders>
          </w:tcPr>
          <w:p>
            <w:pPr>
              <w:spacing w:after="0"/>
              <w:rPr>
                <w:sz w:val="20"/>
                <w:szCs w:val="20"/>
                <w:color w:val="auto"/>
              </w:rPr>
            </w:pPr>
          </w:p>
        </w:tc>
      </w:tr>
      <w:tr>
        <w:trPr>
          <w:trHeight w:val="26"/>
        </w:trPr>
        <w:tc>
          <w:tcPr>
            <w:tcW w:w="10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One of the Company’s operating leases, pertaining to the administrative offices for its Plasma Collection Centers business segment, is scheduled to expire in November of 2023. The current monthly payment for this lease is approximately $10,000. The Company intends to renew the lease for an additional five years in accordance with the terms of the lease, however no renewal agreement has been finalized.</w:t>
      </w:r>
    </w:p>
    <w:p>
      <w:pPr>
        <w:spacing w:after="0" w:line="180"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SEGMENTS</w:t>
      </w:r>
    </w:p>
    <w:p>
      <w:pPr>
        <w:spacing w:after="0" w:line="229" w:lineRule="exact"/>
        <w:rPr>
          <w:sz w:val="20"/>
          <w:szCs w:val="20"/>
          <w:color w:val="auto"/>
        </w:rPr>
      </w:pPr>
    </w:p>
    <w:p>
      <w:pPr>
        <w:ind w:right="100" w:firstLine="607"/>
        <w:spacing w:after="0" w:line="271" w:lineRule="auto"/>
        <w:rPr>
          <w:sz w:val="20"/>
          <w:szCs w:val="20"/>
          <w:color w:val="auto"/>
        </w:rPr>
      </w:pPr>
      <w:r>
        <w:rPr>
          <w:rFonts w:ascii="Arial" w:cs="Arial" w:eastAsia="Arial" w:hAnsi="Arial"/>
          <w:sz w:val="17"/>
          <w:szCs w:val="17"/>
          <w:color w:val="auto"/>
        </w:rPr>
        <w:t>The Company is engaged in manufacturing, marketing and developing specialty plasma-derived biologics. The Company’s ADMA BioManufacturing segment reflects the Company’s immune globulin manufacturing and development operations in Florida, acquired on June 6, 2017. The Plasma Collection Centers segment consists of ten plasma collection facilities as of December 31, 2022, nine of which were operational and collecting plasma, and seven of which hold an approved license with the FDA (and of which three facilities have received approvals from the Korean Ministry of Food and Drug Safety as well as FDA approval to implement a Hepatitis B immunization program). The Corporate segment includes general and administrative overhead expenses. The Company defines its segments as those business units whose operating results are regularly reviewed by the chief operating decision maker (“CODM”) to analyze performance and allocate resources. The Company’s CODM is its President and Chief Executive Officer. Summarized financial information concerning reportable segments is shown in the following tables: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 December 31,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144,069,543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9,867,315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154,079,692</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108,881,938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9,932,597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118,814,535</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(17,908,378)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(22,336,089)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(39,365,080)</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(504,787)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(19,360,876)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(19,868,929)</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(6,669,941)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(6,669,941)</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(17,911,644)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(48,366,906)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(65,903,950)</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8,664,311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13,911,171</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4,708,879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2,403,572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7,113,369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238,159,534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37,070,535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73,231,812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348,461,881</w:t>
            </w:r>
          </w:p>
        </w:tc>
      </w:tr>
      <w:tr>
        <w:trPr>
          <w:trHeight w:val="439"/>
        </w:trPr>
        <w:tc>
          <w:tcPr>
            <w:tcW w:w="36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b w:val="1"/>
                <w:bCs w:val="1"/>
                <w:color w:val="auto"/>
              </w:rPr>
              <w:t>Year Ended December 31, 2021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36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8"/>
              </w:rPr>
              <w:t>Plasma</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ADMA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Collection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BioManufacturing</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Centers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Corporate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74,935,528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5,864,263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80,942,625</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74,124,999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5,644,342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79,769,341</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(29,293,309)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(12,056,364)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(17,024,068)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(58,373,741)</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(13,050,164)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(13,273,877)</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(29,511,362)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(12,062,024)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(30,074,232)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(71,647,618)</w:t>
            </w:r>
          </w:p>
        </w:tc>
      </w:tr>
      <w:tr>
        <w:trPr>
          <w:trHeight w:val="216"/>
        </w:trPr>
        <w:tc>
          <w:tcPr>
            <w:tcW w:w="36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4,876,983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8,634,275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13,511,258</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4,217,771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1,272,397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5,495,502</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208,391,019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24,681,691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43,180,014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276,252,724</w:t>
            </w:r>
          </w:p>
        </w:tc>
      </w:tr>
    </w:tbl>
    <w:p>
      <w:pPr>
        <w:spacing w:after="0" w:line="198"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EMPLOYEE BENEFITS</w:t>
      </w:r>
    </w:p>
    <w:p>
      <w:pPr>
        <w:spacing w:after="0" w:line="229" w:lineRule="exact"/>
        <w:rPr>
          <w:sz w:val="20"/>
          <w:szCs w:val="20"/>
          <w:color w:val="auto"/>
        </w:rPr>
      </w:pPr>
    </w:p>
    <w:p>
      <w:pPr>
        <w:jc w:val="both"/>
        <w:ind w:right="60" w:firstLine="607"/>
        <w:spacing w:after="0" w:line="263" w:lineRule="auto"/>
        <w:rPr>
          <w:sz w:val="20"/>
          <w:szCs w:val="20"/>
          <w:color w:val="auto"/>
        </w:rPr>
      </w:pPr>
      <w:r>
        <w:rPr>
          <w:rFonts w:ascii="Arial" w:cs="Arial" w:eastAsia="Arial" w:hAnsi="Arial"/>
          <w:sz w:val="18"/>
          <w:szCs w:val="18"/>
          <w:color w:val="auto"/>
        </w:rPr>
        <w:t>The Company sponsors a 401(k) savings plan. Under the plan, employees may make contributions which are eligible for a Company discretionary percentage contribution as defined in the plan and determined by the Board of Directors. The Company recognized $1.3 million and $1.1 million of related compensation expense for the years ended December 31, 2022 and 2021, respectively.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i w:val="1"/>
          <w:iCs w:val="1"/>
          <w:u w:val="single" w:color="auto"/>
          <w:color w:val="0000EE"/>
        </w:rPr>
        <w:t>Table of Contents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ADMA BIOLOGICS, INC. AND SUBSIDIARIES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00" w:type="dxa"/>
            <w:vAlign w:val="bottom"/>
          </w:tcPr>
          <w:p>
            <w:pPr>
              <w:spacing w:after="0"/>
              <w:rPr>
                <w:sz w:val="24"/>
                <w:szCs w:val="24"/>
                <w:color w:val="auto"/>
              </w:rPr>
            </w:pPr>
          </w:p>
        </w:tc>
        <w:tc>
          <w:tcPr>
            <w:tcW w:w="8180" w:type="dxa"/>
            <w:vAlign w:val="bottom"/>
            <w:gridSpan w:val="3"/>
          </w:tcPr>
          <w:p>
            <w:pPr>
              <w:ind w:left="120"/>
              <w:spacing w:after="0"/>
              <w:rPr>
                <w:sz w:val="20"/>
                <w:szCs w:val="20"/>
                <w:color w:val="auto"/>
              </w:rPr>
            </w:pPr>
            <w:r>
              <w:rPr>
                <w:rFonts w:ascii="Arial" w:cs="Arial" w:eastAsia="Arial" w:hAnsi="Arial"/>
                <w:sz w:val="18"/>
                <w:szCs w:val="18"/>
                <w:color w:val="auto"/>
              </w:rPr>
              <w:t>Supplemental cash flow information for the years ended December 31, 2022 and 2021 is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4"/>
                <w:szCs w:val="24"/>
                <w:color w:val="auto"/>
              </w:rPr>
            </w:pPr>
          </w:p>
        </w:tc>
      </w:tr>
      <w:tr>
        <w:trPr>
          <w:trHeight w:val="216"/>
        </w:trPr>
        <w:tc>
          <w:tcPr>
            <w:tcW w:w="8680" w:type="dxa"/>
            <w:vAlign w:val="bottom"/>
            <w:gridSpan w:val="4"/>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6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Cash paid for 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13,879,958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11,159,461</w:t>
            </w:r>
          </w:p>
        </w:tc>
      </w:tr>
      <w:tr>
        <w:trPr>
          <w:trHeight w:val="196"/>
        </w:trPr>
        <w:tc>
          <w:tcPr>
            <w:tcW w:w="8680" w:type="dxa"/>
            <w:vAlign w:val="bottom"/>
            <w:tcBorders>
              <w:top w:val="single" w:sz="8" w:color="CCEEFF"/>
            </w:tcBorders>
            <w:gridSpan w:val="4"/>
          </w:tcPr>
          <w:p>
            <w:pPr>
              <w:spacing w:after="0" w:line="196" w:lineRule="exact"/>
              <w:rPr>
                <w:sz w:val="20"/>
                <w:szCs w:val="20"/>
                <w:color w:val="auto"/>
              </w:rPr>
            </w:pPr>
            <w:r>
              <w:rPr>
                <w:rFonts w:ascii="Arial" w:cs="Arial" w:eastAsia="Arial" w:hAnsi="Arial"/>
                <w:sz w:val="18"/>
                <w:szCs w:val="18"/>
                <w:b w:val="1"/>
                <w:bCs w:val="1"/>
                <w:color w:val="auto"/>
              </w:rPr>
              <w:t>Noncash Financing and Investing Activities: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6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Equipment acquired reflected in accounts payable and accrued liabilities</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1,494,916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1,352,627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8680" w:type="dxa"/>
            <w:vAlign w:val="bottom"/>
            <w:gridSpan w:val="4"/>
          </w:tcPr>
          <w:p>
            <w:pPr>
              <w:ind w:left="220"/>
              <w:spacing w:after="0" w:line="196" w:lineRule="exact"/>
              <w:rPr>
                <w:sz w:val="20"/>
                <w:szCs w:val="20"/>
                <w:color w:val="auto"/>
              </w:rPr>
            </w:pPr>
            <w:r>
              <w:rPr>
                <w:rFonts w:ascii="Arial" w:cs="Arial" w:eastAsia="Arial" w:hAnsi="Arial"/>
                <w:sz w:val="18"/>
                <w:szCs w:val="18"/>
                <w:color w:val="auto"/>
              </w:rPr>
              <w:t>Right-to-use assets in exchange for lease obligations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4,048,099</w:t>
            </w:r>
          </w:p>
        </w:tc>
        <w:tc>
          <w:tcPr>
            <w:tcW w:w="22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3,554,473</w:t>
            </w:r>
          </w:p>
        </w:tc>
      </w:tr>
      <w:tr>
        <w:trPr>
          <w:trHeight w:val="20"/>
        </w:trPr>
        <w:tc>
          <w:tcPr>
            <w:tcW w:w="220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680" w:type="dxa"/>
            <w:vAlign w:val="bottom"/>
            <w:tcBorders>
              <w:bottom w:val="single" w:sz="8" w:color="CCEEFF"/>
            </w:tcBorders>
            <w:gridSpan w:val="4"/>
            <w:shd w:val="clear" w:color="auto" w:fill="CCEEFF"/>
          </w:tcPr>
          <w:p>
            <w:pPr>
              <w:ind w:left="220"/>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9,569,604</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72"/>
        </w:trPr>
        <w:tc>
          <w:tcPr>
            <w:tcW w:w="5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CONCENTRATIONS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607"/>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and accounts receivable. At December 31, 2022, two customers accounted for approximately 92% of the Company’s consolidated accounts receivable. At December 31, 2021, three customers accounted for approximately 94% of the Company’s consolidated accounts receivable.</w:t>
      </w:r>
    </w:p>
    <w:p>
      <w:pPr>
        <w:spacing w:after="0" w:line="184" w:lineRule="exact"/>
        <w:rPr>
          <w:sz w:val="20"/>
          <w:szCs w:val="20"/>
          <w:color w:val="auto"/>
        </w:rPr>
      </w:pPr>
    </w:p>
    <w:p>
      <w:pPr>
        <w:ind w:right="280" w:firstLine="607"/>
        <w:spacing w:after="0" w:line="308" w:lineRule="auto"/>
        <w:rPr>
          <w:sz w:val="20"/>
          <w:szCs w:val="20"/>
          <w:color w:val="auto"/>
        </w:rPr>
      </w:pPr>
      <w:r>
        <w:rPr>
          <w:rFonts w:ascii="Arial" w:cs="Arial" w:eastAsia="Arial" w:hAnsi="Arial"/>
          <w:sz w:val="17"/>
          <w:szCs w:val="17"/>
          <w:color w:val="auto"/>
        </w:rPr>
        <w:t>For the year ended December 31, 2022, two customers accounted for approximately 74% of the Company’s consolidated revenues. For the year ended December 31, 2021, four customers accounted for approximately 81% of the Company’s consolidated revenues.</w:t>
      </w:r>
    </w:p>
    <w:p>
      <w:pPr>
        <w:spacing w:after="0" w:line="146" w:lineRule="exact"/>
        <w:rPr>
          <w:sz w:val="20"/>
          <w:szCs w:val="20"/>
          <w:color w:val="auto"/>
        </w:rPr>
      </w:pPr>
    </w:p>
    <w:p>
      <w:pPr>
        <w:ind w:right="480" w:firstLine="607"/>
        <w:spacing w:after="0" w:line="277" w:lineRule="auto"/>
        <w:rPr>
          <w:sz w:val="20"/>
          <w:szCs w:val="20"/>
          <w:color w:val="auto"/>
        </w:rPr>
      </w:pPr>
      <w:r>
        <w:rPr>
          <w:rFonts w:ascii="Arial" w:cs="Arial" w:eastAsia="Arial" w:hAnsi="Arial"/>
          <w:sz w:val="18"/>
          <w:szCs w:val="18"/>
          <w:color w:val="auto"/>
        </w:rPr>
        <w:t>During the years ended December 31, 2022 and 2021, plasma purchases from Grifols totaled approximately $47.7 million and $42.0 million, respectively, or approximately 65% and 69%, respectively, of the Company’s total inventory purchases.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revenues according to geographic area, based on the location of where the product is shipped,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146,426,617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70,625,848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7,653,075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10,316,777</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154,079,692</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80,942,625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right="40" w:firstLine="607"/>
        <w:spacing w:after="0" w:line="277" w:lineRule="auto"/>
        <w:rPr>
          <w:sz w:val="20"/>
          <w:szCs w:val="20"/>
          <w:color w:val="auto"/>
        </w:rPr>
      </w:pPr>
      <w:r>
        <w:rPr>
          <w:rFonts w:ascii="Arial" w:cs="Arial" w:eastAsia="Arial" w:hAnsi="Arial"/>
          <w:sz w:val="18"/>
          <w:szCs w:val="18"/>
          <w:color w:val="auto"/>
        </w:rPr>
        <w:t>On March 22, 2023, the Company and Hayfin entered into an amendment to the Hayfin Credit Agreement whereby the lenders’ obligation to make the Hayfin Delayed Draw Loan (see Note 7) was extended to June 30, 2023.</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98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10.25.1</w:t>
      </w:r>
    </w:p>
    <w:p>
      <w:pPr>
        <w:spacing w:after="0" w:line="277"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AMENDMENT NO. 1 TO CREDIT AGREEMENT AND GUARANTY</w:t>
      </w:r>
      <w:r>
        <w:rPr>
          <w:rFonts w:ascii="Arial" w:cs="Arial" w:eastAsia="Arial" w:hAnsi="Arial"/>
          <w:sz w:val="18"/>
          <w:szCs w:val="18"/>
          <w:color w:val="auto"/>
        </w:rPr>
        <w:t>, dated as of March 22, 2023 (this “</w:t>
      </w:r>
      <w:r>
        <w:rPr>
          <w:rFonts w:ascii="Arial" w:cs="Arial" w:eastAsia="Arial" w:hAnsi="Arial"/>
          <w:sz w:val="18"/>
          <w:szCs w:val="18"/>
          <w:u w:val="single" w:color="auto"/>
          <w:color w:val="auto"/>
        </w:rPr>
        <w:t>Amendment</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among ADMA BIOLOGICS,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other Credit Parties party hereto, the lenders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HAYFIN SERVICES LLP, as administrative agent for the Lenders hereunder (in such capacity, together with its successors and assigns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204"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WHEREAS, the Borrower, certain Subsidiaries of the Borrower from time to time party thereto, as guarantors, the Lenders from time to time party thereto and the Agent are party to that certain Credit Agreement and Guaranty, dated as of March 23, 2022 (the “</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as amended by this Amendment and as may be further amended,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w:t>
      </w:r>
    </w:p>
    <w:p>
      <w:pPr>
        <w:spacing w:after="0" w:line="17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WHEREAS, the Borrower has requested, and subject to the terms and conditions set forth herein, the Lenders have agreed, to amend certain provisions of the Existing Credit Agreement as set forth herein in accordance with Section 11.1 thereof.</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NOW THEREFORE, in consideration of the foregoing premises and the mutual agreements contained herein, and for other good and valuable consideration, the receipt and sufficiency of which are hereby acknowledged, the parties hereto, intending to be legally bound, hereby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SECTION 1.1. Terms used but not defined herein have the respective meanings given to such terms in the Credit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 to the Existing Credit Agreement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SECTION 2.1. As of the First Amendment Effective Date (as defined below), the Existing Credit Agreement is hereby amended as follows:</w:t>
      </w:r>
    </w:p>
    <w:p>
      <w:pPr>
        <w:spacing w:after="0" w:line="202" w:lineRule="exact"/>
        <w:rPr>
          <w:sz w:val="20"/>
          <w:szCs w:val="20"/>
          <w:color w:val="auto"/>
        </w:rPr>
      </w:pPr>
    </w:p>
    <w:p>
      <w:pPr>
        <w:ind w:left="420" w:firstLine="1289"/>
        <w:spacing w:after="0" w:line="250" w:lineRule="auto"/>
        <w:tabs>
          <w:tab w:leader="none" w:pos="24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definition of “Delayed Draw Commitment Expiration Date” in Section 1.1 of the Existing Credit Agreement is hereby deleted in its entirety and replaced with the following: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Delayed Draw Commitment Expiration Date</w:t>
      </w:r>
      <w:r>
        <w:rPr>
          <w:rFonts w:ascii="Arial" w:cs="Arial" w:eastAsia="Arial" w:hAnsi="Arial"/>
          <w:sz w:val="22"/>
          <w:szCs w:val="22"/>
          <w:color w:val="auto"/>
        </w:rPr>
        <w:t>” means June 30, 2023.”.</w:t>
      </w:r>
    </w:p>
    <w:p>
      <w:pPr>
        <w:spacing w:after="0" w:line="233" w:lineRule="exact"/>
        <w:rPr>
          <w:sz w:val="20"/>
          <w:szCs w:val="20"/>
          <w:color w:val="auto"/>
        </w:rPr>
      </w:pPr>
    </w:p>
    <w:p>
      <w:pPr>
        <w:ind w:left="2600" w:hanging="891"/>
        <w:spacing w:after="0"/>
        <w:tabs>
          <w:tab w:leader="none" w:pos="260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Section 7.1(d) of the Existing Credit Agreement is hereby deleted in its entirety and replaced with</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14" w:name="page115"/>
    <w:bookmarkEnd w:id="114"/>
    <w:p>
      <w:pPr>
        <w:ind w:left="1700"/>
        <w:spacing w:after="0"/>
        <w:tabs>
          <w:tab w:leader="none" w:pos="2520" w:val="left"/>
          <w:tab w:leader="none" w:pos="35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as soon as available and in any event within sixty (60) days after the end of each Fiscal</w:t>
      </w:r>
    </w:p>
    <w:p>
      <w:pPr>
        <w:spacing w:after="0" w:line="9" w:lineRule="exact"/>
        <w:rPr>
          <w:sz w:val="20"/>
          <w:szCs w:val="20"/>
          <w:color w:val="auto"/>
        </w:rPr>
      </w:pPr>
    </w:p>
    <w:p>
      <w:pPr>
        <w:jc w:val="both"/>
        <w:ind w:left="420"/>
        <w:spacing w:after="0" w:line="271" w:lineRule="auto"/>
        <w:rPr>
          <w:sz w:val="20"/>
          <w:szCs w:val="20"/>
          <w:color w:val="auto"/>
        </w:rPr>
      </w:pPr>
      <w:r>
        <w:rPr>
          <w:rFonts w:ascii="Arial" w:cs="Arial" w:eastAsia="Arial" w:hAnsi="Arial"/>
          <w:sz w:val="19"/>
          <w:szCs w:val="19"/>
          <w:color w:val="auto"/>
        </w:rPr>
        <w:t>Year (or, with respect to the Fiscal Year ended December 31, 2022, upon written request by the Agent, e-mail being sufficient (acting on its own or at the request of the Majority Lenders) within fifteen (15) business days following such request), an annual budget, a business plan and financial forecasts of the Borrower and its Subsidiaries for the then-current Fiscal Year of the Borrower, in form and substance as approved by the board of directors (or equivalent) of the Borrower, which shall include a projection of income and a projected cash flow statement for each Fiscal Quarter in such Fiscal Year and a projected balance sheet as of the end of each Fiscal Quarter in such Fiscal Year, in each case prepared in reasonable detail, with appropriate presentation and discussion (in reasonable detail) of the principal assumptions upon which such budgets and projections are based, which shall be accompanied by the statement of an Authorized Officer of the Borrower to the effect that such budget and projections are based on reasonable and good faith estimates and assumptions made by the management of the Borrower for the respective periods covered thereby;”.</w:t>
      </w:r>
    </w:p>
    <w:p>
      <w:pPr>
        <w:spacing w:after="0" w:line="18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auto"/>
        </w:rPr>
        <w:t>SECTION 2.2. Nothing contained in this Amendment shall be construed as a waiver by the Agent or any Lender of any covenant or provision of the Credit Agreement, the other Loan Documents, this Amendment, or of any other contract or instrument between the Credit Parties and the Agent or any Lender, and the failure of the Agent or any Lender at any time or times hereafter to require strict performance by the Credit Parties of any provision thereof shall not waive, affect or diminish any right of the Agent or the Lenders to thereafter demand, or the obligation of the Credit Parties to perform in, strict compliance therewith. The Agent and each Lender hereby reserves all rights granted under the Credit Agreement, the other Loan Documents, this Amendment and any other contract or instrument between any of them.</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Representations and Warranties</w:t>
      </w:r>
    </w:p>
    <w:p>
      <w:pPr>
        <w:spacing w:after="0" w:line="233"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auto"/>
        </w:rPr>
        <w:t xml:space="preserve">SECTION 3.1. Each Credit Party hereby represents and warrants to the Agent and the Lenders that, as of the First Amendment Effective Date, after giving effect to this Amendment, (a) no Default or Event of Default has occurred and is continuing and (b) the representations and warranties of the Credit Parties contained in the Credit Agreement and the other Loan Documents are true and correct in all material respects on and as of such day (unless stated to relate solely to an earlier date, in which case such representations and warranties shall be true and correct in all material respects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representations and warranties that are by their terms qualified by materiality, Material Adverse Effect or similar qualification shall be true and correct in all respects.</w:t>
      </w:r>
    </w:p>
    <w:p>
      <w:pPr>
        <w:spacing w:after="0" w:line="211" w:lineRule="exact"/>
        <w:rPr>
          <w:sz w:val="20"/>
          <w:szCs w:val="20"/>
          <w:color w:val="auto"/>
        </w:rPr>
      </w:pPr>
    </w:p>
    <w:p>
      <w:pPr>
        <w:ind w:left="1300"/>
        <w:spacing w:after="0"/>
        <w:tabs>
          <w:tab w:leader="none" w:pos="312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color w:val="auto"/>
        </w:rPr>
        <w:t>Each Credit Party hereby represents and warrants to the Agent and the Lenders that:</w:t>
      </w:r>
    </w:p>
    <w:p>
      <w:pPr>
        <w:spacing w:after="0" w:line="233" w:lineRule="exact"/>
        <w:rPr>
          <w:sz w:val="20"/>
          <w:szCs w:val="20"/>
          <w:color w:val="auto"/>
        </w:rPr>
      </w:pPr>
    </w:p>
    <w:p>
      <w:pPr>
        <w:ind w:left="2820" w:hanging="1111"/>
        <w:spacing w:after="0"/>
        <w:tabs>
          <w:tab w:leader="none" w:pos="282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it has taken all necessary action to authorize the execution, delivery and performance of this</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Amendment;</w:t>
      </w:r>
    </w:p>
    <w:p>
      <w:pPr>
        <w:spacing w:after="0" w:line="215" w:lineRule="exact"/>
        <w:rPr>
          <w:sz w:val="20"/>
          <w:szCs w:val="20"/>
          <w:color w:val="auto"/>
        </w:rPr>
      </w:pPr>
    </w:p>
    <w:p>
      <w:pPr>
        <w:jc w:val="both"/>
        <w:ind w:left="420" w:firstLine="1289"/>
        <w:spacing w:after="0" w:line="236" w:lineRule="auto"/>
        <w:tabs>
          <w:tab w:leader="none" w:pos="2628"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such Credit Party and constitutes such Credit Party’s legal, valid and binding obligation, enforceable in accordance with its terms, except as such enforceability may be subject to (i) bankruptcy, insolvency, reorganization, fraudulent conveyance or transfer, moratorium or similar laws affecting creditors’ rights generally and (ii) general principles of equity (regardless of whether such enforceability is considered in a proceeding at law or in equity);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ind w:left="420" w:firstLine="1289"/>
        <w:spacing w:after="0"/>
        <w:tabs>
          <w:tab w:leader="none" w:pos="25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consent, approval, authorization or order of, or filing, registration or qualification with, any court or governmental authority or third party is required in connection with the execution, delivery or performance by such Credit Party of this Amendment;</w:t>
      </w:r>
    </w:p>
    <w:p>
      <w:pPr>
        <w:spacing w:after="0" w:line="213" w:lineRule="exact"/>
        <w:rPr>
          <w:rFonts w:ascii="Arial" w:cs="Arial" w:eastAsia="Arial" w:hAnsi="Arial"/>
          <w:sz w:val="22"/>
          <w:szCs w:val="22"/>
          <w:color w:val="auto"/>
        </w:rPr>
      </w:pPr>
    </w:p>
    <w:p>
      <w:pPr>
        <w:jc w:val="both"/>
        <w:ind w:left="420" w:firstLine="1289"/>
        <w:spacing w:after="0" w:line="282" w:lineRule="auto"/>
        <w:tabs>
          <w:tab w:leader="none" w:pos="269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Security Agreement, the Copyright Security Agreement, the Patent Security Agreement, the Trademark Security Agreement and any other security documents (collectively, the “</w:t>
      </w:r>
      <w:r>
        <w:rPr>
          <w:rFonts w:ascii="Arial" w:cs="Arial" w:eastAsia="Arial" w:hAnsi="Arial"/>
          <w:sz w:val="19"/>
          <w:szCs w:val="19"/>
          <w:u w:val="single" w:color="auto"/>
          <w:color w:val="auto"/>
        </w:rPr>
        <w:t>Security Documents</w:t>
      </w:r>
      <w:r>
        <w:rPr>
          <w:rFonts w:ascii="Arial" w:cs="Arial" w:eastAsia="Arial" w:hAnsi="Arial"/>
          <w:sz w:val="19"/>
          <w:szCs w:val="19"/>
          <w:color w:val="auto"/>
        </w:rPr>
        <w:t>”) continue to create a valid security interest in, and Lien upon, the Collateral (as defined in the respective Security Document), in favor of the Collateral Agent, for the benefit of the Lenders, which security interests and Liens are perfected in accordance with the terms of the Security Documents and prior to all Liens other than Permitted Liens; and</w:t>
      </w:r>
    </w:p>
    <w:p>
      <w:pPr>
        <w:spacing w:after="0" w:line="174" w:lineRule="exact"/>
        <w:rPr>
          <w:rFonts w:ascii="Arial" w:cs="Arial" w:eastAsia="Arial" w:hAnsi="Arial"/>
          <w:sz w:val="19"/>
          <w:szCs w:val="19"/>
          <w:color w:val="auto"/>
        </w:rPr>
      </w:pPr>
    </w:p>
    <w:p>
      <w:pPr>
        <w:ind w:left="420" w:right="20" w:firstLine="1289"/>
        <w:spacing w:after="0" w:line="250" w:lineRule="auto"/>
        <w:tabs>
          <w:tab w:leader="none" w:pos="2542"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specifically provided in this Amendment, the Obligations are not reduced or modified by this Amendment and are not subject to any offsets, defenses or counterclaims.</w:t>
      </w:r>
    </w:p>
    <w:p>
      <w:pPr>
        <w:spacing w:after="0" w:line="202" w:lineRule="exact"/>
        <w:rPr>
          <w:sz w:val="20"/>
          <w:szCs w:val="20"/>
          <w:color w:val="auto"/>
        </w:rPr>
      </w:pPr>
    </w:p>
    <w:p>
      <w:pPr>
        <w:ind w:left="1300"/>
        <w:spacing w:after="0"/>
        <w:tabs>
          <w:tab w:leader="none" w:pos="310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color w:val="auto"/>
        </w:rPr>
        <w:t>All of the conditions set forth in Article IV have been satisfied.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Conditions</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SECTION 4.1. This Amendment shall become effective upon the satisfaction of the following conditions (the date upon which each such condition has been satisfied in full or waived by the Agent in its sole discretion, the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w:t>
      </w:r>
      <w:r>
        <w:rPr>
          <w:rFonts w:ascii="Arial" w:cs="Arial" w:eastAsia="Arial" w:hAnsi="Arial"/>
          <w:sz w:val="22"/>
          <w:szCs w:val="22"/>
          <w:u w:val="single" w:color="auto"/>
          <w:color w:val="auto"/>
        </w:rPr>
        <w:t>Amendment Effective Date</w:t>
      </w:r>
      <w:r>
        <w:rPr>
          <w:rFonts w:ascii="Arial" w:cs="Arial" w:eastAsia="Arial" w:hAnsi="Arial"/>
          <w:sz w:val="22"/>
          <w:szCs w:val="22"/>
          <w:color w:val="auto"/>
        </w:rPr>
        <w:t>”):</w:t>
      </w:r>
    </w:p>
    <w:p>
      <w:pPr>
        <w:spacing w:after="0" w:line="213" w:lineRule="exact"/>
        <w:rPr>
          <w:sz w:val="20"/>
          <w:szCs w:val="20"/>
          <w:color w:val="auto"/>
        </w:rPr>
      </w:pPr>
    </w:p>
    <w:p>
      <w:pPr>
        <w:ind w:left="2480" w:hanging="771"/>
        <w:spacing w:after="0"/>
        <w:tabs>
          <w:tab w:leader="none" w:pos="248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This Amendment</w:t>
      </w:r>
      <w:r>
        <w:rPr>
          <w:rFonts w:ascii="Arial" w:cs="Arial" w:eastAsia="Arial" w:hAnsi="Arial"/>
          <w:sz w:val="19"/>
          <w:szCs w:val="19"/>
          <w:color w:val="auto"/>
        </w:rPr>
        <w:t>. The execution and delivery of this Amendment by each Credit Party, each Lender</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and the Agent.</w:t>
      </w:r>
    </w:p>
    <w:p>
      <w:pPr>
        <w:spacing w:after="0" w:line="215" w:lineRule="exact"/>
        <w:rPr>
          <w:sz w:val="20"/>
          <w:szCs w:val="20"/>
          <w:color w:val="auto"/>
        </w:rPr>
      </w:pPr>
    </w:p>
    <w:p>
      <w:pPr>
        <w:jc w:val="both"/>
        <w:ind w:left="420" w:firstLine="1289"/>
        <w:spacing w:after="0" w:line="287" w:lineRule="auto"/>
        <w:tabs>
          <w:tab w:leader="none" w:pos="2454"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Fees, Expenses, Etc</w:t>
      </w:r>
      <w:r>
        <w:rPr>
          <w:rFonts w:ascii="Arial" w:cs="Arial" w:eastAsia="Arial" w:hAnsi="Arial"/>
          <w:sz w:val="19"/>
          <w:szCs w:val="19"/>
          <w:color w:val="auto"/>
        </w:rPr>
        <w:t>. The Agent shall have received for its own account and for the account of the Lenders and all fees, costs and expenses due and payable pursuant to Section 11.3 of the Credit Agreement or any other Loan Documents, including all closing costs and fees and all unpaid reasonable expenses of the Agent and the Lenders incurred in connection with the transactions contemplated hereby (including the Agent’s legal fees and expenses).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Schedules</w:t>
      </w:r>
    </w:p>
    <w:p>
      <w:pPr>
        <w:spacing w:after="0" w:line="233" w:lineRule="exact"/>
        <w:rPr>
          <w:sz w:val="20"/>
          <w:szCs w:val="20"/>
          <w:color w:val="auto"/>
        </w:rPr>
      </w:pPr>
    </w:p>
    <w:p>
      <w:pPr>
        <w:ind w:firstLine="1296"/>
        <w:spacing w:after="0" w:line="274" w:lineRule="auto"/>
        <w:rPr>
          <w:sz w:val="20"/>
          <w:szCs w:val="20"/>
          <w:color w:val="auto"/>
        </w:rPr>
      </w:pPr>
      <w:r>
        <w:rPr>
          <w:rFonts w:ascii="Arial" w:cs="Arial" w:eastAsia="Arial" w:hAnsi="Arial"/>
          <w:sz w:val="21"/>
          <w:szCs w:val="21"/>
          <w:color w:val="auto"/>
        </w:rPr>
        <w:t>SECTION 5.1. The following Schedules to the Existing Credit Agreement are hereby deleted and replaced with the applicable Schedules attached hereto: Schedule 6.15(a), Schedule 6.17, Schedule 6.19(a), and Schedule 6.25.</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ARTICLE VI</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4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AND ANY CLAIMS, CONTROVERSY, DISPUTE OR CAUSE OF ACTION (WHETHER IN CONTRACT OR TORT OR OTHERWISE) BASED UPON, ARISING OUT OF OR RELATING TO THIS AMENDMENT CONTEMPLATED HEREBY SHALL BE GOVERNED BY, AND CONSTRUED IN ACCORDANCE WITH, THE INTERNAL LAWS OF THE STATE OF NEW YORK (INCLUDING FOR SUCH PURPOSE SECTIONS 5-1401 AND 5-1402 OF THE GENERAL OBLIGATIONS LAW OF THE STATE OF NEW YORK). THIS AMENDMENT AND THE LOAN DOCUMENTS CONSTITUTE THE ENTIRE UNDERSTANDING AMONG THE PARTIES HERETO WITH RESPECT TO THE SUBJECT MATTER HEREOF AND THEREOF AND SUPERSEDE ANY PRIOR AGREEMENTS, WRITTEN OR ORAL, WITH RESPECT HERETO AND THERETO.</w:t>
      </w:r>
    </w:p>
    <w:p>
      <w:pPr>
        <w:spacing w:after="0" w:line="22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Severability Clause</w:t>
      </w:r>
      <w:r>
        <w:rPr>
          <w:rFonts w:ascii="Arial" w:cs="Arial" w:eastAsia="Arial" w:hAnsi="Arial"/>
          <w:sz w:val="18"/>
          <w:szCs w:val="18"/>
          <w:color w:val="auto"/>
        </w:rPr>
        <w:t>. Any provision of this Amendment which is prohibited or unenforceable in any jurisdiction shall, as to such provision and such jurisdiction, be ineffective to the extent of such prohibition or unenforceability without invalidating the remaining provisions of this Amendment or affecting the validity or enforceability of such provision in any other jurisdiction.</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Ratification and Reaffirmation</w:t>
      </w:r>
      <w:r>
        <w:rPr>
          <w:rFonts w:ascii="Arial" w:cs="Arial" w:eastAsia="Arial" w:hAnsi="Arial"/>
          <w:sz w:val="16"/>
          <w:szCs w:val="16"/>
          <w:color w:val="auto"/>
        </w:rPr>
        <w:t>. Except as expressly amended hereby, each of the Credit Agreement and the Fee Letter is in all respects ratified and confirmed and all the terms, conditions and provisions thereof shall remain in full force and effect. Each Credit Party hereby consents to this Amendment, agrees that this Amendment shall form a part of the Credit Agreement and the Fee Letter for all purposes and acknowledges that each of the other Loan Documents remains in full force and effect and is hereby ratified and reaffirmed. Each Credit Party as borrower, debtor, grantor, pledgor, guarantor, assignor, or in other any other similar capacity in which such Credit Party grants liens or security interests in its property or otherwise acts as accommodation party or guarantor, as the case may be, hereby (a) ratifies and reaffirms all of its payment and performance obligations, contingent or otherwise, under each of the Loan Documents to which it is a party (after giving effect hereto) and (b) to the extent such Credit Party granted liens on or security interests in any of its property pursuant to any such Loan Document as security for or otherwise guaranteed Obligations under or with respect to the Loan Documents, ratifies and reaffirms such guarantee and grant of security interests and liens and confirms and agrees that such security interests and liens hereafter secure all of the Obligations as amended hereby. The execution of this Amendment shall not operate as a waiver of any right, power or remedy of the Agent or the Lenders, constitute a waiver of any provision of any of the Loan Documents or serve to effect a novation of the Obligations or any other obligation or covenant of the Credit Parties under the Loan Documents. Except as specifically set forth herein, the Agent and the Lenders reserve all of their respective rights and remedies under the Credit Agreement and the other Loan Documents.</w:t>
      </w:r>
    </w:p>
    <w:p>
      <w:pPr>
        <w:spacing w:after="0" w:line="20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Headings</w:t>
      </w:r>
      <w:r>
        <w:rPr>
          <w:rFonts w:ascii="Arial" w:cs="Arial" w:eastAsia="Arial" w:hAnsi="Arial"/>
          <w:sz w:val="18"/>
          <w:szCs w:val="18"/>
          <w:color w:val="auto"/>
        </w:rPr>
        <w:t>. The various headings of this Amendment are inserted for convenience only and shall not affect the meaning or interpretation of this Amendment or any provisions hereof.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7" w:name="page118"/>
    <w:bookmarkEnd w:id="117"/>
    <w:p>
      <w:pPr>
        <w:jc w:val="both"/>
        <w:ind w:firstLine="1296"/>
        <w:spacing w:after="0" w:line="277" w:lineRule="auto"/>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Amendment may be executed by the parties hereto in several counterparts, each of which shall be an original and all of which shall constitute together but one and the same agreement.</w:t>
      </w:r>
    </w:p>
    <w:p>
      <w:pPr>
        <w:spacing w:after="0" w:line="19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Amendment shall become effective when counterparts hereof executed on behalf of the Credit Parties and the Lenders shall have been received by the Agent.</w:t>
      </w:r>
    </w:p>
    <w:p>
      <w:pPr>
        <w:spacing w:after="0" w:line="197"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Electronic Signatures</w:t>
      </w:r>
      <w:r>
        <w:rPr>
          <w:rFonts w:ascii="Arial" w:cs="Arial" w:eastAsia="Arial" w:hAnsi="Arial"/>
          <w:sz w:val="16"/>
          <w:szCs w:val="16"/>
          <w:color w:val="auto"/>
        </w:rPr>
        <w:t>. Delivery of an executed counterpart of a signature page to this Agreement by email (e.g. “pdf” or “tiff”) or telecopy shall be effective as delivery of a manually executed counterpart of this Amendment.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to any other certificate, agreement or document related hereto or the transactions contemplated hereby, and any contract formation or record-keeping, in each case, through electronic means, shall have the same legal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or any similar state law based on the Uniform Electronic Transactions Act, and the parties hereto hereby waive any objection to the contrary.</w:t>
      </w:r>
    </w:p>
    <w:p>
      <w:pPr>
        <w:spacing w:after="0" w:line="19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6.8. </w:t>
      </w:r>
      <w:r>
        <w:rPr>
          <w:rFonts w:ascii="Arial" w:cs="Arial" w:eastAsia="Arial" w:hAnsi="Arial"/>
          <w:sz w:val="17"/>
          <w:szCs w:val="17"/>
          <w:u w:val="single" w:color="auto"/>
          <w:color w:val="auto"/>
        </w:rPr>
        <w:t>Release</w:t>
      </w:r>
      <w:r>
        <w:rPr>
          <w:rFonts w:ascii="Arial" w:cs="Arial" w:eastAsia="Arial" w:hAnsi="Arial"/>
          <w:sz w:val="17"/>
          <w:szCs w:val="17"/>
          <w:color w:val="auto"/>
        </w:rPr>
        <w:t>. Each Credit Party hereby unconditionally and irrevocably acquits and fully and forever releases and discharges the Agent, the Lenders and all their respective affiliates, partners, subsidiaries, officers, employees, agents, attorneys, principals, directors and shareholders and its respective heirs, legal representatives, successors and permitted assigns (collectively, the “</w:t>
      </w:r>
      <w:r>
        <w:rPr>
          <w:rFonts w:ascii="Arial" w:cs="Arial" w:eastAsia="Arial" w:hAnsi="Arial"/>
          <w:sz w:val="17"/>
          <w:szCs w:val="17"/>
          <w:u w:val="single" w:color="auto"/>
          <w:color w:val="auto"/>
        </w:rPr>
        <w:t>Releasees</w:t>
      </w:r>
      <w:r>
        <w:rPr>
          <w:rFonts w:ascii="Arial" w:cs="Arial" w:eastAsia="Arial" w:hAnsi="Arial"/>
          <w:sz w:val="17"/>
          <w:szCs w:val="17"/>
          <w:color w:val="auto"/>
        </w:rPr>
        <w:t>”) from any and all claims, demands, causes of action, obligations, remedies, suits, damages and liabilities of any nature whatsoever, whether now known, suspected or claimed, whether arising under common law, in equity or under statute, which such party hereto ever had or now has against any of the Releasees and which has arisen at any time prior to the date hereof directly out of this Amendment, the Credit Agreement or the other Loan Documents or the enforcement or attempted or threatened enforcement by any of the Releasees of any of their respective rights, remedies or recourse related thereto (collectively, the “</w:t>
      </w:r>
      <w:r>
        <w:rPr>
          <w:rFonts w:ascii="Arial" w:cs="Arial" w:eastAsia="Arial" w:hAnsi="Arial"/>
          <w:sz w:val="17"/>
          <w:szCs w:val="17"/>
          <w:u w:val="single" w:color="auto"/>
          <w:color w:val="auto"/>
        </w:rPr>
        <w:t>Released Claims</w:t>
      </w:r>
      <w:r>
        <w:rPr>
          <w:rFonts w:ascii="Arial" w:cs="Arial" w:eastAsia="Arial" w:hAnsi="Arial"/>
          <w:sz w:val="17"/>
          <w:szCs w:val="17"/>
          <w:color w:val="auto"/>
        </w:rPr>
        <w:t>”) (but in each case referred to in this Section 6.8, excluding any claims, demands, causes of actions, obligations, remedies, suits, damages or liabilities to the extent same occurred by reason of the gross negligence, bad faith or willful misconduct of the Releasee to be indemnified (as determined by a court of competent jurisdiction in a final and non-appealable decision)). Each Credit Party covenants and agrees never to commence, voluntarily aid in any way, prosecute or cause to be commenced or prosecuted against any of the Releasees any action or other proceeding based upon any of the Released Claims.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8" w:name="page119"/>
    <w:bookmarkEnd w:id="118"/>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Amendment to be executed by their respective officers thereunto duly authorized as of the day and year first above written.</w:t>
      </w:r>
    </w:p>
    <w:p>
      <w:pPr>
        <w:spacing w:after="0" w:line="204"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BIOLOGICS,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Lenz</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299148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8">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Title: Executive Vice President, Chief Financial Officer, and Secretary</w:t>
      </w:r>
    </w:p>
    <w:p>
      <w:pPr>
        <w:spacing w:after="0" w:line="230"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SUBSIDIARY GUARANTORS</w:t>
      </w:r>
      <w:r>
        <w:rPr>
          <w:rFonts w:ascii="Arial" w:cs="Arial" w:eastAsia="Arial" w:hAnsi="Arial"/>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BIOMANUFACTURING,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99148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Chief Financial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PLASMA BIOLOGICS,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99148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Chief Financial Officer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ADMA BIOCENTERS GEORGIA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299148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Chief Financial Officer</w:t>
      </w:r>
    </w:p>
    <w:p>
      <w:pPr>
        <w:spacing w:after="0" w:line="231"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[Signature Page to Amendment No. 1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18" w:right="779" w:bottom="1440" w:gutter="0" w:footer="0" w:header="0"/>
        </w:sectPr>
      </w:pPr>
    </w:p>
    <w:bookmarkStart w:id="119" w:name="page120"/>
    <w:bookmarkEnd w:id="119"/>
    <w:p>
      <w:pPr>
        <w:ind w:left="4840"/>
        <w:spacing w:after="0"/>
        <w:rPr>
          <w:sz w:val="20"/>
          <w:szCs w:val="20"/>
          <w:color w:val="auto"/>
        </w:rPr>
      </w:pPr>
      <w:r>
        <w:rPr>
          <w:rFonts w:ascii="Arial" w:cs="Arial" w:eastAsia="Arial" w:hAnsi="Arial"/>
          <w:sz w:val="18"/>
          <w:szCs w:val="18"/>
          <w:b w:val="1"/>
          <w:bCs w:val="1"/>
          <w:u w:val="single" w:color="auto"/>
          <w:color w:val="auto"/>
        </w:rPr>
        <w:t>AGENT: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HAYFIN SERVICES LLP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Authorised Signatory</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Amendment No. 1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ind w:left="4520"/>
        <w:spacing w:after="0"/>
        <w:rPr>
          <w:sz w:val="20"/>
          <w:szCs w:val="20"/>
          <w:color w:val="auto"/>
        </w:rPr>
      </w:pPr>
      <w:r>
        <w:rPr>
          <w:rFonts w:ascii="Arial" w:cs="Arial" w:eastAsia="Arial" w:hAnsi="Arial"/>
          <w:sz w:val="18"/>
          <w:szCs w:val="18"/>
          <w:b w:val="1"/>
          <w:bCs w:val="1"/>
          <w:u w:val="single" w:color="auto"/>
          <w:color w:val="auto"/>
        </w:rPr>
        <w:t>LENDERS:</w:t>
      </w:r>
    </w:p>
    <w:p>
      <w:pPr>
        <w:spacing w:after="0" w:line="225"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Healthcare Opportunities LuxCo S.à</w:t>
      </w:r>
      <w:r>
        <w:rPr>
          <w:rFonts w:ascii="Arial" w:cs="Arial" w:eastAsia="Arial" w:hAnsi="Arial"/>
          <w:sz w:val="18"/>
          <w:szCs w:val="18"/>
          <w:color w:val="auto"/>
        </w:rPr>
        <w:t xml:space="preserve"> </w:t>
      </w:r>
      <w:r>
        <w:rPr>
          <w:rFonts w:ascii="Arial" w:cs="Arial" w:eastAsia="Arial" w:hAnsi="Arial"/>
          <w:sz w:val="18"/>
          <w:szCs w:val="18"/>
          <w:b w:val="1"/>
          <w:bCs w:val="1"/>
          <w:color w:val="auto"/>
        </w:rPr>
        <w:t>r.l.</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Diana Kon Kam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Diana Kon Kam King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SOF III LuxCo S.à.r.l.</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Diana Kon Kam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Diana Kon Kam King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Chief LuxCo S.à.r.l.</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Diana Kon Kam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0">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Diana Kon Kam King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Big Cypress LuxCo S.à.r.l.</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Emmanuel Mougeolle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Emmanuel Mougeolle</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Position: Manager</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[Signature Page to Amendment No. 1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121" w:right="519" w:bottom="1440" w:gutter="0" w:footer="0" w:header="0"/>
        </w:sectPr>
      </w:pPr>
    </w:p>
    <w:bookmarkStart w:id="121" w:name="page122"/>
    <w:bookmarkEnd w:id="121"/>
    <w:p>
      <w:pPr>
        <w:ind w:left="452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SunHay LuxCo S.à.r.l.</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Diana Kon Kam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Diana Kon Kam King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Manager</w:t>
      </w:r>
    </w:p>
    <w:p>
      <w:pPr>
        <w:spacing w:after="0" w:line="207" w:lineRule="exact"/>
        <w:rPr>
          <w:sz w:val="20"/>
          <w:szCs w:val="20"/>
          <w:color w:val="auto"/>
        </w:rPr>
      </w:pPr>
    </w:p>
    <w:p>
      <w:pPr>
        <w:ind w:left="4520"/>
        <w:spacing w:after="0" w:line="282" w:lineRule="auto"/>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Opal 2020 (A) LP</w:t>
      </w:r>
      <w:r>
        <w:rPr>
          <w:rFonts w:ascii="Arial" w:cs="Arial" w:eastAsia="Arial" w:hAnsi="Arial"/>
          <w:sz w:val="18"/>
          <w:szCs w:val="18"/>
          <w:color w:val="auto"/>
        </w:rPr>
        <w:t>, acting by its manager Hayfin Management Limited</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Joshua Gallitano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6">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Joshua Gallitano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Authorised Signatory</w:t>
      </w:r>
    </w:p>
    <w:p>
      <w:pPr>
        <w:spacing w:after="0" w:line="207" w:lineRule="exact"/>
        <w:rPr>
          <w:sz w:val="20"/>
          <w:szCs w:val="20"/>
          <w:color w:val="auto"/>
        </w:rPr>
      </w:pPr>
    </w:p>
    <w:p>
      <w:pPr>
        <w:ind w:left="4520" w:right="20"/>
        <w:spacing w:after="0" w:line="282" w:lineRule="auto"/>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Opal 2020 (B) LP</w:t>
      </w:r>
      <w:r>
        <w:rPr>
          <w:rFonts w:ascii="Arial" w:cs="Arial" w:eastAsia="Arial" w:hAnsi="Arial"/>
          <w:sz w:val="18"/>
          <w:szCs w:val="18"/>
          <w:color w:val="auto"/>
        </w:rPr>
        <w:t>, acting by its manager Hayfin Management Limited</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Joshua Gallitano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Joshua Gallitano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Authorised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Signed for and on behalf of </w:t>
      </w:r>
      <w:r>
        <w:rPr>
          <w:rFonts w:ascii="Arial" w:cs="Arial" w:eastAsia="Arial" w:hAnsi="Arial"/>
          <w:sz w:val="18"/>
          <w:szCs w:val="18"/>
          <w:b w:val="1"/>
          <w:bCs w:val="1"/>
          <w:color w:val="auto"/>
        </w:rPr>
        <w:t>Hayfin Hamilton LuxCo S.à.r.l.</w:t>
      </w: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Lina Kavoliune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Lina Kavoliune</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Position: Manager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Diana Kon Kam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9">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Diana Kon Kam King</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Position: Manager</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[Signature Page to Amendment No. 1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21" w:right="359" w:bottom="1440" w:gutter="0" w:footer="0" w:header="0"/>
        </w:sectPr>
      </w:pPr>
    </w:p>
    <w:bookmarkStart w:id="122" w:name="page123"/>
    <w:bookmarkEnd w:id="122"/>
    <w:p>
      <w:pPr>
        <w:ind w:left="4520"/>
        <w:spacing w:after="0"/>
        <w:rPr>
          <w:sz w:val="20"/>
          <w:szCs w:val="20"/>
          <w:color w:val="auto"/>
        </w:rPr>
      </w:pPr>
      <w:r>
        <w:rPr>
          <w:rFonts w:ascii="Arial" w:cs="Arial" w:eastAsia="Arial" w:hAnsi="Arial"/>
          <w:sz w:val="18"/>
          <w:szCs w:val="18"/>
          <w:b w:val="1"/>
          <w:bCs w:val="1"/>
          <w:color w:val="auto"/>
        </w:rPr>
        <w:t>PANTHEON GLOBAL PRIVATE CREDIT HO FUND,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Pantheon Global Private Credit GT GP, LLC, its general partner</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Pantheon Ventures Inc., its sole member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Rakesh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Rakesh Jain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PANTHEON GLOBAL PRIVATE CREDIT GT FUND,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By: Pantheon Global Private Credit HO GP, LLC, its general partner</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Pantheon Ventures Inc., its sole member</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 Rakesh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23495</wp:posOffset>
            </wp:positionV>
            <wp:extent cx="355727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2">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Rakesh Jain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Position: Authorized Signatory</w:t>
      </w:r>
    </w:p>
    <w:p>
      <w:pPr>
        <w:spacing w:after="0" w:line="231" w:lineRule="exact"/>
        <w:rPr>
          <w:sz w:val="20"/>
          <w:szCs w:val="20"/>
          <w:color w:val="auto"/>
        </w:rPr>
      </w:pPr>
    </w:p>
    <w:p>
      <w:pPr>
        <w:ind w:left="1320"/>
        <w:spacing w:after="0"/>
        <w:rPr>
          <w:sz w:val="20"/>
          <w:szCs w:val="20"/>
          <w:color w:val="auto"/>
        </w:rPr>
      </w:pPr>
      <w:r>
        <w:rPr>
          <w:rFonts w:ascii="Arial" w:cs="Arial" w:eastAsia="Arial" w:hAnsi="Arial"/>
          <w:sz w:val="22"/>
          <w:szCs w:val="22"/>
          <w:color w:val="auto"/>
        </w:rPr>
        <w:t>[Signature Page to Amendment No. 1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384175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00" w:type="dxa"/>
            <w:vAlign w:val="bottom"/>
            <w:gridSpan w:val="5"/>
          </w:tcPr>
          <w:p>
            <w:pPr>
              <w:jc w:val="center"/>
              <w:ind w:right="4140"/>
              <w:spacing w:after="0"/>
              <w:rPr>
                <w:sz w:val="20"/>
                <w:szCs w:val="20"/>
                <w:color w:val="auto"/>
              </w:rPr>
            </w:pPr>
            <w:r>
              <w:rPr>
                <w:rFonts w:ascii="Arial" w:cs="Arial" w:eastAsia="Arial" w:hAnsi="Arial"/>
                <w:sz w:val="22"/>
                <w:szCs w:val="22"/>
                <w:b w:val="1"/>
                <w:bCs w:val="1"/>
                <w:color w:val="auto"/>
                <w:w w:val="91"/>
              </w:rPr>
              <w:t>ADMA BioCenters Georgia Inc.</w:t>
            </w:r>
          </w:p>
        </w:tc>
      </w:tr>
      <w:tr>
        <w:trPr>
          <w:trHeight w:val="263"/>
        </w:trPr>
        <w:tc>
          <w:tcPr>
            <w:tcW w:w="4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BioCenters Georgia Inc.</w:t>
            </w:r>
          </w:p>
        </w:tc>
      </w:tr>
      <w:tr>
        <w:trPr>
          <w:trHeight w:val="446"/>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80" w:type="dxa"/>
            <w:vAlign w:val="bottom"/>
            <w:gridSpan w:val="4"/>
          </w:tcPr>
          <w:p>
            <w:pPr>
              <w:jc w:val="center"/>
              <w:ind w:right="4240"/>
              <w:spacing w:after="0"/>
              <w:rPr>
                <w:sz w:val="20"/>
                <w:szCs w:val="20"/>
                <w:color w:val="auto"/>
              </w:rPr>
            </w:pPr>
            <w:r>
              <w:rPr>
                <w:rFonts w:ascii="Arial" w:cs="Arial" w:eastAsia="Arial" w:hAnsi="Arial"/>
                <w:sz w:val="22"/>
                <w:szCs w:val="22"/>
                <w:b w:val="1"/>
                <w:bCs w:val="1"/>
                <w:color w:val="auto"/>
                <w:w w:val="89"/>
              </w:rPr>
              <w:t>ADMA Plasma Biologics, Inc.</w:t>
            </w:r>
          </w:p>
        </w:tc>
      </w:tr>
      <w:tr>
        <w:trPr>
          <w:trHeight w:val="263"/>
        </w:trPr>
        <w:tc>
          <w:tcPr>
            <w:tcW w:w="4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Plasma Biologics, Inc.</w:t>
            </w:r>
          </w:p>
        </w:tc>
      </w:tr>
      <w:tr>
        <w:trPr>
          <w:trHeight w:val="445"/>
        </w:trPr>
        <w:tc>
          <w:tcPr>
            <w:tcW w:w="4120" w:type="dxa"/>
            <w:vAlign w:val="bottom"/>
          </w:tcPr>
          <w:p>
            <w:pPr>
              <w:spacing w:after="0"/>
              <w:rPr>
                <w:sz w:val="24"/>
                <w:szCs w:val="24"/>
                <w:color w:val="auto"/>
              </w:rPr>
            </w:pPr>
          </w:p>
        </w:tc>
        <w:tc>
          <w:tcPr>
            <w:tcW w:w="7120" w:type="dxa"/>
            <w:vAlign w:val="bottom"/>
            <w:gridSpan w:val="6"/>
          </w:tcPr>
          <w:p>
            <w:pPr>
              <w:jc w:val="center"/>
              <w:ind w:right="4120"/>
              <w:spacing w:after="0"/>
              <w:rPr>
                <w:sz w:val="20"/>
                <w:szCs w:val="20"/>
                <w:color w:val="auto"/>
              </w:rPr>
            </w:pPr>
            <w:r>
              <w:rPr>
                <w:rFonts w:ascii="Arial" w:cs="Arial" w:eastAsia="Arial" w:hAnsi="Arial"/>
                <w:sz w:val="22"/>
                <w:szCs w:val="22"/>
                <w:b w:val="1"/>
                <w:bCs w:val="1"/>
                <w:color w:val="auto"/>
                <w:w w:val="95"/>
              </w:rPr>
              <w:t>ADMA BioManufacturing, LLC</w:t>
            </w:r>
          </w:p>
        </w:tc>
      </w:tr>
      <w:tr>
        <w:trPr>
          <w:trHeight w:val="263"/>
        </w:trPr>
        <w:tc>
          <w:tcPr>
            <w:tcW w:w="41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7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120" w:type="dxa"/>
            <w:vAlign w:val="bottom"/>
          </w:tcPr>
          <w:p>
            <w:pPr>
              <w:spacing w:after="0"/>
              <w:rPr>
                <w:sz w:val="22"/>
                <w:szCs w:val="2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Jurisdiction of incorporation: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Delaware</w:t>
            </w:r>
          </w:p>
        </w:tc>
      </w:tr>
      <w:tr>
        <w:trPr>
          <w:trHeight w:val="216"/>
        </w:trPr>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Name under which business conducted: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980" w:type="dxa"/>
            <w:vAlign w:val="bottom"/>
            <w:gridSpan w:val="4"/>
            <w:shd w:val="clear" w:color="auto" w:fill="CCEEFF"/>
          </w:tcPr>
          <w:p>
            <w:pPr>
              <w:ind w:left="1380"/>
              <w:spacing w:after="0"/>
              <w:rPr>
                <w:sz w:val="20"/>
                <w:szCs w:val="20"/>
                <w:color w:val="auto"/>
              </w:rPr>
            </w:pPr>
            <w:r>
              <w:rPr>
                <w:rFonts w:ascii="Arial" w:cs="Arial" w:eastAsia="Arial" w:hAnsi="Arial"/>
                <w:sz w:val="18"/>
                <w:szCs w:val="18"/>
                <w:color w:val="auto"/>
              </w:rPr>
              <w:t>ADMA BioManufacturing, LLC</w:t>
            </w:r>
          </w:p>
        </w:tc>
      </w:tr>
      <w:tr>
        <w:trPr>
          <w:trHeight w:val="601"/>
        </w:trPr>
        <w:tc>
          <w:tcPr>
            <w:tcW w:w="4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Public Accounting Firm</w:t>
      </w:r>
    </w:p>
    <w:p>
      <w:pPr>
        <w:spacing w:after="0" w:line="21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consent to the incorporation by reference in the registration statements on Form S-8 (File Nos. 333-266291, 333-263345, 333-254770, 333-237658, 333-229921, 333-224492, 333-220058, 333-204590 and 333-193635) and Form S-3 (File Nos. 333-256643, 333-234107 and 333-225048) of ADMA Biologics, Inc. and subsidiaries (the “Company”) of our report, dated March 23, 2023, on our audits of the Company’s consolidated financial statements as of December 31, 2022 and 2021 and for the years then ended, included in this Annual Report on Form 10-K of ADMA Biologics, Inc. and subsidiaries for the year ended December 31, 2022.</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Parsippany, New Jersey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Adam S. Grossman, certify that:</w:t>
      </w:r>
    </w:p>
    <w:p>
      <w:pPr>
        <w:spacing w:after="0" w:line="240" w:lineRule="exact"/>
        <w:rPr>
          <w:sz w:val="20"/>
          <w:szCs w:val="20"/>
          <w:color w:val="auto"/>
        </w:rPr>
      </w:pPr>
    </w:p>
    <w:p>
      <w:pPr>
        <w:ind w:left="500" w:hanging="330"/>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2022;</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482"/>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482"/>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482"/>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00" w:hanging="482"/>
        <w:spacing w:after="0" w:line="263"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right="160" w:hanging="330"/>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482"/>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482"/>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23, 2023</w:t>
      </w:r>
      <w:r>
        <w:rPr>
          <w:sz w:val="20"/>
          <w:szCs w:val="20"/>
          <w:color w:val="auto"/>
        </w:rPr>
        <w:tab/>
      </w:r>
      <w:r>
        <w:rPr>
          <w:rFonts w:ascii="Arial" w:cs="Arial" w:eastAsia="Arial" w:hAnsi="Arial"/>
          <w:sz w:val="16"/>
          <w:szCs w:val="16"/>
          <w:color w:val="auto"/>
        </w:rPr>
        <w:t>/s/ Adam 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8">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 Grossman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Brian Lenz, certify that:</w:t>
      </w:r>
    </w:p>
    <w:p>
      <w:pPr>
        <w:spacing w:after="0" w:line="240" w:lineRule="exact"/>
        <w:rPr>
          <w:sz w:val="20"/>
          <w:szCs w:val="20"/>
          <w:color w:val="auto"/>
        </w:rPr>
      </w:pPr>
    </w:p>
    <w:p>
      <w:pPr>
        <w:ind w:left="500" w:hanging="330"/>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ADMA Biologics, Inc. for the year ended December 31, 2022;</w:t>
      </w:r>
    </w:p>
    <w:p>
      <w:pPr>
        <w:spacing w:after="0" w:line="252" w:lineRule="exact"/>
        <w:rPr>
          <w:rFonts w:ascii="Arial" w:cs="Arial" w:eastAsia="Arial" w:hAnsi="Arial"/>
          <w:sz w:val="18"/>
          <w:szCs w:val="18"/>
          <w:color w:val="auto"/>
        </w:rPr>
      </w:pPr>
    </w:p>
    <w:p>
      <w:pPr>
        <w:jc w:val="both"/>
        <w:ind w:left="500" w:right="280" w:hanging="330"/>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240" w:hanging="330"/>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280" w:hanging="330"/>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4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490"/>
        <w:spacing w:after="0" w:line="30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460" w:hanging="482"/>
        <w:spacing w:after="0" w:line="342" w:lineRule="auto"/>
        <w:tabs>
          <w:tab w:leader="none" w:pos="1300" w:val="left"/>
        </w:tabs>
        <w:numPr>
          <w:ilvl w:val="2"/>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40" w:hanging="482"/>
        <w:spacing w:after="0" w:line="277" w:lineRule="auto"/>
        <w:tabs>
          <w:tab w:leader="none" w:pos="13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23, 2023</w:t>
      </w:r>
      <w:r>
        <w:rPr>
          <w:sz w:val="20"/>
          <w:szCs w:val="20"/>
          <w:color w:val="auto"/>
        </w:rPr>
        <w:tab/>
      </w:r>
      <w:r>
        <w:rPr>
          <w:rFonts w:ascii="Arial" w:cs="Arial" w:eastAsia="Arial" w:hAnsi="Arial"/>
          <w:sz w:val="16"/>
          <w:szCs w:val="16"/>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EXECUTIVE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15"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In connection with the annual report of ADMA Biologics, Inc., a Delaware corporation (the “Company”), on Form 10-K for the year ended December 31, 2022, as filed with the Securities and Exchange Commission on the date hereof (the “Report”), I, Adam S. Grossman, President and Chief Executive Officer of the Company, hereby certify, pursuant to 18 U.S.C. Section 1350, as adopted pursuant to Section 906 of the Sarbanes-Oxley Act of 2002, that, to my knowledge:</w:t>
      </w:r>
    </w:p>
    <w:p>
      <w:pPr>
        <w:spacing w:after="0" w:line="208"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40" w:type="dxa"/>
            <w:vAlign w:val="bottom"/>
          </w:tcPr>
          <w:p>
            <w:pPr>
              <w:spacing w:after="0"/>
              <w:rPr>
                <w:sz w:val="20"/>
                <w:szCs w:val="20"/>
                <w:color w:val="auto"/>
              </w:rPr>
            </w:pPr>
            <w:r>
              <w:rPr>
                <w:rFonts w:ascii="Arial" w:cs="Arial" w:eastAsia="Arial" w:hAnsi="Arial"/>
                <w:sz w:val="18"/>
                <w:szCs w:val="18"/>
                <w:color w:val="auto"/>
              </w:rPr>
              <w:t>March 23, 2023</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 Grossman</w:t>
            </w:r>
          </w:p>
        </w:tc>
      </w:tr>
      <w:tr>
        <w:trPr>
          <w:trHeight w:val="202"/>
        </w:trPr>
        <w:tc>
          <w:tcPr>
            <w:tcW w:w="564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Name: Adam S. Grossman</w:t>
            </w:r>
          </w:p>
        </w:tc>
      </w:tr>
      <w:tr>
        <w:trPr>
          <w:trHeight w:val="230"/>
        </w:trPr>
        <w:tc>
          <w:tcPr>
            <w:tcW w:w="564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Title:  President and Chief Executive Officer (Principal Executive Officer)</w:t>
            </w:r>
          </w:p>
        </w:tc>
      </w:tr>
      <w:tr>
        <w:trPr>
          <w:trHeight w:val="601"/>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OF THE PRINCIPAL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906 OF THE SARBANES-OXLEY ACT OF 2002</w:t>
      </w:r>
    </w:p>
    <w:p>
      <w:pPr>
        <w:spacing w:after="0" w:line="215"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In connection with the annual report of ADMA Biologics, Inc., a Delaware corporation (the “Company”), on Form 10-K for the year ended December 31, 2022, as filed with the Securities and Exchange Commission on the date hereof (the “Report”), I, Brian Lenz, Chief Financial Officer of the Company, hereby certify, pursuant to 18 U.S.C. Section 1350, as adopted pursuant to Section 906 of the Sarbanes-Oxley Act of 2002, that, to my knowledge:</w:t>
      </w:r>
    </w:p>
    <w:p>
      <w:pPr>
        <w:spacing w:after="0" w:line="208"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3" w:lineRule="exact"/>
        <w:rPr>
          <w:rFonts w:ascii="Arial" w:cs="Arial" w:eastAsia="Arial" w:hAnsi="Arial"/>
          <w:sz w:val="17"/>
          <w:szCs w:val="17"/>
          <w:color w:val="auto"/>
        </w:rPr>
      </w:pPr>
    </w:p>
    <w:p>
      <w:pPr>
        <w:ind w:left="1300" w:right="28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March 23, 2023</w:t>
      </w:r>
      <w:r>
        <w:rPr>
          <w:sz w:val="20"/>
          <w:szCs w:val="20"/>
          <w:color w:val="auto"/>
        </w:rPr>
        <w:tab/>
      </w:r>
      <w:r>
        <w:rPr>
          <w:rFonts w:ascii="Arial" w:cs="Arial" w:eastAsia="Arial" w:hAnsi="Arial"/>
          <w:sz w:val="16"/>
          <w:szCs w:val="16"/>
          <w:color w:val="auto"/>
        </w:rPr>
        <w:t>/s/ Brian Lenz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355727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Brian Lenz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Roman"/>
      <w:start w:val="2"/>
    </w:lvl>
  </w:abstractNum>
  <w:abstractNum w:abstractNumId="30">
    <w:nsid w:val="725A06FB"/>
    <w:multiLevelType w:val="hybridMultilevel"/>
    <w:lvl w:ilvl="0">
      <w:lvlJc w:val="left"/>
      <w:lvlText w:val="(%1)"/>
      <w:numFmt w:val="lowerLetter"/>
      <w:start w:val="1"/>
    </w:lvl>
    <w:lvl w:ilvl="1">
      <w:lvlJc w:val="left"/>
      <w:lvlText w:val="(%2)"/>
      <w:numFmt w:val="decimal"/>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1."/>
      <w:numFmt w:val="decimal"/>
      <w:start w:val="2"/>
    </w:lvl>
  </w:abstractNum>
  <w:abstractNum w:abstractNumId="35">
    <w:nsid w:val="542289EC"/>
    <w:multiLevelType w:val="hybridMultilevel"/>
    <w:lvl w:ilvl="0">
      <w:lvlJc w:val="left"/>
      <w:lvlText w:val="%1."/>
      <w:numFmt w:val="decimal"/>
      <w:start w:val="5"/>
    </w:lvl>
  </w:abstractNum>
  <w:abstractNum w:abstractNumId="36">
    <w:nsid w:val="6DE91B18"/>
    <w:multiLevelType w:val="hybridMultilevel"/>
    <w:lvl w:ilvl="0">
      <w:lvlJc w:val="left"/>
      <w:lvlText w:val="%1."/>
      <w:numFmt w:val="decimal"/>
      <w:start w:val="6"/>
    </w:lvl>
  </w:abstractNum>
  <w:abstractNum w:abstractNumId="37">
    <w:nsid w:val="38437FDB"/>
    <w:multiLevelType w:val="hybridMultilevel"/>
    <w:lvl w:ilvl="0">
      <w:lvlJc w:val="left"/>
      <w:lvlText w:val="(%1)"/>
      <w:numFmt w:val="lowerRoman"/>
      <w:start w:val="2"/>
    </w:lvl>
  </w:abstractNum>
  <w:abstractNum w:abstractNumId="38">
    <w:nsid w:val="7644A45C"/>
    <w:multiLevelType w:val="hybridMultilevel"/>
    <w:lvl w:ilvl="0">
      <w:lvlJc w:val="left"/>
      <w:lvlText w:val="%1."/>
      <w:numFmt w:val="decimal"/>
      <w:start w:val="8"/>
    </w:lvl>
  </w:abstractNum>
  <w:abstractNum w:abstractNumId="39">
    <w:nsid w:val="32FFF902"/>
    <w:multiLevelType w:val="hybridMultilevel"/>
    <w:lvl w:ilvl="0">
      <w:lvlJc w:val="left"/>
      <w:lvlText w:val="%1."/>
      <w:numFmt w:val="decimal"/>
      <w:start w:val="9"/>
    </w:lvl>
  </w:abstractNum>
  <w:abstractNum w:abstractNumId="40">
    <w:nsid w:val="684A481A"/>
    <w:multiLevelType w:val="hybridMultilevel"/>
    <w:lvl w:ilvl="0">
      <w:lvlJc w:val="left"/>
      <w:lvlText w:val="%1."/>
      <w:numFmt w:val="decimal"/>
      <w:start w:val="10"/>
    </w:lvl>
  </w:abstractNum>
  <w:abstractNum w:abstractNumId="41">
    <w:nsid w:val="579478FE"/>
    <w:multiLevelType w:val="hybridMultilevel"/>
    <w:lvl w:ilvl="0">
      <w:lvlJc w:val="left"/>
      <w:lvlText w:val="%1."/>
      <w:numFmt w:val="decimal"/>
      <w:start w:val="11"/>
    </w:lvl>
  </w:abstractNum>
  <w:abstractNum w:abstractNumId="42">
    <w:nsid w:val="749ABB43"/>
    <w:multiLevelType w:val="hybridMultilevel"/>
    <w:lvl w:ilvl="0">
      <w:lvlJc w:val="left"/>
      <w:lvlText w:val="%1."/>
      <w:numFmt w:val="decimal"/>
      <w:start w:val="12"/>
    </w:lvl>
  </w:abstractNum>
  <w:abstractNum w:abstractNumId="43">
    <w:nsid w:val="3DC240FB"/>
    <w:multiLevelType w:val="hybridMultilevel"/>
    <w:lvl w:ilvl="0">
      <w:lvlJc w:val="left"/>
      <w:lvlText w:val="%1."/>
      <w:numFmt w:val="decimal"/>
      <w:start w:val="13"/>
    </w:lvl>
  </w:abstractNum>
  <w:abstractNum w:abstractNumId="44">
    <w:nsid w:val="1BA026FA"/>
    <w:multiLevelType w:val="hybridMultilevel"/>
    <w:lvl w:ilvl="0">
      <w:lvlJc w:val="left"/>
      <w:lvlText w:val="%1."/>
      <w:numFmt w:val="decimal"/>
      <w:start w:val="14"/>
    </w:lvl>
  </w:abstractNum>
  <w:abstractNum w:abstractNumId="45">
    <w:nsid w:val="79A1DEAA"/>
    <w:multiLevelType w:val="hybridMultilevel"/>
    <w:lvl w:ilvl="0">
      <w:lvlJc w:val="left"/>
      <w:lvlText w:val="%1."/>
      <w:numFmt w:val="decimal"/>
      <w:start w:val="17"/>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2"/>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2"/>
    </w:lvl>
  </w:abstractNum>
  <w:abstractNum w:abstractNumId="50">
    <w:nsid w:val="374A3FE6"/>
    <w:multiLevelType w:val="hybridMultilevel"/>
    <w:lvl w:ilvl="0">
      <w:lvlJc w:val="left"/>
      <w:lvlText w:val="(%1)"/>
      <w:numFmt w:val="lowerLetter"/>
      <w:start w:val="3"/>
    </w:lvl>
  </w:abstractNum>
  <w:abstractNum w:abstractNumId="51">
    <w:nsid w:val="4F4EF005"/>
    <w:multiLevelType w:val="hybridMultilevel"/>
    <w:lvl w:ilvl="0">
      <w:lvlJc w:val="left"/>
      <w:lvlText w:val="(%1)"/>
      <w:numFmt w:val="lowerLetter"/>
      <w:start w:val="1"/>
    </w:lvl>
  </w:abstractNum>
  <w:abstractNum w:abstractNumId="52">
    <w:nsid w:val="23F9C13C"/>
    <w:multiLevelType w:val="hybridMultilevel"/>
    <w:lvl w:ilvl="0">
      <w:lvlJc w:val="left"/>
      <w:lvlText w:val="(%1)"/>
      <w:numFmt w:val="lowerLetter"/>
      <w:start w:val="2"/>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8" Type="http://schemas.openxmlformats.org/officeDocument/2006/relationships/image" Target="media/image88.png"/><Relationship Id="rId109" Type="http://schemas.openxmlformats.org/officeDocument/2006/relationships/image" Target="media/image89.png"/><Relationship Id="rId110"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128" Type="http://schemas.openxmlformats.org/officeDocument/2006/relationships/image" Target="media/image94.png"/><Relationship Id="rId129" Type="http://schemas.openxmlformats.org/officeDocument/2006/relationships/image" Target="media/image95.png"/><Relationship Id="rId130" Type="http://schemas.openxmlformats.org/officeDocument/2006/relationships/image" Target="media/image96.png"/><Relationship Id="rId131" Type="http://schemas.openxmlformats.org/officeDocument/2006/relationships/image" Target="media/image97.png"/><Relationship Id="rId132" Type="http://schemas.openxmlformats.org/officeDocument/2006/relationships/image" Target="media/image98.png"/><Relationship Id="rId133" Type="http://schemas.openxmlformats.org/officeDocument/2006/relationships/image" Target="media/image99.png"/><Relationship Id="rId13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66" Type="http://schemas.openxmlformats.org/officeDocument/2006/relationships/image" Target="media/image108.png"/><Relationship Id="rId167" Type="http://schemas.openxmlformats.org/officeDocument/2006/relationships/image" Target="media/image109.png"/><Relationship Id="rId168" Type="http://schemas.openxmlformats.org/officeDocument/2006/relationships/image" Target="media/image110.png"/><Relationship Id="rId169" Type="http://schemas.openxmlformats.org/officeDocument/2006/relationships/image" Target="media/image111.png"/><Relationship Id="rId170" Type="http://schemas.openxmlformats.org/officeDocument/2006/relationships/image" Target="media/image112.png"/><Relationship Id="rId171" Type="http://schemas.openxmlformats.org/officeDocument/2006/relationships/image" Target="media/image113.png"/><Relationship Id="rId172" Type="http://schemas.openxmlformats.org/officeDocument/2006/relationships/image" Target="media/image114.png"/><Relationship Id="rId173" Type="http://schemas.openxmlformats.org/officeDocument/2006/relationships/image" Target="media/image115.png"/><Relationship Id="rId174" Type="http://schemas.openxmlformats.org/officeDocument/2006/relationships/image" Target="media/image116.png"/><Relationship Id="rId175" Type="http://schemas.openxmlformats.org/officeDocument/2006/relationships/image" Target="media/image117.png"/><Relationship Id="rId178" Type="http://schemas.openxmlformats.org/officeDocument/2006/relationships/image" Target="media/image118.png"/><Relationship Id="rId179"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png"/><Relationship Id="rId183" Type="http://schemas.openxmlformats.org/officeDocument/2006/relationships/image" Target="media/image123.png"/><Relationship Id="rId184" Type="http://schemas.openxmlformats.org/officeDocument/2006/relationships/image" Target="media/image124.png"/><Relationship Id="rId185" Type="http://schemas.openxmlformats.org/officeDocument/2006/relationships/image" Target="media/image125.pn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91" Type="http://schemas.openxmlformats.org/officeDocument/2006/relationships/image" Target="media/image131.png"/><Relationship Id="rId192" Type="http://schemas.openxmlformats.org/officeDocument/2006/relationships/image" Target="media/image132.png"/><Relationship Id="rId193" Type="http://schemas.openxmlformats.org/officeDocument/2006/relationships/image" Target="media/image133.png"/><Relationship Id="rId194" Type="http://schemas.openxmlformats.org/officeDocument/2006/relationships/image" Target="media/image134.png"/><Relationship Id="rId195" Type="http://schemas.openxmlformats.org/officeDocument/2006/relationships/image" Target="media/image135.png"/><Relationship Id="rId196" Type="http://schemas.openxmlformats.org/officeDocument/2006/relationships/image" Target="media/image136.png"/><Relationship Id="rId197" Type="http://schemas.openxmlformats.org/officeDocument/2006/relationships/image" Target="media/image137.png"/><Relationship Id="rId198" Type="http://schemas.openxmlformats.org/officeDocument/2006/relationships/image" Target="media/image138.png"/><Relationship Id="rId199" Type="http://schemas.openxmlformats.org/officeDocument/2006/relationships/image" Target="media/image139.png"/><Relationship Id="rId200" Type="http://schemas.openxmlformats.org/officeDocument/2006/relationships/image" Target="media/image140.png"/><Relationship Id="rId201" Type="http://schemas.openxmlformats.org/officeDocument/2006/relationships/image" Target="media/image141.png"/><Relationship Id="rId202" Type="http://schemas.openxmlformats.org/officeDocument/2006/relationships/image" Target="media/image142.png"/><Relationship Id="rId203" Type="http://schemas.openxmlformats.org/officeDocument/2006/relationships/image" Target="media/image143.png"/><Relationship Id="rId204" Type="http://schemas.openxmlformats.org/officeDocument/2006/relationships/image" Target="media/image144.png"/><Relationship Id="rId205" Type="http://schemas.openxmlformats.org/officeDocument/2006/relationships/image" Target="media/image145.png"/><Relationship Id="rId206" Type="http://schemas.openxmlformats.org/officeDocument/2006/relationships/image" Target="media/image146.png"/><Relationship Id="rId207" Type="http://schemas.openxmlformats.org/officeDocument/2006/relationships/image" Target="media/image147.png"/><Relationship Id="rId208" Type="http://schemas.openxmlformats.org/officeDocument/2006/relationships/image" Target="media/image148.png"/><Relationship Id="rId209" Type="http://schemas.openxmlformats.org/officeDocument/2006/relationships/image" Target="media/image149.png"/><Relationship Id="rId210" Type="http://schemas.openxmlformats.org/officeDocument/2006/relationships/image" Target="media/image150.png"/><Relationship Id="rId211" Type="http://schemas.openxmlformats.org/officeDocument/2006/relationships/image" Target="media/image151.png"/><Relationship Id="rId212" Type="http://schemas.openxmlformats.org/officeDocument/2006/relationships/image" Target="media/image152.png"/><Relationship Id="rId213" Type="http://schemas.openxmlformats.org/officeDocument/2006/relationships/image" Target="media/image153.png"/><Relationship Id="rId214" Type="http://schemas.openxmlformats.org/officeDocument/2006/relationships/image" Target="media/image154.png"/><Relationship Id="rId215" Type="http://schemas.openxmlformats.org/officeDocument/2006/relationships/image" Target="media/image155.png"/><Relationship Id="rId216" Type="http://schemas.openxmlformats.org/officeDocument/2006/relationships/image" Target="media/image156.png"/><Relationship Id="rId217" Type="http://schemas.openxmlformats.org/officeDocument/2006/relationships/image" Target="media/image157.png"/><Relationship Id="rId218" Type="http://schemas.openxmlformats.org/officeDocument/2006/relationships/image" Target="media/image158.png"/><Relationship Id="rId219" Type="http://schemas.openxmlformats.org/officeDocument/2006/relationships/image" Target="media/image159.png"/><Relationship Id="rId220"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23" Type="http://schemas.openxmlformats.org/officeDocument/2006/relationships/image" Target="media/image163.png"/><Relationship Id="rId224" Type="http://schemas.openxmlformats.org/officeDocument/2006/relationships/image" Target="media/image164.png"/><Relationship Id="rId225" Type="http://schemas.openxmlformats.org/officeDocument/2006/relationships/image" Target="media/image165.png"/><Relationship Id="rId226" Type="http://schemas.openxmlformats.org/officeDocument/2006/relationships/image" Target="media/image166.png"/><Relationship Id="rId227" Type="http://schemas.openxmlformats.org/officeDocument/2006/relationships/image" Target="media/image167.png"/><Relationship Id="rId228" Type="http://schemas.openxmlformats.org/officeDocument/2006/relationships/image" Target="media/image168.png"/><Relationship Id="rId229" Type="http://schemas.openxmlformats.org/officeDocument/2006/relationships/image" Target="media/image169.png"/><Relationship Id="rId230" Type="http://schemas.openxmlformats.org/officeDocument/2006/relationships/image" Target="media/image170.png"/><Relationship Id="rId231"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34" Type="http://schemas.openxmlformats.org/officeDocument/2006/relationships/image" Target="media/image174.png"/><Relationship Id="rId235" Type="http://schemas.openxmlformats.org/officeDocument/2006/relationships/image" Target="media/image175.png"/><Relationship Id="rId236" Type="http://schemas.openxmlformats.org/officeDocument/2006/relationships/image" Target="media/image176.png"/><Relationship Id="rId237" Type="http://schemas.openxmlformats.org/officeDocument/2006/relationships/image" Target="media/image177.png"/><Relationship Id="rId238" Type="http://schemas.openxmlformats.org/officeDocument/2006/relationships/image" Target="media/image178.png"/><Relationship Id="rId239" Type="http://schemas.openxmlformats.org/officeDocument/2006/relationships/image" Target="media/image179.png"/><Relationship Id="rId240" Type="http://schemas.openxmlformats.org/officeDocument/2006/relationships/image" Target="media/image180.png"/><Relationship Id="rId241" Type="http://schemas.openxmlformats.org/officeDocument/2006/relationships/image" Target="media/image181.png"/><Relationship Id="rId242" Type="http://schemas.openxmlformats.org/officeDocument/2006/relationships/image" Target="media/image182.png"/><Relationship Id="rId243" Type="http://schemas.openxmlformats.org/officeDocument/2006/relationships/image" Target="media/image183.png"/><Relationship Id="rId244" Type="http://schemas.openxmlformats.org/officeDocument/2006/relationships/image" Target="media/image184.png"/><Relationship Id="rId245" Type="http://schemas.openxmlformats.org/officeDocument/2006/relationships/image" Target="media/image185.png"/><Relationship Id="rId246" Type="http://schemas.openxmlformats.org/officeDocument/2006/relationships/image" Target="media/image186.png"/><Relationship Id="rId247" Type="http://schemas.openxmlformats.org/officeDocument/2006/relationships/image" Target="media/image187.png"/><Relationship Id="rId248" Type="http://schemas.openxmlformats.org/officeDocument/2006/relationships/image" Target="media/image188.png"/><Relationship Id="rId249" Type="http://schemas.openxmlformats.org/officeDocument/2006/relationships/image" Target="media/image189.png"/><Relationship Id="rId250" Type="http://schemas.openxmlformats.org/officeDocument/2006/relationships/image" Target="media/image190.png"/><Relationship Id="rId251" Type="http://schemas.openxmlformats.org/officeDocument/2006/relationships/image" Target="media/image191.png"/><Relationship Id="rId252" Type="http://schemas.openxmlformats.org/officeDocument/2006/relationships/image" Target="media/image192.png"/><Relationship Id="rId253" Type="http://schemas.openxmlformats.org/officeDocument/2006/relationships/image" Target="media/image193.png"/><Relationship Id="rId254" Type="http://schemas.openxmlformats.org/officeDocument/2006/relationships/image" Target="media/image194.png"/><Relationship Id="rId255" Type="http://schemas.openxmlformats.org/officeDocument/2006/relationships/image" Target="media/image195.png"/><Relationship Id="rId256" Type="http://schemas.openxmlformats.org/officeDocument/2006/relationships/image" Target="media/image196.png"/><Relationship Id="rId257" Type="http://schemas.openxmlformats.org/officeDocument/2006/relationships/image" Target="media/image197.png"/><Relationship Id="rId258" Type="http://schemas.openxmlformats.org/officeDocument/2006/relationships/image" Target="media/image198.png"/><Relationship Id="rId259" Type="http://schemas.openxmlformats.org/officeDocument/2006/relationships/image" Target="media/image199.png"/><Relationship Id="rId260" Type="http://schemas.openxmlformats.org/officeDocument/2006/relationships/image" Target="media/image200.png"/><Relationship Id="rId261" Type="http://schemas.openxmlformats.org/officeDocument/2006/relationships/image" Target="media/image201.png"/><Relationship Id="rId262" Type="http://schemas.openxmlformats.org/officeDocument/2006/relationships/image" Target="media/image202.png"/><Relationship Id="rId263" Type="http://schemas.openxmlformats.org/officeDocument/2006/relationships/image" Target="media/image203.png"/><Relationship Id="rId264" Type="http://schemas.openxmlformats.org/officeDocument/2006/relationships/image" Target="media/image204.png"/><Relationship Id="rId265" Type="http://schemas.openxmlformats.org/officeDocument/2006/relationships/image" Target="media/image205.png"/><Relationship Id="rId266" Type="http://schemas.openxmlformats.org/officeDocument/2006/relationships/image" Target="media/image206.png"/><Relationship Id="rId89" Type="http://schemas.openxmlformats.org/officeDocument/2006/relationships/hyperlink" Target="https://www.sec.gov/Archives/edgar/data/1368514/000119380517000054/e615690_ex2-1.htm" TargetMode="External"/><Relationship Id="rId90" Type="http://schemas.openxmlformats.org/officeDocument/2006/relationships/hyperlink" Target="https://www.sec.gov/Archives/edgar/data/1368514/000119380517001080/e616248_ex3-1.htm" TargetMode="External"/><Relationship Id="rId91" Type="http://schemas.openxmlformats.org/officeDocument/2006/relationships/hyperlink" Target="https://www.sec.gov/Archives/edgar/data/1368514/000119380521000749/e620651_ex3-1.htm" TargetMode="External"/><Relationship Id="rId92" Type="http://schemas.openxmlformats.org/officeDocument/2006/relationships/hyperlink" Target="https://www.sec.gov/Archives/edgar/data/1368514/000119380516004084/e615468_ex3-1.htm" TargetMode="External"/><Relationship Id="rId93" Type="http://schemas.openxmlformats.org/officeDocument/2006/relationships/hyperlink" Target="https://www.sec.gov/Archives/edgar/data/1368514/000114036121042611/brhc10032042_ex3-1.htm" TargetMode="External"/><Relationship Id="rId94" Type="http://schemas.openxmlformats.org/officeDocument/2006/relationships/hyperlink" Target="https://www.sec.gov/Archives/edgar/data/1368514/000119380512000555/e609522_ex4-1.htm" TargetMode="External"/><Relationship Id="rId95" Type="http://schemas.openxmlformats.org/officeDocument/2006/relationships/hyperlink" Target="https://www.sec.gov/Archives/edgar/data/1368514/000119380513000287/e610467_ex4-3.htm" TargetMode="External"/><Relationship Id="rId96" Type="http://schemas.openxmlformats.org/officeDocument/2006/relationships/hyperlink" Target="https://www.sec.gov/Archives/edgar/data/1368514/000119380516003247/e615009_ex4-6.htm" TargetMode="External"/><Relationship Id="rId97" Type="http://schemas.openxmlformats.org/officeDocument/2006/relationships/hyperlink" Target="https://www.sec.gov/Archives/edgar/data/1368514/000119380517003270/e617372_ex4-2.htm" TargetMode="External"/><Relationship Id="rId98" Type="http://schemas.openxmlformats.org/officeDocument/2006/relationships/hyperlink" Target="https://www.sec.gov/Archives/edgar/data/1368514/000119380519000160/e618213_ex4-2.htm" TargetMode="External"/><Relationship Id="rId99" Type="http://schemas.openxmlformats.org/officeDocument/2006/relationships/hyperlink" Target="https://www.sec.gov/Archives/edgar/data/1368514/000119380519000441/e618411_ex4-2.htm" TargetMode="External"/><Relationship Id="rId100" Type="http://schemas.openxmlformats.org/officeDocument/2006/relationships/hyperlink" Target="https://www.sec.gov/Archives/edgar/data/1368514/000119380521000411/adma_ex47.htm" TargetMode="External"/><Relationship Id="rId107" Type="http://schemas.openxmlformats.org/officeDocument/2006/relationships/hyperlink" Target="https://www.sec.gov/Archives/edgar/data/1368514/000119380519000160/e618213_ex4-1.htm" TargetMode="External"/><Relationship Id="rId111" Type="http://schemas.openxmlformats.org/officeDocument/2006/relationships/hyperlink" Target="https://www.sec.gov/Archives/edgar/data/1368514/000119380520001528/e620124_ex4-1.htm" TargetMode="External"/><Relationship Id="rId112" Type="http://schemas.openxmlformats.org/officeDocument/2006/relationships/hyperlink" Target="https://www.sec.gov/Archives/edgar/data/1368514/000114036122011030/brhc10035480_ex4-11.htm" TargetMode="External"/><Relationship Id="rId113" Type="http://schemas.openxmlformats.org/officeDocument/2006/relationships/hyperlink" Target="https://www.sec.gov/Archives/edgar/data/1368514/000114036122011030/brhc10035480_ex4-13.htm" TargetMode="External"/><Relationship Id="rId114" Type="http://schemas.openxmlformats.org/officeDocument/2006/relationships/hyperlink" Target="https://www.sec.gov/Archives/edgar/data/1368514/000119380512001750/e610168_def14c-adma.htm" TargetMode="External"/><Relationship Id="rId115" Type="http://schemas.openxmlformats.org/officeDocument/2006/relationships/hyperlink" Target="https://www.sec.gov/Archives/edgar/data/1368514/000119380517001506/e616485_ex10-1.htm" TargetMode="External"/><Relationship Id="rId116" Type="http://schemas.openxmlformats.org/officeDocument/2006/relationships/hyperlink" Target="https://www.sec.gov/Archives/edgar/data/1368514/000119380519000098/e618169_ex10-1.htm" TargetMode="External"/><Relationship Id="rId117" Type="http://schemas.openxmlformats.org/officeDocument/2006/relationships/hyperlink" Target="https://www.sec.gov/Archives/edgar/data/1368514/000114036121033302/brhc10029407_ex10-2.htm" TargetMode="External"/><Relationship Id="rId118" Type="http://schemas.openxmlformats.org/officeDocument/2006/relationships/hyperlink" Target="https://www.sec.gov/Archives/edgar/data/1368514/000119380519000098/e618169_ex10-3.htm" TargetMode="External"/><Relationship Id="rId119" Type="http://schemas.openxmlformats.org/officeDocument/2006/relationships/hyperlink" Target="https://www.sec.gov/Archives/edgar/data/1368514/000114036121033302/brhc10029407_ex10-3.htm" TargetMode="External"/><Relationship Id="rId120" Type="http://schemas.openxmlformats.org/officeDocument/2006/relationships/hyperlink" Target="https://www.sec.gov/Archives/edgar/data/1368514/000119380512001076/e609784_ex10-9.htm" TargetMode="External"/><Relationship Id="rId121" Type="http://schemas.openxmlformats.org/officeDocument/2006/relationships/hyperlink" Target="https://www.sec.gov/Archives/edgar/data/1368514/000119380516002889/e614766_ex10-31.htm" TargetMode="External"/><Relationship Id="rId122" Type="http://schemas.openxmlformats.org/officeDocument/2006/relationships/hyperlink" Target="https://www.sec.gov/Archives/edgar/data/1368514/000119380516003247/e615009_ex10-32.htm" TargetMode="External"/><Relationship Id="rId123" Type="http://schemas.openxmlformats.org/officeDocument/2006/relationships/hyperlink" Target="https://www.sec.gov/Archives/edgar/data/1368514/000119380517001446/e616455_ex10-9.htm" TargetMode="External"/><Relationship Id="rId124" Type="http://schemas.openxmlformats.org/officeDocument/2006/relationships/hyperlink" Target="https://www.sec.gov/Archives/edgar/data/1368514/000119380519000012/e618132_ex10-1.htm" TargetMode="External"/><Relationship Id="rId135" Type="http://schemas.openxmlformats.org/officeDocument/2006/relationships/hyperlink" Target="https://www.sec.gov/Archives/edgar/data/1368514/000119380517001446/e616455_ex10-5.htm" TargetMode="External"/><Relationship Id="rId136" Type="http://schemas.openxmlformats.org/officeDocument/2006/relationships/hyperlink" Target="https://www.sec.gov/Archives/edgar/data/1368514/000119380518001059/e618214_ex10-2.htm" TargetMode="External"/><Relationship Id="rId137" Type="http://schemas.openxmlformats.org/officeDocument/2006/relationships/hyperlink" Target="https://www.sec.gov/Archives/edgar/data/1368514/000119380517001446/e616455_ex10-6.htm" TargetMode="External"/><Relationship Id="rId138" Type="http://schemas.openxmlformats.org/officeDocument/2006/relationships/hyperlink" Target="https://www.sec.gov/Archives/edgar/data/1368514/000119380518001059/e618214_ex10-3.htm" TargetMode="External"/><Relationship Id="rId139" Type="http://schemas.openxmlformats.org/officeDocument/2006/relationships/hyperlink" Target="https://www.sec.gov/Archives/edgar/data/1368514/000119380516003725/e615266_ex10-18.htm" TargetMode="External"/><Relationship Id="rId140" Type="http://schemas.openxmlformats.org/officeDocument/2006/relationships/hyperlink" Target="https://www.sec.gov/Archives/edgar/data/1368514/000119380517000330/e615811_ex10-22.htm" TargetMode="External"/><Relationship Id="rId141" Type="http://schemas.openxmlformats.org/officeDocument/2006/relationships/hyperlink" Target="https://www.sec.gov/Archives/edgar/data/1368514/000119380519000160/e618213_ex10-1.htm" TargetMode="External"/><Relationship Id="rId142" Type="http://schemas.openxmlformats.org/officeDocument/2006/relationships/hyperlink" Target="https://www.sec.gov/Archives/edgar/data/1368514/000119380519000441/e618411_ex10-1.htm" TargetMode="External"/><Relationship Id="rId143" Type="http://schemas.openxmlformats.org/officeDocument/2006/relationships/hyperlink" Target="https://www.sec.gov/Archives/edgar/data/1368514/000119380520001528/e620124_ex10-1.htm" TargetMode="External"/><Relationship Id="rId144" Type="http://schemas.openxmlformats.org/officeDocument/2006/relationships/hyperlink" Target="https://www.sec.gov/Archives/edgar/data/1368514/000119380519000160/e618213_ex10-2.htm" TargetMode="External"/><Relationship Id="rId152" Type="http://schemas.openxmlformats.org/officeDocument/2006/relationships/hyperlink" Target="https://www.sec.gov/Archives/edgar/data/1368514/000119380513000287/e610467_ex10-21.htm" TargetMode="External"/><Relationship Id="rId153" Type="http://schemas.openxmlformats.org/officeDocument/2006/relationships/hyperlink" Target="https://www.sec.gov/Archives/edgar/data/1368514/000119380517001446/e616455_ex10-8.htm" TargetMode="External"/><Relationship Id="rId154" Type="http://schemas.openxmlformats.org/officeDocument/2006/relationships/hyperlink" Target="https://www.sec.gov/Archives/edgar/data/1368514/000119380518000470/e617768_ex10-24.htm" TargetMode="External"/><Relationship Id="rId155" Type="http://schemas.openxmlformats.org/officeDocument/2006/relationships/hyperlink" Target="https://www.sec.gov/Archives/edgar/data/1368514/000119380518000470/e617768_ex10-241.htm" TargetMode="External"/><Relationship Id="rId156" Type="http://schemas.openxmlformats.org/officeDocument/2006/relationships/hyperlink" Target="https://www.sec.gov/Archives/edgar/data/1368514/000119380518000470/e617768_ex10-242.htm" TargetMode="External"/><Relationship Id="rId157" Type="http://schemas.openxmlformats.org/officeDocument/2006/relationships/hyperlink" Target="https://www.sec.gov/Archives/edgar/data/1368514/000119380517001080/e616248_ex10-2.htm" TargetMode="External"/><Relationship Id="rId158" Type="http://schemas.openxmlformats.org/officeDocument/2006/relationships/hyperlink" Target="https://www.sec.gov/Archives/edgar/data/1368514/000119380519000281/e618283_ex10-22.htm" TargetMode="External"/><Relationship Id="rId159" Type="http://schemas.openxmlformats.org/officeDocument/2006/relationships/hyperlink" Target="https://www.sec.gov/Archives/edgar/data/1368514/000119380519000798/e618638_ex10-1.htm" TargetMode="External"/><Relationship Id="rId160" Type="http://schemas.openxmlformats.org/officeDocument/2006/relationships/hyperlink" Target="https://www.sec.gov/Archives/edgar/data/1368514/000119380520000348/e619435_ex10-27.htm" TargetMode="External"/><Relationship Id="rId161" Type="http://schemas.openxmlformats.org/officeDocument/2006/relationships/hyperlink" Target="https://www.sec.gov/Archives/edgar/data/1368514/000114036122040738/brhc10043861_ex10-1.htm" TargetMode="External"/><Relationship Id="rId162" Type="http://schemas.openxmlformats.org/officeDocument/2006/relationships/hyperlink" Target="https://www.sec.gov/Archives/edgar/data/1368514/000114036121030391/ny20000594x2_ex1-1.htm" TargetMode="External"/><Relationship Id="rId163" Type="http://schemas.openxmlformats.org/officeDocument/2006/relationships/hyperlink" Target="https://www.sec.gov/Archives/edgar/data/1368514/000114036121033302/brhc10029407_ex10-1.htm" TargetMode="External"/><Relationship Id="rId164" Type="http://schemas.openxmlformats.org/officeDocument/2006/relationships/hyperlink" Target="https://www.sec.gov/Archives/edgar/data/1368514/000114036121027950/brhc10027771_ex10-2.htm" TargetMode="External"/><Relationship Id="rId165" Type="http://schemas.openxmlformats.org/officeDocument/2006/relationships/hyperlink" Target="https://www.sec.gov/Archives/edgar/data/1368514/000114036122011030/brhc10035480_ex10-24.htm" TargetMode="External"/><Relationship Id="rId176" Type="http://schemas.openxmlformats.org/officeDocument/2006/relationships/hyperlink" Target="https://www.sec.gov/Archives/edgar/data/1368514/000114036122011030/brhc10035480_ex10-25.htm" TargetMode="External"/><Relationship Id="rId177" Type="http://schemas.openxmlformats.org/officeDocument/2006/relationships/hyperlink" Target="https://www.sec.gov/Archives/edgar/data/1368514/000114036122023666/brhc1003896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2023-03-23T21:03:30Z</dcterms:created>
  <dcterms:modified xsi:type="dcterms:W3CDTF">2023-03-23T21:03:30Z</dcterms:modified>
</cp:coreProperties>
</file>