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9" w:lineRule="exact"/>
        <w:rPr>
          <w:sz w:val="24"/>
          <w:szCs w:val="24"/>
          <w:color w:val="auto"/>
        </w:rPr>
      </w:pPr>
    </w:p>
    <w:p>
      <w:pPr>
        <w:ind w:left="180" w:right="1920" w:hanging="172"/>
        <w:spacing w:after="0" w:line="25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220" w:right="1900" w:hanging="212"/>
        <w:spacing w:after="0" w:line="253" w:lineRule="auto"/>
        <w:tabs>
          <w:tab w:leader="none" w:pos="66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 to 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001-36728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ADMA BIOLOGICS,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60" w:type="dxa"/>
            <w:vAlign w:val="bottom"/>
            <w:gridSpan w:val="3"/>
          </w:tcPr>
          <w:p>
            <w:pPr>
              <w:jc w:val="center"/>
              <w:ind w:right="2980"/>
              <w:spacing w:after="0"/>
              <w:rPr>
                <w:sz w:val="20"/>
                <w:szCs w:val="20"/>
                <w:color w:val="auto"/>
              </w:rPr>
            </w:pPr>
            <w:r>
              <w:rPr>
                <w:rFonts w:ascii="Arial" w:cs="Arial" w:eastAsia="Arial" w:hAnsi="Arial"/>
                <w:sz w:val="18"/>
                <w:szCs w:val="18"/>
                <w:color w:val="auto"/>
                <w:w w:val="89"/>
              </w:rPr>
              <w:t>Delaware</w:t>
            </w:r>
          </w:p>
        </w:tc>
        <w:tc>
          <w:tcPr>
            <w:tcW w:w="3720" w:type="dxa"/>
            <w:vAlign w:val="bottom"/>
            <w:gridSpan w:val="5"/>
          </w:tcPr>
          <w:p>
            <w:pPr>
              <w:jc w:val="right"/>
              <w:ind w:right="880"/>
              <w:spacing w:after="0"/>
              <w:rPr>
                <w:sz w:val="20"/>
                <w:szCs w:val="20"/>
                <w:color w:val="auto"/>
              </w:rPr>
            </w:pPr>
            <w:r>
              <w:rPr>
                <w:rFonts w:ascii="Arial" w:cs="Arial" w:eastAsia="Arial" w:hAnsi="Arial"/>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520" w:type="dxa"/>
            <w:vAlign w:val="bottom"/>
            <w:gridSpan w:val="5"/>
          </w:tcPr>
          <w:p>
            <w:pPr>
              <w:jc w:val="center"/>
              <w:ind w:right="11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20" w:type="dxa"/>
            <w:vAlign w:val="bottom"/>
            <w:gridSpan w:val="5"/>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720" w:type="dxa"/>
            <w:vAlign w:val="bottom"/>
          </w:tcPr>
          <w:p>
            <w:pPr>
              <w:spacing w:after="0"/>
              <w:rPr>
                <w:sz w:val="24"/>
                <w:szCs w:val="24"/>
                <w:color w:val="auto"/>
              </w:rPr>
            </w:pPr>
          </w:p>
        </w:tc>
        <w:tc>
          <w:tcPr>
            <w:tcW w:w="4800" w:type="dxa"/>
            <w:vAlign w:val="bottom"/>
            <w:gridSpan w:val="4"/>
          </w:tcPr>
          <w:p>
            <w:pPr>
              <w:jc w:val="center"/>
              <w:ind w:right="1840"/>
              <w:spacing w:after="0"/>
              <w:rPr>
                <w:sz w:val="20"/>
                <w:szCs w:val="20"/>
                <w:color w:val="auto"/>
              </w:rPr>
            </w:pPr>
            <w:r>
              <w:rPr>
                <w:rFonts w:ascii="Arial" w:cs="Arial" w:eastAsia="Arial" w:hAnsi="Arial"/>
                <w:sz w:val="18"/>
                <w:szCs w:val="18"/>
                <w:color w:val="auto"/>
                <w:w w:val="88"/>
              </w:rPr>
              <w:t>465 State Route 17, Ramsey, New Jersey</w:t>
            </w:r>
          </w:p>
        </w:tc>
        <w:tc>
          <w:tcPr>
            <w:tcW w:w="2840" w:type="dxa"/>
            <w:vAlign w:val="bottom"/>
            <w:gridSpan w:val="4"/>
          </w:tcPr>
          <w:p>
            <w:pPr>
              <w:jc w:val="right"/>
              <w:ind w:right="200"/>
              <w:spacing w:after="0"/>
              <w:rPr>
                <w:sz w:val="20"/>
                <w:szCs w:val="20"/>
                <w:color w:val="auto"/>
              </w:rPr>
            </w:pPr>
            <w:r>
              <w:rPr>
                <w:rFonts w:ascii="Arial" w:cs="Arial" w:eastAsia="Arial" w:hAnsi="Arial"/>
                <w:sz w:val="18"/>
                <w:szCs w:val="18"/>
                <w:color w:val="auto"/>
              </w:rPr>
              <w:t>07446</w:t>
            </w: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(201) 478-5552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1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1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Arial" w:cs="Arial" w:eastAsia="Arial" w:hAnsi="Arial"/>
                <w:sz w:val="18"/>
                <w:szCs w:val="18"/>
                <w:color w:val="auto"/>
                <w:w w:val="93"/>
              </w:rPr>
              <w:t>Smaller reporting company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Arial" w:cs="Arial" w:eastAsia="Arial" w:hAnsi="Arial"/>
                <w:sz w:val="18"/>
                <w:szCs w:val="18"/>
                <w:color w:val="auto"/>
                <w:w w:val="94"/>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tabs>
          <w:tab w:leader="none" w:pos="8980" w:val="left"/>
          <w:tab w:leader="none" w:pos="96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November 4, 2022, there were 196,777,308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gridSpan w:val="2"/>
          </w:tcPr>
          <w:p>
            <w:pPr>
              <w:ind w:left="460"/>
              <w:spacing w:after="0"/>
              <w:rPr>
                <w:sz w:val="20"/>
                <w:szCs w:val="20"/>
                <w:color w:val="auto"/>
              </w:rPr>
            </w:pPr>
            <w:r>
              <w:rPr>
                <w:rFonts w:ascii="Arial" w:cs="Arial" w:eastAsia="Arial" w:hAnsi="Arial"/>
                <w:sz w:val="18"/>
                <w:szCs w:val="18"/>
                <w:color w:val="auto"/>
              </w:rPr>
              <w:t>Item 1.</w:t>
            </w:r>
          </w:p>
        </w:tc>
        <w:tc>
          <w:tcPr>
            <w:tcW w:w="934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2022 (Unaudited) and December 31, 2021</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Operations (Unaudited) for the Three and Nine Months Ended September 30, 2022 and</w:t>
            </w:r>
          </w:p>
        </w:tc>
        <w:tc>
          <w:tcPr>
            <w:tcW w:w="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4"/>
              </w:rPr>
              <w:t>2021</w:t>
            </w: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02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1700" w:type="dxa"/>
            <w:vAlign w:val="bottom"/>
            <w:tcBorders>
              <w:top w:val="single" w:sz="8" w:color="0000EE"/>
              <w:bottom w:val="single" w:sz="8" w:color="CCEEFF"/>
            </w:tcBorders>
            <w:shd w:val="clear" w:color="auto" w:fill="CCEEFF"/>
          </w:tcPr>
          <w:p>
            <w:pPr>
              <w:spacing w:after="0"/>
              <w:rPr>
                <w:sz w:val="18"/>
                <w:szCs w:val="18"/>
                <w:color w:val="auto"/>
              </w:rPr>
            </w:pPr>
          </w:p>
        </w:tc>
        <w:tc>
          <w:tcPr>
            <w:tcW w:w="1000" w:type="dxa"/>
            <w:vAlign w:val="bottom"/>
            <w:tcBorders>
              <w:top w:val="single" w:sz="8" w:color="0000EE"/>
              <w:bottom w:val="single" w:sz="8" w:color="CCEEFF"/>
            </w:tcBorders>
            <w:shd w:val="clear" w:color="auto" w:fill="CCEEFF"/>
          </w:tcPr>
          <w:p>
            <w:pPr>
              <w:spacing w:after="0"/>
              <w:rPr>
                <w:sz w:val="18"/>
                <w:szCs w:val="18"/>
                <w:color w:val="auto"/>
              </w:rPr>
            </w:pPr>
          </w:p>
        </w:tc>
        <w:tc>
          <w:tcPr>
            <w:tcW w:w="13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4"/>
              </w:rPr>
              <w:t>Condensed Consolidated Statements of Changes in Stockholders’ Equity (Unaudited) for the Three and Nine Months Ended</w:t>
            </w:r>
          </w:p>
        </w:tc>
        <w:tc>
          <w:tcPr>
            <w:tcW w:w="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940" w:type="dxa"/>
            <w:vAlign w:val="bottom"/>
            <w:tcBorders>
              <w:top w:val="single" w:sz="8" w:color="0000EE"/>
            </w:tcBorders>
            <w:gridSpan w:val="15"/>
            <w:shd w:val="clear" w:color="auto" w:fill="CCEEFF"/>
          </w:tcPr>
          <w:p>
            <w:pPr>
              <w:spacing w:after="0" w:line="196" w:lineRule="exact"/>
              <w:rPr>
                <w:sz w:val="20"/>
                <w:szCs w:val="20"/>
                <w:color w:val="auto"/>
              </w:rPr>
            </w:pPr>
            <w:r>
              <w:rPr>
                <w:rFonts w:ascii="Arial" w:cs="Arial" w:eastAsia="Arial" w:hAnsi="Arial"/>
                <w:sz w:val="18"/>
                <w:szCs w:val="18"/>
                <w:color w:val="0000EE"/>
              </w:rPr>
              <w:t>September 30, 2022 and 2021</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4"/>
              </w:rPr>
              <w:t>Condensed Consolidated Statements of Cash Flows (Unaudited) for the Nine Months Ended September 30, 2022 and 2021</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Item 2.</w:t>
            </w: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Item 3.</w:t>
            </w: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Item 4.</w:t>
            </w: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8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PART II OTHER INFORMATION</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Item 1.</w:t>
            </w: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Item 1A.</w:t>
            </w: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Item 2.</w:t>
            </w: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Item 3.</w:t>
            </w: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Item 4.</w:t>
            </w: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Item 5.</w:t>
            </w: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Item 6.</w:t>
            </w:r>
          </w:p>
        </w:tc>
        <w:tc>
          <w:tcPr>
            <w:tcW w:w="93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This Quarterly Report on Form 10-Q includes our trademarks, trade names and service marks, such as “ASCENIV</w:t>
      </w:r>
      <w:r>
        <w:rPr>
          <w:rFonts w:ascii="Arial" w:cs="Arial" w:eastAsia="Arial" w:hAnsi="Arial"/>
          <w:sz w:val="26"/>
          <w:szCs w:val="26"/>
          <w:color w:val="auto"/>
          <w:vertAlign w:val="superscript"/>
        </w:rPr>
        <w:t>™</w:t>
      </w:r>
      <w:r>
        <w:rPr>
          <w:rFonts w:ascii="Arial" w:cs="Arial" w:eastAsia="Arial" w:hAnsi="Arial"/>
          <w:sz w:val="16"/>
          <w:szCs w:val="16"/>
          <w:color w:val="auto"/>
        </w:rPr>
        <w:t>,” “Nabi-HB</w:t>
      </w:r>
      <w:r>
        <w:rPr>
          <w:rFonts w:ascii="Arial" w:cs="Arial" w:eastAsia="Arial" w:hAnsi="Arial"/>
          <w:sz w:val="26"/>
          <w:szCs w:val="26"/>
          <w:color w:val="auto"/>
          <w:vertAlign w:val="superscript"/>
        </w:rPr>
        <w:t>®</w:t>
      </w:r>
      <w:r>
        <w:rPr>
          <w:rFonts w:ascii="Arial" w:cs="Arial" w:eastAsia="Arial" w:hAnsi="Arial"/>
          <w:sz w:val="16"/>
          <w:szCs w:val="16"/>
          <w:color w:val="auto"/>
        </w:rPr>
        <w:t>” and “BIVIGAM</w:t>
      </w:r>
      <w:r>
        <w:rPr>
          <w:rFonts w:ascii="Arial" w:cs="Arial" w:eastAsia="Arial" w:hAnsi="Arial"/>
          <w:sz w:val="26"/>
          <w:szCs w:val="26"/>
          <w:color w:val="auto"/>
          <w:vertAlign w:val="superscript"/>
        </w:rPr>
        <w:t>®</w:t>
      </w:r>
      <w:r>
        <w:rPr>
          <w:rFonts w:ascii="Arial" w:cs="Arial" w:eastAsia="Arial" w:hAnsi="Arial"/>
          <w:sz w:val="16"/>
          <w:szCs w:val="16"/>
          <w:color w:val="auto"/>
        </w:rPr>
        <w:t>,” which are protected under applicable intellectual property laws and are the property of ADMA Biologics, Inc., or its subsidiaries. Solely for</w:t>
      </w:r>
    </w:p>
    <w:p>
      <w:pPr>
        <w:spacing w:after="0" w:line="2"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convenience, trademarks, trade names and service marks referred to in this report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84"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and ASCENIV on a commercial scale and further commercialize these products as a result of their approval by the U.S. Food and Drug Administration (the “FDA”) in 2019;</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2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our ability to obtain and maintain regulatory compliance and receive FDA approvals of new plasma collection centers and reliance on third-party supply agreements as well as any extensions to such agreements;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BIVIGAM, ASCENIV and Nabi-HB, for any purpose, including FDA-approved indications, by physicians, patients or payers;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(“IG”) products to other comparably run hyperimmune and immune globulin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for ASCENIV and BIVIGAM to provide meaningful clinical improvement for patients living with Primary Immune Deficiency</w:t>
      </w:r>
    </w:p>
    <w:p>
      <w:pPr>
        <w:spacing w:after="0" w:line="35" w:lineRule="exact"/>
        <w:rPr>
          <w:sz w:val="20"/>
          <w:szCs w:val="20"/>
          <w:color w:val="auto"/>
        </w:rPr>
      </w:pPr>
    </w:p>
    <w:p>
      <w:pPr>
        <w:ind w:left="660" w:right="440"/>
        <w:spacing w:after="0" w:line="260" w:lineRule="auto"/>
        <w:rPr>
          <w:sz w:val="20"/>
          <w:szCs w:val="20"/>
          <w:color w:val="auto"/>
        </w:rPr>
      </w:pPr>
      <w:r>
        <w:rPr>
          <w:rFonts w:ascii="Arial" w:cs="Arial" w:eastAsia="Arial" w:hAnsi="Arial"/>
          <w:sz w:val="18"/>
          <w:szCs w:val="18"/>
          <w:color w:val="auto"/>
        </w:rPr>
        <w:t>Disease, Primary Humoral Immunodeficiency Disease (“PIDD” or “PI”) or other immune deficiencies or any other condition for which the products may be prescribed or evaluated;</w:t>
      </w:r>
    </w:p>
    <w:p>
      <w:pPr>
        <w:spacing w:after="0" w:line="185" w:lineRule="exact"/>
        <w:rPr>
          <w:sz w:val="20"/>
          <w:szCs w:val="20"/>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right="5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revenues, expenses, capital requirements, timing to profitability and positive cash flows and the need for and availability of additional financing;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25"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70" w:lineRule="exact"/>
        <w:rPr>
          <w:rFonts w:ascii="Arial" w:cs="Arial" w:eastAsia="Arial" w:hAnsi="Arial"/>
          <w:sz w:val="18"/>
          <w:szCs w:val="18"/>
          <w:color w:val="auto"/>
        </w:rPr>
      </w:pPr>
    </w:p>
    <w:p>
      <w:pPr>
        <w:jc w:val="both"/>
        <w:ind w:left="660" w:right="2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the coronavirus COVID-19 pandemic or other pandemics on our business, financial condition, liquidity and results of operations, and our ability to continue operations in the same manner as previously conducted prior to the macroeconomic effects of the COVID-19 pandemic;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domestic and global economic conditions including, but not limited to, supply chain constraints, inflationary pressures or performance.</w:t>
      </w:r>
    </w:p>
    <w:p>
      <w:pPr>
        <w:spacing w:after="0" w:line="23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2021 and in this Quarterly Report on Form 10-Q for the quarter ended September 30, 2022.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98"/>
              </w:rPr>
              <w:t>PART I</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rPr>
              <w:t>ADMA BIOLOGICS,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0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34,906,020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51,089,118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20,902,385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28,576,857</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162,913,633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124,724,091</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5,372,484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4,339,245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224,094,522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208,729,311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56,946,090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50,935,074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1,192,254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1,728,768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3,529,509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3,529,509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to use assets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10,335,873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7,262,658</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4,459,322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4,067,404</w:t>
            </w:r>
          </w:p>
        </w:tc>
      </w:tr>
      <w:tr>
        <w:trPr>
          <w:trHeight w:val="257"/>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300,557,570</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276,252,724</w:t>
            </w:r>
          </w:p>
        </w:tc>
        <w:tc>
          <w:tcPr>
            <w:tcW w:w="100" w:type="dxa"/>
            <w:vAlign w:val="bottom"/>
            <w:shd w:val="clear" w:color="auto" w:fill="CCEEFF"/>
          </w:tcPr>
          <w:p>
            <w:pPr>
              <w:spacing w:after="0"/>
              <w:rPr>
                <w:sz w:val="22"/>
                <w:szCs w:val="22"/>
                <w:color w:val="auto"/>
              </w:rPr>
            </w:pPr>
          </w:p>
        </w:tc>
      </w:tr>
      <w:tr>
        <w:trPr>
          <w:trHeight w:val="210"/>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25,197,806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12,429,409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18,378,932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17,214,988</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142,834</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Current portion of lease obligations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720,755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591,084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44,440,327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30,378,315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Senior notes payable, net of discount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141,365,706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94,866,239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1,868,739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1,975,865</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End of term fee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obligations,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10,636,083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7,462,388</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362,179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397,351</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200,173,034</w:t>
            </w:r>
          </w:p>
        </w:tc>
        <w:tc>
          <w:tcPr>
            <w:tcW w:w="2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135,080,158</w:t>
            </w:r>
          </w:p>
        </w:tc>
        <w:tc>
          <w:tcPr>
            <w:tcW w:w="100" w:type="dxa"/>
            <w:vAlign w:val="bottom"/>
            <w:shd w:val="clear" w:color="auto" w:fill="CCEEFF"/>
          </w:tcPr>
          <w:p>
            <w:pPr>
              <w:spacing w:after="0"/>
              <w:rPr>
                <w:sz w:val="19"/>
                <w:szCs w:val="19"/>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 voting, $0.0001 par value, 300,000,000 shares authorized, 196,776,871 and 195,813,817 shares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issued and outstanding</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19,678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566,149,846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553,265,706</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(465,784,988)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(412,112,721)</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100,384,536</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141,172,566</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300,557,570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276,252,724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432"/>
        </w:trPr>
        <w:tc>
          <w:tcPr>
            <w:tcW w:w="54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41,054,429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20,644,842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9"/>
              </w:rPr>
              <w:t>103,991,112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54,452,633</w:t>
            </w:r>
          </w:p>
        </w:tc>
      </w:tr>
      <w:tr>
        <w:trPr>
          <w:trHeight w:val="223"/>
        </w:trPr>
        <w:tc>
          <w:tcPr>
            <w:tcW w:w="5480" w:type="dxa"/>
            <w:vAlign w:val="bottom"/>
          </w:tcPr>
          <w:p>
            <w:pPr>
              <w:ind w:left="180"/>
              <w:spacing w:after="0"/>
              <w:rPr>
                <w:sz w:val="20"/>
                <w:szCs w:val="20"/>
                <w:color w:val="auto"/>
              </w:rPr>
            </w:pPr>
            <w:r>
              <w:rPr>
                <w:rFonts w:ascii="Arial" w:cs="Arial" w:eastAsia="Arial" w:hAnsi="Arial"/>
                <w:sz w:val="18"/>
                <w:szCs w:val="18"/>
                <w:color w:val="auto"/>
              </w:rPr>
              <w:t>License revenue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35,708</w:t>
            </w:r>
          </w:p>
        </w:tc>
        <w:tc>
          <w:tcPr>
            <w:tcW w:w="20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107,125</w:t>
            </w: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107,125</w:t>
            </w:r>
          </w:p>
        </w:tc>
      </w:tr>
      <w:tr>
        <w:trPr>
          <w:trHeight w:val="216"/>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41,090,137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20,680,550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104,098,237</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54,559,758</w:t>
            </w: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31,433,496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20,295,213</w:t>
            </w:r>
          </w:p>
        </w:tc>
        <w:tc>
          <w:tcPr>
            <w:tcW w:w="20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83,010,156</w:t>
            </w: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56,897,959</w:t>
            </w:r>
          </w:p>
        </w:tc>
      </w:tr>
      <w:tr>
        <w:trPr>
          <w:trHeight w:val="223"/>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 (loss)</w:t>
            </w: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9,656,641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385,337</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21,088,081</w:t>
            </w:r>
          </w:p>
        </w:tc>
        <w:tc>
          <w:tcPr>
            <w:tcW w:w="24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(2,338,201)</w:t>
            </w:r>
          </w:p>
        </w:tc>
        <w:tc>
          <w:tcPr>
            <w:tcW w:w="100" w:type="dxa"/>
            <w:vAlign w:val="bottom"/>
            <w:shd w:val="clear" w:color="auto" w:fill="CCEEFF"/>
          </w:tcPr>
          <w:p>
            <w:pPr>
              <w:spacing w:after="0"/>
              <w:rPr>
                <w:sz w:val="19"/>
                <w:szCs w:val="19"/>
                <w:color w:val="auto"/>
              </w:rPr>
            </w:pPr>
          </w:p>
        </w:tc>
      </w:tr>
      <w:tr>
        <w:trPr>
          <w:trHeight w:val="216"/>
        </w:trPr>
        <w:tc>
          <w:tcPr>
            <w:tcW w:w="5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1,041,947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770,557</w:t>
            </w:r>
          </w:p>
        </w:tc>
        <w:tc>
          <w:tcPr>
            <w:tcW w:w="20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2,539,444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2,917,072</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Plasma center operating expenses</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4,859,450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3,146,221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12,755,525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8,191,890</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178,838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178,838</w:t>
            </w:r>
          </w:p>
        </w:tc>
        <w:tc>
          <w:tcPr>
            <w:tcW w:w="20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536,514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536,514</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12,893,139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10,726,797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38,563,136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31,198,880</w:t>
            </w:r>
          </w:p>
        </w:tc>
      </w:tr>
      <w:tr>
        <w:trPr>
          <w:trHeight w:val="27"/>
        </w:trPr>
        <w:tc>
          <w:tcPr>
            <w:tcW w:w="5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48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18,973,374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14,822,413</w:t>
            </w:r>
          </w:p>
        </w:tc>
        <w:tc>
          <w:tcPr>
            <w:tcW w:w="20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54,394,619</w:t>
            </w: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42,844,356</w:t>
            </w:r>
          </w:p>
        </w:tc>
      </w:tr>
      <w:tr>
        <w:trPr>
          <w:trHeight w:val="216"/>
        </w:trPr>
        <w:tc>
          <w:tcPr>
            <w:tcW w:w="5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(9,316,733)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(14,437,076)</w:t>
            </w:r>
          </w:p>
        </w:tc>
        <w:tc>
          <w:tcPr>
            <w:tcW w:w="20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(33,306,538)</w:t>
            </w: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(45,182,557)</w:t>
            </w:r>
          </w:p>
        </w:tc>
      </w:tr>
      <w:tr>
        <w:trPr>
          <w:trHeight w:val="216"/>
        </w:trPr>
        <w:tc>
          <w:tcPr>
            <w:tcW w:w="5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42,573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32,241</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(5,580,366)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(3,298,680)</w:t>
            </w:r>
          </w:p>
        </w:tc>
        <w:tc>
          <w:tcPr>
            <w:tcW w:w="2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(13,542,419)</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(9,741,110)</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(6,669,941)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(9,641)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18,546</w:t>
            </w:r>
          </w:p>
        </w:tc>
        <w:tc>
          <w:tcPr>
            <w:tcW w:w="20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(195,942)</w:t>
            </w: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(106,772)</w:t>
            </w:r>
          </w:p>
        </w:tc>
      </w:tr>
      <w:tr>
        <w:trPr>
          <w:trHeight w:val="223"/>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Other expense,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(5,582,771)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(3,275,878)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(20,365,729</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(9,815,641)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7"/>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(14,899,504)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(17,712,954)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(53,672,267)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(54,998,198)</w:t>
            </w:r>
          </w:p>
        </w:tc>
      </w:tr>
      <w:tr>
        <w:trPr>
          <w:trHeight w:val="210"/>
        </w:trPr>
        <w:tc>
          <w:tcPr>
            <w:tcW w:w="5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r>
      <w:tr>
        <w:trPr>
          <w:trHeight w:val="210"/>
        </w:trPr>
        <w:tc>
          <w:tcPr>
            <w:tcW w:w="5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196,383,935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133,770,147</w:t>
            </w:r>
          </w:p>
        </w:tc>
        <w:tc>
          <w:tcPr>
            <w:tcW w:w="20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w w:val="99"/>
              </w:rPr>
              <w:t>196,204,893</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125,682,400</w:t>
            </w:r>
          </w:p>
        </w:tc>
      </w:tr>
      <w:tr>
        <w:trPr>
          <w:trHeight w:val="20"/>
        </w:trPr>
        <w:tc>
          <w:tcPr>
            <w:tcW w:w="5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6"/>
            <w:vMerge w:val="restart"/>
          </w:tcPr>
          <w:p>
            <w:pPr>
              <w:jc w:val="center"/>
              <w:ind w:right="200"/>
              <w:spacing w:after="0"/>
              <w:rPr>
                <w:sz w:val="20"/>
                <w:szCs w:val="20"/>
                <w:color w:val="auto"/>
              </w:rPr>
            </w:pPr>
            <w:r>
              <w:rPr>
                <w:rFonts w:ascii="Arial" w:cs="Arial" w:eastAsia="Arial" w:hAnsi="Arial"/>
                <w:sz w:val="18"/>
                <w:szCs w:val="18"/>
                <w:b w:val="1"/>
                <w:bCs w:val="1"/>
                <w:color w:val="auto"/>
                <w:w w:val="90"/>
              </w:rPr>
              <w:t>Common Stock</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36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36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Deficit</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10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195,813,817</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553,265,706</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(412,112,721)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141,172,566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1,641,388</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1,641,388</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Warrants issued in connection with notes payable</w:t>
            </w: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9,569,604</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9,569,604</w:t>
            </w:r>
          </w:p>
        </w:tc>
        <w:tc>
          <w:tcPr>
            <w:tcW w:w="0" w:type="dxa"/>
            <w:vAlign w:val="bottom"/>
          </w:tcPr>
          <w:p>
            <w:pPr>
              <w:spacing w:after="0"/>
              <w:rPr>
                <w:sz w:val="1"/>
                <w:szCs w:val="1"/>
                <w:color w:val="auto"/>
              </w:rPr>
            </w:pPr>
          </w:p>
        </w:tc>
      </w:tr>
      <w:tr>
        <w:trPr>
          <w:trHeight w:val="202"/>
        </w:trPr>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w w:val="92"/>
              </w:rPr>
              <w:t>Vesting of Restricted Stock Units, net of shares withheld for taxes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and retired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533,712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(442,690)</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(442,636)</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(25,007,857)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(25,007,857)</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Balance at March 31, 2022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196,347,529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19,635</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564,034,008</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(437,120,578)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126,933,065</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1,191,047</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1,191,047</w:t>
            </w:r>
          </w:p>
        </w:tc>
        <w:tc>
          <w:tcPr>
            <w:tcW w:w="0" w:type="dxa"/>
            <w:vAlign w:val="bottom"/>
          </w:tcPr>
          <w:p>
            <w:pPr>
              <w:spacing w:after="0"/>
              <w:rPr>
                <w:sz w:val="1"/>
                <w:szCs w:val="1"/>
                <w:color w:val="auto"/>
              </w:rPr>
            </w:pPr>
          </w:p>
        </w:tc>
      </w:tr>
      <w:tr>
        <w:trPr>
          <w:trHeight w:val="202"/>
        </w:trPr>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w w:val="92"/>
              </w:rPr>
              <w:t>Vesting of Restricted Stock Units, net of shares withheld for taxes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and retired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8,703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41,320</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41,321</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(13,764,906)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(13,764,906)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Balance at June 30, 2022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196,356,232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19,636</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565,266,375</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(450,885,484)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114,400,527</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1,313,494</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1,313,494</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w w:val="92"/>
              </w:rPr>
              <w:t>Vesting of Restricted Stock Units, net of shares withheld for taxes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420,639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(430,023)</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(429,981)</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(14,899,504)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(14,899,504)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Balance at September 30, 2022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196,776,871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19,678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566,149,846</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w w:val="92"/>
              </w:rPr>
              <w:t>$ (465,784,988)</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100,384,536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40" w:type="dxa"/>
            <w:vAlign w:val="bottom"/>
            <w:gridSpan w:val="11"/>
          </w:tcPr>
          <w:p>
            <w:pPr>
              <w:ind w:left="3360"/>
              <w:spacing w:after="0"/>
              <w:rPr>
                <w:sz w:val="20"/>
                <w:szCs w:val="20"/>
                <w:color w:val="auto"/>
              </w:rPr>
            </w:pPr>
            <w:r>
              <w:rPr>
                <w:rFonts w:ascii="Arial" w:cs="Arial" w:eastAsia="Arial" w:hAnsi="Arial"/>
                <w:sz w:val="18"/>
                <w:szCs w:val="18"/>
                <w:b w:val="1"/>
                <w:bCs w:val="1"/>
                <w:color w:val="auto"/>
              </w:rPr>
              <w:t>For the Three and Nine Months Ended September 30, 2021</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6"/>
            <w:vMerge w:val="restart"/>
          </w:tcPr>
          <w:p>
            <w:pPr>
              <w:jc w:val="right"/>
              <w:ind w:right="8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6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96"/>
              </w:rPr>
              <w:t>Shares</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36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Deficit</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104,902,888</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428,704,039</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(340,465,103)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88,249,426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781,397</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781,397</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18,080,708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41,910,707</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41,912,515</w:t>
            </w:r>
          </w:p>
        </w:tc>
        <w:tc>
          <w:tcPr>
            <w:tcW w:w="0" w:type="dxa"/>
            <w:vAlign w:val="bottom"/>
          </w:tcPr>
          <w:p>
            <w:pPr>
              <w:spacing w:after="0"/>
              <w:rPr>
                <w:sz w:val="1"/>
                <w:szCs w:val="1"/>
                <w:color w:val="auto"/>
              </w:rPr>
            </w:pPr>
          </w:p>
        </w:tc>
      </w:tr>
      <w:tr>
        <w:trPr>
          <w:trHeight w:val="202"/>
        </w:trPr>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Vesting of Restricted Stock Units, net of shares withheld for</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taxes and retired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61,385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(59,317)</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(18,379,941)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(18,379,941)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123,044,981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471,336,826</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(358,845,044)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112,504,086</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805,189</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805,189</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Issuance of common stock, net of offering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8,827,045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17,188,677</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17,189,560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(18,905,303)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(18,905,303)</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131,872,026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489,330,692</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(377,750,347)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111,593,532</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688,274</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688,274</w:t>
            </w:r>
          </w:p>
        </w:tc>
        <w:tc>
          <w:tcPr>
            <w:tcW w:w="0" w:type="dxa"/>
            <w:vAlign w:val="bottom"/>
          </w:tcPr>
          <w:p>
            <w:pPr>
              <w:spacing w:after="0"/>
              <w:rPr>
                <w:sz w:val="1"/>
                <w:szCs w:val="1"/>
                <w:color w:val="auto"/>
              </w:rPr>
            </w:pPr>
          </w:p>
        </w:tc>
      </w:tr>
      <w:tr>
        <w:trPr>
          <w:trHeight w:val="202"/>
        </w:trPr>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Vesting of Restricted Stock Units, net of shares withheld for</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taxes and retired</w:t>
            </w:r>
          </w:p>
        </w:tc>
        <w:tc>
          <w:tcPr>
            <w:tcW w:w="900" w:type="dxa"/>
            <w:vAlign w:val="bottom"/>
          </w:tcPr>
          <w:p>
            <w:pPr>
              <w:jc w:val="right"/>
              <w:spacing w:after="0"/>
              <w:rPr>
                <w:sz w:val="20"/>
                <w:szCs w:val="20"/>
                <w:color w:val="auto"/>
              </w:rPr>
            </w:pPr>
            <w:r>
              <w:rPr>
                <w:rFonts w:ascii="Arial" w:cs="Arial" w:eastAsia="Arial" w:hAnsi="Arial"/>
                <w:sz w:val="18"/>
                <w:szCs w:val="18"/>
                <w:color w:val="auto"/>
              </w:rPr>
              <w:t>3,515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(2,287)</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6,438,276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8,212,958</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8,213,602</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(17,712,954)</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(17,712,954)</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22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138,313,817</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498,229,637</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(395,463,301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102,780,167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6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8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(53,672,267)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(54,998,198)</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5,176,492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3,977,786</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Loss on disposal of fixed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80,479</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in kind</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2,023,932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4,145,929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2,274,860</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1,394,142</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6,669,941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license revenue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(107,125)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(107,125)</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7,674,472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(7,155,331)</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(38,189,543)</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(32,587,272)</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(1,033,238)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(2,812,580)</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Deposits and other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195,756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(813,415)</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12,768,396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6,209,132</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667,193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5,526,220</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(365,415)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107,552</w:t>
            </w:r>
          </w:p>
        </w:tc>
      </w:tr>
      <w:tr>
        <w:trPr>
          <w:trHeight w:val="27"/>
        </w:trPr>
        <w:tc>
          <w:tcPr>
            <w:tcW w:w="84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4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(52,128,942)</w:t>
            </w: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(78,903,750)</w:t>
            </w:r>
          </w:p>
        </w:tc>
      </w:tr>
      <w:tr>
        <w:trPr>
          <w:trHeight w:val="216"/>
        </w:trPr>
        <w:tc>
          <w:tcPr>
            <w:tcW w:w="8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(10,162,650)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(9,835,404)</w:t>
            </w:r>
          </w:p>
        </w:tc>
      </w:tr>
      <w:tr>
        <w:trPr>
          <w:trHeight w:val="27"/>
        </w:trPr>
        <w:tc>
          <w:tcPr>
            <w:tcW w:w="84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4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(10,162,650)</w:t>
            </w: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(9,835,404)</w:t>
            </w:r>
          </w:p>
        </w:tc>
      </w:tr>
      <w:tr>
        <w:trPr>
          <w:trHeight w:val="216"/>
        </w:trPr>
        <w:tc>
          <w:tcPr>
            <w:tcW w:w="8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(100,000,000)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net of offering expenses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67,315,677</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refinancing fees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Proceeds from issuance of note payable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151,750,000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 on vested Restricted Stock Units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(831,297)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(61,598)</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Payments on finance lease obligations</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(27,281)</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(25,507)</w:t>
            </w:r>
          </w:p>
        </w:tc>
      </w:tr>
      <w:tr>
        <w:trPr>
          <w:trHeight w:val="223"/>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deferred financing fees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(2,782,928)</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46,108,494</w:t>
            </w: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67,228,572</w:t>
            </w:r>
          </w:p>
        </w:tc>
        <w:tc>
          <w:tcPr>
            <w:tcW w:w="100" w:type="dxa"/>
            <w:vAlign w:val="bottom"/>
            <w:tcBorders>
              <w:top w:val="single" w:sz="8" w:color="CCEEFF"/>
            </w:tcBorders>
          </w:tcPr>
          <w:p>
            <w:pPr>
              <w:spacing w:after="0"/>
              <w:rPr>
                <w:sz w:val="19"/>
                <w:szCs w:val="19"/>
                <w:color w:val="auto"/>
              </w:rPr>
            </w:pPr>
          </w:p>
        </w:tc>
      </w:tr>
      <w:tr>
        <w:trPr>
          <w:trHeight w:val="216"/>
        </w:trPr>
        <w:tc>
          <w:tcPr>
            <w:tcW w:w="8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(16,183,098)</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(21,510,582)</w:t>
            </w: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51,089,118</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55,921,152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34,906,020</w:t>
            </w:r>
          </w:p>
        </w:tc>
        <w:tc>
          <w:tcPr>
            <w:tcW w:w="2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34,410,570</w:t>
            </w:r>
          </w:p>
        </w:tc>
      </w:tr>
      <w:tr>
        <w:trPr>
          <w:trHeight w:val="20"/>
        </w:trPr>
        <w:tc>
          <w:tcPr>
            <w:tcW w:w="8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80" w:firstLine="607"/>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firstLine="607"/>
        <w:spacing w:after="0" w:line="270" w:lineRule="auto"/>
        <w:rPr>
          <w:sz w:val="20"/>
          <w:szCs w:val="20"/>
          <w:color w:val="auto"/>
        </w:rPr>
      </w:pPr>
      <w:r>
        <w:rPr>
          <w:rFonts w:ascii="Arial" w:cs="Arial" w:eastAsia="Arial" w:hAnsi="Arial"/>
          <w:sz w:val="17"/>
          <w:szCs w:val="17"/>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of BTBU, including the U.S. Food and Drug Administration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ten plasma collection facilities in various stages of approval and development located throughout the U.S., seven of which hold an approved license with the FDA, with two additional collection facilities in operation and collecting plasma presently under FDA licensing preparation and review and another facility under construction.</w:t>
      </w:r>
    </w:p>
    <w:p>
      <w:pPr>
        <w:spacing w:after="0" w:line="181" w:lineRule="exact"/>
        <w:rPr>
          <w:sz w:val="20"/>
          <w:szCs w:val="20"/>
          <w:color w:val="auto"/>
        </w:rPr>
      </w:pPr>
    </w:p>
    <w:p>
      <w:pPr>
        <w:ind w:right="40" w:firstLine="607"/>
        <w:spacing w:after="0" w:line="288" w:lineRule="auto"/>
        <w:rPr>
          <w:sz w:val="20"/>
          <w:szCs w:val="20"/>
          <w:color w:val="auto"/>
        </w:rPr>
      </w:pPr>
      <w:r>
        <w:rPr>
          <w:rFonts w:ascii="Arial" w:cs="Arial" w:eastAsia="Arial" w:hAnsi="Arial"/>
          <w:sz w:val="16"/>
          <w:szCs w:val="16"/>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As of September 30, 2022, the Company had working capital of $179.7 million, including $34.9 million of cash and cash equivalents. Based upon the Company’s current projected revenue and expenditures, including capital expenditures and continued implementation of the Company’s commercialization and expansion activities, the Company’s management currently believes that its cash, cash equivalents, projected revenue and accounts receivable, together with the remaining available funds under the distribution agreement entered into in September of 2021 (see Note 8) and the additional proceeds available from the refinancing of the Company’s senior debt on March 23, 2022 (see Note 7), will be sufficient to fund ADMA’s operations, as currently conducted, into the first quarter of 2024, at which time the Company believes it will begin to generate positive cash flow from operations. These estimates may change based upon several factors, including the success of the Company’s commercial efforts with respect to the sale of its products, whether or not the assumptions underlying the Company’s projected revenues and expenses are correct and the acceptability of ADMA’s immune globulin products by physicians, patients or payers. Depending on the cost of capital, the Company may decide to raise capital through public or private equity offerings or debt financings, or may enter into a corporate collaboration or licensing arrangement. The sale of additional or equity or debt securities, if convertible, could result in dilution to the Company’s stockholders and, in such event, the value and potential future market price of its common stock may decline. There can be no assurance that the Company’s approved products will be commercially viable, or that plant capacity expansion, plasma center buildouts or other capital improvements will be successfully completed or that any product developed in the future will be approved. The Company is subject to risks common to companies in the biologics,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w:t>
      </w:r>
    </w:p>
    <w:p>
      <w:pPr>
        <w:spacing w:after="0" w:line="19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continues to evaluate a variety of strategic alternatives through its ongoing engagement with Morgan Stanley. The exploration of value-creating opportunities remains a top corporate priority for ADMA.</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annual audited consolidated financial statements and notes thereto as of and for the year ended December 31, 2021 included in the Company’s Annual Report on Form 10-K filed with the U.S. Securities and Exchange Commission (the “SEC”) on March 24, 2022. The accompanying consolidated balance sheet as of December 31, 2021 was derived from the audited financial statements as of and for the year ended December 31, 2021.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September 30, 2022, its results of operations and changes in stockholders’ equity for the three and nine months ended September 30, 2022 and 2021 and cash flows for the nine months ended September 30, 2022 and 2021.</w:t>
      </w:r>
    </w:p>
    <w:p>
      <w:pPr>
        <w:spacing w:after="0" w:line="18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During the three and nine months ended September 30, 2022 and 2021,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7) approximates fair value due to the variable interest rate on this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Accounts receivable is reported at realizable value, net of allowances for contractual credits and doubtful accounts in the amount of $0.1 million and $0.2 million at September 30, 2022 and December 31, 2021, respectively, which are recognized in the period the related revenue is recorded. </w:t>
      </w:r>
      <w:r>
        <w:rPr>
          <w:rFonts w:ascii="Arial" w:cs="Arial" w:eastAsia="Arial" w:hAnsi="Arial"/>
          <w:sz w:val="17"/>
          <w:szCs w:val="17"/>
          <w:color w:val="212529"/>
        </w:rPr>
        <w:t>The</w:t>
      </w:r>
      <w:r>
        <w:rPr>
          <w:rFonts w:ascii="Arial" w:cs="Arial" w:eastAsia="Arial" w:hAnsi="Arial"/>
          <w:sz w:val="17"/>
          <w:szCs w:val="17"/>
          <w:color w:val="auto"/>
        </w:rPr>
        <w:t xml:space="preserve"> </w:t>
      </w:r>
      <w:r>
        <w:rPr>
          <w:rFonts w:ascii="Arial" w:cs="Arial" w:eastAsia="Arial" w:hAnsi="Arial"/>
          <w:sz w:val="17"/>
          <w:szCs w:val="17"/>
          <w:color w:val="212529"/>
        </w:rPr>
        <w:t xml:space="preserve">Company extends credit to its customers based upon an evaluation of each customer’s financial condition and credit history. Evaluations of the financial condition and associated credit risk of customers are performed on an ongoing basis. </w:t>
      </w:r>
      <w:r>
        <w:rPr>
          <w:rFonts w:ascii="Arial" w:cs="Arial" w:eastAsia="Arial" w:hAnsi="Arial"/>
          <w:sz w:val="17"/>
          <w:szCs w:val="17"/>
          <w:color w:val="000000"/>
        </w:rPr>
        <w:t>Based on these evaluations, the Company has concluded that its credit</w:t>
      </w:r>
      <w:r>
        <w:rPr>
          <w:rFonts w:ascii="Arial" w:cs="Arial" w:eastAsia="Arial" w:hAnsi="Arial"/>
          <w:sz w:val="17"/>
          <w:szCs w:val="17"/>
          <w:color w:val="212529"/>
        </w:rPr>
        <w:t xml:space="preserve"> </w:t>
      </w:r>
      <w:r>
        <w:rPr>
          <w:rFonts w:ascii="Arial" w:cs="Arial" w:eastAsia="Arial" w:hAnsi="Arial"/>
          <w:sz w:val="17"/>
          <w:szCs w:val="17"/>
          <w:color w:val="000000"/>
        </w:rPr>
        <w:t>risk is minimal. At September 30, 2022, four customers accounted for an aggregate of 93% of the Company’s total accounts receivable, and at December 31, 2021, three customers accounted for approximately 94% of the Company’s total accounts receivable.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ind w:right="180" w:firstLine="607"/>
        <w:spacing w:after="0" w:line="255" w:lineRule="auto"/>
        <w:rPr>
          <w:sz w:val="20"/>
          <w:szCs w:val="20"/>
          <w:color w:val="auto"/>
        </w:rPr>
      </w:pPr>
      <w:r>
        <w:rPr>
          <w:rFonts w:ascii="Arial" w:cs="Arial" w:eastAsia="Arial" w:hAnsi="Arial"/>
          <w:sz w:val="18"/>
          <w:szCs w:val="18"/>
          <w:color w:val="auto"/>
        </w:rPr>
        <w:t>Raw materials inventory consists of various materials purchased from suppliers, including normal source plasma and RSV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spacing w:after="0" w:line="192" w:lineRule="exact"/>
        <w:rPr>
          <w:sz w:val="20"/>
          <w:szCs w:val="20"/>
          <w:color w:val="auto"/>
        </w:rPr>
      </w:pPr>
    </w:p>
    <w:p>
      <w:pPr>
        <w:ind w:right="40" w:firstLine="607"/>
        <w:spacing w:after="0" w:line="290"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September 30, 2022 and December 31, 2021 was $3.5 million. All of the Company’s goodwill is attributable to its ADMA BioManufacturing business segment and is related to the Biotest Transaction.</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2022 did not result in a goodwill impairment charge, and the Company did not record any impairment charges related to goodwill for the nine months ended September 30,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nine months ended September 30, 2022 and 2021, the Company determined that there was no impairment of its long-lived assets.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Revenues for the three and nine months ended September 30, 2022 and 2021 are comprised of (i) revenues from the sale of the Company’s immunoglobulin products, BIVIGAM, ASCENIV and Nabi-HB, (ii)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6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For the nine months ended September 30, 2022, two customers represented an aggregate of 72% of the Company’s consolidated revenues. For the nine months ended September 30, 2021, four customers represented an aggregate of 74% of the Company’s consolidated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as well as Restricted Stock Units (“RSUs”). Potentially dilutive common stock is excluded from the diluted loss per common share computation to the extent that it would be anti-dilutive. As a result, no potentially dilutive securities are included in the computation of any of the accompanying diluted loss per share amounts in the accompanying condensed consolidated financial statements as the Company reported a net loss for all periods presented. For the nine months ended September 30, 2022 and 2021, the following securities were excluded from the calculation of diluted loss per common share because of their anti-dilutive effects: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60" w:type="dxa"/>
            <w:vAlign w:val="bottom"/>
          </w:tcPr>
          <w:p>
            <w:pPr>
              <w:spacing w:after="0"/>
              <w:rPr>
                <w:sz w:val="20"/>
                <w:szCs w:val="20"/>
                <w:color w:val="auto"/>
              </w:rPr>
            </w:pPr>
          </w:p>
        </w:tc>
        <w:tc>
          <w:tcPr>
            <w:tcW w:w="3380" w:type="dxa"/>
            <w:vAlign w:val="bottom"/>
            <w:gridSpan w:val="4"/>
          </w:tcPr>
          <w:p>
            <w:pPr>
              <w:spacing w:after="0"/>
              <w:rPr>
                <w:sz w:val="20"/>
                <w:szCs w:val="20"/>
                <w:color w:val="auto"/>
              </w:rPr>
            </w:pPr>
            <w:r>
              <w:rPr>
                <w:rFonts w:ascii="Arial" w:cs="Arial" w:eastAsia="Arial" w:hAnsi="Arial"/>
                <w:sz w:val="18"/>
                <w:szCs w:val="18"/>
                <w:b w:val="1"/>
                <w:bCs w:val="1"/>
                <w:color w:val="auto"/>
                <w:w w:val="92"/>
              </w:rPr>
              <w:t>For the Nine Months Ended September 30,</w:t>
            </w:r>
          </w:p>
        </w:tc>
      </w:tr>
      <w:tr>
        <w:trPr>
          <w:trHeight w:val="223"/>
        </w:trPr>
        <w:tc>
          <w:tcPr>
            <w:tcW w:w="78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8,334,313</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7,831,622</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4,129,487</w:t>
            </w:r>
          </w:p>
        </w:tc>
        <w:tc>
          <w:tcPr>
            <w:tcW w:w="2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4,469,133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13,556,898</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4,528,160</w:t>
            </w:r>
          </w:p>
        </w:tc>
      </w:tr>
      <w:tr>
        <w:trPr>
          <w:trHeight w:val="27"/>
        </w:trPr>
        <w:tc>
          <w:tcPr>
            <w:tcW w:w="7860" w:type="dxa"/>
            <w:vAlign w:val="bottom"/>
            <w:shd w:val="clear" w:color="auto" w:fill="CCEEFF"/>
          </w:tcPr>
          <w:p>
            <w:pPr>
              <w:spacing w:after="0"/>
              <w:rPr>
                <w:sz w:val="2"/>
                <w:szCs w:val="2"/>
                <w:color w:val="auto"/>
              </w:rPr>
            </w:pPr>
          </w:p>
        </w:tc>
        <w:tc>
          <w:tcPr>
            <w:tcW w:w="150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8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26,020,698</w:t>
            </w:r>
          </w:p>
        </w:tc>
        <w:tc>
          <w:tcPr>
            <w:tcW w:w="2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16,828,915</w:t>
            </w:r>
          </w:p>
        </w:tc>
      </w:tr>
      <w:tr>
        <w:trPr>
          <w:trHeight w:val="20"/>
        </w:trPr>
        <w:tc>
          <w:tcPr>
            <w:tcW w:w="78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basis over the associated vesting period of the award based on the grant date fair value of the award. Stock options granted under the Company’s equity incentive plans generally have a four-year vesting period and a term of 10 years. Pursuant to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the Company has elected not to establish a forfeiture rate, as stock-based compensation expense related to forfeitures of unvested stock options is fully reversed at the time of forfeiture.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2017 and for previous periods as it relates to the Company’s net operating loss carryforwards.</w:t>
      </w:r>
    </w:p>
    <w:p>
      <w:pPr>
        <w:spacing w:after="0" w:line="16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September 30, 2022 and December 31, 2021, and during the three and nine months ended September 30, 2022 and 2021, the Company recognized no adjustments for uncertain tax positions.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The following table provides the components of inventories: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47,777,758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36,755,720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47,517,076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58,968,535</w:t>
            </w: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67,618,799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28,999,836</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162,913,633</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124,724,091</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Raw materials includes plasma and other materials expected to be used in the production of BIVIGAM, ASCENIV and Nabi-HB. These materials will be consumed in the production of goods expected to be available for sale or otherwise have alternative uses that provide a probable future benefit. All other activities and materials associated with the production of inventories used in research and development activities are expensed as incurred.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w:t>
      </w:r>
    </w:p>
    <w:p>
      <w:pPr>
        <w:spacing w:after="0" w:line="23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Finished goods inventory is comprised of immunoglobulin product inventory and related intermediates that are available for commercial sale, as well as plasma collected at the Company’s plasma collection centers which is expected to be sold to third-party customers.</w:t>
      </w:r>
    </w:p>
    <w:p>
      <w:pPr>
        <w:spacing w:after="0" w:line="14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September 30, 2022 and December 31, 2021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30, 2022</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2021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26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Amortization</w:t>
            </w:r>
          </w:p>
        </w:tc>
        <w:tc>
          <w:tcPr>
            <w:tcW w:w="24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Trademark and other intangible rights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to Nabi-HB</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4,100,046</w:t>
            </w:r>
          </w:p>
        </w:tc>
        <w:tc>
          <w:tcPr>
            <w:tcW w:w="5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3,123,845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976,201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4,100,046</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2,684,554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1,415,492</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907,421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691,368</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216,053</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907,421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594,145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313,276</w:t>
            </w:r>
          </w:p>
        </w:tc>
      </w:tr>
      <w:tr>
        <w:trPr>
          <w:trHeight w:val="257"/>
        </w:trPr>
        <w:tc>
          <w:tcPr>
            <w:tcW w:w="3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5,007,467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3,815,213</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1,192,254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5,007,467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3,278,699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All of the Company’s intangible assets were acquired in the Biotest Transaction. Amortization expense related to these intangible assets was $0.5 million for the nine months ended September 30, 2022 and 2021 and $0.2 million for the three months ended September 30, 2022 and 2021. Estimated future aggregate amortization expense is expected to be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178,838</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2023</w:t>
            </w: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715,352</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w:t>
            </w:r>
          </w:p>
        </w:tc>
        <w:tc>
          <w:tcPr>
            <w:tcW w:w="5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298,064</w:t>
            </w:r>
          </w:p>
        </w:tc>
      </w:tr>
      <w:tr>
        <w:trPr>
          <w:trHeight w:val="391"/>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and related accumulated depreciation are summarized as follows: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2022</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2021</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18,245,894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16,702,991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Office equipment and computer software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5,251,818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4,082,462</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4,680,870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3,389,140</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5,537,520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5,496,222</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17,520,132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11,129,639</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4,339,441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4,339,441</w:t>
            </w:r>
          </w:p>
        </w:tc>
      </w:tr>
      <w:tr>
        <w:trPr>
          <w:trHeight w:val="223"/>
        </w:trPr>
        <w:tc>
          <w:tcPr>
            <w:tcW w:w="7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19,266,803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19,067,032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74,842,478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64,206,927</w:t>
            </w:r>
          </w:p>
        </w:tc>
      </w:tr>
      <w:tr>
        <w:trPr>
          <w:trHeight w:val="223"/>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(17,896,388)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(13,271,853)</w:t>
            </w:r>
          </w:p>
        </w:tc>
      </w:tr>
      <w:tr>
        <w:trPr>
          <w:trHeight w:val="216"/>
        </w:trPr>
        <w:tc>
          <w:tcPr>
            <w:tcW w:w="79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56,946,090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50,935,074</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Property and equipment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Company recorded depreciation expense on property and equipment for the three months ended September 30, 2022 and 2021 of $1.7 million and $1.2 million, respectively, and for the nine months ended September 30, 2022 and 2021 of $4.6 million and $3.4 million, respectively.</w:t>
      </w:r>
    </w:p>
    <w:p>
      <w:pPr>
        <w:spacing w:after="0" w:line="14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at September 30, 2022 and December 31,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2022</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2021</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rebates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9,112,871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5,040,200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Accrued distribution fees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2,486,555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4,739,651</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incentives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2,866,982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4,066,109</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Accrued testing</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256,608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1,189,970</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payroll and other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1,197,337</w:t>
            </w:r>
          </w:p>
        </w:tc>
      </w:tr>
      <w:tr>
        <w:trPr>
          <w:trHeight w:val="223"/>
        </w:trPr>
        <w:tc>
          <w:tcPr>
            <w:tcW w:w="7980" w:type="dxa"/>
            <w:vAlign w:val="bottom"/>
            <w:gridSpan w:val="3"/>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2,105,653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981,721</w:t>
            </w:r>
          </w:p>
        </w:tc>
      </w:tr>
      <w:tr>
        <w:trPr>
          <w:trHeight w:val="257"/>
        </w:trPr>
        <w:tc>
          <w:tcPr>
            <w:tcW w:w="79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18,378,932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17,214,988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7.  DEBT</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A summary of outstanding senior notes payable is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2022</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2021</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153,773,932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(12,408,226)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(5,133,761)</w:t>
            </w:r>
          </w:p>
        </w:tc>
      </w:tr>
      <w:tr>
        <w:trPr>
          <w:trHeight w:val="216"/>
        </w:trPr>
        <w:tc>
          <w:tcPr>
            <w:tcW w:w="79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Senior notes payable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141,365,706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94,866,239</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On March 23, 2022 (the “Hayfin Closing Date”), the Company and all of its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obligation of the lenders to make the Hayfin Delayed Draw Loan expires on March 22, 2023 and is subject to the satisfaction of certain conditions, including, but not limited to, the Company’s meeting certain 12-month revenue targets as set forth in the Hayfin Credit Agreement. The Hayfin Credit Facility has a maturity date of March 23, 2027 (the “Hayfin Maturity Date”), subject to acceleration pursuant to the Hayfin Credit Agreement, including upon an Event of Default (as defined in the Hayfin Credit Agreement).</w:t>
      </w:r>
    </w:p>
    <w:p>
      <w:pPr>
        <w:spacing w:after="0" w:line="19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the Hayfin Closing Date, the Company used $100.0 million of the Hayfin Closing Date Loan to terminate and pay in full all of the outstanding obligations under the Company’s previously existing credit facility (the “Perceptive Credit Facility”) with Perceptive Credit Holdings II, LP (“Perceptive”). The Company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In connection with the retirement of the Perceptive Credit Facility and all of the obligations thereunder, the Company recorded a loss on extinguishment of debt in the amount of $6.7 million, consisting of the write-off of unamortized discount related to the Perceptive indebtedness and the redemption premium paid to Perceptive.</w:t>
      </w:r>
    </w:p>
    <w:p>
      <w:pPr>
        <w:spacing w:after="0" w:line="19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Borrowings under the Hayfin Credit Agreement bear interest, at the Company’s election, at either (a) a base rate (equal to the highest of (i) the rate of interest per annum last quoted by The Wall Street Journal as the “Prime Rate” in the United States, (ii) the federal funds rate in effect on such day plus 0.50% and (iii) adjusted Term Secured Overnight Financing Rate (“SOFR”) for a one-month tenor in effect on such day plus 1.00%), plus an applicable margin of 8.5%, or (b) adjusted Term SOFR for either a one-month or three-month tenor, as elected by the Company, and subject to a floor of 1.25%, plus an applicable margin of 9.5% (the “Applicable Margin”); provided, however, that upon, and during the continuance of, an Event of Default, the Applicable Margin shall increase by an additional 3% per annum. On the last day of each calendar month or quarter during the term of the Hayfin Credit Facility, the Company will pay accrued interest to Hayfin. The rate of interest in effect as of the Hayfin Closing Date and as of September 30, 2022 was 10.75% and approximately 12.1%, respectively. The Company is also permitted to pay “in kind” a portion of the interest on the Hayfin Loans for each monthly or quarterly interest period in an amount equal to 2.5% per annum, which is added to the principal amount of the outstanding debt under the Hayfin Credit Facility. From the Hayfin Closing Date through September 30, 2022, approximately $2.0 million of interest was paid in kind and added to the balance of the outstanding Hayfin Loans.</w:t>
      </w:r>
    </w:p>
    <w:p>
      <w:pPr>
        <w:sectPr>
          <w:pgSz w:w="11900" w:h="16838" w:orient="portrait"/>
          <w:cols w:equalWidth="0" w:num="1">
            <w:col w:w="11240"/>
          </w:cols>
          <w:pgMar w:left="320" w:top="122" w:right="33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the Hayfin Maturity Date, the Company will pay Hayfin the entire outstanding principal amount underlying the Hayfin Loans and any accrued and unpaid interest thereon, as well as an exit fee of 1.0% of the outstanding principal amount being paid. This exit fee is recorded separately as a non-current liability on the accompanying condensed consolidated balance sheet as of September 30, 2022. Prior to the Hayfin Maturity Date, there are no scheduled principal payments on the Hayfin Loans. The Company may prepay outstanding principal on the Hayfin Loans at any time and from time to time upon five business days’ prior written notice, subject to the payment to Hayfin of, (A) any accrued but unpaid interest on the prepaid principal amount plus</w:t>
      </w:r>
    </w:p>
    <w:p>
      <w:pPr>
        <w:spacing w:after="0" w:line="2" w:lineRule="exact"/>
        <w:rPr>
          <w:sz w:val="20"/>
          <w:szCs w:val="20"/>
          <w:color w:val="auto"/>
        </w:rPr>
      </w:pPr>
    </w:p>
    <w:p>
      <w:pPr>
        <w:ind w:right="240" w:firstLine="8"/>
        <w:spacing w:after="0" w:line="253" w:lineRule="auto"/>
        <w:tabs>
          <w:tab w:leader="none" w:pos="2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early prepayment fee in the amount equal to (i) 7.0% of the prepaid principal amount, if prepaid on or prior to the first anniversary of the Hayfin Closing Date, (ii) 3.0% of the prepaid principal amount, if prepaid after the first anniversary of the Hayfin Closing Date and on or prior to the second anniversary of the Hayfin Closing Date, or (iii) 1.0% of the prepaid principal amount, if prepaid after the second anniversary of the Hayfin Closing Date and on or prior to the third anniversary of the Hayfin Closing Date. In addition, for any prepayments of principal or payment of principal on the Hayfin Maturity Date, the Company is also required to pay the exit fee.</w:t>
      </w:r>
    </w:p>
    <w:p>
      <w:pPr>
        <w:spacing w:after="0" w:line="19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All of the Company’s obligations under the Hayfin Credit Agreement are secured by a first-priority lien and security interest in substantially all of the Company’s tangible and intangible assets, including intellectual property and all of the equity interests in the Company’s subsidiaries. The Hayfin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Hayfin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Hayfin Credit Agreement); change its fiscal year; pay dividends; repay certain other indebtedness; engage in certain affiliate transactions; or enter into, amend or terminate any other agreements that have the impact of restricting the Company’s ability to make loan repayments under the Hayfin Credit Agreement. In addition, the Company is required (i) at all times prior to the Maturity Date to maintain a minimum cash balance of $6.0 million; and</w:t>
      </w:r>
    </w:p>
    <w:p>
      <w:pPr>
        <w:spacing w:after="0" w:line="6" w:lineRule="exact"/>
        <w:rPr>
          <w:sz w:val="20"/>
          <w:szCs w:val="20"/>
          <w:color w:val="auto"/>
        </w:rPr>
      </w:pPr>
    </w:p>
    <w:p>
      <w:pPr>
        <w:ind w:right="180" w:firstLine="8"/>
        <w:spacing w:after="0" w:line="302" w:lineRule="auto"/>
        <w:tabs>
          <w:tab w:leader="none" w:pos="2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of the last day of each fiscal quarter, report IVIG product and related revenues for the trailing 12-month period that exceed the amounts set forth in the Hayfin Credit Agreement, which range from $75.0 million for the fiscal quarter ended June 30, 2022 to $250.0 million for the fiscal quarter ended December 31, 2026. As of September 30, 2022, the Company was in compliance with all of the covenants contained in the Hayfin Credit Agreement.</w:t>
      </w:r>
    </w:p>
    <w:p>
      <w:pPr>
        <w:spacing w:after="0" w:line="15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As consideration for the Hayfin Credit Agreement, the Company issued to various entities affiliated with Hayfin, on the Hayfin Closing Date, warrants to purchase an aggregate of 9,103,047 shares of the Company’s common stock (the “Hayfin Warrants”). The Hayfin Warrants have an exercise price equal to $1.6478 per share, which is equal to the trailing 30-day Volume Weighted-average Price of the Company’s common stock on the business day immediately prior to the Hayfin Closing Date. The Hayfin Warrants were valued by the Company at approximately $9.6 million as of the Hayfin Closing Date and have an expiration date of March 23, 2029.</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a result of the upfront fee and exit fee paid or payable to Hayfin, the expenses incurred by the Company in connection with this transaction and the value of the Hayfin Warrants, the Company recognized an aggregate discount on the Hayfin Loans in the amount of $13.9 million. The Company records debt discount as a reduction to the face amount of the debt, and the debt discount is amortized as interest expense over the life of the debt using the interest method. Based on the fair value of the Hayfin Warrants and the aggregate amount of fees and expenses associated with obtaining the Hayfin Credit Facility, the effective interest rate on the Hayfin Loans as of the Hayfin Closing Date and as of September 30, 2022 was approximately 13.0% and 14.3%, respectively.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September 30, 2022 and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2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As of September 30, 2022 and December 31, 2021, the Company was authorized to issue 300,000,000 shares of its common stock, $0.0001 par value per share, and 196,776,871 and 195,813,817 shares of common stock were outstanding as of September 30, 2022 and December 31, 2021, respectively. After giving effect to the 49,951,243 shares reserved for outstanding warrants and awards issued or reserved for future issuance under the Company’s equity incentive plans, as of September 30, 2022 there were 53,271,886 shares of common stock available for issuance.</w:t>
      </w:r>
    </w:p>
    <w:p>
      <w:pPr>
        <w:spacing w:after="0" w:line="15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September 3, 2021, the Company entered into a distribution agreement with Raymond James &amp; Associates, Inc., as agent (“Agent”), pursuant to which the Company may offer and sell, from time to time, at its option, through or to the Agent, up to an aggregate of $50 million of shares of the Company’s common stock (the “Distribution Agreement”). The Company intends to use any net proceeds from the sale of common stock under the Distribution Agreement for general corporate purposes, including procurement of source plasma and other raw materials, supply chain initiatives and production expenditures, funding expansion of plasma collection centers, working capital, capital expenditures, expansion and resources for commercialization activities, and other potential research and development and business opportunities. The Company currently has approximately $42.8 million of shares available to sell under the Distribution Agreement. There were no sales under the Distribution Agreement during the nine months ended September 30, 2022. During the nine months ended September 30, 2021, the Company issued 5,540,831 shares of its common stock under the Distribution Agreement and received net proceeds of $6.9 million.</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August 5, 2020, the Company entered into an open market sale agreement (as amended from time to time, the “Sale Agreement”) with Jefferies LLC (“Jefferies”), pursuant to which the Company could offer and sell, from time to time, at its option, through or to Jefferies, up to an aggregate of $50 million of shares of the Company’s common stock. On November 5, 2020 and February 3, 2021, the Company and Jefferies amended the Sale Agreement to provide for increases in the aggregate offering amount under the Sale Agreement such that the Company could sell shares having an aggregate offering price of up to $105.4 million under the Sale Agreement, as amended. The Sale Agreement was terminated on August 31, 2021. During the nine months ended September 30, 2021, the Company issued and sold 27,805,198 shares of common stock under the Sale Agreement and received net proceeds of $60.4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connection with the Hayfin Credit Agreement that the Company entered into on March 23, 2022 (see Note 7), the Company issued the Hayfin Warrants to purchase 9,103,047 shares of the Company’s common stock. The Hayfin Warrants were valued at $9.6 million using the Black-Scholes option-pricing model assuming an expected term of seven years, a volatility of 68.1%, a dividend yield of 0% and a risk-free rate of interest of 2.36%. During the nine months ended September 30, 2022, outstanding warrants to purchase 74,309 shares of the Company’s common stock expired in accordance with the terms of the warrants. At September 30, 2022, the Company had outstanding warrants to purchase an aggregate of 13,556,898 shares of common stock, with a weighted-average exercise price of $2.00 per share. At December 31, 2021, the Company had outstanding warrants to purchase an aggregate of 4,528,160 shares of common stock, with a weighted average exercise price of $2.82 per share and expiration dates ranging between June 2022 and December 2030.</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fair value of stock options granted under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nine months ended September 30,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60" w:type="dxa"/>
            <w:vAlign w:val="bottom"/>
          </w:tcPr>
          <w:p>
            <w:pPr>
              <w:spacing w:after="0"/>
              <w:rPr>
                <w:sz w:val="20"/>
                <w:szCs w:val="20"/>
                <w:color w:val="auto"/>
              </w:rPr>
            </w:pPr>
          </w:p>
        </w:tc>
        <w:tc>
          <w:tcPr>
            <w:tcW w:w="338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Nine Months Ended September 30,</w:t>
            </w:r>
          </w:p>
        </w:tc>
        <w:tc>
          <w:tcPr>
            <w:tcW w:w="100" w:type="dxa"/>
            <w:vAlign w:val="bottom"/>
          </w:tcPr>
          <w:p>
            <w:pPr>
              <w:spacing w:after="0"/>
              <w:rPr>
                <w:sz w:val="20"/>
                <w:szCs w:val="20"/>
                <w:color w:val="auto"/>
              </w:rPr>
            </w:pPr>
          </w:p>
        </w:tc>
      </w:tr>
      <w:tr>
        <w:trPr>
          <w:trHeight w:val="223"/>
        </w:trPr>
        <w:tc>
          <w:tcPr>
            <w:tcW w:w="77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36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5.5 - 6.3 years</w:t>
            </w:r>
          </w:p>
        </w:tc>
        <w:tc>
          <w:tcPr>
            <w:tcW w:w="13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5.5 - 6.3 years</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Volatility</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68%</w:t>
            </w:r>
          </w:p>
        </w:tc>
        <w:tc>
          <w:tcPr>
            <w:tcW w:w="2360" w:type="dxa"/>
            <w:vAlign w:val="bottom"/>
            <w:gridSpan w:val="2"/>
          </w:tcPr>
          <w:p>
            <w:pPr>
              <w:jc w:val="center"/>
              <w:ind w:left="1230"/>
              <w:spacing w:after="0"/>
              <w:rPr>
                <w:sz w:val="20"/>
                <w:szCs w:val="20"/>
                <w:color w:val="auto"/>
              </w:rPr>
            </w:pPr>
            <w:r>
              <w:rPr>
                <w:rFonts w:ascii="Arial" w:cs="Arial" w:eastAsia="Arial" w:hAnsi="Arial"/>
                <w:sz w:val="18"/>
                <w:szCs w:val="18"/>
                <w:color w:val="auto"/>
                <w:w w:val="88"/>
              </w:rPr>
              <w:t>69%</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236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5"/>
              </w:rPr>
              <w:t>0.0</w:t>
            </w:r>
          </w:p>
        </w:tc>
        <w:tc>
          <w:tcPr>
            <w:tcW w:w="100" w:type="dxa"/>
            <w:vAlign w:val="bottom"/>
            <w:shd w:val="clear" w:color="auto" w:fill="CCEEFF"/>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1.72-1.73%</w:t>
            </w:r>
          </w:p>
        </w:tc>
        <w:tc>
          <w:tcPr>
            <w:tcW w:w="2360" w:type="dxa"/>
            <w:vAlign w:val="bottom"/>
            <w:gridSpan w:val="2"/>
          </w:tcPr>
          <w:p>
            <w:pPr>
              <w:jc w:val="center"/>
              <w:ind w:left="1230"/>
              <w:spacing w:after="0"/>
              <w:rPr>
                <w:sz w:val="20"/>
                <w:szCs w:val="20"/>
                <w:color w:val="auto"/>
              </w:rPr>
            </w:pPr>
            <w:r>
              <w:rPr>
                <w:rFonts w:ascii="Arial" w:cs="Arial" w:eastAsia="Arial" w:hAnsi="Arial"/>
                <w:sz w:val="18"/>
                <w:szCs w:val="18"/>
                <w:color w:val="auto"/>
                <w:w w:val="91"/>
              </w:rPr>
              <w:t>0.80-1.14%</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On June 21, 2022, the Company’s stockholders approved the ADMA Biologics, Inc. 2022 Compensation Plan (the “2022 Equity Plan”). Approval of the 2022 Equity Plan resulted in approximately 18 million additional shares of the Company’s common stock being reserved for future awards. During the nine months ended September 30, 2022 and 2021, the Company granted options to purchase an aggregate of 1,194,032 and 1,757,050 shares of common stock, respectively, to its directors and employees. The weighted average remaining contractual life of stock options outstanding and expected to vest at September 30, 2022 is 6.3 years. The weighted average remaining contractual life of stock options exercisable at September 30, 2022 is 5.4 years.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under the Company’s equity incentive plans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vested and expected to vest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7,862,722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(31,021)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(691,420)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1,194,032</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vested and expected to vest at September 30,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8,334,313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10"/>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5,992,738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September 30, 2022, the Company had $2.8 million of unrecognized compensation expense related to options granted under the Company’s equity incentive plans, which is expected to be recognized over a weighted-average period of 2.3 years.</w:t>
      </w:r>
    </w:p>
    <w:p>
      <w:pPr>
        <w:spacing w:after="0" w:line="170" w:lineRule="exact"/>
        <w:rPr>
          <w:sz w:val="20"/>
          <w:szCs w:val="20"/>
          <w:color w:val="auto"/>
        </w:rPr>
      </w:pPr>
    </w:p>
    <w:p>
      <w:pPr>
        <w:ind w:right="120" w:firstLine="639"/>
        <w:spacing w:after="0" w:line="287" w:lineRule="auto"/>
        <w:rPr>
          <w:sz w:val="20"/>
          <w:szCs w:val="20"/>
          <w:color w:val="auto"/>
        </w:rPr>
      </w:pPr>
      <w:r>
        <w:rPr>
          <w:rFonts w:ascii="Arial" w:cs="Arial" w:eastAsia="Arial" w:hAnsi="Arial"/>
          <w:sz w:val="16"/>
          <w:szCs w:val="16"/>
          <w:color w:val="auto"/>
        </w:rPr>
        <w:t>During the nine months ended September 30, 2022 and 2021, the Company granted RSUs representing an aggregate of 1,119,266 and 4,332,244 shares, respectively, to certain management employees of the Company and to members of its Board of Directors. Except for the RSUs granted under the Company’s retention incentive program discussed below, these RSUs generally vest annually over a period of four years for employees and semi-annually over a period of one year for directors. On September 28, 2021, the Company implemented a retention incentive program for the Company’s executive management and certain employees (see Note 10), whereby the Company issued an aggregate of 3,780,000 RSUs, of which 2,632,500 are time-based RSUs and 1,147,500 are milestone-based RSUs. Fifty percent of the time-based RSUs granted under the retention bonus program will vest on December 31, 2022, with the remainder vesting in quarterly installments through December 31, 2024. The milestone-based RSUs vest upon achievement of the applicable milestone, and all of the milestone-based RSUs vested during the nine months ended September 30, 2022. During the nine months ended September 30, 2022, an aggregate of 1,409,912 shares of common stock vested in connection with grants of RSUs, including all of the milestone-based RSUs. With respect to the vested RSUs, 446,858 shares valued at approximately $0.8 million were withheld by the Company to cover employees’ tax liabilities. These shares have been retired by the Company or otherwise made available again for issuance under the 2022 Equity Plan and were no longer outstanding as of September 30, 2022. A summary of the Company’s unvested RSU activity and related information is as follows: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Average Grant</w:t>
            </w:r>
          </w:p>
        </w:tc>
      </w:tr>
      <w:tr>
        <w:trPr>
          <w:trHeight w:val="241"/>
        </w:trPr>
        <w:tc>
          <w:tcPr>
            <w:tcW w:w="860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4,485,133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1,119,266</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(1,409,912)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4,129,487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September 30, 2022, the Company had $4.2 million of unrecognized compensation expense related to unvested RSUs granted under the Company’s equity incentive plans, which is expected to be recognized over a weighted-average period of 2.6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stock-based compensation expense for all awards granted under the Company’s equity incentive plans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149,232</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Plasma center operating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14,150</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62,255</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38,605</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1,187,043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596,084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3,772,860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1,850,411</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99,911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76,514</w:t>
            </w: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296,293</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236,612</w:t>
            </w:r>
          </w:p>
        </w:tc>
      </w:tr>
      <w:tr>
        <w:trPr>
          <w:trHeight w:val="257"/>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1,313,494</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688,274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4,145,929</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2,274,860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leases an office building and equipment from Areth, LLC (“Areth”) pursuant to an agreement for services effective as of January 1, 2016, as amended from time to time. Rent expense for the nine months ended September 30, 2022 and 2021 amounted to $90,000 (see Note 14). Areth is a company controlled by Dr. Jerrold B. Grossman, the Vice Chairman of the Company’s Board of Directors, and Adam S. Grossman, the Company’s President and Chief Executive Officer. The Company also reimburses Areth for office and building-related (common area) expenses, equipment and certain other operational expenses, which were not material to the condensed consolidated financial statements for the three and nine months ended September 30, 2022 and 2021.</w:t>
      </w:r>
    </w:p>
    <w:p>
      <w:pPr>
        <w:spacing w:after="0" w:line="19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During the nine months ended September 30, 2022 and 2021, the Company purchased certain specialized medical equipment and services related to the Company’s plasma collection centers, as well as personal protective equipment, from GenesisBPS and its affiliates (“Genesis”), aggregating to $0.1 million. Genesis is owned by Dr. Grossman and Adam Grossman.</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Note 7 for a discussion of the Company’s former credit facility and related transactions with Perceptive, a holder of more than 5% of the Company’s common stock during the nine months ended September 30, 2022.</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During the nine months ended September 30, 2021, in connection with the resignation of Dr. James Mond, the Company’s former Chief Scientific and Medical Officer, the Company recognized an expense and corresponding liability in the amount of $0.8 million for estimated payments to be made under a separation and transition agreement with Dr. Mond. Such payments were made in scheduled installments over a period of 10 months.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8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Legal Matters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continues to monitor the ongoing developments related to the COVID-19 pandemic, including the emergence of the Delta and Omicron variants and other resistant strains of the coronavirus, and its impacts to the Company’s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Due to a combination of previous state and local “shelter-in-place” orders, as well as government stimulus packages, persisting social distancing measures and varying roll-outs of vaccinations by state, the Company was experiencing lower than normal donor collections at its FDA approved plasma collection centers. The Company was also subject to delays in shipments of source plasma from its contracted third-party suppliers, as well as delays in deliveries for personal protective equipment, reagents and other non-plasma raw materials and supplies used in the manufacture and distribution of its products. In addition, the Company is subject to supply chain delays as a result of certain of its suppliers diverting significant resources towards the rapid development and distribution of COVID-19 vaccines and, as a result, the Company has elected to carry more raw materials inventory than it has in the past. The COVID-19 pandemic previously impacted, to a certain degree, the Company’s customer engagement initiatives, whereby ADMA’s sales and medical affairs field personnel faced difficulties communicating directly with physicians and other healthcare professionals, as well as the cancellation or postponement of a number of key scientific and medical meetings, further limiting the Company’s ability to communicate with potential customers.</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pandemic could also impact the Company’s ability to interact with the FDA or other regulatory authorities and may result in delays in the conduct of inspections or review of pending applications or submissions. Although the Company received several FDA approvals and two FDA inspections of the Boca Facility were completed during the year ended December 31, 2021, no assurances can be provided as to the timing for completion of any other regulatory submissions or applications that may be impacted by restrictions related to COVID-19.</w:t>
      </w:r>
    </w:p>
    <w:p>
      <w:pPr>
        <w:spacing w:after="0" w:line="171"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During the nine months ended September 30, 2022 and 2021, revenue attributable to international customers was approximately 7% and 13%, respectively, of the Company’s total revenues. As the Company seeks to grow this aspect of its business, it may also be subject to the impacts of the COVID-19 pandemic in locations outside the United States.</w:t>
      </w:r>
    </w:p>
    <w:p>
      <w:pPr>
        <w:spacing w:after="0" w:line="18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spacing w:after="0" w:line="15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the COVID-19 pandemic has not, to date, materially adversely impacted the Company’s capital and financial resources, because the Company is unable to determine the ultimate severity or duration of the COVID-19 pandemic or other pandemics or their long-term effects on, among other things, the global, national or local economies, the capital and credit markets or the Company’s workforce, customers or our suppliers, at this time the Company is unable to predict whether COVID-19 or other pandemics will have a material adverse impact on the Company’s business, financial condition, liquidity and results of operations.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Commitments</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executes its commercialization plans for ASCENIV. As part of the closing of the Biotest Transaction, the parties amended the 2011 Plasma Purchase Agreement to extend the initial term through the ten-year anniversary of the closing date of the Biotest Transaction. Unless terminated earlier, the 2011 Plasma Purchase Agreement expires in June 2027, after which it may be renewed for two additional five-year periods if agreed to by the parties.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could purchase RSV plasma from Grifols from the two plasma collection centers that were transferred to BPC on January 1, 2019 at a price equal to cost plus five percent (5%) (without any additional increase due to inflation). Effective January 1, 2022, RSV plasma purchased from these two plasma collection centers are subject to the pricing terms in effect for RSV plasma purchased from other plasma collection centers owned by Grifols.</w:t>
      </w:r>
    </w:p>
    <w:p>
      <w:pPr>
        <w:spacing w:after="0" w:line="18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Effective as of May 12, 2021, the Company and Grifols amended the foregoing 2017 Plasma Purchase Agreement whereby, among other things, the term of the agreement was extended through December 31, 2022, while certain historical provisions were deleted. In order to maintain a reliable supply of raw material plasma thereafter, the Company has executed additional agreements with multiple third-party suppliers of NSP to supplement the 2017 Plasma Purchase Agreement. The Company has also increased its number of planned plasma collection center buildouts such that the Company expects to have ten FDA-approved plasma collection centers in operation by the end of 2023, while also continuing to increase its plasma collection capabilities at its ADMA BioCenters plasma collection centers business segment.</w:t>
      </w:r>
    </w:p>
    <w:p>
      <w:pPr>
        <w:spacing w:after="0" w:line="178"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Company purchases substantially all of its raw material plasma from Grifols. For the nine months ended September 30, 2022, plasma purchases from Grifols totaled $40.3 million, or approximately 68% of the Company’s total inventory purchases. For the nine months ended September 30, 2021, plasma purchases from Grifols totaled approximately $31.2 million, representing approximately 69% of the Company’s total inventory purchases.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For the three months ended September 30, 2022 and 2021, the Company incurred expenses related to these studies $0.7 million and $0.3 million, respectively. For the nine months ended September 30, 2022 and 2021, the Company incurred expenses of $1.5 million and $1.3 million, respectively. The Company currently expects to incur expenses of approximately $2.0 million to $3.0 million to complete these studies, with both studies to be completed by June of 2023.</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connection with the FDA’s approval of ASCENIV on April 1, 2019, the Company is required to perform a pediatric study to evaluate the safety and efficacy of ASCENIV in children and adolescents. For the three months ended September 30, 2022 and 2021, the Company incurred expenses related to these studies $0.1 million and $0.2 million, respectively. For the nine months ended September 30, 2022 and 2021, the Company incurred expenses of $0.3 million and $0.5 million, respectively. The Company expects to incur expenses of approximately $2 million to complete this study, which is required to be completed by June of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Contracts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has entered into employment agreements with Mr. Grossman and with Brian Lenz, its Executive Vice President, Chief Financial Officer and General Manager, ADMA BioCenters.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September 28, 2021, following the approval of the Company’s Board of Directors upon recommendation of the Compensation Committee of the Board of Directors, and in consultation with an independent compensation consultant, the Company implemented a retention incentive program, consisting of cash payments and awards of RSUs (see Note 8), to the Company’s management, including Mr. Grossman and Mr. Lenz, and to certain other employees. The purpose of the retention program is to promote and ensure business continuity and provide an incentive to the Company’s executive management and certain other employees considering the operational challenges presented by the ongoing COVID-19 pandemic and the competitive work environment in which the Company operates as an FDA regulated manufacturer of specialized biologic therapies. The retention awards were granted considering the nationwide labor shortages and the increased employee turnover rates that the Company, its pharmaceutical peers and other companies outside of the Company’s industry have reported experiencing.</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cash portion of the retention program consists of two tranches. The first tranche was paid to employees on September 30, 2021 in the amount of $1.3 million, and the second tranche aggregating to approximately $1.3 million was paid on June 15, 2022. Based on the terms of the retention agreements the Company entered into with each applicable executive and employee, approximately $0.8 million of each tranche is being recognized over the retention service period, which began on October 1, 2021 and ends on December 31, 2022, with the remainder having been recognized as expense when paid.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September 30, 2022. The Company does not anticipate recognizing any significant losses relating to these arrangements.</w:t>
      </w:r>
    </w:p>
    <w:p>
      <w:pPr>
        <w:spacing w:after="0" w:line="18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Company is engaged in the manufacture, marketing and development of specialty plasma-derived biologics. The Company’s ADMA BioManufacturing segment reflects the Company’s immunoglobulin manufacturing, commercial and development operations in Boca Raton, FL, acquired on June 6, 2017 (see Note 1). The Plasma Collection Centers segment consists of ten plasma collection facilities located throughout the U.S., seven of which currently hold FDA licenses, with two additional plasma collection centers in operation and collecting plasma and the remaining facility under construction.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560"/>
              <w:spacing w:after="0" w:line="205" w:lineRule="exact"/>
              <w:rPr>
                <w:sz w:val="20"/>
                <w:szCs w:val="20"/>
                <w:color w:val="auto"/>
              </w:rPr>
            </w:pPr>
            <w:r>
              <w:rPr>
                <w:rFonts w:ascii="Arial" w:cs="Arial" w:eastAsia="Arial" w:hAnsi="Arial"/>
                <w:sz w:val="18"/>
                <w:szCs w:val="18"/>
                <w:b w:val="1"/>
                <w:bCs w:val="1"/>
                <w:color w:val="auto"/>
              </w:rPr>
              <w:t>ADMA</w:t>
            </w: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3"/>
          </w:tcPr>
          <w:p>
            <w:pPr>
              <w:jc w:val="right"/>
              <w:ind w:right="200"/>
              <w:spacing w:after="0" w:line="205" w:lineRule="exact"/>
              <w:rPr>
                <w:sz w:val="20"/>
                <w:szCs w:val="20"/>
                <w:color w:val="auto"/>
              </w:rPr>
            </w:pPr>
            <w:r>
              <w:rPr>
                <w:rFonts w:ascii="Arial" w:cs="Arial" w:eastAsia="Arial" w:hAnsi="Arial"/>
                <w:sz w:val="18"/>
                <w:szCs w:val="18"/>
                <w:b w:val="1"/>
                <w:bCs w:val="1"/>
                <w:color w:val="auto"/>
                <w:w w:val="90"/>
              </w:rPr>
              <w:t>Plasma Collection</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46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Centers</w:t>
            </w: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5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37,280,798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3,773,631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35,708</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41,090,137</w:t>
            </w: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27,883,046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3,550,450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31,433,496</w:t>
            </w: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(4,636,269)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(4,977,774)</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(9,316,733)</w:t>
            </w: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(5,579,594)</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(5,582,771)</w:t>
            </w: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(4,636,423)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(10,557,368)</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(14,899,504)</w:t>
            </w: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242,983,498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39,125,933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18,448,139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300,557,570</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1,214,529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647,463</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1,861,992</w:t>
            </w:r>
          </w:p>
        </w:tc>
      </w:tr>
      <w:tr>
        <w:trPr>
          <w:trHeight w:val="554"/>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1092"/>
              <w:spacing w:after="0"/>
              <w:rPr>
                <w:sz w:val="20"/>
                <w:szCs w:val="20"/>
                <w:color w:val="auto"/>
              </w:rPr>
            </w:pPr>
            <w:r>
              <w:rPr>
                <w:rFonts w:ascii="Arial" w:cs="Arial" w:eastAsia="Arial" w:hAnsi="Arial"/>
                <w:sz w:val="14"/>
                <w:szCs w:val="14"/>
                <w:color w:val="auto"/>
                <w:w w:val="76"/>
              </w:rPr>
              <w:t>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560"/>
              <w:spacing w:after="0" w:line="205" w:lineRule="exact"/>
              <w:rPr>
                <w:sz w:val="20"/>
                <w:szCs w:val="20"/>
                <w:color w:val="auto"/>
              </w:rPr>
            </w:pPr>
            <w:r>
              <w:rPr>
                <w:rFonts w:ascii="Arial" w:cs="Arial" w:eastAsia="Arial" w:hAnsi="Arial"/>
                <w:sz w:val="18"/>
                <w:szCs w:val="18"/>
                <w:b w:val="1"/>
                <w:bCs w:val="1"/>
                <w:color w:val="auto"/>
              </w:rPr>
              <w:t>ADMA</w:t>
            </w: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3"/>
          </w:tcPr>
          <w:p>
            <w:pPr>
              <w:jc w:val="right"/>
              <w:ind w:right="200"/>
              <w:spacing w:after="0" w:line="205" w:lineRule="exact"/>
              <w:rPr>
                <w:sz w:val="20"/>
                <w:szCs w:val="20"/>
                <w:color w:val="auto"/>
              </w:rPr>
            </w:pPr>
            <w:r>
              <w:rPr>
                <w:rFonts w:ascii="Arial" w:cs="Arial" w:eastAsia="Arial" w:hAnsi="Arial"/>
                <w:sz w:val="18"/>
                <w:szCs w:val="18"/>
                <w:b w:val="1"/>
                <w:bCs w:val="1"/>
                <w:color w:val="auto"/>
                <w:w w:val="90"/>
              </w:rPr>
              <w:t>Plasma Collection</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Centers</w:t>
            </w:r>
          </w:p>
        </w:tc>
        <w:tc>
          <w:tcPr>
            <w:tcW w:w="12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2"/>
              </w:rPr>
              <w:t>Corporate</w:t>
            </w:r>
          </w:p>
        </w:tc>
        <w:tc>
          <w:tcPr>
            <w:tcW w:w="2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Consolidated</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19,063,077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1,581,765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35,708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20,680,550</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18,695,783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1,599,430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20,295,213</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(7,456,129)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(3,163,886)</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(3,817,061)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(14,437,076)</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(3,297,103)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(3,275,878)</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(7,433,307)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(3,165,483)</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(7,114,164)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(17,712,954)</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189,019,883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22,273,264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27,347,259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238,640,406</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1,064,757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356,233</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1,174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1,422,164</w:t>
            </w:r>
          </w:p>
        </w:tc>
      </w:tr>
      <w:tr>
        <w:trPr>
          <w:trHeight w:val="425"/>
        </w:trPr>
        <w:tc>
          <w:tcPr>
            <w:tcW w:w="34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Nine Months Ended September 30, 2022</w:t>
            </w: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4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ADMA</w:t>
            </w:r>
          </w:p>
        </w:tc>
        <w:tc>
          <w:tcPr>
            <w:tcW w:w="80" w:type="dxa"/>
            <w:vAlign w:val="bottom"/>
          </w:tcPr>
          <w:p>
            <w:pPr>
              <w:spacing w:after="0"/>
              <w:rPr>
                <w:sz w:val="17"/>
                <w:szCs w:val="17"/>
                <w:color w:val="auto"/>
              </w:rPr>
            </w:pPr>
          </w:p>
        </w:tc>
        <w:tc>
          <w:tcPr>
            <w:tcW w:w="1620" w:type="dxa"/>
            <w:vAlign w:val="bottom"/>
            <w:gridSpan w:val="3"/>
          </w:tcPr>
          <w:p>
            <w:pPr>
              <w:jc w:val="right"/>
              <w:ind w:right="200"/>
              <w:spacing w:after="0" w:line="198" w:lineRule="exact"/>
              <w:rPr>
                <w:sz w:val="20"/>
                <w:szCs w:val="20"/>
                <w:color w:val="auto"/>
              </w:rPr>
            </w:pPr>
            <w:r>
              <w:rPr>
                <w:rFonts w:ascii="Arial" w:cs="Arial" w:eastAsia="Arial" w:hAnsi="Arial"/>
                <w:sz w:val="18"/>
                <w:szCs w:val="18"/>
                <w:b w:val="1"/>
                <w:bCs w:val="1"/>
                <w:color w:val="auto"/>
                <w:w w:val="90"/>
              </w:rPr>
              <w:t>Plasma Collection</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Centers</w:t>
            </w:r>
          </w:p>
        </w:tc>
        <w:tc>
          <w:tcPr>
            <w:tcW w:w="120" w:type="dxa"/>
            <w:vAlign w:val="bottom"/>
          </w:tcPr>
          <w:p>
            <w:pPr>
              <w:spacing w:after="0"/>
              <w:rPr>
                <w:sz w:val="20"/>
                <w:szCs w:val="20"/>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Corporate</w:t>
            </w:r>
          </w:p>
        </w:tc>
        <w:tc>
          <w:tcPr>
            <w:tcW w:w="2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95,129,542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8,861,570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107,125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104,098,237</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74,383,948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8,626,208</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83,010,156</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(4,423,228)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(12,520,163)</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(16,363,147)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(33,306,538)</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(13,624,483)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(13,695,788)</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(6,669,941)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(6,669,941)</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(4,493,312)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(12,521,384)</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(36,657,571)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(53,672,267)</w:t>
            </w:r>
          </w:p>
        </w:tc>
      </w:tr>
      <w:tr>
        <w:trPr>
          <w:trHeight w:val="216"/>
        </w:trPr>
        <w:tc>
          <w:tcPr>
            <w:tcW w:w="3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4,292,246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5,870,404</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10,162,650</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3,486,212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1,689,362</w:t>
            </w:r>
          </w:p>
        </w:tc>
        <w:tc>
          <w:tcPr>
            <w:tcW w:w="12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5,176,492</w:t>
            </w:r>
          </w:p>
        </w:tc>
      </w:tr>
      <w:tr>
        <w:trPr>
          <w:trHeight w:val="554"/>
        </w:trPr>
        <w:tc>
          <w:tcPr>
            <w:tcW w:w="3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1091"/>
              <w:spacing w:after="0"/>
              <w:rPr>
                <w:sz w:val="20"/>
                <w:szCs w:val="20"/>
                <w:color w:val="auto"/>
              </w:rPr>
            </w:pPr>
            <w:r>
              <w:rPr>
                <w:rFonts w:ascii="Arial" w:cs="Arial" w:eastAsia="Arial" w:hAnsi="Arial"/>
                <w:sz w:val="14"/>
                <w:szCs w:val="14"/>
                <w:color w:val="auto"/>
                <w:w w:val="76"/>
              </w:rPr>
              <w:t>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4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jc w:val="right"/>
              <w:ind w:right="520"/>
              <w:spacing w:after="0" w:line="205" w:lineRule="exact"/>
              <w:rPr>
                <w:sz w:val="20"/>
                <w:szCs w:val="20"/>
                <w:color w:val="auto"/>
              </w:rPr>
            </w:pPr>
            <w:r>
              <w:rPr>
                <w:rFonts w:ascii="Arial" w:cs="Arial" w:eastAsia="Arial" w:hAnsi="Arial"/>
                <w:sz w:val="18"/>
                <w:szCs w:val="18"/>
                <w:b w:val="1"/>
                <w:bCs w:val="1"/>
                <w:color w:val="auto"/>
              </w:rPr>
              <w:t>ADMA</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5"/>
          </w:tcPr>
          <w:p>
            <w:pPr>
              <w:jc w:val="right"/>
              <w:ind w:right="200"/>
              <w:spacing w:after="0" w:line="205" w:lineRule="exact"/>
              <w:rPr>
                <w:sz w:val="20"/>
                <w:szCs w:val="20"/>
                <w:color w:val="auto"/>
              </w:rPr>
            </w:pPr>
            <w:r>
              <w:rPr>
                <w:rFonts w:ascii="Arial" w:cs="Arial" w:eastAsia="Arial" w:hAnsi="Arial"/>
                <w:sz w:val="18"/>
                <w:szCs w:val="18"/>
                <w:b w:val="1"/>
                <w:bCs w:val="1"/>
                <w:color w:val="auto"/>
                <w:w w:val="90"/>
              </w:rPr>
              <w:t>Plasma Collection</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460" w:type="dxa"/>
            <w:vAlign w:val="bottom"/>
          </w:tcPr>
          <w:p>
            <w:pPr>
              <w:spacing w:after="0"/>
              <w:rPr>
                <w:sz w:val="20"/>
                <w:szCs w:val="20"/>
                <w:color w:val="auto"/>
              </w:rPr>
            </w:pPr>
          </w:p>
        </w:tc>
        <w:tc>
          <w:tcPr>
            <w:tcW w:w="1520" w:type="dxa"/>
            <w:vAlign w:val="bottom"/>
            <w:gridSpan w:val="5"/>
          </w:tcPr>
          <w:p>
            <w:pPr>
              <w:spacing w:after="0"/>
              <w:rPr>
                <w:sz w:val="20"/>
                <w:szCs w:val="20"/>
                <w:color w:val="auto"/>
              </w:rPr>
            </w:pPr>
            <w:r>
              <w:rPr>
                <w:rFonts w:ascii="Arial" w:cs="Arial" w:eastAsia="Arial" w:hAnsi="Arial"/>
                <w:sz w:val="18"/>
                <w:szCs w:val="18"/>
                <w:b w:val="1"/>
                <w:bCs w:val="1"/>
                <w:color w:val="auto"/>
                <w:w w:val="98"/>
              </w:rPr>
              <w:t>BioManufacturing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Centers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Corporate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54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48,832,000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5,620,633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107,125</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54,559,758</w:t>
            </w:r>
          </w:p>
        </w:tc>
      </w:tr>
      <w:tr>
        <w:trPr>
          <w:trHeight w:val="216"/>
        </w:trPr>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51,527,832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5,370,127</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56,897,959</w:t>
            </w:r>
          </w:p>
        </w:tc>
      </w:tr>
      <w:tr>
        <w:trPr>
          <w:trHeight w:val="216"/>
        </w:trPr>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(25,299,223)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(7,928,946)</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(11,954,388)</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(45,182,557)</w:t>
            </w:r>
          </w:p>
        </w:tc>
      </w:tr>
      <w:tr>
        <w:trPr>
          <w:trHeight w:val="216"/>
        </w:trPr>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(77,484)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(9,735,808)</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(9,815,641)</w:t>
            </w:r>
          </w:p>
        </w:tc>
      </w:tr>
      <w:tr>
        <w:trPr>
          <w:trHeight w:val="216"/>
        </w:trPr>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(25,376,707)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(7,931,295)</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(21,690,196)</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(54,998,198)</w:t>
            </w:r>
          </w:p>
        </w:tc>
      </w:tr>
      <w:tr>
        <w:trPr>
          <w:trHeight w:val="216"/>
        </w:trPr>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3,805,472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6,029,932</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9,835,404</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3,130,064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8"/>
                <w:szCs w:val="18"/>
                <w:color w:val="auto"/>
              </w:rPr>
              <w:t>843,151</w:t>
            </w:r>
          </w:p>
        </w:tc>
        <w:tc>
          <w:tcPr>
            <w:tcW w:w="1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3,977,786</w:t>
            </w:r>
          </w:p>
        </w:tc>
      </w:tr>
      <w:tr>
        <w:trPr>
          <w:trHeight w:val="418"/>
        </w:trPr>
        <w:tc>
          <w:tcPr>
            <w:tcW w:w="8460" w:type="dxa"/>
            <w:vAlign w:val="bottom"/>
            <w:gridSpan w:val="11"/>
          </w:tcPr>
          <w:p>
            <w:pPr>
              <w:spacing w:after="0"/>
              <w:rPr>
                <w:sz w:val="20"/>
                <w:szCs w:val="20"/>
                <w:color w:val="auto"/>
              </w:rPr>
            </w:pPr>
            <w:r>
              <w:rPr>
                <w:rFonts w:ascii="Arial" w:cs="Arial" w:eastAsia="Arial" w:hAnsi="Arial"/>
                <w:sz w:val="18"/>
                <w:szCs w:val="18"/>
                <w:color w:val="auto"/>
                <w:w w:val="94"/>
              </w:rPr>
              <w:t>Net revenues according to geographic area, based on the location of where the product is shipped, is as follows: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9"/>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10"/>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2022</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37,854,167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18,265,945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96,445,162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47,368,793</w:t>
            </w: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3,235,970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2,414,605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7,653,075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7,190,965</w:t>
            </w:r>
          </w:p>
        </w:tc>
      </w:tr>
      <w:tr>
        <w:trPr>
          <w:trHeight w:val="257"/>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41,090,137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20,680,550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104,098,237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54,559,758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2032. The Company’s lease agreements do not contain any material residual value guarantees or material restrictive covenants.</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then-incremental borrowing rate of 13%. The Company’s lease expense is recognized on a straight-line basis over the lease term and is reflected in Plasma center operating expenses and Selling, general and administrative expenses. Aggregate lease expense for the Company’s leases for the three months ended September 30, 2022 and 2021 was approximately $0.6 million and $0.4 million, respectively. Aggregate lease expense for the Company’s leases for the nine months ended September 30, 2022 and 2021 was approximately $1.5 million and $1.0 million, respectively. Cash paid for the Company’s leases for the three months ended September 30, 2022 and 2021 was approximately $0.5 million and $0.3 million, respectively. Cash paid for the Company’s leases for the nine months ended September 30, 2022 and 2021 was approximately $1.3 million and 1.1 million, respectively.</w:t>
      </w:r>
    </w:p>
    <w:p>
      <w:pPr>
        <w:spacing w:after="0" w:line="17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Including a finance lease the Company entered into in June 2018, the Company has aggregate lease liabilities of $11.4 million and $8.1 million as of September 30, 2022 and December 31, 2021, respectively, which are comprised primarily of the leases for the Company’s plasma collection centers and a warehouse lease for raw material storage related to the Company’s immunoglobulin manufacturing operations. The Company’s operating leases have a weighted average remaining term of 8.8 years. Scheduled payments under the Company’s lease obligations are as follows: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CEEFF"/>
          </w:tcPr>
          <w:p>
            <w:pPr>
              <w:jc w:val="right"/>
              <w:ind w:right="3790"/>
              <w:spacing w:after="0"/>
              <w:rPr>
                <w:sz w:val="20"/>
                <w:szCs w:val="20"/>
                <w:color w:val="auto"/>
              </w:rPr>
            </w:pPr>
            <w:r>
              <w:rPr>
                <w:rFonts w:ascii="Arial" w:cs="Arial" w:eastAsia="Arial" w:hAnsi="Arial"/>
                <w:sz w:val="18"/>
                <w:szCs w:val="18"/>
                <w:color w:val="auto"/>
              </w:rPr>
              <w:t>Remainder of 2022</w:t>
            </w:r>
          </w:p>
        </w:tc>
        <w:tc>
          <w:tcPr>
            <w:tcW w:w="40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480,854</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jc w:val="right"/>
              <w:ind w:right="3790"/>
              <w:spacing w:after="0"/>
              <w:rPr>
                <w:sz w:val="20"/>
                <w:szCs w:val="20"/>
                <w:color w:val="auto"/>
              </w:rPr>
            </w:pPr>
            <w:r>
              <w:rPr>
                <w:rFonts w:ascii="Arial" w:cs="Arial" w:eastAsia="Arial" w:hAnsi="Arial"/>
                <w:sz w:val="18"/>
                <w:szCs w:val="18"/>
                <w:color w:val="auto"/>
                <w:w w:val="88"/>
              </w:rPr>
              <w:t>Year ended December 31, 2023</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2,247,057</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jc w:val="right"/>
              <w:ind w:right="3790"/>
              <w:spacing w:after="0"/>
              <w:rPr>
                <w:sz w:val="20"/>
                <w:szCs w:val="20"/>
                <w:color w:val="auto"/>
              </w:rPr>
            </w:pPr>
            <w:r>
              <w:rPr>
                <w:rFonts w:ascii="Arial" w:cs="Arial" w:eastAsia="Arial" w:hAnsi="Arial"/>
                <w:sz w:val="18"/>
                <w:szCs w:val="18"/>
                <w:color w:val="auto"/>
              </w:rPr>
              <w:t>2024</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2,223,314</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jc w:val="right"/>
              <w:ind w:right="3790"/>
              <w:spacing w:after="0"/>
              <w:rPr>
                <w:sz w:val="20"/>
                <w:szCs w:val="20"/>
                <w:color w:val="auto"/>
              </w:rPr>
            </w:pPr>
            <w:r>
              <w:rPr>
                <w:rFonts w:ascii="Arial" w:cs="Arial" w:eastAsia="Arial" w:hAnsi="Arial"/>
                <w:sz w:val="18"/>
                <w:szCs w:val="18"/>
                <w:color w:val="auto"/>
              </w:rPr>
              <w:t>2025</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2,246,432</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jc w:val="right"/>
              <w:ind w:right="3790"/>
              <w:spacing w:after="0"/>
              <w:rPr>
                <w:sz w:val="20"/>
                <w:szCs w:val="20"/>
                <w:color w:val="auto"/>
              </w:rPr>
            </w:pPr>
            <w:r>
              <w:rPr>
                <w:rFonts w:ascii="Arial" w:cs="Arial" w:eastAsia="Arial" w:hAnsi="Arial"/>
                <w:sz w:val="18"/>
                <w:szCs w:val="18"/>
                <w:color w:val="auto"/>
              </w:rPr>
              <w:t>2026</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1,996,036</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jc w:val="right"/>
              <w:ind w:right="3790"/>
              <w:spacing w:after="0"/>
              <w:rPr>
                <w:sz w:val="20"/>
                <w:szCs w:val="20"/>
                <w:color w:val="auto"/>
              </w:rPr>
            </w:pPr>
            <w:r>
              <w:rPr>
                <w:rFonts w:ascii="Arial" w:cs="Arial" w:eastAsia="Arial" w:hAnsi="Arial"/>
                <w:sz w:val="18"/>
                <w:szCs w:val="18"/>
                <w:color w:val="auto"/>
              </w:rPr>
              <w:t>2027</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2,040,690</w:t>
            </w:r>
          </w:p>
        </w:tc>
        <w:tc>
          <w:tcPr>
            <w:tcW w:w="100" w:type="dxa"/>
            <w:vAlign w:val="bottom"/>
          </w:tcPr>
          <w:p>
            <w:pPr>
              <w:spacing w:after="0"/>
              <w:rPr>
                <w:sz w:val="18"/>
                <w:szCs w:val="18"/>
                <w:color w:val="auto"/>
              </w:rPr>
            </w:pPr>
          </w:p>
        </w:tc>
      </w:tr>
      <w:tr>
        <w:trPr>
          <w:trHeight w:val="223"/>
        </w:trPr>
        <w:tc>
          <w:tcPr>
            <w:tcW w:w="6160" w:type="dxa"/>
            <w:vAlign w:val="bottom"/>
            <w:tcBorders>
              <w:bottom w:val="single" w:sz="8" w:color="CCEEFF"/>
            </w:tcBorders>
            <w:shd w:val="clear" w:color="auto" w:fill="CCEEFF"/>
          </w:tcPr>
          <w:p>
            <w:pPr>
              <w:jc w:val="right"/>
              <w:ind w:right="3790"/>
              <w:spacing w:after="0"/>
              <w:rPr>
                <w:sz w:val="20"/>
                <w:szCs w:val="20"/>
                <w:color w:val="auto"/>
              </w:rPr>
            </w:pPr>
            <w:r>
              <w:rPr>
                <w:rFonts w:ascii="Arial" w:cs="Arial" w:eastAsia="Arial" w:hAnsi="Arial"/>
                <w:sz w:val="18"/>
                <w:szCs w:val="18"/>
                <w:color w:val="auto"/>
              </w:rPr>
              <w:t>Thereafter</w:t>
            </w:r>
          </w:p>
        </w:tc>
        <w:tc>
          <w:tcPr>
            <w:tcW w:w="38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8,238,571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160" w:type="dxa"/>
            <w:vAlign w:val="bottom"/>
          </w:tcPr>
          <w:p>
            <w:pPr>
              <w:jc w:val="right"/>
              <w:ind w:right="3790"/>
              <w:spacing w:after="0"/>
              <w:rPr>
                <w:sz w:val="20"/>
                <w:szCs w:val="20"/>
                <w:color w:val="auto"/>
              </w:rPr>
            </w:pPr>
            <w:r>
              <w:rPr>
                <w:rFonts w:ascii="Arial" w:cs="Arial" w:eastAsia="Arial" w:hAnsi="Arial"/>
                <w:sz w:val="18"/>
                <w:szCs w:val="18"/>
                <w:color w:val="auto"/>
              </w:rPr>
              <w:t>Total payments</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19,472,954</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jc w:val="right"/>
              <w:ind w:right="3790"/>
              <w:spacing w:after="0"/>
              <w:rPr>
                <w:sz w:val="20"/>
                <w:szCs w:val="20"/>
                <w:color w:val="auto"/>
              </w:rPr>
            </w:pPr>
            <w:r>
              <w:rPr>
                <w:rFonts w:ascii="Arial" w:cs="Arial" w:eastAsia="Arial" w:hAnsi="Arial"/>
                <w:sz w:val="18"/>
                <w:szCs w:val="18"/>
                <w:color w:val="auto"/>
              </w:rPr>
              <w:t>Less: imputed interest</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(8,116,116)</w:t>
            </w:r>
          </w:p>
        </w:tc>
      </w:tr>
      <w:tr>
        <w:trPr>
          <w:trHeight w:val="223"/>
        </w:trPr>
        <w:tc>
          <w:tcPr>
            <w:tcW w:w="6160" w:type="dxa"/>
            <w:vAlign w:val="bottom"/>
          </w:tcPr>
          <w:p>
            <w:pPr>
              <w:jc w:val="right"/>
              <w:ind w:right="3790"/>
              <w:spacing w:after="0"/>
              <w:rPr>
                <w:sz w:val="20"/>
                <w:szCs w:val="20"/>
                <w:color w:val="auto"/>
              </w:rPr>
            </w:pPr>
            <w:r>
              <w:rPr>
                <w:rFonts w:ascii="Arial" w:cs="Arial" w:eastAsia="Arial" w:hAnsi="Arial"/>
                <w:sz w:val="18"/>
                <w:szCs w:val="18"/>
                <w:color w:val="auto"/>
              </w:rPr>
              <w:t>Current portion</w:t>
            </w: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(720,755)</w:t>
            </w:r>
          </w:p>
        </w:tc>
      </w:tr>
      <w:tr>
        <w:trPr>
          <w:trHeight w:val="256"/>
        </w:trPr>
        <w:tc>
          <w:tcPr>
            <w:tcW w:w="6160" w:type="dxa"/>
            <w:vAlign w:val="bottom"/>
            <w:tcBorders>
              <w:bottom w:val="single" w:sz="8" w:color="CCEEFF"/>
            </w:tcBorders>
            <w:shd w:val="clear" w:color="auto" w:fill="CCEEFF"/>
          </w:tcPr>
          <w:p>
            <w:pPr>
              <w:jc w:val="right"/>
              <w:ind w:right="3790"/>
              <w:spacing w:after="0"/>
              <w:rPr>
                <w:sz w:val="20"/>
                <w:szCs w:val="20"/>
                <w:color w:val="auto"/>
              </w:rPr>
            </w:pPr>
            <w:r>
              <w:rPr>
                <w:rFonts w:ascii="Arial" w:cs="Arial" w:eastAsia="Arial" w:hAnsi="Arial"/>
                <w:sz w:val="18"/>
                <w:szCs w:val="18"/>
                <w:color w:val="auto"/>
                <w:w w:val="89"/>
              </w:rPr>
              <w:t>Balance at September 30, 2022</w:t>
            </w:r>
          </w:p>
        </w:tc>
        <w:tc>
          <w:tcPr>
            <w:tcW w:w="38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10,636,083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addition to the foregoing lease obligations, the Company leases an office building and equipment from Areth as discussed in Note 7. In connection with the amendment to this lease discussed in Note 14, the Company will pay an additional $0.5 million to Areth from October 1, 2022 through December 31,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13. SUPPLEMENTAL DISCLOSURE OF CASH FLOW INFORMATION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w w:val="93"/>
              </w:rPr>
              <w:t>Supplemental cash flow information for the nine months ended September 30, 2022 and 2021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9,610,361</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8,346,968</w:t>
            </w:r>
          </w:p>
        </w:tc>
      </w:tr>
      <w:tr>
        <w:trPr>
          <w:trHeight w:val="209"/>
        </w:trPr>
        <w:tc>
          <w:tcPr>
            <w:tcW w:w="86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1,749,746</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1,382,818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Right-to-use assets in exchange for lease obligations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w w:val="89"/>
              </w:rPr>
              <w:t>3,660,890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2,844,875</w:t>
            </w:r>
          </w:p>
        </w:tc>
      </w:tr>
      <w:tr>
        <w:trPr>
          <w:trHeight w:val="20"/>
        </w:trPr>
        <w:tc>
          <w:tcPr>
            <w:tcW w:w="3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Warrants issued in connection with notes payable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9,569,604</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SUBSEQUENT EVENT</w:t>
      </w:r>
    </w:p>
    <w:p>
      <w:pPr>
        <w:spacing w:after="0" w:line="229" w:lineRule="exact"/>
        <w:rPr>
          <w:sz w:val="20"/>
          <w:szCs w:val="20"/>
          <w:color w:val="auto"/>
        </w:rPr>
      </w:pPr>
    </w:p>
    <w:p>
      <w:pPr>
        <w:ind w:right="180" w:firstLine="607"/>
        <w:spacing w:after="0" w:line="286" w:lineRule="auto"/>
        <w:rPr>
          <w:sz w:val="20"/>
          <w:szCs w:val="20"/>
          <w:color w:val="auto"/>
        </w:rPr>
      </w:pPr>
      <w:r>
        <w:rPr>
          <w:rFonts w:ascii="Arial" w:cs="Arial" w:eastAsia="Arial" w:hAnsi="Arial"/>
          <w:sz w:val="17"/>
          <w:szCs w:val="17"/>
          <w:color w:val="auto"/>
        </w:rPr>
        <w:t>As discussed in Note 7, the Company leases an office building and equipment from Areth. The lease term was for a period of 12 months and provided for automatic one-year renewals unless ADMA provided written notice of termination to Areth 60 days prior to the end of the term. Effective as of October 1, 2022, the Company and Areth agreed to extend the term of the lease to December 31, 2026 at the current monthly rent.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2021, filed on March 24, 2022 (the “2021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w:t>
      </w:r>
    </w:p>
    <w:p>
      <w:pPr>
        <w:spacing w:after="0" w:line="195"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We may also seek to develop a pipeline of plasma-derived therapeutics, including but not limited to, a product based on our most recently approved patent application under U.S. Patent No. 10,259,865 related to methods of treatment and prevention of S. pneumonia infection for an immunoglobulin manufactured to contain standardized antibodies to numerous serotypes of S. pneumoniae. In May 2022, the United States Patent and Trademark Office issued U.S. Pat. No. 11,339,206 (the “‘206 Patent”). The ‘206 Patent relates to methods of treating respiratory infections and expands ADMA’s estate of patents encompassing its proprietary immunotherapeutic compositions. In particular, the ‘206 Patent encompasses use of standardized, hyperimmune globulin for treating respiratory infections including those caused by respiratory syncytial virus (“RSV”), coronavirus, influenza virus, parainfluenza virus, and metapneumovirus. Our products and product candidates are intended to be used by physician specialists focused on caring for immune-compromised patients with or at risk for certain infectious diseases.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manufacture these products at our FDA-licensed, plasma fractionation and purification facility located in Boca Raton, Florida with a peak annual source plasma processing capability of up to 600,000 liters (the “Boca Facility”). Based on current production yields, our completed and ongoing supply chain enhancements and capacity expansion initiatives, we believe this facility has the potential to produce quantities of our immune globulin (“IG”) products to generate approximately $250 million or more in annual revenue beginning in 2024 and approximately $300 million or more thereafter, as well as achieving profitability during the first quarter of 2024, as we ramp-up production over the next several years. Based on our current 2022 revenue growth year-to-date, we have increased our total annual revenue target to approximately $145 million for fiscal year 2022.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Through our ADMA BioCenters subsidiary, we currently operate seven FDA-licensed source plasma collection facilities in the U.S., with two additional collection facilities in operation and collecting plasma presently under FDA licensing preparation and review and another facility under construction. This business unit, which we refer to as our Plasma Collection Centers business segment, provides us with a portion of our blood plasma for the manufacture of our products, and also allows us to sell certain quantities of source and hyperimmune plasma to third-party customers for further manufacturing. As a part of our planned supply chain robustness initiative, we have opened four new plasma collection centers during the past 12 months, and we now have ten plasma collection centers in various stages of approval and development, including nine that are operational and collecting plasma. In addition, three of our FDA-approved plasma collection centers also have approvals from the Korean Ministry of Food and Drug Safety (“MFDS”), as well as FDA approval to operate a Hepatitis B immunization program. After giving effect to the progress we made in 2021 and thus far in 2022 with our plasma collection network expansion, we believe we remain on track to achieve our goal of having ten plasma collection centers licensed by the FDA by the end of 2023.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17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 We also provide laboratory contracting services to certain customers and anticipate providing contract filling, labeling and packaging services in light of the FDA approval of our in-house fill-finish capabilities.</w:t>
      </w:r>
    </w:p>
    <w:p>
      <w:pPr>
        <w:spacing w:after="0" w:line="1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Biotest Pharmaceuticals Corporation (“BPC” and, together with Biotest AG, “Biotest”), which included two FDA-licensed products, Nabi-HB and BIVIGAM, and the Boca Facility (the “Biotest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6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April 28, 2021, we announced that the FDA granted approval for our expanded plasma pool production scale process, allowing for a 4,400-liter plasma pool for the manufacture of our BIVIGAM IVIG product. This increased IVIG plasma pool scale allows us to produce BIVIGAM at an expanded capacity, utilizing the same equipment, release testing assays and labor force, and has had a favorable impact on our gross margins and operating results.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181"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ASCENIV is approved for the treatment of Primary Immune Deficiency Disorder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Due to the COVID-19 pandemic, our plans have been delayed. In the future however, we may work with the FDA and the immunology and infectious disease community to design an appropriate clinical trial to evaluate the use of ASCENIV in this patient population. Commercial sales of ASCENIV commenced in October of 2019 and our commercial and medical education efforts are focused on the labeled indication of patients with PIDD.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POTENTIAL IMPACT OF COVID-19</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continue to monitor the ongoing developments related to the COVID-19 pandemic, including the emergence of the Delta, Omicron and BA.2 variants and other resistant strains of the coronavirus, and its impacts to our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Due to a combination of previous state and local “shelter-in-place” orders, as well as government stimulus packages, persisting social distancing measures and varying roll-outs of vaccinations by state, we were experiencing lower than normal donor collections at our FDA approved plasma collection centers. We are also subject to delays in shipments of source plasma from our contracted third-party suppliers, as well as delays in deliveries for personal protective equipment, reagents and other non-plasma raw materials and supplies used in the manufacture and distribution of our products. In addition, we are subject to supply chain delays as a result of certain of our suppliers diverting significant resources towards the rapid development and distribution of COVID-19 vaccines and, as a result, we have elected to carry more raw materials inventory than we have in the past. The COVID-19 pandemic previously impacted, to a certain degree, our customer engagement initiatives, whereby ADMA’s sales and medical affairs field personnel faced difficulties communicating directly with physicians and other healthcare professionals, as well as the cancellation or postponement of a number of key scientific and medical meetings, further limiting our ability to communicate with potential customers.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pandemic could also impact our ability to interact with the FDA or other regulatory authorities and may result in delays in the conduct of inspections or review of pending applications or submissions. Although we received several FDA approvals and two FDA inspections of the Boca Facility were completed during the year ended December 31, 2021, no assurances can be provided as to the timing for completion of any other regulatory submissions or applications that may be impacted by restrictions related to COVID-19.</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the nine months ended September 30, 2022 and 2021, our revenue attributable to international customers was approximately 7% and 13%, respectively, of our total revenues. As we seek to grow this aspect of our business, we may also be subject to the impacts of the COVID-19 pandemic in locations outside the United States.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Notwithstanding the foregoing, the COVID-19 pandemic to date has not had a material impact on our financial condition or results of operations, and we do not believe that our production operations at the Boca Facility, our contract fill/finishers or our plasma collection facilities have been significantly impacted by the COVID-19 pandemic. As a result, we do not anticipate and have not experienced any material impairments with respect to any of our long-lived assets, including our property and equipment, goodwill or intangible assets.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Although the COVID-19 pandemic has not, to date, materially adversely impacted our capital and financial resources, because we are unable to determine the ultimate severity or duration of the pandemic or its long-term effects on, among other things, the global, national or local economies, the capital and credit markets or our workforce, customers or suppliers, at this time we are unable to predict whether COVID-19, or any known or future variant or government order, will have a material adverse impact on our business, financial condition, liquidity and results of operations. After the COVID-19 global pandemic has settled, we may continue to experience adverse impacts to our business as a result of evolving macroeconomic factors, including general economic uncertainty, unemployment rates, inflationary pressures and any actual economic recession that has occurred or may occur in the future.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certain other deductions from gross revenues, impairment of long-lived assets,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the 2021 10-K. Estimates and assumptions used in projecting future liquidity and capital requirements are described in Note 1 to the condensed consolidated financial statements appearing elsewhere in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Historically, adjustments to these estimates to reflect actual results or updated expectations have not been material to our overall business. However, two of our primary immunoglobulin products, ASCENIV and BIVIGAM, were only approved for commercial sale by the FDA in 2019, and as such our historical experience with rebates with respect to these products is limited.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While our results of operations to date have not required any material adjustment due to this risk, the lag time between when this obligation is initially recorded and ultimately settled could potentially materially impact our revenues and our results of operations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Valuation of Warrants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officers, we use the Black-Scholes option pricing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expected term of our awards. The expected term of the options granted is in accordance with U.S. Securities and Exchange Commission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Any changes in the foregoing Black-Scholes assumptions, or if we were to elect to utilize an alternative method for valuing stock options granted to employees, directors and officers, could potentially impact our stock-based compensation expense and our results of operations.</w:t>
      </w:r>
    </w:p>
    <w:p>
      <w:pPr>
        <w:spacing w:after="0" w:line="174"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We also use the Black-Scholes option valuation model for the purpose of estimating the fair value of warrants we issue from time to time in connection with the issuance of notes payable. Changes in our Black-Scholes assumptions, or if we were to utilize an alternative method for valuing warrants issued to our lenders, could impact our interest expense and results of operations.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nine months ended September 30, 2022 and 2021, we determined that there was no impairment of our long-lived assets. Examples of events or circumstances that may be indicative of impairment that would require the use of significant judgment by management include:</w:t>
      </w:r>
    </w:p>
    <w:p>
      <w:pPr>
        <w:spacing w:after="0" w:line="16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the asset.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and continued cash flow losses.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is used, such as a restriction imposed by the FDA or other regulatory authorities that could affect our ability to manufacture our products using a particular asset.</w:t>
      </w:r>
    </w:p>
    <w:p>
      <w:pPr>
        <w:ind w:left="660" w:right="34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p>
      <w:pPr>
        <w:spacing w:after="0" w:line="1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nine months ended September 30, 2022 and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maintain a full valuation allowance against all of our net deferred tax assets, and as a result have recorded no income tax benefit in the accompanying consolidated financial statements.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Based on our history of losses, at this time we have not included future projected taxable income as a source of income to recognize our deferred tax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to Three Months Ended September 30, 2021</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September 30, 2022, our third fiscal quarter, compared to the three months ended September 30, 2021:</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7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rPr>
              <w:t>Three Months Ended September 30,</w:t>
            </w:r>
          </w:p>
        </w:tc>
      </w:tr>
      <w:tr>
        <w:trPr>
          <w:trHeight w:val="198"/>
        </w:trPr>
        <w:tc>
          <w:tcPr>
            <w:tcW w:w="32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r>
      <w:tr>
        <w:trPr>
          <w:trHeight w:val="241"/>
        </w:trPr>
        <w:tc>
          <w:tcPr>
            <w:tcW w:w="3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41,090,137</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20,680,550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20,409,587</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19"/>
                <w:szCs w:val="19"/>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31,433,496</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20,295,213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11,138,283</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9,656,641</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385,337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9,271,304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1,041,947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770,557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271,390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4,859,450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3,146,221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1,713,229</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178,838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178,838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12,893,139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10,726,797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2,166,342</w:t>
            </w: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(9,316,733)</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(14,437,076)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5,120,343</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(5,580,366)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(3,298,680)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(2,281,686)</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(2,405)</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22,802</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(25,207)</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(14,899,504</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(17,712,954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2,813,450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recorded total revenues of $41.1 million during the three months ended September 30, 2022, as compared to $20.7 million during the three months ended September 30, 2021, an increase of $20.4 million, or approximately 99%. The increase is due to increased sales of immunoglobulin products, primarily ASCENIV and BIVIGAM, generated by our Boca Facility manufacturing operations in 2022 of $18.2 million, as we continue to experience increased physician, payer and patient acceptance and utilization of ASCENIV and expand our customer base for BIVIGAM. We also benefitted from an increase in sales of normal source plasma through ADMA BioCenters of $2.2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Profit</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Cost of product revenue was $31.4 million for the three months ended September 30, 2022, as compared to $20.3 million for the three months ended September 30, 2021. This increase is primarily attributable to increased product revenue costs related to the increased sales of our immunoglobulin products of $10.6 million and increased product revenue costs related to our ADMA BioCenters business segment in the amount of $2.0 million. These increases were partially offset by a decrease in unabsorbed manufacturing expenses of approximately $1.3 million in the third quarter of 2022 as compared to the same period of a year ago, due to higher production levels at the Boca Facility in 2022.</w:t>
      </w:r>
    </w:p>
    <w:p>
      <w:pPr>
        <w:spacing w:after="0" w:line="17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For the three months ended September 30, 2022, we had gross profit of $9.7 million, as compared to $0.4 million for the same period of a year ago. This gross profit improvement of $9.3 million was primarily due to the revenue increase discussed above and a more favorable mix of our higher margin products, notably ASCENIV, as well as the benefits we have begun to realize from our expanded production scale process, allowing for a 4,400-liter plasma pool for the manufacture of our BIVIGAM IVIG product, which was approved by the FDA in the second quarter of 2021, as compared to our 2,200-liter plasma pool. As a result, we achieved a gross margin of 23.5% in the third quarter of 2022 as compared to 1.9% in the third quarter of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Research and development (“R&amp;D”) expenses totaled $1.0 million for the third quarter of 2022, as compared to $0.8 million for the third quarter of 2021. The increase is primarily due to higher expenditures related to the BIVIGAM post-marketing commitments we have with the FDA (see Note 10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400" w:firstLine="648"/>
        <w:spacing w:after="0" w:line="273" w:lineRule="auto"/>
        <w:rPr>
          <w:sz w:val="20"/>
          <w:szCs w:val="20"/>
          <w:color w:val="auto"/>
        </w:rPr>
      </w:pPr>
      <w:r>
        <w:rPr>
          <w:rFonts w:ascii="Arial" w:cs="Arial" w:eastAsia="Arial" w:hAnsi="Arial"/>
          <w:sz w:val="17"/>
          <w:szCs w:val="17"/>
          <w:color w:val="auto"/>
        </w:rPr>
        <w:t>During the third quarter of 2021, we had five plasma collection centers in operation. During the third quarter of 2022, we had eight plasma collection centers in operation, with our ninth collection center opening at the end of the third quarter of 2022. As a result, for the three months ended September 30, 2022 we had increases in donor fees of $3.4 million, compensation and benefits of $1.5 million, softgoods and supplies of $1.1 million, donor testing expenses of $0.9 million, depreciation of $0.3 million, advertising of $0.1 million, software maintenance expense of $0.1 million, professional services of $0.2 million, transportation costs of $0.1 million and rent of $0.1 million. These increases were largely offset by substantially increased plasma collections resulting in an additional $6.5 million of costs that were capitalized into inventory.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$0.2 million for the three months ended September 30, 2022 and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Selling, general and administrative (“SG&amp;A”) expenses were $12.9 million for the three months ended September 30, 2022, an increase of $2.2 million from the three months ended September 30, 2021. The increase reflects higher employee compensation and related expenses, including travel, relocation and recruiting, in the amount of $1.1 million due to increased headcount associated with the overall size and scope of the organization and the stepped-up commercialization efforts for BIVIGAM and ASCENIV, increased insurance expense of $0.2 million, increased expenses for market intelligence and data fees of $0.7 million to support the BIVIGAM and ASCENIV commercialization efforts and $0.2 million of increased marketing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operating loss was $9.3 million for the third quarter of 2022, as compared to $14.4 million for the third quarter of 2021. The $5.1 million decrease in operating loss was mainly due to the improved gross profit of $9.3 million, partially offset by the increases in plasma center operating expenses and SG&amp;A.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Interest expense for the three months ended September 30, 2022 was $5.6 million, as compared to $3.3 million for the three months ended September 30, 2021. The increase is mainly due to approximately $53.8 million of additional debt principal resulting from the refinancing of our senior credit facility on March 23, 2022 (see Note 7 to the consolidated financial statements and “Liquidity and Capital Resources”). We expect our interest expense to continue to increase during the remainder of 2022 and thereafter due to rising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net loss was $14.9 million for the third quarter of 2022, as compared to $17.7 million for the third quarter of 2021. The $2.8 million decrease in net loss was mainly due to the narrowed operating loss, partially offset by the increase in 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Compared to Nine Months Ended September 30, 2021</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nine months ended September 30, 2022 compared to the nine months ended September 30, 2021:</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Nine Months Ended September 30,</w:t>
            </w:r>
          </w:p>
        </w:tc>
      </w:tr>
      <w:tr>
        <w:trPr>
          <w:trHeight w:val="198"/>
        </w:trPr>
        <w:tc>
          <w:tcPr>
            <w:tcW w:w="32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r>
      <w:tr>
        <w:trPr>
          <w:trHeight w:val="241"/>
        </w:trPr>
        <w:tc>
          <w:tcPr>
            <w:tcW w:w="3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104,098,237</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54,559,758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49,538,479</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83,010,156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56,897,959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26,112,197</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21,088,081</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(2,338,201)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23,426,282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2,539,444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2,917,072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(377,628)</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12,755,525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8,191,890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4,563,635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536,514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536,514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38,563,136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31,198,880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7,364,256</w:t>
            </w: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(33,306,538)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(45,182,557)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11,876,019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(13,542,419)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(9,741,110)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(3,801,309)</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(6,669,941)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(6,669,941)</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(153,369)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(74,531)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(78,838)</w:t>
            </w: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(53,672,267)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(54,998,198)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1,325,931</w:t>
            </w:r>
          </w:p>
        </w:tc>
      </w:tr>
      <w:tr>
        <w:trPr>
          <w:trHeight w:val="20"/>
        </w:trPr>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recorded total revenues of $104.1 million during the nine months ended September 30, 2022, as compared to $54.6 million during the nine months ended September 30, 2021, an increase of $49.5 million, or approximately 91%. The increase is primarily due to increased sales of immunoglobulin products, mainly ASCENIV and BIVIGAM, generated by our Boca Facility manufacturing operations in 2022 of $46.3 million. We also benefitted from increased sales of normal source and hyperimmune plasma through ADMA BioCenters of $3.2 million.</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consolidated revenues of $104.1 million for the first nine months of 2022 includes sales of normal source plasma through our ADMA BioCenters subsidiary of $8.7 million (see Note 11 to the consolidated financial statements). In 2023 and beyond, we expect that a substantial portion of the plasma collected at our plasma collection facilities will be utilized in our Boca Facility manufacturing operations. Therefore, we do not anticipate significant revenues from the sale of normal source plasma beginning in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Profit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Cost of product revenue was $83.0 million for the nine months ended September 30, 2022, as compared to $56.9 million for the nine months ended September 30, 2021. This increase of $26.1 million is primarily attributable to volume-related increases in product revenue costs related to the sale of our immunoglobulin products of $21.4 million and increased product revenue costs related to our ADMA BioCenters business segment in the amount of $3.3 million. In addition, we also experienced an increase in other manufacturing expenses of approximately $1.3 million in the first nine months of 2022 as compared to the same period of a year ago, which is indicative of certain inflationary pressures being experienced by our industry for labor, materials, freight, fuel surcharges and third-party services.</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gross profit of $21.1 million for the nine months ended September 30, 2022 represents an improvement over the same period of a year ago of $23.4 million and is mainly due to the higher sales volume, the improved margins we are experiencing with BIVIGAM at the larger plasma pool production scale, and to the increased relative contribution of ASCENIV to our total revenues. As a result, we achieved a gross margin of 20.3% for the first nine months of 2022, as compared to a negative gross margin for the first nine months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R&amp;D expenses totaled $2.5 million for the nine months ended September 30, 2022, as compared to $2.9 million for the nine months ended September 30, 2021. The decrease is primarily due to reduced compensation costs, including stock-based compensation, of $0.6 million associated with R&amp;D activities due to the resignation of our former Chief Medical and Scientific Officer in the second quarter of 2021, partially offset by $0.2 million of increased expenses related to BIVIGAM clinical studies which are part of our FDA post-marketing commitments.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Subsequent to September 30, 2021, we opened four new plasma collection centers. As a result, plasma center operating expenses increased by $4.6 million in the first nine months of 2022 as compared to the same period of a year ago. The increase is mainly comprised of higher donor fees in the amount $8.1 million and increased expenses associated with employee compensation and benefits of $4.0 million, softgoods and supplies of $2.5 million, donor testing expenses of $1.9 million, depreciation expense of $0.8 million, software maintenance and professional services of $0.6 million, shipping and freight costs of $0.2 million, advertising expenses of $0.3 million, janitorial and utilities expense of $0.2 million, travel expense of $0.2 million and rent of $0.3 million, partially offset by significantly increased donor collections which had the impact of reducing our operating expenses by approximately $15.0 million, as such expenses were charged to inventory for future manufacturing or sales. As we continue our planned expansion with the goal of having ten plasma collection centers licensed by the FDA by the end of 2023, we expect our plasma center operating expenses to continue to increase.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$0.5 million for the nine months ended September 30, 2022 and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SG&amp;A expenses were $38.6 million for the nine months ended September 30, 2022, an increase of $7.4 million from the nine months ended September 30, 2021. The increase reflects $1.4 million of professional fees incurred in connection with the Morgan Stanley strategic alternatives process in 2022 with no comparable amount in 2021. In addition, we had an increase in employee compensation and related expenses, including travel, relocation and recruiting, in the amount of $4.8 million, $1.9 million of which is stock-based compensation, due to increased headcount, increased insurance expense of $1.0 million, and increases in marketing expense of $0.3 million, market intelligence and data fees of $1.0 million and utilities of $0.2 million. These costs were partially offset by the absence of the $0.8 million severance obligation recognized in 2021 in connection with the resignation of our former chief medical officer with no comparable amount in fiscal 2022 as well as lower repairs and maintenance expense in 2022 of $0.4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Our operating loss was $33.3 million for the first nine months of 2022, as compared to $45.2 million for the first nine months of 2021. The $11.9 million decrease in operating loss was mainly due to the improved gross profit of $23.4 million, largely offset by the increases in plasma center operating expenses and SG&amp;A.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increase in interest expense of $3.8 million for the nine months ended September 30, 2022 as compared to the same period of a year ago was mainly due to the additional indebtedness and increase in amortization of debt discount resulting from the refinancing of our senior credit facility on March 23, 2022 (see “Liquidity and Capital Resources”). Because our new senior credit facility allows us to pay “in kind” a portion of our monthly interest obligation, as well as the expected continued rise in global interest rates, we expect our principal debt balance, along with the associated interest expense, to increase each reporting period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connection with the refinancing of our senior credit facility on March 23, 2022, we incurred a loss on the extinguishment of debt in the amount of $6.7 million as a result of the redemption premium we paid to retire our previously existing credit facility in the amount of $2.0 million, and the write-off of unamortized debt discount of $4.7 million related to that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net loss was $53.7 million for the nine months ended September 30, 2022, as compared to $55.0 million for the nine months ended September 30, 2021, as the $11.9 million decrease in loss from operations for the period was largely offset by the loss on extinguishment of debt in 2022 of $6.7 million, with no comparable amount in 2021, and to the increase in interest expense resulting from our increased debt principal balance and rising interest rates.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At September 30, 2022, we had working capital of $179.7 million, primarily consisting of $162.9 million of inventory, cash and cash equivalents of $34.9 million and accounts receivable of $20.9 million, partially offset by current liabilities of $44.4 million, as compared to working capital of $178.4 million, primarily consisting of $124.7 million of inventory, cash and cash equivalents of $51.1 million and accounts receivable of $28.6 million, partially offset by $30.4 million of current liabilities, as of December 31, 2021. We have incurred an accumulated deficit of $465.8 million since inception, had negative cash flows from operations of $52.1 million and $78.9 million for the nine months ended September 30, 2022 and 2021, respectively, and had negative cash flows from operations of $112.4 million and $102.0 million for the years ended December 31, 2021 and 2020, respectively. We have funded our operations over the past few years primarily from the sale of our equity and debt securities. Our material cash requirements are primarily comprised of:</w:t>
      </w:r>
    </w:p>
    <w:p>
      <w:pPr>
        <w:spacing w:after="0" w:line="166"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procurement of raw material plasma and other raw materials necessary to maintain and scale up our manufacturing operations;</w:t>
      </w:r>
    </w:p>
    <w:p>
      <w:pPr>
        <w:spacing w:after="0" w:line="34" w:lineRule="exact"/>
        <w:rPr>
          <w:rFonts w:ascii="Arial" w:cs="Arial" w:eastAsia="Arial" w:hAnsi="Arial"/>
          <w:sz w:val="17"/>
          <w:szCs w:val="17"/>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compensation and benefits;</w:t>
      </w:r>
    </w:p>
    <w:p>
      <w:pPr>
        <w:spacing w:after="0" w:line="9" w:lineRule="exact"/>
        <w:rPr>
          <w:rFonts w:ascii="Arial" w:cs="Arial" w:eastAsia="Arial" w:hAnsi="Arial"/>
          <w:sz w:val="18"/>
          <w:szCs w:val="18"/>
          <w:color w:val="auto"/>
        </w:rPr>
      </w:pPr>
    </w:p>
    <w:p>
      <w:pPr>
        <w:ind w:left="1300" w:right="140" w:hanging="320"/>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 for the building of additional plasma collection facilities and for equipment upgrades and capacity expansion at the Boca Facility;</w:t>
      </w: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Plasma donor fees and plasma center supplies;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on our debt;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Marketing programs and continued commercialization efforts;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Boca Facility maintenance, repairs and supplies;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Conducting required post-marketing clinical trials for our FDA-approved products.</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addition, our end-to-end production cycle time from procurement of raw materials to commercial release of finished product can take between seven and 12 months or potentially longer, requiring substantial inventories of raw material plasma and other manufacturing materials and single use disposables.</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expect that we will not be able to generate a sufficient amount of product revenue to achieve profitability until the beginning of 2024. We currently anticipate, based upon our projected revenue and expenditures, that our current cash, cash equivalents and accounts receivable, including the available funds from the March 2022 refinancing of our senior credit facility as discussed below, along with the remaining amounts available under the distribution agreement for the sale of our common stock also discussed below, will be sufficient to fund our operations, as currently conducted, into the first quarter of 2024, at which time we believe we will begin to generate positive cash flow from operations. This time frame may change based on several factors, including the success of our commercial efforts with respect to the sale of our products and the acceptability of our immune globulin products by physicians, patients or payers, and whether or not the assumptions underlying our projected revenues and expenses are correct. Depending on the cost of capital, we may decide to raise capital through public or private equity offerings or debt financings, or we may enter into a corporate collaboration or licensing arrangement. The sale of additional or equity debt securities, if convertible, could result in dilution to our stockholders and, in such event, the value and potential future market price of our common stock may decline. If we are unable to raise additional capital if needed, including due to widespread liquidity constraints or significant market instability that could result from the COVID-19 pandemic, inflationary pressures or other factors beyond our control, we may have to delay, curtail or eliminate some of our commercialization efforts or product development activities. ADMA continues to evaluate a variety of strategic alternatives through its ongoing engagement with Morgan Stanley. The Company will communicate material developments as required by the SEC. The exploration of value-creating opportunities remains a top corporate priority for ADMA.</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March 23, 2022, (the “Hayfin Closing Date”) we and all of our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obligation of the lenders to make the Hayfin Delayed Draw Loan expires on March 22, 2023, and is subject to the satisfaction of certain conditions, including, but not limited to, our meeting certain 12-month revenue targets as set forth in the Hayfin Credit Agreement. The Hayfin Credit Facility has a maturity date of March 23, 2027 (the “Hayfin Maturity Date”), subject to acceleration pursuant to the Hayfin Credit Agreement, including upon an Event of Default (as defined in the Hayfin Credit Agreement).</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the Hayfin Closing Date, we used $100.0 million of the Hayfin Closing Date Loan to terminate and pay in full all of the outstanding obligations under our previous senior credit facility with Perceptive (see Note 7 to the Consolidated Financial Statements). We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The remainder of the proceeds received or to be received from the Hayfin Loans will be used for working capital and other general corporate purposes.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Borrowings under the Hayfin Credit Agreement currently bear interest at the adjusted Term SOFR for either a one-month or three-month tenor, as elected by us, and subject to a floor of 1.25%, plus an applicable margin of 9.5% (the “Applicable Margin”); provided, however, that upon, and during the continuance of, an Event of Default, the Applicable Margin shall increase by an additional 3% per annum. We will also pay “in kind” a portion of the interest on the Hayfin Loans for each monthly or quarterly interest period in an amount equal to 2.5% per annum. Such interest paid “in kind” will reduce our quarterly cash interest obligation by approximately $1.0 million and will be added to the principal amount of the outstanding debt under the Hayfin Credit Facility. As a result, our outstanding debt principal on the Hayfin Loans will increase each month as long as we elect to continue to pay a portion of our interest obligation “in kind.” On the Hayfin Closing Date and as of September 30, 2022, the stated interest rate on the Hayfin Loans interest rate was 10.75% and approximately 12.1%, respectively. On the last day of each calendar month or quarter during the term of the Hayfin Credit Facility, we are required to pay accrued interest to Hayfin of approximately $1.1 million per month or $3.2 million per quarter, after giving effect to the “in kind” interest of 2.5% per annum, but without giving effect to the Hayfin Delayed Draw Loan, which we have yet to draw upon.</w:t>
      </w:r>
    </w:p>
    <w:p>
      <w:pPr>
        <w:spacing w:after="0" w:line="18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interest obligations under the Hayfin credit agreement are subject to variable interest rates based on the Term SOFR in effect at the beginning of each monthly interest period. With the global rise in interest rates, we expect our interest rate and our monthly cash interest obligation to increase over the remainder of fiscal 2022 and into 2023 and beyond. For example, our stated interest rate, which was 10.75% for the month of June 2022, increased to approximately 12.06% for the month of September and is expected to be approximately 13.34% for the month of November.</w:t>
      </w:r>
    </w:p>
    <w:p>
      <w:pPr>
        <w:spacing w:after="0" w:line="157"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On the Hayfin Maturity Date, we will pay Hayfin the entire outstanding principal amount underlying the Hayfin Loans and any accrued and unpaid interest thereon, as well as an exit fee of 1.0% of the outstanding principal amount being paid. Prior to the Hayfin Maturity Date, there are no scheduled principal payments on the Hayfin Loans. We may prepay outstanding principal on the Hayfin Loans at any time and from time to time upon five business days’ prior written notice, subject to the payment to Hayfin of, (A) any accrued but unpaid interest on the prepaid principal amount plus (B) a prepayment fee in the amount equal to (i) 7.0% of the prepaid principal amount, if prepaid on or prior to the first anniversary of the Hayfin Closing Date,</w:t>
      </w:r>
    </w:p>
    <w:p>
      <w:pPr>
        <w:spacing w:after="0" w:line="2" w:lineRule="exact"/>
        <w:rPr>
          <w:sz w:val="20"/>
          <w:szCs w:val="20"/>
          <w:color w:val="auto"/>
        </w:rPr>
      </w:pPr>
    </w:p>
    <w:p>
      <w:pPr>
        <w:ind w:right="40" w:firstLine="8"/>
        <w:spacing w:after="0" w:line="253"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3.0% of the prepaid principal amount, if prepaid after the first anniversary of the Hayfin Closing Date and on or prior to the second anniversary of the Hayfin Closing Date, or (iii) 1.0% of the prepaid principal amount, if prepaid after the second anniversary of the Hayfin Closing Date and on or prior to the third anniversary of the Hayfin Closing Date. In addition, for any prepayments of principal, we are required to pay the 1.0% exit fee for the amount of principal being paid.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All of our obligations under the Hayfin Credit Agreement are secured by a first-priority lien and security interest in substantially all of our tangible and intangible assets, including intellectual property and all of the equity interests in our subsidiaries. The Hayfin Credit Agreement contains certain representations and warranties, affirmative covenants, negative covenants and conditions that are customarily required for similar financings. The negative covenants restrict or limit our ability and the ability of our subsidiaries to, among other things and subject to certain exceptions contained in the Hayfin Credit Agreement, incur new indebtedness; create liens on assets; engage in certain fundamental corporate changes, such as mergers or acquisitions, or changes to our or our subsidiaries’ business activities; make certain Investments or Restricted Payments (each as defined in the Hayfin Credit Agreement); change our fiscal year; pay dividends; repay other certain indebtedness; engage in certain affiliate transactions; or enter into, amend or terminate any other agreements that have the impact of restricting our ability to make loan repayments under the Hayfin Credit Agreement. In addition, we are required (i) at all times prior to the Maturity Date to maintain a minimum cash balance of $6.0 million; and (ii) as of the last day of each fiscal quarter, report IVIG product and related revenues for the trailing 12-month period that exceed the amounts set forth in the Hayfin Credit Agreement, which range from $75.0 million for the fiscal quarter ending June 30, 2022 to $250.0 million for the fiscal quarter ending December 31, 2026 and each fiscal quarter thereafter. As of September 30, 2022, we were in compliance with all of the financial covenants contained in the Hayfin Credit Agreement.</w:t>
      </w:r>
    </w:p>
    <w:p>
      <w:pPr>
        <w:spacing w:after="0" w:line="16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October 25, 2021, we completed an underwritten public offering whereby we issued 57.5 million shares of our common stock and received gross proceeds of $57.5 million. Net proceeds, after underwriting discounts and expenses associated with the offering, were approximately $53.8 million, and were used (i) to advance the commercial sales of our FDA approved products through the procurement of raw materials for the manufacturing of BIVIGAM and ASCENIV; (ii) to expand our plasma collection facility network; (iii) to scale up the manufacturing capacity of the Boca Facility and make continuous improvements in order to adhere to cGMP compliance; (iv) to explore business development opportunities; and (v) for general corporate purposes and other capital expenditures.</w:t>
      </w:r>
    </w:p>
    <w:p>
      <w:pPr>
        <w:spacing w:after="0" w:line="19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September 3, 2021, we entered into a distribution agreement with Raymond James &amp; Associates, Inc., as agent (“Agent”), pursuant to which we may offer and sell, from time to time, at our option, through or to the Agent, up to an aggregate of $50 million of shares of our common stock (the “Distribution Agreement”). We currently intend to use any net proceeds from the sale of our common stock under the Distribution Agreement for general corporate purposes, including procurement of source plasma and other raw materials, supply chain initiatives and production expenditures, funding expansion of plasma collection centers, working capital, capital expenditures, expansion and resources for commercialization activities, and other potential research and development and business opportunities. We currently have approximately $42.8 million of shares available to sell under the Distribution Agreement.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46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8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(52,128,942)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(78,903,750)</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(10,162,650)</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(9,835,404)</w:t>
            </w: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46,108,494</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67,228,572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(16,183,098)</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(21,510,582)</w:t>
            </w:r>
          </w:p>
        </w:tc>
      </w:tr>
      <w:tr>
        <w:trPr>
          <w:trHeight w:val="216"/>
        </w:trPr>
        <w:tc>
          <w:tcPr>
            <w:tcW w:w="8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51,089,118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55,921,152</w:t>
            </w:r>
          </w:p>
        </w:tc>
      </w:tr>
      <w:tr>
        <w:trPr>
          <w:trHeight w:val="256"/>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34,906,020</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34,410,570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Cash used in operations for the nine months ended September 30, 2022 was $52.1 million, a decrease of $26.8 million from the same period of a year ago, mainly due to reductions in accounts receivable and a lower net loss after non-cash items. The following table illustrates the primary components of our cash flows from operations: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846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814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3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(53,672,267)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(54,998,198)</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Non-cash expenses, gains and losses</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19,825,704</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7,620,142</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7,674,472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(7,155,331)</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Changes in inventories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(38,189,543)</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(32,587,272)</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(1,033,238)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(2,812,580)</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Changes in accounts payable and accrued expenses</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13,435,589</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11,735,352</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(169,659)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(705,863)</w:t>
            </w:r>
          </w:p>
        </w:tc>
      </w:tr>
      <w:tr>
        <w:trPr>
          <w:trHeight w:val="27"/>
        </w:trPr>
        <w:tc>
          <w:tcPr>
            <w:tcW w:w="320" w:type="dxa"/>
            <w:vAlign w:val="bottom"/>
            <w:shd w:val="clear" w:color="auto" w:fill="CCEEFF"/>
          </w:tcPr>
          <w:p>
            <w:pPr>
              <w:spacing w:after="0"/>
              <w:rPr>
                <w:sz w:val="2"/>
                <w:szCs w:val="2"/>
                <w:color w:val="auto"/>
              </w:rPr>
            </w:pPr>
          </w:p>
        </w:tc>
        <w:tc>
          <w:tcPr>
            <w:tcW w:w="8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Cash used in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(52,128,942)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(78,903,750)</w:t>
            </w:r>
          </w:p>
        </w:tc>
      </w:tr>
      <w:tr>
        <w:trPr>
          <w:trHeight w:val="21"/>
        </w:trPr>
        <w:tc>
          <w:tcPr>
            <w:tcW w:w="3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Net cash used in investing activities for the nine months ended September 30, 2022 and 2021 was $10.2 million and $9.8 million, respectively, consisting of capital expenditures for the construction and buildout of new plasma collection centers and related equipment and capital expenditures at the Boca Facility. We expect our total capital expenditures will be between $2.0 million and $4.0 million for the remainder of fiscal 2022, mainly for continued plasma collection center expansion and additional upgrades to the Boca Facility manufacturing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Cash provided by financing activities was $46.1 million for the nine months ended September 30, 2022 and mainly consisted of proceeds received from the Hayfin Credit Facility, net of payments to retire our previously existing credit facility with Perceptive. Cash provided by financing activities of $67.2 million for the nine months ended September 30, 2021 was mainly comprised of net proceeds received from the issuance of our common stock (see Note 8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Although inflation or changing prices did not have a significant impact on our revenues or net loss for the year ended December 31, 2020 or the first six months of 2021, inflation did impact a number of facets of our business during the year ended December 31, 2021 and the first nine months of</w:t>
      </w:r>
    </w:p>
    <w:p>
      <w:pPr>
        <w:ind w:right="20"/>
        <w:spacing w:after="0" w:line="252" w:lineRule="auto"/>
        <w:rPr>
          <w:sz w:val="20"/>
          <w:szCs w:val="20"/>
          <w:color w:val="auto"/>
        </w:rPr>
      </w:pPr>
      <w:r>
        <w:rPr>
          <w:rFonts w:ascii="Arial" w:cs="Arial" w:eastAsia="Arial" w:hAnsi="Arial"/>
          <w:sz w:val="18"/>
          <w:szCs w:val="18"/>
          <w:color w:val="auto"/>
        </w:rPr>
        <w:t>2022 at both of our business segments. We experienced price increases for, among other items, certain raw materials, consumable supplies, services for repairs and maintenance of our facilities, utilities, shipping and freight charges, fuel surcharges and labor costs. We expect this trend to continue at least into 2023 or longer, which could have a significant impact on our future results of operations. In addition, some of our plasma purchase agreements provide for annual price increases that are tied to various consumer price indices, which have resulted in higher than historical percentage price increases and has resulted in and is expected to continue to result in higher source plasma and other raw material and supplies costs in the remainder of 2022 and future periods.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September 30, 2022. Based on this evaluation, our principal executive officer and our principal financial officer concluded that our disclosure controls and procedures as of September 30, 2022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2022 that have materially affected, or are reasonably likely to materially affect, our internal control over financial reporting.</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87" w:lineRule="exact"/>
        <w:rPr>
          <w:sz w:val="20"/>
          <w:szCs w:val="20"/>
          <w:color w:val="auto"/>
        </w:rPr>
      </w:pPr>
    </w:p>
    <w:p>
      <w:pPr>
        <w:ind w:left="660" w:right="3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history of losses and we may, in the future, need to raise additional capital to operate our business, which may not be available on favorable terms, if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currently not profitable and may never become profitable.</w:t>
      </w:r>
    </w:p>
    <w:p>
      <w:pPr>
        <w:spacing w:after="0" w:line="225" w:lineRule="exact"/>
        <w:rPr>
          <w:rFonts w:ascii="Arial" w:cs="Arial" w:eastAsia="Arial" w:hAnsi="Arial"/>
          <w:sz w:val="18"/>
          <w:szCs w:val="18"/>
          <w:color w:val="auto"/>
        </w:rPr>
      </w:pPr>
    </w:p>
    <w:p>
      <w:pPr>
        <w:jc w:val="both"/>
        <w:ind w:left="660" w:right="1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COVID-19 pandemic or other pandemics and efforts to reduce their spread has significantly affected worldwide economic conditions and could have a material adverse impact on our business, liquidity, financial condition and results of operations, as well as a change to the overall market size and potential for our products.</w:t>
      </w:r>
    </w:p>
    <w:p>
      <w:pPr>
        <w:spacing w:after="0" w:line="183"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rFonts w:ascii="Arial" w:cs="Arial" w:eastAsia="Arial" w:hAnsi="Arial"/>
          <w:sz w:val="17"/>
          <w:szCs w:val="17"/>
          <w:color w:val="auto"/>
        </w:rPr>
      </w:pPr>
    </w:p>
    <w:p>
      <w:pPr>
        <w:ind w:left="660" w:right="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rFonts w:ascii="Arial" w:cs="Arial" w:eastAsia="Arial" w:hAnsi="Arial"/>
          <w:sz w:val="17"/>
          <w:szCs w:val="17"/>
          <w:color w:val="auto"/>
        </w:rPr>
      </w:pPr>
    </w:p>
    <w:p>
      <w:pPr>
        <w:ind w:left="660" w:right="4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Both of our business segments and our facilities are subject to periodic inspections by the FDA, which, depending on the outcome of such inspections, could result in certain FDA actions, including the issuance of observations, notices, citations or warning letters.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interruptions could adversely affect our business.</w:t>
      </w:r>
    </w:p>
    <w:p>
      <w:pPr>
        <w:spacing w:after="0" w:line="225"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 the approval to market ASCENIV, BIVIGAM and Nabi-HB, there can be no assurance that we will be successful in further developing and expanding commercial operations or balancing our research and development activities with our commercialization activities.</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depend on third-party researchers, developers and vendors to develop, manufacture, supply materials for or test our products and product candidates, and such parties are outside of our control.</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physicians, payers and patients do not accept and use our current products or our future product candidates, our ability to generate revenue from these products will be materially impaired.</w:t>
      </w:r>
    </w:p>
    <w:p>
      <w:pPr>
        <w:spacing w:after="0" w:line="170" w:lineRule="exact"/>
        <w:rPr>
          <w:rFonts w:ascii="Arial" w:cs="Arial" w:eastAsia="Arial" w:hAnsi="Arial"/>
          <w:sz w:val="18"/>
          <w:szCs w:val="18"/>
          <w:color w:val="auto"/>
        </w:rPr>
      </w:pPr>
    </w:p>
    <w:p>
      <w:pPr>
        <w:jc w:val="both"/>
        <w:ind w:left="660" w:right="8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senior credit facility with Hayfin Services LLP (“Hayfin”) is subject to acceleration in specified circumstances, which may result in Hayfin taking possession and disposing of any collateral.</w:t>
      </w:r>
    </w:p>
    <w:p>
      <w:pPr>
        <w:spacing w:after="0" w:line="170" w:lineRule="exact"/>
        <w:rPr>
          <w:rFonts w:ascii="Arial" w:cs="Arial" w:eastAsia="Arial" w:hAnsi="Arial"/>
          <w:sz w:val="18"/>
          <w:szCs w:val="18"/>
          <w:color w:val="auto"/>
        </w:rPr>
      </w:pPr>
    </w:p>
    <w:p>
      <w:pPr>
        <w:ind w:left="660" w:right="8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46"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Cyberattacks and other security breaches could compromise our proprietary and confidential information, which could harm our business and reputation.</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require additional funding and may be unable to raise capital in the future, which would force us to delay, curtail or eliminate one or more of our research and development programs or potentially modify our ongoing operations, commercialization efforts and expansion plans, as well as impact the overall business plan for the organization.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market price of our common stock may be volatile and may fluctuate in a way that is disproportionate to our operating performance.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To date, we have a history of losses and have historically needed to raise, and in the future may be required to raise, additional capital to operate our business.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currently anticipate, based upon our projected revenue and expenditures, that our current cash, cash equivalents and accounts receivable, including the proceeds received and expected to be received from the refinancing of our senior credit facility and the amount of remaining funds available under the distribution agreement for the sale of our common stock (see “Liquidity and Capital Resources”), will be sufficient to fund our operations, as currently conducted, into the first quarter of 2024, at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We anticipate that we will not be able to generate a sufficient amount of product revenue to achieve profitability until the beginning of 2024. If we are unable to raise additional capital if needed, we may have to delay, curtail or eliminate our commercialization efforts as well as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72"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We also continue to evaluate a variety of strategic alternatives through our ongoing engagement with Morgan Stanley. We will communicate material developments as required by the SEC. The exploration of value-creating opportunities remains a top corporate priority for ADMA.</w:t>
      </w:r>
    </w:p>
    <w:p>
      <w:pPr>
        <w:spacing w:after="0" w:line="12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Historically, the major source of our cash has been from proceeds from various public offerings of our common stock and the issuance of debt securities. The actual amount of cash that we will need is subject to many factors. There can be no assurances that additional financing will be available if needed or that management will be able to obtain financing on terms acceptable to us or that we will become profitable and generate positive operating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flows into fiscal 2023, and we may never achieve or maintain profitability. For the nine months ended September 30, 2022 and 2021, we incurred net losses of $53.7 million and $55.0 million, respectively, and for the years ended December 31, 2021 and 2020, we incurred net losses of $71.6 million and $75.7 million, respectively. From our inception in 2004 through September 30, 2022, we have incurred an accumulated deficit of $465.8 million. We expect that we will not be able to generate a sufficient amount of product revenue to achieve profitability until the beginning of 2024 and, as a result, we may need to continue to finance our operations through additional equity or debt financings or corporate collaboration and licensing agreements. We also expect to continue to incur significant operating and capital expenditures and anticipate that our operating expenses will increase substantially in the foreseeable future as we:</w:t>
      </w:r>
    </w:p>
    <w:p>
      <w:pPr>
        <w:spacing w:after="0" w:line="1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We may not be able to generate these revenues or achieve profitability in the future.</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The COVID-19 pandemic and efforts to reduce its spread has significantly affected worldwide economic conditions, caused supply chain disruptions and could have a material adverse impact on our business, liquidity, financial condition and results of operations.</w:t>
      </w:r>
    </w:p>
    <w:p>
      <w:pPr>
        <w:spacing w:after="0" w:line="14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COVID-19 pandemic, including the Delta and Omicron variants and other resistant, mutating and emerging strains of the coronavirus, has the potential to adversely impact several aspects of each of our business segments, our commercial manufacturing operations and plasma collection facilities,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availability of and quality of our products. Further, in certain instances and geographic regions, we may experience decreased customer engagement (for example, as a result of a temporary shutdown of a customer’s facilities resulting from the COVID-19 pandemic or the continuation of no in-person meetings) could impact our results of operations. In addition, travel and other restrictions that have been implemented in the United States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are subject to limitations, rescheduling virtual attendance or outright cancellation in response to the pandemic. Also, due to a combination of previous state and local “shelter-in-place” orders, as well as government stimulus packages, amongst other initiatives, we were experiencing, and may experience in the future, lower than expected donor collections at our FDA-licensed plasma collection centers. We were also subject to delays in shipments of source plasma from our contracted third-party suppliers, as well as delays in deliveries for personal protective equipment, reagents and other non-plasma raw materials and supplies used in the manufacture, testing and distribution of our products. We have also experienced supply chain delays as a result of significant resources being diverted towards the rapid development and distribution of COVID-19 vaccines, which could result in our need to carry more inventory than we have in the past, which would put an additional strain on our cash resources. After the COVID-19 global pandemic has settled, we may continue to experience adverse impacts to our business as a result of evolving macroeconomic factors, including general economic uncertainty, unemployment rates, high inflation, recessionary pressures and any actual economic recession that has occurred or may occur in the future.</w:t>
      </w:r>
    </w:p>
    <w:p>
      <w:pPr>
        <w:spacing w:after="0" w:line="39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the future we may continue to experience pandemic-related challenges with respect to obtaining and manufacturing a sufficient amount of supplies, raw materials, and finished product to meet our need for commercial and clinical product supply. If we or any of our suppliers or manufacturers are adversely impacted by the pandemic or the restrictions resulting from the outbreak,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the pandemic that may otherwise adversely impact our supply chains or the quality of the resulting products or supplies. Depending on the change, we may need to obtain FDA pre-approval or otherwise provide the FDA with a notification of the change.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To the extent that we or our partners are conducting clinical trials, the pandemic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IRBs, and the FDA. The foregoing may also impact the integrity of our study data. The effects of the COVID-19 pandemic may also increase the need for clinical trial patient monitoring and regulatory reporting of adverse effects. The pandemic could further impact our ability to interact with the FDA or other regulatory authorities and may result in delays in the conduct of inspections or review of pending applications or submissions. No assurances can be provided as to the timing for completion of any regulatory submissions or applications that may be impacted by restrictions related to COVID-19 or other circumstances unknown to us presently or that are out of our direct control. Due to the potential impact of the COVID-19 outbreak on clinical trials, drug development, and manufacturing, the FDA issued a number of guidances specifically concerning COVID-19, including guidance with respect to blood and blood components. The FDA’s guidance is continually evolving.</w:t>
      </w:r>
    </w:p>
    <w:p>
      <w:pPr>
        <w:spacing w:after="0" w:line="16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COVID-19 pandemic may also result in changes in laws and regulations. By example, in March 2020, the U.S. Congress passed the CARES Act, which includes various provisions regarding FDA drug shortage reporting requirements, as well as provisions regarding supply chain security, such as risk management plan requirements, and the promotion of supply chain redundancy and domestic manufacturing. The CARES Act further included reporting requirements related to the volume of products produced over the course of the year. FDA recently issued guidance regarding this requirement. This and any future changes in law may require that we change our internal processes and procedures to ensure continued compliance. Additionally, the previous guidelines that were issued by public health authorities or any new or changing recommendations or guidelines may still impact the demand for or usage as well as the prescriptions of our IVIG products.</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17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contract with third parties for a portion of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4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and results from operations.</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Although we have received FDA approval for the fill/finish suite we built at the Boca Facility, we also intend to continue to utilize third parties to supplement our fill/finish process for final drug substance. Our anticipated reliance on a limited number of third-party manufacturers exposes us to the following risks:</w:t>
      </w:r>
    </w:p>
    <w:p>
      <w:pPr>
        <w:spacing w:after="0" w:line="184" w:lineRule="exact"/>
        <w:rPr>
          <w:sz w:val="20"/>
          <w:szCs w:val="20"/>
          <w:color w:val="auto"/>
        </w:rPr>
      </w:pPr>
    </w:p>
    <w:p>
      <w:pPr>
        <w:ind w:left="660" w:right="20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right="40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COVID-19 pandemic could adversely affect our contracted fill/finishers’ operations, supply chain or workforce;</w:t>
      </w:r>
    </w:p>
    <w:p>
      <w:pPr>
        <w:spacing w:after="0" w:line="225" w:lineRule="exact"/>
        <w:rPr>
          <w:rFonts w:ascii="Arial" w:cs="Arial" w:eastAsia="Arial" w:hAnsi="Arial"/>
          <w:sz w:val="18"/>
          <w:szCs w:val="18"/>
          <w:color w:val="auto"/>
        </w:rPr>
      </w:pPr>
    </w:p>
    <w:p>
      <w:pPr>
        <w:ind w:left="660" w:right="30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3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25" w:lineRule="exact"/>
        <w:rPr>
          <w:rFonts w:ascii="Arial" w:cs="Arial" w:eastAsia="Arial" w:hAnsi="Arial"/>
          <w:sz w:val="18"/>
          <w:szCs w:val="18"/>
          <w:color w:val="auto"/>
        </w:rPr>
      </w:pPr>
    </w:p>
    <w:p>
      <w:pPr>
        <w:ind w:left="660" w:right="46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83" w:lineRule="exact"/>
        <w:rPr>
          <w:rFonts w:ascii="Arial" w:cs="Arial" w:eastAsia="Arial" w:hAnsi="Arial"/>
          <w:sz w:val="18"/>
          <w:szCs w:val="18"/>
          <w:color w:val="auto"/>
        </w:rPr>
      </w:pPr>
    </w:p>
    <w:p>
      <w:pPr>
        <w:ind w:left="660" w:right="6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 manufacturers may fail to comply with applicable regulatory requirements, placing them and us at risk of regulatory enforcement actions, recalls and other adverse consequences, which may negatively impact our business and their ability to supply products to meet our development, clinical and commercial needs;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of these risks could delay or prevent the completion of our finished drug product and the release of finished drug product by us or the FDA, which could result in higher costs or adversely impact the commercialization of our products.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trade and sanction requirements and limits, other acts of God or force majeure events or global health occurrences and emergencies, including the COVID-19 pandemic.</w:t>
      </w:r>
    </w:p>
    <w:p>
      <w:pPr>
        <w:spacing w:after="0" w:line="19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Both of our business segments and our facilities, as well as our suppliers and contractors, are subject to periodic inspections by the FDA, which, depending on the outcome of such inspections, could result in certain FDA actions, including the issuance of observations, notices, citations or warning letters.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and our suppliers and contractors may be unable to comply with our specifications, cGMP requirements and with other FDA, state, and foreign regulatory requirements for commercial and clinical supply. The FDA is authorized to perform inspections of our and our suppliers’ facilities, including the Boca Facility. The FDA also may inspect and approve our and our third-parties’ facilities before they may be used for commercial production.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18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not be able to timely resolve concerns raised by the FDA as a result of an inspection or without expending significant resources. We are unable to control the timing of FDA inspections, communications and actions, and will be required to respond to the FDA and make certain submissions within certain timeframes. We also do not know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cyberattacks on our operations and information technology systems and breakdown, human error, employee issues, global health occurrences such as the COVID-19 pandemic, war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200"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for any current or future development product candidate may be delayed by several factors, including:</w:t>
      </w:r>
    </w:p>
    <w:p>
      <w:pPr>
        <w:spacing w:after="0" w:line="18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temporary suspension resulting from the COVID-19 pandemic.</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could be adversely affected.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6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 issues that may impact our clinical trials and that could delay or prevent our ability to receive marketing approval or commercialize our product candidates, include:</w:t>
      </w:r>
    </w:p>
    <w:p>
      <w:pPr>
        <w:spacing w:after="0" w:line="170" w:lineRule="exact"/>
        <w:rPr>
          <w:sz w:val="20"/>
          <w:szCs w:val="20"/>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our CROs;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Regulators requiring us to perform additional or unanticipated clinical trials to obtain approval or becoming subject to additional post-marketing testing, surveillance, or REMS requirements to maintain regulatory approval;</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 or our having insufficient funds for a clinical trial or to pay the substantial user fees required by FDA upon the filing of a marketing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Insufficient supply or inadequate quality of our product candidates or other materials necessary to conduct clinical trials;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Flaws in our clinical trial design that are not discoverable until the clinical trial has progressed;</w:t>
      </w:r>
    </w:p>
    <w:p>
      <w:pPr>
        <w:spacing w:after="0" w:line="225"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right="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 to make changes to our product candidates that require additional testing or that cause our product candidates to perform differently than expected;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trade policies that may impact our ability to obtain raw materials and/or finished product for commercialization;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FDA or comparable regulatory authorities taking longer than we anticipate to make decisions on our products or product candidates; and</w:t>
      </w:r>
    </w:p>
    <w:p>
      <w:pPr>
        <w:spacing w:after="0" w:line="236" w:lineRule="exact"/>
        <w:rPr>
          <w:rFonts w:ascii="Arial" w:cs="Arial" w:eastAsia="Arial" w:hAnsi="Arial"/>
          <w:sz w:val="17"/>
          <w:szCs w:val="17"/>
          <w:color w:val="auto"/>
        </w:rPr>
      </w:pPr>
    </w:p>
    <w:p>
      <w:pPr>
        <w:ind w:left="660" w:right="3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inability to demonstrate that a product or product candidate provides an advantage over current standards of care or current or future competitive therapies in development.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4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diversion of resources for FDA review during the ongoing COVID-19 pandemic or administrative action or changes in FDA policy that occur prior to or during our regulatory review. Delays in obtaining regulatory approvals may:</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revenues from,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7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further developing and expanding commercial operations or balancing our research and development activities with our commercialization activities.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including supply chain constraints directly or indirectly caused by the ongoing COVID-19 pandemic and government responses thereto,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18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or test products and product candidates, as well as for other pre-and-post approval services, and such parties are, to some extent, outside of our control.</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depend on independent investigators and collaborators, such as universities and medical institutions, contract laboratories, CROs,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or the impact that the ongoing COVID-19 pandemic will have on such third parties.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expand our manufacturing processes to fulfill demand for our products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our production capabilities through the addition of new equipment, including if we do not obtain requisite approval from the FDA.</w:t>
      </w:r>
    </w:p>
    <w:p>
      <w:pPr>
        <w:spacing w:after="0" w:line="22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and have it inspected by the FDA. Given the significant delays that may result during the validation process, including due to any diverted FDA attention during the COVID-19 pandemic, we may experience a significant supply shortage of our products or our production capabilities may be limited until completion of and validation of our facility expansion and new manufacturing equipment.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25" w:lineRule="exact"/>
        <w:rPr>
          <w:rFonts w:ascii="Arial" w:cs="Arial" w:eastAsia="Arial" w:hAnsi="Arial"/>
          <w:sz w:val="18"/>
          <w:szCs w:val="18"/>
          <w:color w:val="auto"/>
        </w:rPr>
      </w:pPr>
    </w:p>
    <w:p>
      <w:pPr>
        <w:ind w:left="1300" w:hanging="275"/>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requirements to conduct further post-marketing studies or clinical trials, implement risk mitigation strategies, or to issue corrective information;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25" w:lineRule="exact"/>
        <w:rPr>
          <w:rFonts w:ascii="Arial" w:cs="Arial" w:eastAsia="Arial" w:hAnsi="Arial"/>
          <w:sz w:val="18"/>
          <w:szCs w:val="18"/>
          <w:color w:val="auto"/>
        </w:rPr>
      </w:pPr>
    </w:p>
    <w:p>
      <w:pPr>
        <w:ind w:left="1300" w:right="500" w:hanging="32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healthcare programs, consent decrees, or corporate integrity agreements;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For the nine months ended September 30, 2022, two customers, BioCARE, Inc. (“BioCare”) and Priority Healthcare Distribution, Inc. (“Curascript”), represented an aggregate of 72% of our consolidated revenues. For the year ended December 31, 2021, four customers, BioCare, Reliance Life Sciences Pvt Limited (“Reliance”), Curascript and AmerisourceBergen Corporation, represented an aggregate of 81% of our consolidated revenues.</w:t>
      </w:r>
    </w:p>
    <w:p>
      <w:pPr>
        <w:spacing w:after="0" w:line="149"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As of September 30, 2022, four customers, BioCare, Healix Infusion Therapy, LLC, Biolife Plasma Services L.P. and Reliance, represented an aggregate of 93% of our consolidated accounts receivable. As of December 31, 2021, three customers, Curascript, BioCare and Reliance, represented a total of 94% of our consolidated accounts receivable.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Our current product development portfolio consists primarily of label expansion activities for Nabi-HB, BIVIGAM and ASCENIV, as well as expanding our IP estate with patents issued for </w:t>
      </w:r>
      <w:r>
        <w:rPr>
          <w:rFonts w:ascii="Arial" w:cs="Arial" w:eastAsia="Arial" w:hAnsi="Arial"/>
          <w:sz w:val="18"/>
          <w:szCs w:val="18"/>
          <w:i w:val="1"/>
          <w:iCs w:val="1"/>
          <w:color w:val="auto"/>
        </w:rPr>
        <w:t>S. Pneumoniae</w:t>
      </w:r>
      <w:r>
        <w:rPr>
          <w:rFonts w:ascii="Arial" w:cs="Arial" w:eastAsia="Arial" w:hAnsi="Arial"/>
          <w:sz w:val="18"/>
          <w:szCs w:val="18"/>
          <w:color w:val="auto"/>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went into effect January 1, 2020, and will be amended by the California Privacy Rights Act, effective January 1, 2023.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Hayfin Credit Facility is subject to acceleration in specified circumstances, which may result in Hayfin taking possession and disposing of any collateral.</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March 23, 2022 (the “Hayfin Closing Date”), we entered into the Hayfin Credit Agreement with Hayfin (see “Liquidity and Capital Resources”). The Hayfin Credit Agreement provides for a senior secured term loan facility in the principal amount of up to $175.0 million (the “Hayfin Credit Facility”), composed of (i) a term loan made on the Hayfin Closing Date in the principal amount of $150.0 million (the “Hayfin Closing Date Loan”), (ii) a delayed draw term loan in the principal amount of $25.0 million (the “Hayfin Delayed Draw Loan” and, together with the Hayfin Closing Date Loan, the “Hayfin Loans”). The obligation of the lenders to make the Hayfin Delayed Draw Loan expires on March 22, 2023 is subject to the satisfaction of certain conditions, including but not limited to, our meeting certain 12-month revenue targets as set forth in the Hayfin Credit Agreement. The Hayfin Credit Facility has a maturity date of March 23, 2027 (the “Hayfin Maturity Date”). The Hayfin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Hayfin Loans of 3% per annum, the occurrence of an Event of Default could result in, among other things, the termination of commitments under the Hayfin Credit Facility, the declaration that all outstanding Loans are immediately due and payable in whole or in part, and Hayfin taking immediate possession of, and selling, any collateral securing the Hayfin Loans.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4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64"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There is no assurance that ASCENIV, or any other of our products for which we are issued a patent, will enjoy market exclusivity for the full time period of the respective patent.</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factors may be negatively impacted as a consequence of the COVID-19 pandemic. If we are unable to manage our growth effectively, our business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7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 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including but not limited to overall increases in the cost of labor or travel restrictions related to COVID-19, prevent us from being able to hire qualified personnel.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6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BioCenters facilities, and if we cannot maintain FDA approval for these facilities or obtain FDA approval for additional facilities that we create or acquire rights to, we may be adversely affected and may not be able to sell or use this human blood plasma for future commercial purposes.</w:t>
      </w:r>
    </w:p>
    <w:p>
      <w:pPr>
        <w:spacing w:after="0" w:line="18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intend to maintain FDA approval of our ADMA BioCenters collection facilities for the collection of human blood plasma and we may seek other governmental and regulatory approvals for these facilities. We also plan to grow through the building and licensing of additional ADMA BioCenters facilities in various regions of the U.S. Collection facilities are subject to FDA and potentially other governmental and regulatory inspections and extensive regulation, including compliance with current cGMP and blood standards and FDA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There are no assurances we will be able to maintain compliance with all FDA or other regulations.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civil and criminal Federal False Claims Act, the civil monetary penalty statute, requirements regarding the reporting and repayment of overpayments, other fraud and abuse laws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states, including the State of Florida with respect to the manufacture and marketing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discount safe harbor.</w:t>
      </w:r>
    </w:p>
    <w:p>
      <w:pPr>
        <w:spacing w:after="0" w:line="16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physicians, physician assistants, nurse practitioners, clinical nurse specialists and certified registered nurse anesthetists and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7"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4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2"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Both before and after the approval of our products, our products, operations, facilities, suppliers and CROs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approvals. Any failure to receive the marketing approvals necessary to commercialize our product or product candidates could harm our business.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the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spacing w:after="0" w:line="17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such as COVID-19,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and the collection of plasma from our FDA-approved plasma collection centers to manufacture our products. We can give no assurances that appropriate plasma will be available to us on commercially reasonable terms, or at all, to manufacture our products. Further, the COVID-19 pandemic has resulted in, and may continue to result in, significant constraints in raw material supply across various different industries, including the supply of plasma. It is possible that in the future, the COVID-19 pandemic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Additionally, our supply contract with Grifols for the purchase of normal source plasma (“NSP”) expires December 31, 2022. There can be no assurances that we will be able to obtain NSP from other third-party suppliers or be able to collect NSP in the same quantities, or at all, through our ADMA BioCenters plasma collection facilities at a cost that is not higher than the price we currently pay to Grifols for NSP. If our costs to obtain NSP through collections at our ADMA BioCenters plasma collection facilities or from other third-party suppliers are higher than what we currently pay to Grifols, our liquidity and results of operations could be adversely impacted.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ind w:right="28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biosimilar pathway established as part of healthcare reform may make it easier for competitors to market biosimilar products.</w:t>
      </w:r>
    </w:p>
    <w:p>
      <w:pPr>
        <w:spacing w:after="0" w:line="22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Corporate responsibility, specifically related to environmental, social and governance (“ESG”) matters, may impose additional costs and expose us to new risks.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We require additional funding and may be unable to raise capital when needed, which would adversely affect our operations and could force us to delay, curtail or eliminate some of our commercialization efforts or one or more of our research and development programs.</w:t>
      </w:r>
    </w:p>
    <w:p>
      <w:pPr>
        <w:spacing w:after="0" w:line="12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operations have consumed substantial amounts of cash since inception. For the nine months ended September 30, 2022 and 2021, we had negative cash flows from operations of $52.1 million and $78.9 million, and for the years ended December 31, 2021 and 2020, we had negative cash flows from operations of approximately $112.4 million and $102.0 million, respectively. We expect to continue to spend substantial amounts on procurement of raw material plasma and other raw materials necessary to scale up our manufacturing operations, commercial product launches, capacity expansion at the Boca Facility, completing the buildout of our tenth plasma collection facility and maintaining all of our plasma collection facilities.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including the proceeds received and expected to be received from the refinancing of our senior credit facility, along with the remaining funds available under the distribution agreement for the sale of our common stock (see “Liquidity and Capital Resources”), will be sufficient to fund our operations, as currently conducted, into the first quarter of 2024, at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If we are unable to raise additional capital if needed, including due to widespread liquidity constraints or significant market instability that could result from the COVID-19 pandemic, we will have to delay, curtail or eliminate our commercialization efforts or our product development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Hayfin Credit Facility provides for a senior secured term loan facility in an aggregate principal amount of up to $175.0 million, of which $150.0 million has been drawn down and is currently outstanding. Borrowings under the Hayfin Credit Facility bear interest at a rate per annum equal to 9.5% plus the greater of (i) one- or three-month SOFR as we elect and (ii) 1.25%, as more fully described in “Liquidity and Capital Resources”; provided, however, that upon, and during the continuance of, an Event of Default, the interest rate will automatically increase by an additional 300 basis points. We are currently required to make monthly payments of interest during the term of the Hayfin Credit Facility of approximately $1.1 million, with all principal and unpaid interest due at maturity. In addition, our monthly interest rate obligation is subject to rising interest rates. The Hayfin Credit Facility has a maturity date of March 23, 2027, subject to acceleration pursuant to the Hayfin Credit Agreement, including upon an Event of Default. All of our obligations under the Hayfin Credit Facility are secured by a first-priority lien and security interest in substantially all of our and our subsidiaries’ tangible and intangible assets, including intellectual property, and all of the equity interests in our subsidiaries.</w:t>
      </w:r>
    </w:p>
    <w:p>
      <w:pPr>
        <w:spacing w:after="0" w:line="166"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including as a result of the impact of the COVID-19 pandemic, our creditors would be able to accelerate all of the amounts due and, in the case of the Hayfin Credit Facility, seek to enforce their security interests, which could lead to our creditors taking immediate possession of and selling substantially all of our assets with no return provided to our stockholders.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cash and cash equivalents could be adversely affected if the financial institutions in which we hold our cash and cash equivalents fail.</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2"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incurred substantial losses during our history. As of December 31, 2021, we had federal and state NOLs of $299.9 million and $185.0 million, respectively. Federal and State NOLs of approximately $55.2 million and $77.8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We may experience ownership changes in the future as a result of subsequent changes in our stock ownership that we cannot predict or control that could result in further limitations being placed on our ability to utilize our federal NOLs.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uncertainties in the equity markets related to the effects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market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November 4, 2022, most of our 196,777,308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8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September 30, 2022, Perceptive, Stonepine Capital Management, LLC, Caligan LP, NWQ Investment Management Company, LLC and our directors and executive officers and their affiliates owned approximately 26%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9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Hayfin Credit Agreement prohibits us from paying dividends. As a result, capital appreciation, if any, of our common stock will be your sole source of gain for the foreseeable future.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September 30, 2022, there were 53,271,886 shares remaining available for issuance, after giving effect to 26,020,698 shares of our common stock that were subject to outstanding stock options, RSUs and warrants as of September 30, 2022 that may be issued by us without stockholder approval, as well as an additional 23,930,545 shares reserved for the future issuance of awards under our equity compensation plans.</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center"/>
        <w:ind w:right="94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spacing w:after="0"/>
        <w:tabs>
          <w:tab w:leader="none" w:pos="560" w:val="left"/>
          <w:tab w:leader="none" w:pos="5620" w:val="left"/>
        </w:tabs>
        <w:rPr>
          <w:sz w:val="20"/>
          <w:szCs w:val="20"/>
          <w:color w:val="auto"/>
        </w:rPr>
      </w:pPr>
      <w:r>
        <w:rPr>
          <w:rFonts w:ascii="Arial" w:cs="Arial" w:eastAsia="Arial" w:hAnsi="Arial"/>
          <w:sz w:val="18"/>
          <w:szCs w:val="18"/>
          <w:color w:val="auto"/>
        </w:rPr>
        <w:t>Date:</w:t>
        <w:tab/>
        <w:t>November 9, 2022</w:t>
      </w:r>
      <w:r>
        <w:rPr>
          <w:sz w:val="20"/>
          <w:szCs w:val="20"/>
          <w:color w:val="auto"/>
        </w:rPr>
        <w:tab/>
      </w:r>
      <w:r>
        <w:rPr>
          <w:rFonts w:ascii="Arial" w:cs="Arial" w:eastAsia="Arial" w:hAnsi="Arial"/>
          <w:sz w:val="16"/>
          <w:szCs w:val="16"/>
          <w:color w:val="auto"/>
        </w:rPr>
        <w:t>By: /s/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Adam S. Grossman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tabs>
          <w:tab w:leader="none" w:pos="560" w:val="left"/>
          <w:tab w:leader="none" w:pos="5620" w:val="left"/>
        </w:tabs>
        <w:rPr>
          <w:sz w:val="20"/>
          <w:szCs w:val="20"/>
          <w:color w:val="auto"/>
        </w:rPr>
      </w:pPr>
      <w:r>
        <w:rPr>
          <w:rFonts w:ascii="Arial" w:cs="Arial" w:eastAsia="Arial" w:hAnsi="Arial"/>
          <w:sz w:val="18"/>
          <w:szCs w:val="18"/>
          <w:color w:val="auto"/>
        </w:rPr>
        <w:t>Date:</w:t>
        <w:tab/>
        <w:t>November 9, 2022</w:t>
      </w:r>
      <w:r>
        <w:rPr>
          <w:sz w:val="20"/>
          <w:szCs w:val="20"/>
          <w:color w:val="auto"/>
        </w:rPr>
        <w:tab/>
      </w:r>
      <w:r>
        <w:rPr>
          <w:rFonts w:ascii="Arial" w:cs="Arial" w:eastAsia="Arial" w:hAnsi="Arial"/>
          <w:sz w:val="17"/>
          <w:szCs w:val="17"/>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2" w:right="6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1440" w:type="dxa"/>
            <w:vAlign w:val="bottom"/>
            <w:gridSpan w:val="5"/>
          </w:tcPr>
          <w:p>
            <w:pPr>
              <w:spacing w:after="0"/>
              <w:rPr>
                <w:sz w:val="20"/>
                <w:szCs w:val="20"/>
                <w:color w:val="auto"/>
              </w:rPr>
            </w:pPr>
            <w:r>
              <w:rPr>
                <w:rFonts w:ascii="Arial" w:cs="Arial" w:eastAsia="Arial" w:hAnsi="Arial"/>
                <w:sz w:val="14"/>
                <w:szCs w:val="14"/>
                <w:i w:val="1"/>
                <w:iCs w:val="1"/>
                <w:color w:val="0000EE"/>
              </w:rPr>
              <w:t>Index</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700" w:type="dxa"/>
            <w:vAlign w:val="bottom"/>
          </w:tcPr>
          <w:p>
            <w:pPr>
              <w:spacing w:after="0"/>
              <w:rPr>
                <w:sz w:val="14"/>
                <w:szCs w:val="14"/>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0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440" w:type="dxa"/>
            <w:vAlign w:val="bottom"/>
            <w:gridSpan w:val="5"/>
          </w:tcPr>
          <w:p>
            <w:pPr>
              <w:spacing w:after="0"/>
              <w:rPr>
                <w:sz w:val="20"/>
                <w:szCs w:val="20"/>
                <w:color w:val="auto"/>
              </w:rPr>
            </w:pPr>
            <w:r>
              <w:rPr>
                <w:rFonts w:ascii="Arial" w:cs="Arial" w:eastAsia="Arial" w:hAnsi="Arial"/>
                <w:sz w:val="18"/>
                <w:szCs w:val="18"/>
                <w:color w:val="auto"/>
              </w:rPr>
              <w:t>Exhibit Number</w:t>
            </w:r>
          </w:p>
        </w:tc>
        <w:tc>
          <w:tcPr>
            <w:tcW w:w="9800" w:type="dxa"/>
            <w:vAlign w:val="bottom"/>
            <w:gridSpan w:val="4"/>
          </w:tcPr>
          <w:p>
            <w:pPr>
              <w:ind w:left="260"/>
              <w:spacing w:after="0"/>
              <w:rPr>
                <w:sz w:val="20"/>
                <w:szCs w:val="20"/>
                <w:color w:val="auto"/>
              </w:rPr>
            </w:pPr>
            <w:r>
              <w:rPr>
                <w:rFonts w:ascii="Arial" w:cs="Arial" w:eastAsia="Arial" w:hAnsi="Arial"/>
                <w:sz w:val="18"/>
                <w:szCs w:val="18"/>
                <w:color w:val="auto"/>
              </w:rPr>
              <w:t>Description</w:t>
            </w:r>
          </w:p>
        </w:tc>
      </w:tr>
      <w:tr>
        <w:trPr>
          <w:trHeight w:val="237"/>
        </w:trPr>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700" w:type="dxa"/>
            <w:vAlign w:val="bottom"/>
          </w:tcPr>
          <w:p>
            <w:pPr>
              <w:spacing w:after="0"/>
              <w:rPr>
                <w:sz w:val="20"/>
                <w:szCs w:val="20"/>
                <w:color w:val="auto"/>
              </w:rPr>
            </w:pPr>
          </w:p>
        </w:tc>
      </w:tr>
      <w:tr>
        <w:trPr>
          <w:trHeight w:val="196"/>
        </w:trPr>
        <w:tc>
          <w:tcPr>
            <w:tcW w:w="42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800" w:type="dxa"/>
            <w:vAlign w:val="bottom"/>
            <w:tcBorders>
              <w:bottom w:val="single" w:sz="8" w:color="CCEEFF"/>
            </w:tcBorders>
            <w:gridSpan w:val="4"/>
            <w:shd w:val="clear" w:color="auto" w:fill="CCEEFF"/>
          </w:tcPr>
          <w:p>
            <w:pPr>
              <w:ind w:left="260"/>
              <w:spacing w:after="0" w:line="176" w:lineRule="exact"/>
              <w:rPr>
                <w:sz w:val="20"/>
                <w:szCs w:val="20"/>
                <w:color w:val="auto"/>
              </w:rPr>
            </w:pPr>
            <w:r>
              <w:rPr>
                <w:rFonts w:ascii="Arial" w:cs="Arial" w:eastAsia="Arial" w:hAnsi="Arial"/>
                <w:sz w:val="18"/>
                <w:szCs w:val="18"/>
                <w:color w:val="auto"/>
                <w:w w:val="95"/>
              </w:rPr>
              <w:t>Amendment 4 to the Amended and Restated Agreement For Services Between ADMA BioManufacturing, LLC and Areth LLC.</w:t>
            </w:r>
          </w:p>
        </w:tc>
      </w:tr>
      <w:tr>
        <w:trPr>
          <w:trHeight w:val="176"/>
        </w:trPr>
        <w:tc>
          <w:tcPr>
            <w:tcW w:w="500" w:type="dxa"/>
            <w:vAlign w:val="bottom"/>
            <w:gridSpan w:val="3"/>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0" w:type="dxa"/>
            <w:vAlign w:val="bottom"/>
            <w:gridSpan w:val="4"/>
          </w:tcPr>
          <w:p>
            <w:pPr>
              <w:ind w:left="260"/>
              <w:spacing w:after="0" w:line="176" w:lineRule="exact"/>
              <w:rPr>
                <w:sz w:val="20"/>
                <w:szCs w:val="20"/>
                <w:color w:val="auto"/>
              </w:rPr>
            </w:pPr>
            <w:r>
              <w:rPr>
                <w:rFonts w:ascii="Arial" w:cs="Arial" w:eastAsia="Arial" w:hAnsi="Arial"/>
                <w:sz w:val="18"/>
                <w:szCs w:val="18"/>
                <w:color w:val="auto"/>
                <w:w w:val="93"/>
              </w:rPr>
              <w:t>Certification of Principal Executive Officer pursuant to Rules 13a-14(a) and 15d-14(a), as adopted pursuant to Section 302 of the</w:t>
            </w:r>
          </w:p>
        </w:tc>
      </w:tr>
      <w:tr>
        <w:trPr>
          <w:trHeight w:val="236"/>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0" w:type="dxa"/>
            <w:vAlign w:val="bottom"/>
            <w:gridSpan w:val="4"/>
          </w:tcPr>
          <w:p>
            <w:pPr>
              <w:ind w:left="260"/>
              <w:spacing w:after="0"/>
              <w:rPr>
                <w:sz w:val="20"/>
                <w:szCs w:val="20"/>
                <w:color w:val="auto"/>
              </w:rPr>
            </w:pPr>
            <w:r>
              <w:rPr>
                <w:rFonts w:ascii="Arial" w:cs="Arial" w:eastAsia="Arial" w:hAnsi="Arial"/>
                <w:sz w:val="18"/>
                <w:szCs w:val="18"/>
                <w:color w:val="auto"/>
              </w:rPr>
              <w:t>Sarbanes-Oxley Act of 2002.</w:t>
            </w:r>
          </w:p>
        </w:tc>
      </w:tr>
      <w:tr>
        <w:trPr>
          <w:trHeight w:val="176"/>
        </w:trPr>
        <w:tc>
          <w:tcPr>
            <w:tcW w:w="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0" w:type="dxa"/>
            <w:vAlign w:val="bottom"/>
            <w:gridSpan w:val="4"/>
            <w:shd w:val="clear" w:color="auto" w:fill="CCEEFF"/>
          </w:tcPr>
          <w:p>
            <w:pPr>
              <w:ind w:left="260"/>
              <w:spacing w:after="0" w:line="176" w:lineRule="exact"/>
              <w:rPr>
                <w:sz w:val="20"/>
                <w:szCs w:val="20"/>
                <w:color w:val="auto"/>
              </w:rPr>
            </w:pPr>
            <w:r>
              <w:rPr>
                <w:rFonts w:ascii="Arial" w:cs="Arial" w:eastAsia="Arial" w:hAnsi="Arial"/>
                <w:sz w:val="18"/>
                <w:szCs w:val="18"/>
                <w:color w:val="auto"/>
                <w:w w:val="93"/>
              </w:rPr>
              <w:t>Certification of Principal Financial Officer pursuant to Rules 13a-14(a) and 15d-14(a), as adopted pursuant to Section 302 of the</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9800" w:type="dxa"/>
            <w:vAlign w:val="bottom"/>
            <w:tcBorders>
              <w:top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Sarbanes-Oxley Act of 2002.</w:t>
            </w:r>
          </w:p>
        </w:tc>
      </w:tr>
      <w:tr>
        <w:trPr>
          <w:trHeight w:val="175"/>
        </w:trPr>
        <w:tc>
          <w:tcPr>
            <w:tcW w:w="1180" w:type="dxa"/>
            <w:vAlign w:val="bottom"/>
            <w:gridSpan w:val="4"/>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260" w:type="dxa"/>
            <w:vAlign w:val="bottom"/>
          </w:tcPr>
          <w:p>
            <w:pPr>
              <w:spacing w:after="0"/>
              <w:rPr>
                <w:sz w:val="15"/>
                <w:szCs w:val="15"/>
                <w:color w:val="auto"/>
              </w:rPr>
            </w:pPr>
          </w:p>
        </w:tc>
        <w:tc>
          <w:tcPr>
            <w:tcW w:w="9800" w:type="dxa"/>
            <w:vAlign w:val="bottom"/>
            <w:gridSpan w:val="4"/>
          </w:tcPr>
          <w:p>
            <w:pPr>
              <w:ind w:left="260"/>
              <w:spacing w:after="0" w:line="176" w:lineRule="exact"/>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w:t>
            </w:r>
          </w:p>
        </w:tc>
      </w:tr>
      <w:tr>
        <w:trPr>
          <w:trHeight w:val="237"/>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0" w:type="dxa"/>
            <w:vAlign w:val="bottom"/>
            <w:gridSpan w:val="4"/>
          </w:tcPr>
          <w:p>
            <w:pPr>
              <w:ind w:left="260"/>
              <w:spacing w:after="0"/>
              <w:rPr>
                <w:sz w:val="20"/>
                <w:szCs w:val="20"/>
                <w:color w:val="auto"/>
              </w:rPr>
            </w:pPr>
            <w:r>
              <w:rPr>
                <w:rFonts w:ascii="Arial" w:cs="Arial" w:eastAsia="Arial" w:hAnsi="Arial"/>
                <w:sz w:val="18"/>
                <w:szCs w:val="18"/>
                <w:color w:val="auto"/>
              </w:rPr>
              <w:t>Oxley Act of 2002.</w:t>
            </w:r>
          </w:p>
        </w:tc>
      </w:tr>
      <w:tr>
        <w:trPr>
          <w:trHeight w:val="176"/>
        </w:trPr>
        <w:tc>
          <w:tcPr>
            <w:tcW w:w="11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260" w:type="dxa"/>
            <w:vAlign w:val="bottom"/>
            <w:shd w:val="clear" w:color="auto" w:fill="CCEEFF"/>
          </w:tcPr>
          <w:p>
            <w:pPr>
              <w:spacing w:after="0"/>
              <w:rPr>
                <w:sz w:val="15"/>
                <w:szCs w:val="15"/>
                <w:color w:val="auto"/>
              </w:rPr>
            </w:pPr>
          </w:p>
        </w:tc>
        <w:tc>
          <w:tcPr>
            <w:tcW w:w="9800" w:type="dxa"/>
            <w:vAlign w:val="bottom"/>
            <w:gridSpan w:val="4"/>
            <w:shd w:val="clear" w:color="auto" w:fill="CCEEFF"/>
          </w:tcPr>
          <w:p>
            <w:pPr>
              <w:ind w:left="260"/>
              <w:spacing w:after="0" w:line="176" w:lineRule="exact"/>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9800" w:type="dxa"/>
            <w:vAlign w:val="bottom"/>
            <w:tcBorders>
              <w:top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Oxley Act of 2002.</w:t>
            </w:r>
          </w:p>
        </w:tc>
      </w:tr>
      <w:tr>
        <w:trPr>
          <w:trHeight w:val="202"/>
        </w:trPr>
        <w:tc>
          <w:tcPr>
            <w:tcW w:w="420" w:type="dxa"/>
            <w:vAlign w:val="bottom"/>
            <w:gridSpan w:val="2"/>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0" w:type="dxa"/>
            <w:vAlign w:val="bottom"/>
            <w:gridSpan w:val="4"/>
          </w:tcPr>
          <w:p>
            <w:pPr>
              <w:ind w:left="260"/>
              <w:spacing w:after="0" w:line="201" w:lineRule="exact"/>
              <w:rPr>
                <w:sz w:val="20"/>
                <w:szCs w:val="20"/>
                <w:color w:val="auto"/>
              </w:rPr>
            </w:pPr>
            <w:r>
              <w:rPr>
                <w:rFonts w:ascii="Arial" w:cs="Arial" w:eastAsia="Arial" w:hAnsi="Arial"/>
                <w:sz w:val="18"/>
                <w:szCs w:val="18"/>
                <w:color w:val="auto"/>
              </w:rPr>
              <w:t>The following materials from ADMA Biologics, Inc.’s Form 10-Q for the quarter ended September 30, 2022, formatted in</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gridSpan w:val="4"/>
          </w:tcPr>
          <w:p>
            <w:pPr>
              <w:ind w:left="260"/>
              <w:spacing w:after="0"/>
              <w:rPr>
                <w:sz w:val="20"/>
                <w:szCs w:val="20"/>
                <w:color w:val="auto"/>
              </w:rPr>
            </w:pPr>
            <w:r>
              <w:rPr>
                <w:rFonts w:ascii="Arial" w:cs="Arial" w:eastAsia="Arial" w:hAnsi="Arial"/>
                <w:sz w:val="18"/>
                <w:szCs w:val="18"/>
                <w:color w:val="auto"/>
                <w:w w:val="98"/>
              </w:rPr>
              <w:t>Extensible Business Reporting Language (XBRL): (i) Condensed Consolidated Balance Sheets as of September 30, 2022</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gridSpan w:val="4"/>
          </w:tcPr>
          <w:p>
            <w:pPr>
              <w:ind w:left="260"/>
              <w:spacing w:after="0"/>
              <w:rPr>
                <w:sz w:val="20"/>
                <w:szCs w:val="20"/>
                <w:color w:val="auto"/>
              </w:rPr>
            </w:pPr>
            <w:r>
              <w:rPr>
                <w:rFonts w:ascii="Arial" w:cs="Arial" w:eastAsia="Arial" w:hAnsi="Arial"/>
                <w:sz w:val="18"/>
                <w:szCs w:val="18"/>
                <w:color w:val="auto"/>
                <w:w w:val="93"/>
              </w:rPr>
              <w:t>(Unaudited) and December 31, 2021, (ii) Condensed Consolidated Statements of Operations (Unaudited) for the three and nine</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gridSpan w:val="4"/>
          </w:tcPr>
          <w:p>
            <w:pPr>
              <w:ind w:left="260"/>
              <w:spacing w:after="0"/>
              <w:rPr>
                <w:sz w:val="20"/>
                <w:szCs w:val="20"/>
                <w:color w:val="auto"/>
              </w:rPr>
            </w:pPr>
            <w:r>
              <w:rPr>
                <w:rFonts w:ascii="Arial" w:cs="Arial" w:eastAsia="Arial" w:hAnsi="Arial"/>
                <w:sz w:val="18"/>
                <w:szCs w:val="18"/>
                <w:color w:val="auto"/>
                <w:w w:val="96"/>
              </w:rPr>
              <w:t>months ended September 30, 2022 and 2021, (iii) Condensed Consolidated Statements of Changes in Stockholders' Equity</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gridSpan w:val="4"/>
          </w:tcPr>
          <w:p>
            <w:pPr>
              <w:ind w:left="260"/>
              <w:spacing w:after="0"/>
              <w:rPr>
                <w:sz w:val="20"/>
                <w:szCs w:val="20"/>
                <w:color w:val="auto"/>
              </w:rPr>
            </w:pPr>
            <w:r>
              <w:rPr>
                <w:rFonts w:ascii="Arial" w:cs="Arial" w:eastAsia="Arial" w:hAnsi="Arial"/>
                <w:sz w:val="18"/>
                <w:szCs w:val="18"/>
                <w:color w:val="auto"/>
                <w:w w:val="91"/>
              </w:rPr>
              <w:t>(Unaudited) for the three and nine months ended September 30, 2022 and 2021, (iv) Condensed Consolidated Statements of Cash</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gridSpan w:val="4"/>
          </w:tcPr>
          <w:p>
            <w:pPr>
              <w:ind w:left="260"/>
              <w:spacing w:after="0"/>
              <w:rPr>
                <w:sz w:val="20"/>
                <w:szCs w:val="20"/>
                <w:color w:val="auto"/>
              </w:rPr>
            </w:pPr>
            <w:r>
              <w:rPr>
                <w:rFonts w:ascii="Arial" w:cs="Arial" w:eastAsia="Arial" w:hAnsi="Arial"/>
                <w:sz w:val="18"/>
                <w:szCs w:val="18"/>
                <w:color w:val="auto"/>
                <w:w w:val="90"/>
              </w:rPr>
              <w:t>Flows (Unaudited) for the nine months ended September 30, 2022 and 2021, and (v) Notes to (Unaudited) Condensed Consolidated</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0" w:type="dxa"/>
            <w:vAlign w:val="bottom"/>
            <w:gridSpan w:val="4"/>
          </w:tcPr>
          <w:p>
            <w:pPr>
              <w:ind w:left="260"/>
              <w:spacing w:after="0"/>
              <w:rPr>
                <w:sz w:val="20"/>
                <w:szCs w:val="20"/>
                <w:color w:val="auto"/>
              </w:rPr>
            </w:pPr>
            <w:r>
              <w:rPr>
                <w:rFonts w:ascii="Arial" w:cs="Arial" w:eastAsia="Arial" w:hAnsi="Arial"/>
                <w:sz w:val="18"/>
                <w:szCs w:val="18"/>
                <w:color w:val="auto"/>
              </w:rPr>
              <w:t>Financial Statements.</w:t>
            </w: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23"/>
        </w:trPr>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70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 accordance with SEC Release 33-8238, Exhibit 32.1 and 32.2 are being furnished and not filed.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ind w:left="10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48" w:lineRule="exact"/>
        <w:rPr>
          <w:sz w:val="20"/>
          <w:szCs w:val="20"/>
          <w:color w:val="auto"/>
        </w:rPr>
      </w:pPr>
    </w:p>
    <w:p>
      <w:pPr>
        <w:jc w:val="center"/>
        <w:ind w:left="340" w:right="60"/>
        <w:spacing w:after="0" w:line="282" w:lineRule="auto"/>
        <w:rPr>
          <w:sz w:val="20"/>
          <w:szCs w:val="20"/>
          <w:color w:val="auto"/>
        </w:rPr>
      </w:pPr>
      <w:r>
        <w:rPr>
          <w:rFonts w:ascii="Arial" w:cs="Arial" w:eastAsia="Arial" w:hAnsi="Arial"/>
          <w:sz w:val="18"/>
          <w:szCs w:val="18"/>
          <w:b w:val="1"/>
          <w:bCs w:val="1"/>
          <w:color w:val="auto"/>
        </w:rPr>
        <w:t>AMENDMENT 4 TO THE AMENDED AND RESTATED AGREEMENT FOR SERVICES BETWEEN ADMA BIOMANUFACTURING, LLC AND ARETH LLC</w:t>
      </w:r>
    </w:p>
    <w:p>
      <w:pPr>
        <w:spacing w:after="0" w:line="16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This Amendment 4 (“Amendment 4”) to the Amended and Restated Agreement for Services between ADMA BioManufacturing, LLC, a Delaware limited liability company (“ADMA”), and Areth LLC, a New Jersey limited liability company (“ARETH”), is effective as of October 18, 2022. ADMA and ARETH are also referred to herein individually as a “Party” and together as the “Parties.”</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the Parties entered into an Amended and Restated Agreement for Services with an effective date of January 1, 2016, as amended on September 25, 2017, September 27, 2018 and November 7, 2019 (the “Agreement”);</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WHEREAS, effective on September 14, 2022, following receipt of a consent to assignment from ARETH, ADMA Biologics, Inc. assigned all of its rights, title and interests in the Agreement to its wholly owned subsidiary, ADMA BioManufacturing, LLC, and ADMA BioManufacturing, LLC agreed to assume all of ADMA Biologics, Inc.’s duties and obligations under the Agreement;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desire to further amend the Agreement in the manner stated herein.</w:t>
      </w:r>
    </w:p>
    <w:p>
      <w:pPr>
        <w:spacing w:after="0" w:line="225"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NOW, THEREFORE, in consideration of the foregoing and the mutual covenants and agreements herein contained, and for other good and valuable consideration, the receipt and sufficiency of which is hereby acknowledged, the Parties hereto agree to amend the Agreement as follows:</w:t>
      </w:r>
    </w:p>
    <w:p>
      <w:pPr>
        <w:spacing w:after="0" w:line="124" w:lineRule="exact"/>
        <w:rPr>
          <w:sz w:val="20"/>
          <w:szCs w:val="20"/>
          <w:color w:val="auto"/>
        </w:rPr>
      </w:pPr>
    </w:p>
    <w:p>
      <w:pPr>
        <w:ind w:left="720" w:hanging="334"/>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Exhibit A shall be amended to read “Compensation Rates, Term and Termination”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20" w:hanging="334"/>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Article XXV of the Agreement shall be deleted in its entirety.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20" w:hanging="334"/>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A shall be amended to include the following Provision 4:</w:t>
      </w:r>
    </w:p>
    <w:p>
      <w:pPr>
        <w:spacing w:after="0" w:line="225" w:lineRule="exact"/>
        <w:rPr>
          <w:rFonts w:ascii="Arial" w:cs="Arial" w:eastAsia="Arial" w:hAnsi="Arial"/>
          <w:sz w:val="18"/>
          <w:szCs w:val="18"/>
          <w:color w:val="auto"/>
        </w:rPr>
      </w:pPr>
    </w:p>
    <w:p>
      <w:pPr>
        <w:ind w:left="720" w:right="520" w:hanging="10"/>
        <w:spacing w:after="0" w:line="277" w:lineRule="auto"/>
        <w:tabs>
          <w:tab w:leader="none" w:pos="1305"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An initial period of ten (10) year commencing on January 1, 2016 and expiring on December 31, 2026. This Agreement will automatically renew for successive one (1)-year periods thereafter.</w:t>
      </w:r>
    </w:p>
    <w:p>
      <w:pPr>
        <w:spacing w:after="0" w:line="170" w:lineRule="exact"/>
        <w:rPr>
          <w:rFonts w:ascii="Arial" w:cs="Arial" w:eastAsia="Arial" w:hAnsi="Arial"/>
          <w:sz w:val="18"/>
          <w:szCs w:val="18"/>
          <w:color w:val="auto"/>
        </w:rPr>
      </w:pPr>
    </w:p>
    <w:p>
      <w:pPr>
        <w:ind w:left="720" w:hanging="334"/>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A shall be amended to included the following Provision 5:</w:t>
      </w:r>
    </w:p>
    <w:p>
      <w:pPr>
        <w:spacing w:after="0" w:line="225" w:lineRule="exact"/>
        <w:rPr>
          <w:rFonts w:ascii="Arial" w:cs="Arial" w:eastAsia="Arial" w:hAnsi="Arial"/>
          <w:sz w:val="18"/>
          <w:szCs w:val="18"/>
          <w:color w:val="auto"/>
        </w:rPr>
      </w:pPr>
    </w:p>
    <w:p>
      <w:pPr>
        <w:ind w:left="660" w:right="460" w:firstLine="50"/>
        <w:spacing w:after="0" w:line="560" w:lineRule="auto"/>
        <w:tabs>
          <w:tab w:leader="none" w:pos="1299"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Either Party may terminate this Agreement by providing the other Party with twelve (12) months’ prior written notice. Except as hereby modified, the Agreement shall remain in full force and effect and is hereby expressly approved, ratified, and confirmed.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to be effective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ARETH LLC:</w:t>
            </w:r>
          </w:p>
        </w:tc>
        <w:tc>
          <w:tcPr>
            <w:tcW w:w="7360" w:type="dxa"/>
            <w:vAlign w:val="bottom"/>
          </w:tcPr>
          <w:p>
            <w:pPr>
              <w:ind w:left="1740"/>
              <w:spacing w:after="0"/>
              <w:rPr>
                <w:sz w:val="20"/>
                <w:szCs w:val="20"/>
                <w:color w:val="auto"/>
              </w:rPr>
            </w:pPr>
            <w:r>
              <w:rPr>
                <w:rFonts w:ascii="Arial" w:cs="Arial" w:eastAsia="Arial" w:hAnsi="Arial"/>
                <w:sz w:val="18"/>
                <w:szCs w:val="18"/>
                <w:b w:val="1"/>
                <w:bCs w:val="1"/>
                <w:color w:val="auto"/>
              </w:rPr>
              <w:t>ADMA BIOMANUFACTURING, LLC:</w:t>
            </w:r>
          </w:p>
        </w:tc>
      </w:tr>
      <w:tr>
        <w:trPr>
          <w:trHeight w:val="418"/>
        </w:trPr>
        <w:tc>
          <w:tcPr>
            <w:tcW w:w="3880" w:type="dxa"/>
            <w:vAlign w:val="bottom"/>
          </w:tcPr>
          <w:p>
            <w:pPr>
              <w:spacing w:after="0"/>
              <w:rPr>
                <w:sz w:val="20"/>
                <w:szCs w:val="20"/>
                <w:color w:val="auto"/>
              </w:rPr>
            </w:pPr>
            <w:r>
              <w:rPr>
                <w:rFonts w:ascii="Arial" w:cs="Arial" w:eastAsia="Arial" w:hAnsi="Arial"/>
                <w:sz w:val="18"/>
                <w:szCs w:val="18"/>
                <w:color w:val="auto"/>
              </w:rPr>
              <w:t>By: /s/ Dr. Jerrold Grossman</w:t>
            </w:r>
          </w:p>
        </w:tc>
        <w:tc>
          <w:tcPr>
            <w:tcW w:w="7360" w:type="dxa"/>
            <w:vAlign w:val="bottom"/>
          </w:tcPr>
          <w:p>
            <w:pPr>
              <w:ind w:left="1740"/>
              <w:spacing w:after="0"/>
              <w:rPr>
                <w:sz w:val="20"/>
                <w:szCs w:val="20"/>
                <w:color w:val="auto"/>
              </w:rPr>
            </w:pPr>
            <w:r>
              <w:rPr>
                <w:rFonts w:ascii="Arial" w:cs="Arial" w:eastAsia="Arial" w:hAnsi="Arial"/>
                <w:sz w:val="18"/>
                <w:szCs w:val="18"/>
                <w:color w:val="auto"/>
              </w:rPr>
              <w:t>By: /s/ Adam Grossman</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Name: Dr. Jerrold Grossman</w:t>
            </w:r>
          </w:p>
        </w:tc>
        <w:tc>
          <w:tcPr>
            <w:tcW w:w="7360" w:type="dxa"/>
            <w:vAlign w:val="bottom"/>
          </w:tcPr>
          <w:p>
            <w:pPr>
              <w:ind w:left="1740"/>
              <w:spacing w:after="0"/>
              <w:rPr>
                <w:sz w:val="20"/>
                <w:szCs w:val="20"/>
                <w:color w:val="auto"/>
              </w:rPr>
            </w:pPr>
            <w:r>
              <w:rPr>
                <w:rFonts w:ascii="Arial" w:cs="Arial" w:eastAsia="Arial" w:hAnsi="Arial"/>
                <w:sz w:val="18"/>
                <w:szCs w:val="18"/>
                <w:color w:val="auto"/>
              </w:rPr>
              <w:t>Name: Adam Grossman</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Title: Manager</w:t>
            </w:r>
          </w:p>
        </w:tc>
        <w:tc>
          <w:tcPr>
            <w:tcW w:w="7360" w:type="dxa"/>
            <w:vAlign w:val="bottom"/>
          </w:tcPr>
          <w:p>
            <w:pPr>
              <w:ind w:left="1740"/>
              <w:spacing w:after="0"/>
              <w:rPr>
                <w:sz w:val="20"/>
                <w:szCs w:val="20"/>
                <w:color w:val="auto"/>
              </w:rPr>
            </w:pPr>
            <w:r>
              <w:rPr>
                <w:rFonts w:ascii="Arial" w:cs="Arial" w:eastAsia="Arial" w:hAnsi="Arial"/>
                <w:sz w:val="18"/>
                <w:szCs w:val="18"/>
                <w:color w:val="auto"/>
              </w:rPr>
              <w:t>Title: President and CEO</w:t>
            </w:r>
          </w:p>
        </w:tc>
      </w:tr>
      <w:tr>
        <w:trPr>
          <w:trHeight w:val="331"/>
        </w:trPr>
        <w:tc>
          <w:tcPr>
            <w:tcW w:w="38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3"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Adam S. Grossman, certify that:</w:t>
      </w:r>
    </w:p>
    <w:p>
      <w:pPr>
        <w:spacing w:after="0" w:line="24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Adam S. Grossman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Brian Lenz, certify that:</w:t>
      </w:r>
    </w:p>
    <w:p>
      <w:pPr>
        <w:spacing w:after="0" w:line="24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Lenz</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 (Principal</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In connection with the Quarterly Report of ADMA Biologics, Inc., a Delaware corporation (the “Company”), on Form 10-Q for the quarter ended September 30, 2022,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7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20" w:type="dxa"/>
            <w:vAlign w:val="bottom"/>
          </w:tcPr>
          <w:p>
            <w:pPr>
              <w:spacing w:after="0"/>
              <w:rPr>
                <w:sz w:val="20"/>
                <w:szCs w:val="20"/>
                <w:color w:val="auto"/>
              </w:rPr>
            </w:pPr>
            <w:r>
              <w:rPr>
                <w:rFonts w:ascii="Arial" w:cs="Arial" w:eastAsia="Arial" w:hAnsi="Arial"/>
                <w:sz w:val="18"/>
                <w:szCs w:val="18"/>
                <w:color w:val="auto"/>
              </w:rPr>
              <w:t>Date: November 9, 2022</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202"/>
        </w:trPr>
        <w:tc>
          <w:tcPr>
            <w:tcW w:w="3720" w:type="dxa"/>
            <w:vAlign w:val="bottom"/>
          </w:tcPr>
          <w:p>
            <w:pPr>
              <w:spacing w:after="0"/>
              <w:rPr>
                <w:sz w:val="17"/>
                <w:szCs w:val="17"/>
                <w:color w:val="auto"/>
              </w:rPr>
            </w:pPr>
          </w:p>
        </w:tc>
        <w:tc>
          <w:tcPr>
            <w:tcW w:w="248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Adam S. Grossman</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1"/>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In connection with the Quarterly Report of ADMA Biologics, Inc., a Delaware corporation (the “Company”), on Form 10-Q for the quarter ended September 30, 2022,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21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Lenz</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 (Principal</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2"/>
    </w:lvl>
  </w:abstractNum>
  <w:abstractNum w:abstractNumId="7">
    <w:nsid w:val="75A2A8D4"/>
    <w:multiLevelType w:val="hybridMultilevel"/>
    <w:lvl w:ilvl="0">
      <w:lvlJc w:val="left"/>
      <w:lvlText w:val="%1."/>
      <w:numFmt w:val="decimal"/>
      <w:start w:val="4"/>
    </w:lvl>
  </w:abstractNum>
  <w:abstractNum w:abstractNumId="8">
    <w:nsid w:val="8EDBDAB"/>
    <w:multiLevelType w:val="hybridMultilevel"/>
    <w:lvl w:ilvl="0">
      <w:lvlJc w:val="left"/>
      <w:lvlText w:val="%1."/>
      <w:numFmt w:val="decimal"/>
      <w:start w:val="6"/>
    </w:lvl>
  </w:abstractNum>
  <w:abstractNum w:abstractNumId="9">
    <w:nsid w:val="79838CB2"/>
    <w:multiLevelType w:val="hybridMultilevel"/>
    <w:lvl w:ilvl="0">
      <w:lvlJc w:val="left"/>
      <w:lvlText w:val="(%1)"/>
      <w:numFmt w:val="upperLetter"/>
      <w:start w:val="2"/>
    </w:lvl>
  </w:abstractNum>
  <w:abstractNum w:abstractNumId="10">
    <w:nsid w:val="4353D0CD"/>
    <w:multiLevelType w:val="hybridMultilevel"/>
    <w:lvl w:ilvl="0">
      <w:lvlJc w:val="left"/>
      <w:lvlText w:val="(%1)"/>
      <w:numFmt w:val="lowerRoman"/>
      <w:start w:val="2"/>
    </w:lvl>
  </w:abstractNum>
  <w:abstractNum w:abstractNumId="11">
    <w:nsid w:val="B03E0C6"/>
    <w:multiLevelType w:val="hybridMultilevel"/>
    <w:lvl w:ilvl="0">
      <w:lvlJc w:val="left"/>
      <w:lvlText w:val="%1."/>
      <w:numFmt w:val="decimal"/>
      <w:start w:val="8"/>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decimal"/>
      <w:start w:val="10"/>
    </w:lvl>
  </w:abstractNum>
  <w:abstractNum w:abstractNumId="14">
    <w:nsid w:val="71F32454"/>
    <w:multiLevelType w:val="hybridMultilevel"/>
    <w:lvl w:ilvl="0">
      <w:lvlJc w:val="left"/>
      <w:lvlText w:val="%1."/>
      <w:numFmt w:val="decimal"/>
      <w:start w:val="1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lowerRoman"/>
      <w:start w:val="2"/>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lvl w:ilvl="1">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lvl w:ilvl="1">
      <w:lvlJc w:val="left"/>
      <w:lvlText w:val="%2."/>
      <w:numFmt w:val="decimal"/>
      <w:start w:val="4"/>
    </w:lvl>
  </w:abstractNum>
  <w:abstractNum w:abstractNumId="35">
    <w:nsid w:val="5C482A97"/>
    <w:multiLevelType w:val="hybridMultilevel"/>
    <w:lvl w:ilvl="0">
      <w:lvlJc w:val="left"/>
      <w:lvlText w:val="%1"/>
      <w:numFmt w:val="decimal"/>
      <w:start w:val="1"/>
    </w:lvl>
    <w:lvl w:ilvl="1">
      <w:lvlJc w:val="left"/>
      <w:lvlText w:val="%2."/>
      <w:numFmt w:val="decimal"/>
      <w:start w:val="5"/>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2022-11-09T18:22:07Z</dcterms:created>
  <dcterms:modified xsi:type="dcterms:W3CDTF">2022-11-09T18:22:07Z</dcterms:modified>
</cp:coreProperties>
</file>