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200025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3" w:lineRule="exact"/>
        <w:rPr>
          <w:sz w:val="24"/>
          <w:szCs w:val="24"/>
          <w:color w:val="auto"/>
        </w:rPr>
      </w:pPr>
    </w:p>
    <w:p>
      <w:pPr>
        <w:ind w:left="660" w:right="1980" w:hanging="653"/>
        <w:spacing w:after="0" w:line="498"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June 30,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3" w:lineRule="exact"/>
        <w:rPr>
          <w:sz w:val="24"/>
          <w:szCs w:val="24"/>
          <w:color w:val="auto"/>
        </w:rPr>
      </w:pPr>
    </w:p>
    <w:p>
      <w:pPr>
        <w:ind w:right="1960" w:firstLine="7"/>
        <w:spacing w:after="0" w:line="280" w:lineRule="auto"/>
        <w:tabs>
          <w:tab w:leader="none" w:pos="64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 ________</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001-36728</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u w:val="single" w:color="auto"/>
          <w:color w:val="auto"/>
        </w:rPr>
        <w:t>ADMA BIOLOGICS, INC.</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9"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gridSpan w:val="3"/>
          </w:tcPr>
          <w:p>
            <w:pPr>
              <w:jc w:val="center"/>
              <w:ind w:right="2940"/>
              <w:spacing w:after="0"/>
              <w:rPr>
                <w:sz w:val="20"/>
                <w:szCs w:val="20"/>
                <w:color w:val="auto"/>
              </w:rPr>
            </w:pPr>
            <w:r>
              <w:rPr>
                <w:rFonts w:ascii="Times New Roman" w:cs="Times New Roman" w:eastAsia="Times New Roman" w:hAnsi="Times New Roman"/>
                <w:sz w:val="18"/>
                <w:szCs w:val="18"/>
                <w:color w:val="auto"/>
                <w:w w:val="98"/>
              </w:rPr>
              <w:t>Delaware</w:t>
            </w:r>
          </w:p>
        </w:tc>
        <w:tc>
          <w:tcPr>
            <w:tcW w:w="37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56-2590442</w:t>
            </w:r>
          </w:p>
        </w:tc>
      </w:tr>
      <w:tr>
        <w:trPr>
          <w:trHeight w:val="20"/>
        </w:trPr>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9"/>
        </w:trPr>
        <w:tc>
          <w:tcPr>
            <w:tcW w:w="542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gridSpan w:val="5"/>
          </w:tcPr>
          <w:p>
            <w:pPr>
              <w:jc w:val="center"/>
              <w:ind w:left="10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45"/>
        </w:trPr>
        <w:tc>
          <w:tcPr>
            <w:tcW w:w="54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color w:val="auto"/>
                <w:w w:val="98"/>
              </w:rPr>
              <w:t>465 State Route 17, Ramsey, New Jersey</w:t>
            </w:r>
          </w:p>
        </w:tc>
        <w:tc>
          <w:tcPr>
            <w:tcW w:w="2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07446</w:t>
            </w:r>
          </w:p>
        </w:tc>
        <w:tc>
          <w:tcPr>
            <w:tcW w:w="88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49"/>
        </w:trPr>
        <w:tc>
          <w:tcPr>
            <w:tcW w:w="680" w:type="dxa"/>
            <w:vAlign w:val="bottom"/>
          </w:tcPr>
          <w:p>
            <w:pPr>
              <w:spacing w:after="0"/>
              <w:rPr>
                <w:sz w:val="21"/>
                <w:szCs w:val="21"/>
                <w:color w:val="auto"/>
              </w:rPr>
            </w:pPr>
          </w:p>
        </w:tc>
        <w:tc>
          <w:tcPr>
            <w:tcW w:w="2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74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(201) 478-5552</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8"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8"/>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ADMA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7" w:lineRule="exact"/>
        <w:rPr>
          <w:sz w:val="24"/>
          <w:szCs w:val="24"/>
          <w:color w:val="auto"/>
        </w:rPr>
      </w:pPr>
    </w:p>
    <w:p>
      <w:pPr>
        <w:jc w:val="both"/>
        <w:ind w:right="20" w:firstLine="645"/>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ind w:right="20" w:firstLine="645"/>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ind w:right="20" w:firstLine="645"/>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395" w:right="319" w:bottom="1440" w:gutter="0" w:footer="0" w:header="0"/>
        </w:sectPr>
      </w:pPr>
    </w:p>
    <w:p>
      <w:pPr>
        <w:spacing w:after="0" w:line="1" w:lineRule="exact"/>
        <w:rPr>
          <w:sz w:val="24"/>
          <w:szCs w:val="24"/>
          <w:color w:val="auto"/>
        </w:rPr>
      </w:pPr>
    </w:p>
    <w:p>
      <w:pPr>
        <w:ind w:left="13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1" w:lineRule="exact"/>
        <w:rPr>
          <w:sz w:val="24"/>
          <w:szCs w:val="24"/>
          <w:color w:val="auto"/>
        </w:rPr>
      </w:pPr>
    </w:p>
    <w:p>
      <w:pPr>
        <w:ind w:left="13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700" w:space="720"/>
            <w:col w:w="3840"/>
          </w:cols>
          <w:pgMar w:left="320" w:top="395" w:right="319" w:bottom="1440" w:gutter="0" w:footer="0" w:header="0"/>
          <w:type w:val="continuous"/>
        </w:sectPr>
      </w:pPr>
    </w:p>
    <w:p>
      <w:pPr>
        <w:spacing w:after="0" w:line="28" w:lineRule="exact"/>
        <w:rPr>
          <w:sz w:val="24"/>
          <w:szCs w:val="24"/>
          <w:color w:val="auto"/>
        </w:rPr>
      </w:pPr>
    </w:p>
    <w:p>
      <w:pPr>
        <w:ind w:right="20" w:firstLine="6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August 1, 2025, there were 238,630,719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229870</wp:posOffset>
            </wp:positionV>
            <wp:extent cx="7132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579755</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20" w:top="39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Condensed Consolidated Balance Sheets as of June 30, 2025 (Unaudited) and December 31, 2024</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7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Unaudited Condensed Consolidated Statements of Operations for the Three and Six Months Ended June 30, 2025 and 2024</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7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1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680" w:type="dxa"/>
            <w:vAlign w:val="bottom"/>
            <w:tcBorders>
              <w:bottom w:val="single" w:sz="8" w:color="0000EE"/>
            </w:tcBorders>
            <w:gridSpan w:val="14"/>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Equity for the Three and Six Months Ended</w:t>
            </w:r>
          </w:p>
        </w:tc>
        <w:tc>
          <w:tcPr>
            <w:tcW w:w="400" w:type="dxa"/>
            <w:vAlign w:val="bottom"/>
            <w:tcBorders>
              <w:bottom w:val="single" w:sz="8" w:color="CCEEFF"/>
            </w:tcBorders>
            <w:gridSpan w:val="2"/>
            <w:shd w:val="clear" w:color="auto" w:fill="CCEEFF"/>
          </w:tcPr>
          <w:p>
            <w:pPr>
              <w:spacing w:after="0"/>
              <w:rPr>
                <w:sz w:val="15"/>
                <w:szCs w:val="15"/>
                <w:color w:val="auto"/>
              </w:rPr>
            </w:pPr>
          </w:p>
        </w:tc>
        <w:tc>
          <w:tcPr>
            <w:tcW w:w="44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80" w:type="dxa"/>
            <w:vAlign w:val="bottom"/>
            <w:gridSpan w:val="1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June 30, 2025 and 2024</w:t>
            </w: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Unaudited Condensed Consolidated Statements of Cash Flows for the Six Months Ended June 30, 2025 and 2024</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7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12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Notes to Unaudited Condensed Consolidated Financial Statements</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70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3.</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4.</w:t>
            </w:r>
          </w:p>
        </w:tc>
        <w:tc>
          <w:tcPr>
            <w:tcW w:w="1820" w:type="dxa"/>
            <w:vAlign w:val="bottom"/>
            <w:tcBorders>
              <w:bottom w:val="single" w:sz="8" w:color="0000EE"/>
            </w:tcBorders>
            <w:gridSpan w:val="7"/>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Controls and Procedures.</w:t>
            </w:r>
          </w:p>
        </w:tc>
        <w:tc>
          <w:tcPr>
            <w:tcW w:w="7260" w:type="dxa"/>
            <w:vAlign w:val="bottom"/>
            <w:tcBorders>
              <w:bottom w:val="single" w:sz="8" w:color="CCEEFF"/>
            </w:tcBorders>
            <w:gridSpan w:val="9"/>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0780" w:type="dxa"/>
            <w:vAlign w:val="bottom"/>
            <w:gridSpan w:val="18"/>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PART II OTHER INFORMATION</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1.</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Legal Proceedings.</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1A.</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Risk Factors.</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3.</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Defaults Upon Senior Securities.</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4.</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Mine Safety Disclosures.</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5.</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Other Information.</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360"/>
              <w:spacing w:after="0" w:line="154" w:lineRule="exact"/>
              <w:rPr>
                <w:sz w:val="20"/>
                <w:szCs w:val="20"/>
                <w:color w:val="auto"/>
              </w:rPr>
            </w:pPr>
            <w:r>
              <w:rPr>
                <w:rFonts w:ascii="Times New Roman" w:cs="Times New Roman" w:eastAsia="Times New Roman" w:hAnsi="Times New Roman"/>
                <w:sz w:val="17"/>
                <w:szCs w:val="17"/>
                <w:color w:val="auto"/>
              </w:rPr>
              <w:t>Item 6.</w:t>
            </w:r>
          </w:p>
        </w:tc>
        <w:tc>
          <w:tcPr>
            <w:tcW w:w="9080" w:type="dxa"/>
            <w:vAlign w:val="bottom"/>
            <w:gridSpan w:val="1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Exhibits.</w:t>
            </w: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EE"/>
              </w:rPr>
              <w:t>SIGNATURES</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645"/>
        <w:spacing w:after="0" w:line="244" w:lineRule="auto"/>
        <w:rPr>
          <w:sz w:val="20"/>
          <w:szCs w:val="20"/>
          <w:color w:val="auto"/>
        </w:rPr>
      </w:pPr>
      <w:r>
        <w:rPr>
          <w:rFonts w:ascii="Times New Roman" w:cs="Times New Roman" w:eastAsia="Times New Roman" w:hAnsi="Times New Roman"/>
          <w:sz w:val="17"/>
          <w:szCs w:val="17"/>
          <w:color w:val="auto"/>
        </w:rPr>
        <w:t>This Quarterly Report on Form 10-Q includes our trademarks, trade names and service marks, such as “ASCENIV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“Nabi-HB</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“BIVIGAM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are protected under applicable intellectual property laws and are the property of ADMA Biologics, Inc., or its subsidiaries. Solely for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convenience, trademarks, trade names and service marks referred to in this report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Section 27A of the Securities Act of 1933,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among others, statements about:</w:t>
      </w:r>
    </w:p>
    <w:p>
      <w:pPr>
        <w:spacing w:after="0" w:line="186" w:lineRule="exact"/>
        <w:rPr>
          <w:sz w:val="20"/>
          <w:szCs w:val="20"/>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commercialize ASCENIV and BIVIGAM;</w:t>
      </w:r>
    </w:p>
    <w:p>
      <w:pPr>
        <w:spacing w:after="0" w:line="222" w:lineRule="exact"/>
        <w:rPr>
          <w:rFonts w:ascii="Times New Roman" w:cs="Times New Roman" w:eastAsia="Times New Roman" w:hAnsi="Times New Roman"/>
          <w:sz w:val="18"/>
          <w:szCs w:val="18"/>
          <w:color w:val="auto"/>
        </w:rPr>
      </w:pPr>
    </w:p>
    <w:p>
      <w:pPr>
        <w:ind w:left="660" w:right="260" w:hanging="330"/>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manufacture, market, launch and expand our commercial infrastructure and commercialize our current and future products and the success of such efforts;</w:t>
      </w:r>
    </w:p>
    <w:p>
      <w:pPr>
        <w:spacing w:after="0" w:line="161" w:lineRule="exact"/>
        <w:rPr>
          <w:rFonts w:ascii="Times New Roman" w:cs="Times New Roman" w:eastAsia="Times New Roman" w:hAnsi="Times New Roman"/>
          <w:sz w:val="18"/>
          <w:szCs w:val="18"/>
          <w:color w:val="auto"/>
        </w:rPr>
      </w:pPr>
    </w:p>
    <w:p>
      <w:pPr>
        <w:ind w:left="660" w:right="180" w:hanging="330"/>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expected timing of and our ability to obtain and maintain regulatory approvals for our current products and product candidates, the labeling or nature of any such approvals, and whether any of our current products may be subject to post-marketing restrictions or withdrawal from the market;</w:t>
      </w:r>
    </w:p>
    <w:p>
      <w:pPr>
        <w:spacing w:after="0" w:line="176" w:lineRule="exact"/>
        <w:rPr>
          <w:rFonts w:ascii="Times New Roman" w:cs="Times New Roman" w:eastAsia="Times New Roman" w:hAnsi="Times New Roman"/>
          <w:sz w:val="18"/>
          <w:szCs w:val="18"/>
          <w:color w:val="auto"/>
        </w:rPr>
      </w:pPr>
    </w:p>
    <w:p>
      <w:pPr>
        <w:ind w:left="660" w:right="540" w:hanging="330"/>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or expected timing, progress and results of clinical development, clinical trials and potential regulatory approvals for our product candidates;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third-party customers, suppliers and vendors and their compliance with applicable regulatory requirements;</w:t>
      </w:r>
    </w:p>
    <w:p>
      <w:pPr>
        <w:spacing w:after="0" w:line="222" w:lineRule="exact"/>
        <w:rPr>
          <w:rFonts w:ascii="Times New Roman" w:cs="Times New Roman" w:eastAsia="Times New Roman" w:hAnsi="Times New Roman"/>
          <w:sz w:val="18"/>
          <w:szCs w:val="18"/>
          <w:color w:val="auto"/>
        </w:rPr>
      </w:pPr>
    </w:p>
    <w:p>
      <w:pPr>
        <w:ind w:left="660" w:right="160" w:hanging="330"/>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addressed the delays experienced with final drug product current Good Manufacturing Practices (“cGMP”) release testing by our third-party vendors by adding additional release testing laboratories to our U.S. Food and Drug Administration (“FDA”)-approved consortium listed in our drug approval documents;</w:t>
      </w:r>
    </w:p>
    <w:p>
      <w:pPr>
        <w:spacing w:after="0" w:line="1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quantities of FDA-approved plasma with proper specifications;</w:t>
      </w:r>
    </w:p>
    <w:p>
      <w:pPr>
        <w:spacing w:after="0" w:line="222" w:lineRule="exact"/>
        <w:rPr>
          <w:rFonts w:ascii="Times New Roman" w:cs="Times New Roman" w:eastAsia="Times New Roman" w:hAnsi="Times New Roman"/>
          <w:sz w:val="18"/>
          <w:szCs w:val="18"/>
          <w:color w:val="auto"/>
        </w:rPr>
      </w:pPr>
    </w:p>
    <w:p>
      <w:pPr>
        <w:ind w:left="660" w:hanging="330"/>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w:t>
      </w:r>
    </w:p>
    <w:p>
      <w:pPr>
        <w:spacing w:after="0" w:line="1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indications for our products and product candidates;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investigational new product applications;</w:t>
      </w:r>
    </w:p>
    <w:p>
      <w:pPr>
        <w:spacing w:after="0" w:line="222" w:lineRule="exact"/>
        <w:rPr>
          <w:rFonts w:ascii="Times New Roman" w:cs="Times New Roman" w:eastAsia="Times New Roman" w:hAnsi="Times New Roman"/>
          <w:sz w:val="18"/>
          <w:szCs w:val="18"/>
          <w:color w:val="auto"/>
        </w:rPr>
      </w:pPr>
    </w:p>
    <w:p>
      <w:pPr>
        <w:ind w:left="660" w:right="120" w:hanging="330"/>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any of our products, including ASCENIV, BIVIGAM and Nabi-HB, for any purpose, including FDA-approved indications, by physicians, patients or payers;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evaluate the clinical and regulatory paths to grow the ASCENIV franchise through expanded FDA-approved uses;</w:t>
      </w:r>
    </w:p>
    <w:p>
      <w:pPr>
        <w:spacing w:after="0" w:line="222" w:lineRule="exact"/>
        <w:rPr>
          <w:rFonts w:ascii="Times New Roman" w:cs="Times New Roman" w:eastAsia="Times New Roman" w:hAnsi="Times New Roman"/>
          <w:sz w:val="18"/>
          <w:szCs w:val="18"/>
          <w:color w:val="auto"/>
        </w:rPr>
      </w:pPr>
    </w:p>
    <w:p>
      <w:pPr>
        <w:ind w:left="660" w:right="320" w:hanging="330"/>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regulatory and business review processes and timing by such governmental and regulatory agencies of our business and regulatory submissions;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concurrence by the FDA with our conclusions concerning our products and product candidates;</w:t>
      </w:r>
    </w:p>
    <w:p>
      <w:pPr>
        <w:spacing w:after="0" w:line="222" w:lineRule="exact"/>
        <w:rPr>
          <w:rFonts w:ascii="Times New Roman" w:cs="Times New Roman" w:eastAsia="Times New Roman" w:hAnsi="Times New Roman"/>
          <w:sz w:val="18"/>
          <w:szCs w:val="18"/>
          <w:color w:val="auto"/>
        </w:rPr>
      </w:pPr>
    </w:p>
    <w:p>
      <w:pPr>
        <w:ind w:left="660" w:right="620" w:hanging="330"/>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results of our hyperimmune and immune globulin (“IG”) products to other comparably run hyperimmune and immune globulin clinical trials;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ind w:left="660" w:right="860" w:hanging="330"/>
        <w:spacing w:after="0" w:line="26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p>
      <w:pPr>
        <w:spacing w:after="0" w:line="176" w:lineRule="exact"/>
        <w:rPr>
          <w:rFonts w:ascii="Times New Roman" w:cs="Times New Roman" w:eastAsia="Times New Roman" w:hAnsi="Times New Roman"/>
          <w:sz w:val="18"/>
          <w:szCs w:val="18"/>
          <w:color w:val="auto"/>
        </w:rPr>
      </w:pPr>
    </w:p>
    <w:p>
      <w:pPr>
        <w:ind w:left="660" w:right="16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promote Nabi-HB in a highly competitive environment with increasing competition from other antiviral therapies and to generate meaningful revenues from this product;</w:t>
      </w:r>
    </w:p>
    <w:p>
      <w:pPr>
        <w:spacing w:after="0" w:line="161" w:lineRule="exact"/>
        <w:rPr>
          <w:rFonts w:ascii="Times New Roman" w:cs="Times New Roman" w:eastAsia="Times New Roman" w:hAnsi="Times New Roman"/>
          <w:sz w:val="18"/>
          <w:szCs w:val="18"/>
          <w:color w:val="auto"/>
        </w:rPr>
      </w:pPr>
    </w:p>
    <w:p>
      <w:pPr>
        <w:ind w:left="660" w:right="54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defense thereof, including our expectations regarding the scope of patent protection with respect to ASCENIV, SG-001 or other future pipeline product candidates;</w:t>
      </w:r>
    </w:p>
    <w:p>
      <w:pPr>
        <w:spacing w:after="0" w:line="161" w:lineRule="exact"/>
        <w:rPr>
          <w:rFonts w:ascii="Times New Roman" w:cs="Times New Roman" w:eastAsia="Times New Roman" w:hAnsi="Times New Roman"/>
          <w:sz w:val="18"/>
          <w:szCs w:val="18"/>
          <w:color w:val="auto"/>
        </w:rPr>
      </w:pPr>
    </w:p>
    <w:p>
      <w:pPr>
        <w:ind w:left="660" w:right="40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receive regulatory approval and commercialize our potential pipeline of any new hyperimmune globulins, including SG-001;</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third-party contractor capabilities and vertical integration strategy;</w:t>
      </w:r>
    </w:p>
    <w:p>
      <w:pPr>
        <w:spacing w:after="0" w:line="222" w:lineRule="exact"/>
        <w:rPr>
          <w:rFonts w:ascii="Times New Roman" w:cs="Times New Roman" w:eastAsia="Times New Roman" w:hAnsi="Times New Roman"/>
          <w:sz w:val="18"/>
          <w:szCs w:val="18"/>
          <w:color w:val="auto"/>
        </w:rPr>
      </w:pPr>
    </w:p>
    <w:p>
      <w:pPr>
        <w:ind w:left="660" w:right="4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61" w:lineRule="exact"/>
        <w:rPr>
          <w:rFonts w:ascii="Times New Roman" w:cs="Times New Roman" w:eastAsia="Times New Roman" w:hAnsi="Times New Roman"/>
          <w:sz w:val="18"/>
          <w:szCs w:val="18"/>
          <w:color w:val="auto"/>
        </w:rPr>
      </w:pPr>
    </w:p>
    <w:p>
      <w:pPr>
        <w:ind w:left="660" w:right="78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revenues, earnings, expenses, capital requirements, capital expenditures, ASCENIV’s growth, ability to maintain profitability and positive cash flows and the potential need for and availability of additional financing;</w:t>
      </w:r>
    </w:p>
    <w:p>
      <w:pPr>
        <w:spacing w:after="0" w:line="161" w:lineRule="exact"/>
        <w:rPr>
          <w:rFonts w:ascii="Times New Roman" w:cs="Times New Roman" w:eastAsia="Times New Roman" w:hAnsi="Times New Roman"/>
          <w:sz w:val="18"/>
          <w:szCs w:val="18"/>
          <w:color w:val="auto"/>
        </w:rPr>
      </w:pPr>
    </w:p>
    <w:p>
      <w:pPr>
        <w:ind w:left="660" w:right="42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yield and revenue and earnings benefits following FDA approval of our innovative yield enhancement production process, and the timing associated with realizing such benefits;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our deferred tax assets or the need for a valuation allowance, or the effects of changes in tax laws on our deferred tax assets;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taxable income, which could have a material impact on our financial condition or financial results;</w:t>
      </w:r>
    </w:p>
    <w:p>
      <w:pPr>
        <w:spacing w:after="0" w:line="222"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effective tax rates and corresponding tax obligations and expenses, including our expectations for the One Big Beautiful Bill Act’s impact on our financial condition or financial results;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likely reimbursement levels for our currently marketed products;</w:t>
      </w:r>
    </w:p>
    <w:p>
      <w:pPr>
        <w:spacing w:after="0" w:line="222"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projected growth and sales of our existing products as well as our expectations of market acceptance of ASCENIV and BIVIGAM;</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uses and benefits of the recently acquired real estate in Boca Raton, FL;</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refinancing of our senior credit facility;</w:t>
      </w:r>
    </w:p>
    <w:p>
      <w:pPr>
        <w:spacing w:after="0" w:line="222" w:lineRule="exact"/>
        <w:rPr>
          <w:rFonts w:ascii="Times New Roman" w:cs="Times New Roman" w:eastAsia="Times New Roman" w:hAnsi="Times New Roman"/>
          <w:sz w:val="18"/>
          <w:szCs w:val="18"/>
          <w:color w:val="auto"/>
        </w:rPr>
      </w:pPr>
    </w:p>
    <w:p>
      <w:pPr>
        <w:ind w:left="660" w:right="180" w:hanging="330"/>
        <w:spacing w:after="0" w:line="28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pandemics, or a resurgence of a pandemic, to adversely affect our business, financial condition, liquidity or results of operations; and</w:t>
      </w:r>
    </w:p>
    <w:p>
      <w:pPr>
        <w:spacing w:after="0" w:line="161" w:lineRule="exact"/>
        <w:rPr>
          <w:rFonts w:ascii="Times New Roman" w:cs="Times New Roman" w:eastAsia="Times New Roman" w:hAnsi="Times New Roman"/>
          <w:sz w:val="18"/>
          <w:szCs w:val="18"/>
          <w:color w:val="auto"/>
        </w:rPr>
      </w:pPr>
    </w:p>
    <w:p>
      <w:pPr>
        <w:ind w:left="660" w:right="220" w:hanging="330"/>
        <w:spacing w:after="0" w:line="26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domestic and global economic conditions including, but not limited to, supply chain constraints, inflationary pressures or performance or geopolitical conditions, including the continuing conflicts in Europe and in the Middle East and surrounding areas, and any anticipated effects of such factors on the pricing and availability of imported raw materials used in the production of our products.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These statements may be found under the “Risk Factors” and “Management’s Discussion and Analysis of Financial Condition and Results of Operations” sections of this Quarterly Report on Form 10-Q for the quarter ended June 30, 2025 (this “Form 10-Q”).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2024 (the “2024 10-K”) and in this Form 10-Q. Any forward-looking statement included or incorporated by reference in this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Index</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8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8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8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8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data)</w:t>
            </w:r>
          </w:p>
        </w:tc>
        <w:tc>
          <w:tcPr>
            <w:tcW w:w="0" w:type="dxa"/>
            <w:vAlign w:val="bottom"/>
          </w:tcPr>
          <w:p>
            <w:pPr>
              <w:spacing w:after="0"/>
              <w:rPr>
                <w:sz w:val="1"/>
                <w:szCs w:val="1"/>
                <w:color w:val="auto"/>
              </w:rPr>
            </w:pPr>
          </w:p>
        </w:tc>
      </w:tr>
      <w:tr>
        <w:trPr>
          <w:trHeight w:val="223"/>
        </w:trPr>
        <w:tc>
          <w:tcPr>
            <w:tcW w:w="84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191,464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8,088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399,563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331,410</w:t>
            </w:r>
          </w:p>
        </w:tc>
        <w:tc>
          <w:tcPr>
            <w:tcW w:w="0" w:type="dxa"/>
            <w:vAlign w:val="bottom"/>
          </w:tcPr>
          <w:p>
            <w:pPr>
              <w:spacing w:after="0"/>
              <w:rPr>
                <w:sz w:val="1"/>
                <w:szCs w:val="1"/>
                <w:color w:val="auto"/>
              </w:rPr>
            </w:pPr>
          </w:p>
        </w:tc>
      </w:tr>
      <w:tr>
        <w:trPr>
          <w:trHeight w:val="269"/>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57,501</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79,235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Right-to-use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9,063</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08"/>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558,380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43,902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55,542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payable, net of discount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73,397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fee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160,055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139,660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Common Stock - voting, $0.0001 par value, 300,000,000 shares authorized, June 30, 2025: 239,383,545 issued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238,567,308 outstanding; December 31, 2024: 236,620,545 issued and 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 816,237 and 0 shares as of June 30, 2025 and December 31, 2024, respectively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657,577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(247,460)</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(308,583)</w:t>
            </w:r>
          </w:p>
        </w:tc>
        <w:tc>
          <w:tcPr>
            <w:tcW w:w="0" w:type="dxa"/>
            <w:vAlign w:val="bottom"/>
          </w:tcPr>
          <w:p>
            <w:pPr>
              <w:spacing w:after="0"/>
              <w:rPr>
                <w:sz w:val="1"/>
                <w:szCs w:val="1"/>
                <w:color w:val="auto"/>
              </w:rPr>
            </w:pPr>
          </w:p>
        </w:tc>
      </w:tr>
      <w:tr>
        <w:trPr>
          <w:trHeight w:val="22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398,325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349,018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558,380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0" w:type="dxa"/>
            <w:vAlign w:val="bottom"/>
            <w:gridSpan w:val="9"/>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121,984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107,191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236,786</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54,757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49,738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108,463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92,505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67,227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128,323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96,561</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22,214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16,608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46,292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24,429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18,252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50,645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35,539</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42,798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39,201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77,678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61,022</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40,097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35,851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73,546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15"/>
        </w:trPr>
        <w:tc>
          <w:tcPr>
            <w:tcW w:w="56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34,219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32,062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61,122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49,868</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0.13</w:t>
            </w:r>
          </w:p>
        </w:tc>
        <w:tc>
          <w:tcPr>
            <w:tcW w:w="3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0.25</w:t>
            </w:r>
          </w:p>
        </w:tc>
        <w:tc>
          <w:tcPr>
            <w:tcW w:w="440" w:type="dxa"/>
            <w:vAlign w:val="bottom"/>
            <w:gridSpan w:val="2"/>
          </w:tcPr>
          <w:p>
            <w:pPr>
              <w:jc w:val="right"/>
              <w:ind w:right="76"/>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restart"/>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241,490,715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232,417,645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238,309,156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230,646,246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248,608,460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242,167,072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245,750,155</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97"/>
              </w:rPr>
              <w:t>239,645,940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STOCKHOLDERS’ EQUITY (Unaudited)</w:t>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7"/>
        </w:trPr>
        <w:tc>
          <w:tcPr>
            <w:tcW w:w="2620" w:type="dxa"/>
            <w:vAlign w:val="bottom"/>
          </w:tcPr>
          <w:p>
            <w:pPr>
              <w:spacing w:after="0"/>
              <w:rPr>
                <w:sz w:val="20"/>
                <w:szCs w:val="20"/>
                <w:color w:val="auto"/>
              </w:rPr>
            </w:pPr>
          </w:p>
        </w:tc>
        <w:tc>
          <w:tcPr>
            <w:tcW w:w="284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20"/>
                <w:szCs w:val="20"/>
                <w:color w:val="auto"/>
              </w:rPr>
            </w:pPr>
          </w:p>
        </w:tc>
        <w:tc>
          <w:tcPr>
            <w:tcW w:w="10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08"/>
        </w:trPr>
        <w:tc>
          <w:tcPr>
            <w:tcW w:w="262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8"/>
                <w:szCs w:val="18"/>
                <w:color w:val="auto"/>
              </w:rPr>
            </w:pPr>
          </w:p>
        </w:tc>
        <w:tc>
          <w:tcPr>
            <w:tcW w:w="10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Equity</w:t>
            </w:r>
          </w:p>
        </w:tc>
      </w:tr>
      <w:tr>
        <w:trPr>
          <w:trHeight w:val="208"/>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236,620,545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657,577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(308,583)</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349,018</w:t>
            </w: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866,302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6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Vesting of Restricted Stock</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Units, net of shares withheld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1,016,005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28"/>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26,904</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26,904</w:t>
            </w:r>
          </w:p>
        </w:tc>
      </w:tr>
      <w:tr>
        <w:trPr>
          <w:trHeight w:val="20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238,532,252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655,074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373,419</w:t>
            </w: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4,963</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6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Vesting of Restricted Stock</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Units, net of shares withheld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105,543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745,750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34,219</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34,219</w:t>
            </w: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239,383,545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660,909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(247,460)</w:t>
            </w: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398,325</w:t>
            </w: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24"/>
        </w:trPr>
        <w:tc>
          <w:tcPr>
            <w:tcW w:w="26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11"/>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0"/>
        </w:trPr>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7"/>
        </w:trPr>
        <w:tc>
          <w:tcPr>
            <w:tcW w:w="2620" w:type="dxa"/>
            <w:vAlign w:val="bottom"/>
          </w:tcPr>
          <w:p>
            <w:pPr>
              <w:spacing w:after="0"/>
              <w:rPr>
                <w:sz w:val="20"/>
                <w:szCs w:val="20"/>
                <w:color w:val="auto"/>
              </w:rPr>
            </w:pPr>
          </w:p>
        </w:tc>
        <w:tc>
          <w:tcPr>
            <w:tcW w:w="284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20"/>
                <w:szCs w:val="20"/>
                <w:color w:val="auto"/>
              </w:rPr>
            </w:pPr>
          </w:p>
        </w:tc>
        <w:tc>
          <w:tcPr>
            <w:tcW w:w="10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08"/>
        </w:trPr>
        <w:tc>
          <w:tcPr>
            <w:tcW w:w="262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8"/>
                <w:szCs w:val="18"/>
                <w:color w:val="auto"/>
              </w:rPr>
            </w:pPr>
          </w:p>
        </w:tc>
        <w:tc>
          <w:tcPr>
            <w:tcW w:w="10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Equity</w:t>
            </w:r>
          </w:p>
        </w:tc>
      </w:tr>
      <w:tr>
        <w:trPr>
          <w:trHeight w:val="208"/>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226,063,032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641,439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(506,256)</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135,206</w:t>
            </w: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4,545,503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6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Vesting of Restricted Stock</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Units, net of shares withheld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774,889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386,341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r>
      <w:tr>
        <w:trPr>
          <w:trHeight w:val="228"/>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17,806</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17,806</w:t>
            </w:r>
          </w:p>
        </w:tc>
      </w:tr>
      <w:tr>
        <w:trPr>
          <w:trHeight w:val="20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231,769,765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642,133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(488,450)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153,706</w:t>
            </w: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2,863</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937,507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6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Vesting of Restricted Stock</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Units, net of shares withheld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171,408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148,056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r>
      <w:tr>
        <w:trPr>
          <w:trHeight w:val="228"/>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32,062</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32,062</w:t>
            </w:r>
          </w:p>
        </w:tc>
      </w:tr>
      <w:tr>
        <w:trPr>
          <w:trHeight w:val="208"/>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233,026,736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644,634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(456,388)</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188,269</w:t>
            </w: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Index</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2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6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29"/>
        </w:trPr>
        <w:tc>
          <w:tcPr>
            <w:tcW w:w="8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(In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w w:val="86"/>
              </w:rPr>
              <w:t>thousands)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61,122</w:t>
            </w:r>
          </w:p>
        </w:tc>
        <w:tc>
          <w:tcPr>
            <w:tcW w:w="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4,027</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5,045</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9,587</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license revenue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(59,726)</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9,409</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43,428</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issuance on revolver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Prepayment penalties on repayment of debt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Taxes paid on vested restricted stock units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proceeds from the exercise of stock options</w:t>
            </w: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end of term fee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240"/>
          </w:cols>
          <w:pgMar w:left="320" w:top="435"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2955" cy="14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36,892</w:t>
            </w:r>
          </w:p>
        </w:tc>
      </w:tr>
      <w:tr>
        <w:trPr>
          <w:trHeight w:val="233"/>
        </w:trPr>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103,147</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51,352</w:t>
            </w:r>
          </w:p>
        </w:tc>
      </w:tr>
      <w:tr>
        <w:trPr>
          <w:trHeight w:val="208"/>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90,285</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88,244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7880" w:space="720"/>
            <w:col w:w="2640"/>
          </w:cols>
          <w:pgMar w:left="320" w:top="43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ind w:left="520" w:hanging="513"/>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BUSINESS</w:t>
      </w:r>
    </w:p>
    <w:p>
      <w:pPr>
        <w:spacing w:after="0" w:line="227" w:lineRule="exact"/>
        <w:rPr>
          <w:sz w:val="20"/>
          <w:szCs w:val="20"/>
          <w:color w:val="auto"/>
        </w:rPr>
      </w:pPr>
    </w:p>
    <w:p>
      <w:pPr>
        <w:jc w:val="both"/>
        <w:ind w:firstLine="605"/>
        <w:spacing w:after="0" w:line="259" w:lineRule="auto"/>
        <w:rPr>
          <w:sz w:val="20"/>
          <w:szCs w:val="20"/>
          <w:color w:val="auto"/>
        </w:rPr>
      </w:pPr>
      <w:r>
        <w:rPr>
          <w:rFonts w:ascii="Times New Roman" w:cs="Times New Roman" w:eastAsia="Times New Roman" w:hAnsi="Times New Roman"/>
          <w:sz w:val="18"/>
          <w:szCs w:val="18"/>
          <w:color w:val="auto"/>
        </w:rPr>
        <w:t>ADMA Biologics, Inc. (“ADMA” or the “Company”) is a U.S. based,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8"/>
          <w:szCs w:val="18"/>
          <w:color w:val="auto"/>
        </w:rPr>
        <w:t>ADMA operates through its wholly 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 ADMA BioCenters is the Company’s source plasma collection business with ten plasma collection facilities located throughout the United States, all of which hold an approved license with the FDA.</w:t>
      </w:r>
    </w:p>
    <w:p>
      <w:pPr>
        <w:spacing w:after="0" w:line="18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8"/>
          <w:szCs w:val="18"/>
          <w:color w:val="auto"/>
        </w:rPr>
        <w:t>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in April 2019 and commenced first commercial sales in October 2019; (ii) BIVIGAM (Immune Globulin Intravenous, Human), an IVIG product indicated for the treatment of PI, and for which the Company received FDA approval in May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intermediates that result from the immunoglobulin production process and from time to time provides contract manufacturing and laboratory services for certain clients.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85" w:lineRule="exact"/>
        <w:rPr>
          <w:sz w:val="20"/>
          <w:szCs w:val="20"/>
          <w:color w:val="auto"/>
        </w:rPr>
      </w:pPr>
    </w:p>
    <w:p>
      <w:pPr>
        <w:ind w:left="500" w:hanging="493"/>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 and basis of presentation</w:t>
      </w:r>
    </w:p>
    <w:p>
      <w:pPr>
        <w:spacing w:after="0" w:line="22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annual audited consolidated financial statements and notes thereto as of and for the year ended December 31, 2024 included in the 2024 10-K. All intercompany balances and transactions have been eliminated in consolidation. The preparation of our interim consolidated financial statements in conformity with U.S. GAAP requires management to make estimates and assumptions that affect the amounts reported and disclosed. We have made reasonable estimates and judgments of such items within our financial statements and there may be changes to those estimates in future periods.</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comprehensive income was equal to the net income amounts presented for the respective periods in the accompanying condensed consolidated statements of operations. Results for interim periods are not necessarily indicative of the results that may be expected for the full fiscal year.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deducted from gross revenues and estimates related to the Company’s effective tax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 xml:space="preserve">Accounts receivable is reported at realizable value, net of allowances for customer credits and credit losses in the amount of $0.2 million at June 30, 2025 and December 31, 2024. </w:t>
      </w:r>
      <w:r>
        <w:rPr>
          <w:rFonts w:ascii="Times New Roman" w:cs="Times New Roman" w:eastAsia="Times New Roman" w:hAnsi="Times New Roman"/>
          <w:sz w:val="18"/>
          <w:szCs w:val="18"/>
          <w:color w:val="212529"/>
        </w:rPr>
        <w:t>The Company extends credit to its customers based upon an evaluation of each customer’s financial condition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history. Evaluations of the financial condition, payment history and associated credit risk of customers are performed on an ongoing basis. </w:t>
      </w:r>
      <w:r>
        <w:rPr>
          <w:rFonts w:ascii="Times New Roman" w:cs="Times New Roman" w:eastAsia="Times New Roman" w:hAnsi="Times New Roman"/>
          <w:sz w:val="18"/>
          <w:szCs w:val="18"/>
          <w:color w:val="000000"/>
        </w:rPr>
        <w:t>Based on these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evaluations, the Company has concluded that its credit risk is minimal. At June 30, 2025 and December 31, 2024, three customers accounted for an aggregate of approximately 95% and 91%, respectively, of the Company’s total accounts receivable.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Inventories</w:t>
      </w:r>
    </w:p>
    <w:p>
      <w:pPr>
        <w:spacing w:after="0" w:line="22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8"/>
          <w:szCs w:val="18"/>
          <w:color w:val="auto"/>
        </w:rPr>
        <w:t>Raw materials inventory consists of various materials purchased from suppliers, including normal source plasma and Respiratory Syncytial Virus (“RSV”) high titer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Boca Facility overhead allocation to inventory is generally based upon the estimated square footage of the Boca Facility that is used in the production of the Company’s FDA-approved products relative to the total square footage of the facility.</w:t>
      </w:r>
    </w:p>
    <w:p>
      <w:pPr>
        <w:spacing w:after="0" w:line="18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by the Company. Goodwill at June 30, 2025 and December 31, 2024 was $3.5 million. All of the Company’s goodwill is attributable to its ADMA BioManufacturing business segment.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record any impairment charges related to goodwill for the three and six months ended June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5"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Revenues are comprised of (i) revenues from the sale of the Company’s immunoglobulin products, ASCENIV, BIVIGAM and Nabi-HB, (ii) product revenues from the sale of human plasma collected through the Company’s Plasma Collection Centers business segment, (iii) contract manufacturing and laboratory services revenue, (iv) revenues from the sale of intermediates; and (v) license and other revenues primarily attributable to the out-licensing of ASCENIV to Biotest AG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21 years.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4"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Product revenue is recognized when the customer is deemed to have control over the product. Control is determined based on when the product is shipped or delivered, depending on the sales terms,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historical experience and certain other assumptions, and while the Company believes that such estimates are reasonable, they are subject to change based on future experience and other factors.</w:t>
      </w:r>
    </w:p>
    <w:p>
      <w:pPr>
        <w:spacing w:after="0" w:line="186" w:lineRule="exact"/>
        <w:rPr>
          <w:sz w:val="20"/>
          <w:szCs w:val="20"/>
          <w:color w:val="auto"/>
        </w:rPr>
      </w:pPr>
    </w:p>
    <w:p>
      <w:pPr>
        <w:jc w:val="both"/>
        <w:ind w:firstLine="645"/>
        <w:spacing w:after="0" w:line="310" w:lineRule="auto"/>
        <w:rPr>
          <w:sz w:val="20"/>
          <w:szCs w:val="20"/>
          <w:color w:val="auto"/>
        </w:rPr>
      </w:pPr>
      <w:r>
        <w:rPr>
          <w:rFonts w:ascii="Times New Roman" w:cs="Times New Roman" w:eastAsia="Times New Roman" w:hAnsi="Times New Roman"/>
          <w:sz w:val="17"/>
          <w:szCs w:val="17"/>
          <w:color w:val="auto"/>
        </w:rPr>
        <w:t>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40"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For the three and six months ended June 30, 2025, three customers represented an aggregate of approximately 88% and 81%, respectively, of the Company’s consolidated revenues. For the three and six months ended June 30, 2024, two customers represented an aggregate of approximately 71% of the Company’s consolidated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w:t>
      </w:r>
    </w:p>
    <w:p>
      <w:pPr>
        <w:spacing w:after="0" w:line="22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Cost of product revenue includes costs associated with the manufacturing of the Company’s FDA-approved products, intermediates and the collection of human source plasma, depreciation of the production equipment, as well as expenses related to conformance batch production, process development and scientific and technical operations when these operations are attributable to marketed products. When the activities of these operations are attributable to new products or processes in development, the expenses are classified as research and development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Earnings/loss Per Common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basic and diluted earnings per share are calculated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($000's) (numerator)</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number of common shares (denominator)</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241,490,715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232,417,645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238,309,156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230,646,246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241,490,715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232,417,645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238,309,156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230,646,246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stock options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3,760,947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3,716,289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4,036,608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3,158,952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warrants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2,803,564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3,975,656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RSUs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3,356,798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3,229,574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3,375,720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1,865,086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 diluted (denominator)</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248,608,460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242,167,072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245,750,155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239,645,940</w:t>
            </w:r>
          </w:p>
        </w:tc>
        <w:tc>
          <w:tcPr>
            <w:tcW w:w="0" w:type="dxa"/>
            <w:vAlign w:val="bottom"/>
          </w:tcPr>
          <w:p>
            <w:pPr>
              <w:spacing w:after="0"/>
              <w:rPr>
                <w:sz w:val="1"/>
                <w:szCs w:val="1"/>
                <w:color w:val="auto"/>
              </w:rPr>
            </w:pPr>
          </w:p>
        </w:tc>
      </w:tr>
      <w:tr>
        <w:trPr>
          <w:trHeight w:val="208"/>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there were no shares with an anti-dilutive effect that needed to be excluded from the earnings per share computation.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223" w:lineRule="exact"/>
        <w:rPr>
          <w:sz w:val="20"/>
          <w:szCs w:val="20"/>
          <w:color w:val="auto"/>
        </w:rPr>
      </w:pPr>
    </w:p>
    <w:p>
      <w:pPr>
        <w:jc w:val="both"/>
        <w:ind w:firstLine="645"/>
        <w:spacing w:after="0" w:line="260"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Update requires disaggregated information about a reporting entity’s effective tax rate reconciliation as well as information on income taxes paid and became effective for public business entities for fiscal years beginning after December 15, 2024. The Company is currently evaluating the impact that this Update may have on the Company’s consolidated financial statements.</w:t>
      </w:r>
    </w:p>
    <w:p>
      <w:pPr>
        <w:spacing w:after="0" w:line="17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(Subtopic 220-40). The amendments in this Update require disclosure, in the notes to the financial statements, of specified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including but not limited to, purchases of inventory, employee compensation and selling expense. This Update becomes effective for fiscal years beginning after December 15, 2026. The Company is currently evaluating the impact that this Update may have on the Company’s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0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following table provides the components of inventories: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1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r>
      <w:tr>
        <w:trPr>
          <w:trHeight w:val="215"/>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100,373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60,473</w:t>
            </w:r>
          </w:p>
        </w:tc>
      </w:tr>
      <w:tr>
        <w:trPr>
          <w:trHeight w:val="215"/>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61,641</w:t>
            </w:r>
          </w:p>
        </w:tc>
      </w:tr>
      <w:tr>
        <w:trPr>
          <w:trHeight w:val="215"/>
        </w:trPr>
        <w:tc>
          <w:tcPr>
            <w:tcW w:w="20" w:type="dxa"/>
            <w:vAlign w:val="bottom"/>
          </w:tcPr>
          <w:p>
            <w:pPr>
              <w:spacing w:after="0"/>
              <w:rPr>
                <w:sz w:val="18"/>
                <w:szCs w:val="18"/>
                <w:color w:val="auto"/>
              </w:rPr>
            </w:pPr>
          </w:p>
        </w:tc>
        <w:tc>
          <w:tcPr>
            <w:tcW w:w="8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48,121</w:t>
            </w:r>
          </w:p>
        </w:tc>
      </w:tr>
      <w:tr>
        <w:trPr>
          <w:trHeight w:val="208"/>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191,464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170,235</w:t>
            </w:r>
          </w:p>
        </w:tc>
      </w:tr>
    </w:tbl>
    <w:p>
      <w:pPr>
        <w:spacing w:after="0" w:line="19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Raw materials includes plasma and other materials expected to be used in the production of ASCENIV, BIVIGAM and Nabi-HB. These materials will be consumed in the production of goods expected to be available for sale or otherwise have alternative uses that provide a probable future benefit.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Work-in-process inventory primarily consists of bulk drug substance and unlabeled filled vials of the Company’s immunoglobulin products.</w:t>
      </w:r>
    </w:p>
    <w:p>
      <w:pPr>
        <w:spacing w:after="0" w:line="223"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spacing w:after="0" w:line="158" w:lineRule="exact"/>
        <w:rPr>
          <w:sz w:val="20"/>
          <w:szCs w:val="20"/>
          <w:color w:val="auto"/>
        </w:rPr>
      </w:pPr>
    </w:p>
    <w:p>
      <w:pPr>
        <w:ind w:left="500" w:hanging="493"/>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and related accumulated depreciation are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21,305</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computer software</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21,066</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25,483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88,259</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57,501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54,707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920" w:type="dxa"/>
            <w:vAlign w:val="bottom"/>
            <w:vMerge w:val="restart"/>
          </w:tcPr>
          <w:p>
            <w:pPr>
              <w:jc w:val="right"/>
              <w:ind w:right="245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42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280" w:type="dxa"/>
            <w:vAlign w:val="bottom"/>
            <w:tcBorders>
              <w:bottom w:val="single" w:sz="8" w:color="auto"/>
            </w:tcBorders>
          </w:tcPr>
          <w:p>
            <w:pPr>
              <w:spacing w:after="0"/>
              <w:rPr>
                <w:sz w:val="6"/>
                <w:szCs w:val="6"/>
                <w:color w:val="auto"/>
              </w:rPr>
            </w:pPr>
          </w:p>
        </w:tc>
        <w:tc>
          <w:tcPr>
            <w:tcW w:w="3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3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4" w:lineRule="exact"/>
        <w:rPr>
          <w:sz w:val="20"/>
          <w:szCs w:val="20"/>
          <w:color w:val="auto"/>
        </w:rPr>
      </w:pPr>
    </w:p>
    <w:p>
      <w:pPr>
        <w:ind w:right="20" w:firstLine="645"/>
        <w:spacing w:after="0" w:line="280"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for the three and six months ended June 30, 2025 of $2.0 million and $4.0 million, respectively, and $1.9 million and $3.8 million for the three and six months ended June 30, 2024, respectively.</w:t>
      </w:r>
    </w:p>
    <w:p>
      <w:pPr>
        <w:spacing w:after="0" w:line="158" w:lineRule="exact"/>
        <w:rPr>
          <w:sz w:val="20"/>
          <w:szCs w:val="20"/>
          <w:color w:val="auto"/>
        </w:rPr>
      </w:pPr>
    </w:p>
    <w:p>
      <w:pPr>
        <w:ind w:left="500" w:hanging="493"/>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EXPENSES AND OTHER CURRENT LIABILITIES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at June 30, 2025 and December 31, 2024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r>
      <w:tr>
        <w:trPr>
          <w:trHeight w:val="208"/>
        </w:trPr>
        <w:tc>
          <w:tcPr>
            <w:tcW w:w="5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4,155</w:t>
            </w: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distribution fees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11,565</w:t>
            </w: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incentives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5,892</w:t>
            </w: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testing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w:t>
            </w: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compensation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3,332</w:t>
            </w: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3,481</w:t>
            </w:r>
          </w:p>
        </w:tc>
      </w:tr>
      <w:tr>
        <w:trPr>
          <w:trHeight w:val="215"/>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17,491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1,853</w:t>
            </w:r>
          </w:p>
        </w:tc>
      </w:tr>
      <w:tr>
        <w:trPr>
          <w:trHeight w:val="208"/>
        </w:trPr>
        <w:tc>
          <w:tcPr>
            <w:tcW w:w="5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43,902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33,962</w:t>
            </w:r>
          </w:p>
        </w:tc>
      </w:tr>
      <w:tr>
        <w:trPr>
          <w:trHeight w:val="20"/>
        </w:trPr>
        <w:tc>
          <w:tcPr>
            <w:tcW w:w="5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As of June 30, 2025, Other accrued expenses include liability of $15.1 million related to share repurchases (none as of December 31, 2024), further discussed in Note 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4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51"/>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summary of outstanding senior notes payable is as follows: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0"/>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8"/>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20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p>
        </w:tc>
      </w:tr>
      <w:tr>
        <w:trPr>
          <w:trHeight w:val="215"/>
        </w:trPr>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32,500</w:t>
            </w:r>
          </w:p>
        </w:tc>
      </w:tr>
      <w:tr>
        <w:trPr>
          <w:trHeight w:val="215"/>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42,500</w:t>
            </w:r>
          </w:p>
        </w:tc>
      </w:tr>
      <w:tr>
        <w:trPr>
          <w:trHeight w:val="215"/>
        </w:trPr>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14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discount</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28"/>
        </w:trPr>
        <w:tc>
          <w:tcPr>
            <w:tcW w:w="6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payable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73,397</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72,337</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On December 18, 2023 (the “Ares Closing Date”), the Company and all of its subsidiaries entered into a new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w:t>
      </w:r>
    </w:p>
    <w:p>
      <w:pPr>
        <w:spacing w:after="0" w:line="145" w:lineRule="exact"/>
        <w:rPr>
          <w:sz w:val="20"/>
          <w:szCs w:val="20"/>
          <w:color w:val="auto"/>
        </w:rPr>
      </w:pPr>
    </w:p>
    <w:p>
      <w:pPr>
        <w:jc w:val="both"/>
        <w:ind w:firstLine="645"/>
        <w:spacing w:after="0" w:line="227" w:lineRule="exact"/>
        <w:rPr>
          <w:sz w:val="20"/>
          <w:szCs w:val="20"/>
          <w:color w:val="auto"/>
        </w:rPr>
      </w:pPr>
      <w:r>
        <w:rPr>
          <w:rFonts w:ascii="Times New Roman" w:cs="Times New Roman" w:eastAsia="Times New Roman" w:hAnsi="Times New Roman"/>
          <w:sz w:val="18"/>
          <w:szCs w:val="18"/>
          <w:color w:val="auto"/>
        </w:rPr>
        <w:t>Borrowings under the term loan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6.50% (the “Initial SOFR Term Loan Applicable Margin”). Borrowings under the revolving facility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3.75% (the “SOFR Revolving Facility Applicable Margin”). As of June 30, 2025 and December 31, 2024, the interest rate on the term loan was approximately 10.81% and 10.85%, respectively, and the interest rate on the revolving facility was approximately 8.05% and 8.34%,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4"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On the Ares Maturity Date, the Company is required to pay Ares the entire outstanding principal amount underlying the Ares term loan and revolving loan (together, the “Ares Loans”) and any accrued and unpaid interest thereon. Prior to the Ares Maturity Date, there are no scheduled principal payments on the Ares Loans. After giving effect to the principal payments made during the year ended December 31, 2024 and six months ended June 30, 2025, the Company is required to make quarterly interest payments to Ares of approximately $1.6 million. The Company may prepay the outstanding principal under the revolving facility, together with any accrued but unpaid interest on the prepaid principal amount, at any time and from time to time upon three business days’ prior written notice with no prepayment premium. However, in the event the Company pays down an aggregate amount under the revolving facility that is greater than 50% of the $72.5 million commitment amount, or $36,250,000, the Company will still be required to pay an amount of interest on the revolving facility that would have been payable had $36,250,000 been outstanding, through the Ares Maturity Date. The Company may prepay the outstanding principal on the term loan, together with any accrued but unpaid interest on the prepaid principal amount, at any time and from time to time upon three business days’ prior written notice, subject to the payment to Ares of a prepayment premium equal to (i) 1.5% of the prepaid principal amount, if prepaid after the first anniversary of the Ares Closing Date and on or prior to the second anniversary of the Ares Closing Date or (ii) 1.0% of the prepaid principal amount, if prepaid on or prior to the third anniversary of the Ares Closing Date. In May 2025, the Company repaid $30.0 million against the term loan using a draw of $30.0 million against the revolving credit facility made in May 2025, as a result of which, the Company recorded debt extinguishment losses of $1.2 million during the three and six months ended June 30, 2025.</w:t>
      </w:r>
    </w:p>
    <w:p>
      <w:pPr>
        <w:spacing w:after="0" w:line="194"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All of the Company’s obligations under the Ares Credit Agreement are secured by a first-priority lien and security interest in substantially all of the Company’s tangible and intangible assets, including intellectual property and all of the equity interests in the Company’s subsidiaries. The Ares Credit Agreement contains certain representations and warranties, affirmative covenants, negative covenants and conditions that are customarily required for similar debt financings. The negative covenants include certain financial covenants, including maximum total leverage ratios and a $15.0 million minimum liquidity covenant, and also restrict or limit the Company’s ability and the ability of the Company’s subsidiaries to, among other things and subject to certain exceptions contained in the Ares Credit Agreement, incur new indebtedness; create liens on assets; engage in certain fundamental corporate changes, such as mergers or acquisitions, or changes to the Company’s or the Company’s subsidiaries’ business activities; make certain Investments or Restricted Payments (each as defined in the Ares Credit Agreement); engage in certain affiliate transactions; or enter into, amend or terminate any other agreements that have the impact of restricting the Company’s ability to make loan repayments under the Ares Credit Agreement. As of June 30, 2025, the Company was in compliance with all of the covenants contained in the Ares Credit Agreement.</w:t>
      </w:r>
    </w:p>
    <w:p>
      <w:pPr>
        <w:spacing w:after="0" w:line="19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the Company will incur an increase in the rate of interest on the Ares Loans of 2% per annum.</w:t>
      </w:r>
    </w:p>
    <w:p>
      <w:pPr>
        <w:spacing w:after="0" w:line="173" w:lineRule="exact"/>
        <w:rPr>
          <w:sz w:val="20"/>
          <w:szCs w:val="20"/>
          <w:color w:val="auto"/>
        </w:rPr>
      </w:pPr>
    </w:p>
    <w:p>
      <w:pPr>
        <w:ind w:left="500" w:hanging="493"/>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Treasury Stock</w:t>
      </w:r>
    </w:p>
    <w:p>
      <w:pPr>
        <w:spacing w:after="0" w:line="22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May 2025, the Company’s board of directors (the “Board”) authorized a share repurchase program of up to $500.0 million of the Company’s outstanding shares of common stock (the “Repurchase Program”). The Repurchase Program does not obligate the Company to acquire any particular amount of its common stock, and may be modified, suspended, or terminated at any time at the Company’s discretion. The Repurchase Program has no expiration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common stock repurchase activity under the Repurchase Program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4240" w:type="dxa"/>
            <w:vAlign w:val="bottom"/>
            <w:tcBorders>
              <w:bottom w:val="single" w:sz="8" w:color="CCEEFF"/>
            </w:tcBorders>
            <w:vMerge w:val="continue"/>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shares repurchased</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15,148</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repurchased shares are included in treasury stock in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225" w:lineRule="exact"/>
        <w:rPr>
          <w:sz w:val="20"/>
          <w:szCs w:val="20"/>
          <w:color w:val="auto"/>
        </w:rPr>
      </w:pPr>
    </w:p>
    <w:p>
      <w:pPr>
        <w:ind w:right="400" w:firstLine="645"/>
        <w:spacing w:after="0" w:line="280" w:lineRule="auto"/>
        <w:rPr>
          <w:sz w:val="20"/>
          <w:szCs w:val="20"/>
          <w:color w:val="auto"/>
        </w:rPr>
      </w:pPr>
      <w:r>
        <w:rPr>
          <w:rFonts w:ascii="Times New Roman" w:cs="Times New Roman" w:eastAsia="Times New Roman" w:hAnsi="Times New Roman"/>
          <w:sz w:val="18"/>
          <w:szCs w:val="18"/>
          <w:color w:val="auto"/>
        </w:rPr>
        <w:t>The Company is currently authorized to issue up to 10 million shares of preferred stock, $0.0001, par value per share. There were no shares of preferred stock outstanding at June 30, 2025 and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22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As of June 30, 2025 and December 31, 2024, the Company was authorized to issue 300,000,000 shares of its common stock, $0.0001 par value per share, and 238,567,308 and 236,620,545 shares of common stock were outstanding as of June 30, 2025 and December 31, 2024, respectively. After giving effect to shares reserved for the issuance of warrants and for awards issued under the Company’s equity incentive plans, 37.5 million shares of common stock were available for issuance as of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5"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On January 7, 2025, affiliates of a former noteholder of the Company exercised warrants to purchase an aggregate of 966,554 shares of common stock on a cashless basis, and the Company issued 866,302 shares of common stock to these entities. On January 10, 2024, a former noteholder of the Company exercised a warrant to purchase 4 million shares of the Company’s common stock on a cashless basis and the Company issued 1,977,514 shares of common stock to this noteholder. On March 8, 2024, affiliates of a former noteholder exercised warrants to purchase an aggregate of 3,388,681 shares of the Company’s common stock on a cashless basis and the Company issued 2,482,205 shares of common stock to such noteholders. On March 14, 2024, an entity associated with another former noteholder of the Company exercised a warrant to purchase 169,651 shares of the Company’s common stock on a cashless basis and the Company issued 85,784 shares of common stock to this entity.</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On February 24, 2024, a warrant to purchase 34,800 shares of the Company’s common stock held by a former noteholder of the Company expired in accordance with its terms. At June 30, 2024 and December 31, 2023, the Company had outstanding warrants to purchase an aggregate of 3,122,350 and 12,502,906 shares, respectively, of common stock, with weighted-average exercise prices of $2.08 and $2.32 per share, respectively, with expiration dates ranging between October 2024 and May 2030.</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There were no outstanding warrants as of June 30, 2025 and outstanding warrants to purchase 966,554 shares of common stock as of December 31,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Plans</w:t>
      </w:r>
    </w:p>
    <w:p>
      <w:pPr>
        <w:spacing w:after="0" w:line="225"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six months ended June 30,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6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8"/>
        </w:trPr>
        <w:tc>
          <w:tcPr>
            <w:tcW w:w="85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8"/>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5.5 - 6.3 years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5.5 - 6.3 years</w:t>
            </w:r>
          </w:p>
        </w:tc>
      </w:tr>
      <w:tr>
        <w:trPr>
          <w:trHeight w:val="215"/>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5"/>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4.29-4.34%</w:t>
            </w:r>
          </w:p>
        </w:tc>
      </w:tr>
    </w:tbl>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option activity under the Company’s equity incentive plans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2024</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5,141,516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683,720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June 30, 2025</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4,816,543</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4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2,627,230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As of June 30, 2025, the Company had $11.1 million of unrecognized compensation expense related to options granted under the Company’s equity incentive plans, which is expected to be recognized over a weighted-average period of 2.9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RSUs generally vest annually over a period of four years for employees and semi-annually over a period of one year for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RSU activity and related information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8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37"/>
        </w:trPr>
        <w:tc>
          <w:tcPr>
            <w:tcW w:w="83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08"/>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5,745,990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r>
      <w:tr>
        <w:trPr>
          <w:trHeight w:val="215"/>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1,775,774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16.30</w:t>
            </w:r>
          </w:p>
        </w:tc>
      </w:tr>
      <w:tr>
        <w:trPr>
          <w:trHeight w:val="21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15"/>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(403,492)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r>
      <w:tr>
        <w:trPr>
          <w:trHeight w:val="208"/>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5,497,842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8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As of June 30, 2025, the Company had $44.4 million of unrecognized compensation expense related to unvested RSUs granted under the Company’s equity incentive plans, which is expected to be recognized over a weighted-average period of 3.2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for all awards granted under the Company’s equity incentive plans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3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3"/>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Company leases an office building and equipment from Areth, LLC (“Areth”) pursuant to an agreement for services effective as of January 1, 2016, as amended from time to time, and pays monthly rent on this facility in the amount of $10,000. Either party may terminate the agreement by providing the other party with one year’s prior written notice. Rent expense for the three and six months ended June 30, 2025 and 2024 amounted to $30,000 and $60,000, respectively. Areth is a company controlled by Dr. Jerrold B. Grossman, the Vice Chairman of the Board,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4"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purchased certain specialized equipment and repair services used for the collection and processing of source plasma from GenesisBPS in the amount of $0.1 million. Genesis is owned by Dr. Grossman and Adam Grossman.</w:t>
      </w:r>
    </w:p>
    <w:p>
      <w:pPr>
        <w:spacing w:after="0" w:line="158" w:lineRule="exact"/>
        <w:rPr>
          <w:sz w:val="20"/>
          <w:szCs w:val="20"/>
          <w:color w:val="auto"/>
        </w:rPr>
      </w:pPr>
    </w:p>
    <w:p>
      <w:pPr>
        <w:ind w:left="500" w:hanging="493"/>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Legal Matters</w:t>
      </w:r>
    </w:p>
    <w:p>
      <w:pPr>
        <w:spacing w:after="0" w:line="22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Commitments</w:t>
      </w:r>
    </w:p>
    <w:p>
      <w:pPr>
        <w:spacing w:after="0" w:line="225"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RSV plasma from up to five wholly owned ADMA plasma collection facilities. During 2015, the Company amended the 2011 Plasma Purchase Agreement to (i) allow the Company to collect its raw material RSV high-titer plasma from any number of wholly owned ADMA plasma collection facilities and (ii) allow the Company to purchase its raw material RSV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On December 10, 2018, the Company’s former contract manufacturer assigned its rights and obligations under the 2011 Plasma Purchase Agreement to Grifols Worldwide Operations Limited (“Grifols”) as its successor-in-interest, effective January 1, 2019. Effective October 1, 2024, the Company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if a specified liter amount of high-titer plasma is supplied to the Company in any 12-month period during the term of the A&amp;R Grifols Agreement.</w:t>
      </w:r>
    </w:p>
    <w:p>
      <w:pPr>
        <w:spacing w:after="0" w:line="191"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Effective August 6, 2024, the Company entered into a Plasma Purchase Agreement with KEDPlasma LLC (“KEDPlasma”) with a term expiring in July 2031, after which it may be renewed for an additional five-year period if agreed to by the parties (the “KEDPlasma Agreement”). Pursuant to the KEDPlasma Agreement, KEDPlasma supplies, on a non-exclusive basis, to ADMA BioManufacturing a minimum of 35,000 liters of RSV plasma annually commencing with the 12-month period ending July 31, 2026, with an escalating price per liter depending on the volume supplied in a given 12-month period. The price per liter of high-titer plasma supplied pursuant to the KEDPlasma Agreement is also scheduled to increase on an annual basis. Additionally, KEDPlasma will be entitled to receive a fixed bonus payment if a specified liter amount of RSV plasma is supplied to the Company in any 12-month period during the term of the KEDPlasma Agreement.</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Commitments</w:t>
      </w:r>
    </w:p>
    <w:p>
      <w:pPr>
        <w:spacing w:after="0" w:line="22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 connection with the FDA’s approval of ASCENIV on April 1, 2019, the Company is required to perform a pediatric study to evaluate the safety and efficacy of ASCENIV in children and adolescents. For the three and six months ended June 30, 2025, the Company incurred expenses related to this study in the amount of $0.3 million and $0.9 million, respectively. For the three and six months ended June 30, 2024, the Company incurred expenses related to this study in the amount of $0.4 million and $0.7 million, respectively. The study has been completed, and the Company submitted the ASCENIV pediatric indication for approval to the FDA during the second quarter of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w:t>
      </w:r>
    </w:p>
    <w:p>
      <w:pPr>
        <w:spacing w:after="0" w:line="225" w:lineRule="exact"/>
        <w:rPr>
          <w:sz w:val="20"/>
          <w:szCs w:val="20"/>
          <w:color w:val="auto"/>
        </w:rPr>
      </w:pPr>
    </w:p>
    <w:p>
      <w:pPr>
        <w:jc w:val="both"/>
        <w:ind w:right="20" w:firstLine="645"/>
        <w:spacing w:after="0" w:line="259"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2025. The Company does not anticipate recognizing any significant losses relating to these arrangements.</w:t>
      </w:r>
    </w:p>
    <w:p>
      <w:pPr>
        <w:spacing w:after="0" w:line="177" w:lineRule="exact"/>
        <w:rPr>
          <w:sz w:val="20"/>
          <w:szCs w:val="20"/>
          <w:color w:val="auto"/>
        </w:rPr>
      </w:pPr>
    </w:p>
    <w:p>
      <w:pPr>
        <w:ind w:left="500" w:hanging="493"/>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consists of ten plasma collection facilities located throughout the United States, all of which are operational, collecting plasma and currently hold FDA licenses. The Company defines its operating segments as those business units whose operating results are regularly reviewed by the chief operating decision maker (“CODM”) to analyze performance and allocate resources. While not considered an operating segment, the Corporate information included in the tables below consists of certain unallocated general and administrative overhead expenses and interest expense on the Company’s senior debt (see Note 6). The Company’s CODM is its President and Chief Executive Officer. For the Company’s two operating segments, the CODM uses income/loss before taxes as the measure of segment profit to determine the allocation of resources for each segment. Summarized financial information concerning reportable segments is shown in the following tables: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450"/>
              <w:spacing w:after="0" w:line="186" w:lineRule="exact"/>
              <w:rPr>
                <w:sz w:val="20"/>
                <w:szCs w:val="20"/>
                <w:color w:val="auto"/>
              </w:rPr>
            </w:pPr>
            <w:r>
              <w:rPr>
                <w:rFonts w:ascii="Times New Roman" w:cs="Times New Roman" w:eastAsia="Times New Roman" w:hAnsi="Times New Roman"/>
                <w:sz w:val="18"/>
                <w:szCs w:val="18"/>
                <w:b w:val="1"/>
                <w:bCs w:val="1"/>
                <w:color w:val="auto"/>
              </w:rPr>
              <w:t>ADMA</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416"/>
              <w:spacing w:after="0" w:line="186"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3"/>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121,948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54,757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44,059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397,390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revenue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439" w:right="33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2955" cy="13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53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682" w:hanging="682"/>
        <w:spacing w:after="0"/>
        <w:tabs>
          <w:tab w:leader="none" w:pos="68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5,868</w:t>
      </w:r>
    </w:p>
    <w:p>
      <w:pPr>
        <w:spacing w:after="0" w:line="38" w:lineRule="exact"/>
        <w:rPr>
          <w:rFonts w:ascii="Times New Roman" w:cs="Times New Roman" w:eastAsia="Times New Roman" w:hAnsi="Times New Roman"/>
          <w:sz w:val="17"/>
          <w:szCs w:val="17"/>
          <w:color w:val="auto"/>
        </w:rPr>
      </w:pPr>
    </w:p>
    <w:p>
      <w:pPr>
        <w:ind w:left="5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14,941</w:t>
      </w:r>
    </w:p>
    <w:p>
      <w:pPr>
        <w:spacing w:after="0" w:line="8" w:lineRule="exact"/>
        <w:rPr>
          <w:rFonts w:ascii="Times New Roman" w:cs="Times New Roman" w:eastAsia="Times New Roman" w:hAnsi="Times New Roman"/>
          <w:sz w:val="17"/>
          <w:szCs w:val="17"/>
          <w:color w:val="auto"/>
        </w:rPr>
      </w:pPr>
    </w:p>
    <w:p>
      <w:pPr>
        <w:ind w:left="6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1,405</w:t>
      </w:r>
    </w:p>
    <w:p>
      <w:pPr>
        <w:spacing w:after="0" w:line="20" w:lineRule="exact"/>
        <w:rPr>
          <w:sz w:val="20"/>
          <w:szCs w:val="20"/>
          <w:color w:val="auto"/>
        </w:rPr>
      </w:pPr>
    </w:p>
    <w:p>
      <w:pPr>
        <w:ind w:left="582" w:hanging="582"/>
        <w:spacing w:after="0"/>
        <w:tabs>
          <w:tab w:leader="none" w:pos="5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505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8" w:space="720"/>
            <w:col w:w="1182"/>
          </w:cols>
          <w:pgMar w:left="320" w:top="439" w:right="33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taxes:</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22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Unallocated interest income</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tc>
        <w:tc>
          <w:tcPr>
            <w:tcW w:w="19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Consolidated income before taxes</w:t>
            </w:r>
          </w:p>
        </w:tc>
        <w:tc>
          <w:tcPr>
            <w:tcW w:w="19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40,097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segment assets</w:t>
            </w:r>
          </w:p>
        </w:tc>
        <w:tc>
          <w:tcPr>
            <w:tcW w:w="22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(b)</w:t>
            </w:r>
          </w:p>
        </w:tc>
        <w:tc>
          <w:tcPr>
            <w:tcW w:w="1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160,990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1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right="360" w:hanging="453"/>
        <w:spacing w:after="0" w:line="280" w:lineRule="auto"/>
        <w:tabs>
          <w:tab w:leader="none" w:pos="2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57"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Primarily consists of cash and deferred tax assets.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450"/>
              <w:spacing w:after="0" w:line="186" w:lineRule="exact"/>
              <w:rPr>
                <w:sz w:val="20"/>
                <w:szCs w:val="20"/>
                <w:color w:val="auto"/>
              </w:rPr>
            </w:pPr>
            <w:r>
              <w:rPr>
                <w:rFonts w:ascii="Times New Roman" w:cs="Times New Roman" w:eastAsia="Times New Roman" w:hAnsi="Times New Roman"/>
                <w:sz w:val="18"/>
                <w:szCs w:val="18"/>
                <w:b w:val="1"/>
                <w:bCs w:val="1"/>
                <w:color w:val="auto"/>
              </w:rPr>
              <w:t>ADMA</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Plasma Collection</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27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BioManufacturing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Centers</w:t>
            </w: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235,665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236,715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108,463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81,792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397,390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revenue</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revenues</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439" w:right="33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2955" cy="136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53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588" w:hanging="588"/>
        <w:spacing w:after="0"/>
        <w:tabs>
          <w:tab w:leader="none" w:pos="58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11,911</w:t>
      </w:r>
    </w:p>
    <w:p>
      <w:pPr>
        <w:spacing w:after="0" w:line="38" w:lineRule="exact"/>
        <w:rPr>
          <w:rFonts w:ascii="Times New Roman" w:cs="Times New Roman" w:eastAsia="Times New Roman" w:hAnsi="Times New Roman"/>
          <w:sz w:val="17"/>
          <w:szCs w:val="17"/>
          <w:color w:val="auto"/>
        </w:rPr>
      </w:pPr>
    </w:p>
    <w:p>
      <w:pPr>
        <w:ind w:left="5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30,024</w:t>
      </w:r>
    </w:p>
    <w:p>
      <w:pPr>
        <w:spacing w:after="0" w:line="8" w:lineRule="exact"/>
        <w:rPr>
          <w:rFonts w:ascii="Times New Roman" w:cs="Times New Roman" w:eastAsia="Times New Roman" w:hAnsi="Times New Roman"/>
          <w:sz w:val="17"/>
          <w:szCs w:val="17"/>
          <w:color w:val="auto"/>
        </w:rPr>
      </w:pPr>
    </w:p>
    <w:p>
      <w:pPr>
        <w:ind w:left="6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4,357</w:t>
      </w:r>
    </w:p>
    <w:p>
      <w:pPr>
        <w:spacing w:after="0" w:line="20" w:lineRule="exact"/>
        <w:rPr>
          <w:sz w:val="20"/>
          <w:szCs w:val="20"/>
          <w:color w:val="auto"/>
        </w:rPr>
      </w:pPr>
    </w:p>
    <w:p>
      <w:pPr>
        <w:ind w:left="568" w:hanging="568"/>
        <w:spacing w:after="0"/>
        <w:tabs>
          <w:tab w:leader="none" w:pos="5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423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52" w:space="720"/>
            <w:col w:w="1168"/>
          </w:cols>
          <w:pgMar w:left="320" w:top="439" w:right="33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(loss) before taxes: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Unallocated interest income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Consolidated income before taxes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73,546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0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segment assets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(b)</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160,990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60" w:right="80" w:hanging="353"/>
        <w:spacing w:after="0" w:line="280" w:lineRule="auto"/>
        <w:tabs>
          <w:tab w:leader="none" w:pos="2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ADMA</w:t>
            </w: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70"/>
              <w:spacing w:after="0" w:line="186" w:lineRule="exact"/>
              <w:rPr>
                <w:sz w:val="20"/>
                <w:szCs w:val="20"/>
                <w:color w:val="auto"/>
              </w:rPr>
            </w:pPr>
            <w:r>
              <w:rPr>
                <w:rFonts w:ascii="Times New Roman" w:cs="Times New Roman" w:eastAsia="Times New Roman" w:hAnsi="Times New Roman"/>
                <w:sz w:val="18"/>
                <w:szCs w:val="18"/>
                <w:b w:val="1"/>
                <w:bCs w:val="1"/>
                <w:color w:val="auto"/>
                <w:w w:val="98"/>
              </w:rPr>
              <w:t>Plasma Collection</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ind w:left="27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BioManufacturing</w:t>
            </w:r>
          </w:p>
        </w:tc>
        <w:tc>
          <w:tcPr>
            <w:tcW w:w="100" w:type="dxa"/>
            <w:vAlign w:val="bottom"/>
          </w:tcPr>
          <w:p>
            <w:pPr>
              <w:spacing w:after="0"/>
              <w:rPr>
                <w:sz w:val="20"/>
                <w:szCs w:val="20"/>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106,183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107,155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49,738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45,462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291,701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revenue</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revenues</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439"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2955" cy="136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53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income (loss)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2955" cy="136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License revenue</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Unallocated interest expense, primarily related to interest on senior debt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2955" cy="136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Unallocated interest income</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53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income before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2955" cy="136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segment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Corporate (b)</w:t>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Consolidated total assets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682" w:hanging="682"/>
        <w:spacing w:after="0"/>
        <w:tabs>
          <w:tab w:leader="none" w:pos="6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4,504</w:t>
      </w:r>
    </w:p>
    <w:p>
      <w:pPr>
        <w:spacing w:after="0" w:line="26" w:lineRule="exact"/>
        <w:rPr>
          <w:rFonts w:ascii="Times New Roman" w:cs="Times New Roman" w:eastAsia="Times New Roman" w:hAnsi="Times New Roman"/>
          <w:sz w:val="18"/>
          <w:szCs w:val="18"/>
          <w:color w:val="auto"/>
        </w:rPr>
      </w:pPr>
    </w:p>
    <w:p>
      <w:pPr>
        <w:ind w:left="6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5,791</w:t>
      </w:r>
    </w:p>
    <w:p>
      <w:pPr>
        <w:spacing w:after="0" w:line="8" w:lineRule="exact"/>
        <w:rPr>
          <w:rFonts w:ascii="Times New Roman" w:cs="Times New Roman" w:eastAsia="Times New Roman" w:hAnsi="Times New Roman"/>
          <w:sz w:val="18"/>
          <w:szCs w:val="18"/>
          <w:color w:val="auto"/>
        </w:rPr>
      </w:pPr>
    </w:p>
    <w:p>
      <w:pPr>
        <w:ind w:left="6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6,313</w:t>
      </w:r>
    </w:p>
    <w:p>
      <w:pPr>
        <w:spacing w:after="0" w:line="8" w:lineRule="exact"/>
        <w:rPr>
          <w:sz w:val="20"/>
          <w:szCs w:val="20"/>
          <w:color w:val="auto"/>
        </w:rPr>
      </w:pPr>
    </w:p>
    <w:p>
      <w:pPr>
        <w:ind w:left="582" w:hanging="582"/>
        <w:spacing w:after="0"/>
        <w:tabs>
          <w:tab w:leader="none" w:pos="5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505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82" w:hanging="582"/>
        <w:spacing w:after="0"/>
        <w:tabs>
          <w:tab w:leader="none" w:pos="5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45,462</w:t>
      </w:r>
    </w:p>
    <w:p>
      <w:pPr>
        <w:spacing w:after="0" w:line="26" w:lineRule="exact"/>
        <w:rPr>
          <w:rFonts w:ascii="Times New Roman" w:cs="Times New Roman" w:eastAsia="Times New Roman" w:hAnsi="Times New Roman"/>
          <w:sz w:val="18"/>
          <w:szCs w:val="18"/>
          <w:color w:val="auto"/>
        </w:rPr>
      </w:pPr>
    </w:p>
    <w:p>
      <w:pPr>
        <w:ind w:left="9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(3,783)</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449</w:t>
      </w:r>
    </w:p>
    <w:p>
      <w:pPr>
        <w:spacing w:after="0" w:line="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(6,313)</w:t>
      </w:r>
    </w:p>
    <w:p>
      <w:pPr>
        <w:spacing w:after="0" w:line="8" w:lineRule="exact"/>
        <w:rPr>
          <w:sz w:val="20"/>
          <w:szCs w:val="20"/>
          <w:color w:val="auto"/>
        </w:rPr>
      </w:pPr>
    </w:p>
    <w:p>
      <w:pPr>
        <w:ind w:left="582" w:hanging="582"/>
        <w:spacing w:after="0"/>
        <w:tabs>
          <w:tab w:leader="none" w:pos="5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505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02" w:hanging="502"/>
        <w:spacing w:after="0"/>
        <w:tabs>
          <w:tab w:leader="none" w:pos="5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291,701</w:t>
      </w:r>
    </w:p>
    <w:p>
      <w:pPr>
        <w:spacing w:after="0" w:line="26" w:lineRule="exact"/>
        <w:rPr>
          <w:rFonts w:ascii="Times New Roman" w:cs="Times New Roman" w:eastAsia="Times New Roman" w:hAnsi="Times New Roman"/>
          <w:sz w:val="18"/>
          <w:szCs w:val="18"/>
          <w:color w:val="auto"/>
        </w:rPr>
      </w:pPr>
    </w:p>
    <w:p>
      <w:pPr>
        <w:ind w:left="5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505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ind w:left="502" w:hanging="502"/>
        <w:spacing w:after="0"/>
        <w:tabs>
          <w:tab w:leader="none" w:pos="5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505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505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7505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8" w:space="720"/>
            <w:col w:w="1182"/>
          </w:cols>
          <w:pgMar w:left="320" w:top="439" w:right="339" w:bottom="1440" w:gutter="0" w:footer="0" w:header="0"/>
          <w:type w:val="continuous"/>
        </w:sectPr>
      </w:pPr>
    </w:p>
    <w:p>
      <w:pPr>
        <w:spacing w:after="0" w:line="85" w:lineRule="exact"/>
        <w:rPr>
          <w:sz w:val="20"/>
          <w:szCs w:val="20"/>
          <w:color w:val="auto"/>
        </w:rPr>
      </w:pPr>
    </w:p>
    <w:p>
      <w:pPr>
        <w:ind w:left="360" w:right="80" w:hanging="353"/>
        <w:spacing w:after="0" w:line="280" w:lineRule="auto"/>
        <w:tabs>
          <w:tab w:leader="none" w:pos="23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450"/>
              <w:spacing w:after="0" w:line="186" w:lineRule="exact"/>
              <w:rPr>
                <w:sz w:val="20"/>
                <w:szCs w:val="20"/>
                <w:color w:val="auto"/>
              </w:rPr>
            </w:pPr>
            <w:r>
              <w:rPr>
                <w:rFonts w:ascii="Times New Roman" w:cs="Times New Roman" w:eastAsia="Times New Roman" w:hAnsi="Times New Roman"/>
                <w:sz w:val="18"/>
                <w:szCs w:val="18"/>
                <w:b w:val="1"/>
                <w:bCs w:val="1"/>
                <w:color w:val="auto"/>
              </w:rPr>
              <w:t>ADMA</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0"/>
              <w:spacing w:after="0" w:line="186" w:lineRule="exact"/>
              <w:rPr>
                <w:sz w:val="20"/>
                <w:szCs w:val="20"/>
                <w:color w:val="auto"/>
              </w:rPr>
            </w:pPr>
            <w:r>
              <w:rPr>
                <w:rFonts w:ascii="Times New Roman" w:cs="Times New Roman" w:eastAsia="Times New Roman" w:hAnsi="Times New Roman"/>
                <w:sz w:val="18"/>
                <w:szCs w:val="18"/>
                <w:b w:val="1"/>
                <w:bCs w:val="1"/>
                <w:color w:val="auto"/>
                <w:w w:val="98"/>
              </w:rPr>
              <w:t>Plasma Collection</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bottom w:val="single" w:sz="8" w:color="CCEEFF"/>
            </w:tcBorders>
          </w:tcPr>
          <w:p>
            <w:pPr>
              <w:ind w:left="27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BioManufacturing</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188,995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92,505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291,701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188,995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revenues</w:t>
            </w: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439" w:right="33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2955" cy="136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53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682" w:hanging="682"/>
        <w:spacing w:after="0"/>
        <w:tabs>
          <w:tab w:leader="none" w:pos="68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8,935</w:t>
      </w:r>
    </w:p>
    <w:p>
      <w:pPr>
        <w:spacing w:after="0" w:line="38" w:lineRule="exact"/>
        <w:rPr>
          <w:rFonts w:ascii="Times New Roman" w:cs="Times New Roman" w:eastAsia="Times New Roman" w:hAnsi="Times New Roman"/>
          <w:sz w:val="17"/>
          <w:szCs w:val="17"/>
          <w:color w:val="auto"/>
        </w:rPr>
      </w:pPr>
    </w:p>
    <w:p>
      <w:pPr>
        <w:ind w:left="5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11,140</w:t>
      </w:r>
    </w:p>
    <w:p>
      <w:pPr>
        <w:spacing w:after="0" w:line="8" w:lineRule="exact"/>
        <w:rPr>
          <w:rFonts w:ascii="Times New Roman" w:cs="Times New Roman" w:eastAsia="Times New Roman" w:hAnsi="Times New Roman"/>
          <w:sz w:val="17"/>
          <w:szCs w:val="17"/>
          <w:color w:val="auto"/>
        </w:rPr>
      </w:pPr>
    </w:p>
    <w:p>
      <w:pPr>
        <w:ind w:left="5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12,172</w:t>
      </w:r>
    </w:p>
    <w:p>
      <w:pPr>
        <w:spacing w:after="0" w:line="8" w:lineRule="exact"/>
        <w:rPr>
          <w:sz w:val="20"/>
          <w:szCs w:val="20"/>
          <w:color w:val="auto"/>
        </w:rPr>
      </w:pPr>
    </w:p>
    <w:p>
      <w:pPr>
        <w:ind w:left="582" w:hanging="582"/>
        <w:spacing w:after="0"/>
        <w:tabs>
          <w:tab w:leader="none" w:pos="5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505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8" w:space="720"/>
            <w:col w:w="1182"/>
          </w:cols>
          <w:pgMar w:left="320" w:top="439" w:right="33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(loss) before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Unallocated interest income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income before taxes</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0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segment assets</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291,701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60" w:right="80" w:hanging="353"/>
        <w:spacing w:after="0" w:line="280" w:lineRule="auto"/>
        <w:tabs>
          <w:tab w:leader="none" w:pos="2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according to geographic area, based on the location of where the product is shipped,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4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121,984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232,714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180,717</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8,349</w:t>
            </w: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121,984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236,786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189,066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u w:val="single" w:color="auto"/>
          <w:color w:val="auto"/>
        </w:rPr>
        <w:t>LEASE OBLIGATIONS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17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Aggregate lease expense for the Company’s leases for the three months ended June 30, 2025 and 2024 was approximately $0.6 million, and aggregate lease expense for the six months ended June 30, 2025 and 2024 was $1.2 million. Cash paid for the Company’s leases for the three months ended June 30, 2025 and 2024 was also approximately $0.6 million, and cash paid for the six months ended June 30, 2025 and 2024 was approximately $1.2 million.</w:t>
      </w:r>
    </w:p>
    <w:p>
      <w:pPr>
        <w:spacing w:after="0" w:line="192"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has aggregate lease liabilities of $10.4 million and $9.8 million as of June 30, 2025 and December 31, 2024, respectively, which are comprised primarily of the leases for the Company’s plasma collection centers and a warehouse lease for raw material storage related to the Company’s immunoglobulin manufacturing operations. As of June 30, 2025, the Company’s operating leases have a weighted-average remaining term of 6.4 years. Scheduled payments under the Company’s lease obligations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2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Remainder of 2025</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820" w:type="dxa"/>
            <w:vAlign w:val="bottom"/>
          </w:tcPr>
          <w:p>
            <w:pPr>
              <w:spacing w:after="0"/>
              <w:rPr>
                <w:sz w:val="17"/>
                <w:szCs w:val="17"/>
                <w:color w:val="auto"/>
              </w:rPr>
            </w:pPr>
          </w:p>
        </w:tc>
        <w:tc>
          <w:tcPr>
            <w:tcW w:w="2200" w:type="dxa"/>
            <w:vAlign w:val="bottom"/>
          </w:tcPr>
          <w:p>
            <w:pPr>
              <w:jc w:val="right"/>
              <w:ind w:right="470"/>
              <w:spacing w:after="0" w:line="197" w:lineRule="exact"/>
              <w:rPr>
                <w:sz w:val="20"/>
                <w:szCs w:val="20"/>
                <w:color w:val="auto"/>
              </w:rPr>
            </w:pPr>
            <w:r>
              <w:rPr>
                <w:rFonts w:ascii="Times New Roman" w:cs="Times New Roman" w:eastAsia="Times New Roman" w:hAnsi="Times New Roman"/>
                <w:sz w:val="18"/>
                <w:szCs w:val="18"/>
                <w:color w:val="auto"/>
              </w:rPr>
              <w:t>Year ended December</w:t>
            </w: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2,403</w:t>
            </w: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820" w:type="dxa"/>
            <w:vAlign w:val="bottom"/>
          </w:tcPr>
          <w:p>
            <w:pPr>
              <w:spacing w:after="0"/>
              <w:rPr>
                <w:sz w:val="20"/>
                <w:szCs w:val="20"/>
                <w:color w:val="auto"/>
              </w:rPr>
            </w:pPr>
          </w:p>
        </w:tc>
        <w:tc>
          <w:tcPr>
            <w:tcW w:w="2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31, 2026</w:t>
            </w: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2027</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2,376</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2028</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2,433</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2029</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2,463</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2030</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2,201</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Thereafter</w:t>
            </w:r>
          </w:p>
        </w:tc>
        <w:tc>
          <w:tcPr>
            <w:tcW w:w="2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2,296</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2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 payments</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15,400</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Less: imputed interest</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2200" w:type="dxa"/>
            <w:vAlign w:val="bottom"/>
            <w:tcBorders>
              <w:bottom w:val="single" w:sz="8" w:color="CCEEFF"/>
            </w:tcBorders>
          </w:tcPr>
          <w:p>
            <w:pPr>
              <w:jc w:val="right"/>
              <w:ind w:right="470"/>
              <w:spacing w:after="0"/>
              <w:rPr>
                <w:sz w:val="20"/>
                <w:szCs w:val="20"/>
                <w:color w:val="auto"/>
              </w:rPr>
            </w:pPr>
            <w:r>
              <w:rPr>
                <w:rFonts w:ascii="Times New Roman" w:cs="Times New Roman" w:eastAsia="Times New Roman" w:hAnsi="Times New Roman"/>
                <w:sz w:val="18"/>
                <w:szCs w:val="18"/>
                <w:color w:val="auto"/>
              </w:rPr>
              <w:t>Current portion</w:t>
            </w:r>
          </w:p>
        </w:tc>
        <w:tc>
          <w:tcPr>
            <w:tcW w:w="2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20" w:type="dxa"/>
            <w:vAlign w:val="bottom"/>
          </w:tcPr>
          <w:p>
            <w:pPr>
              <w:spacing w:after="0"/>
              <w:rPr>
                <w:sz w:val="15"/>
                <w:szCs w:val="15"/>
                <w:color w:val="auto"/>
              </w:rPr>
            </w:pPr>
          </w:p>
        </w:tc>
        <w:tc>
          <w:tcPr>
            <w:tcW w:w="2200" w:type="dxa"/>
            <w:vAlign w:val="bottom"/>
            <w:shd w:val="clear" w:color="auto" w:fill="CCEEFF"/>
          </w:tcPr>
          <w:p>
            <w:pPr>
              <w:jc w:val="right"/>
              <w:ind w:right="470"/>
              <w:spacing w:after="0" w:line="176" w:lineRule="exact"/>
              <w:rPr>
                <w:sz w:val="20"/>
                <w:szCs w:val="20"/>
                <w:color w:val="auto"/>
              </w:rPr>
            </w:pPr>
            <w:r>
              <w:rPr>
                <w:rFonts w:ascii="Times New Roman" w:cs="Times New Roman" w:eastAsia="Times New Roman" w:hAnsi="Times New Roman"/>
                <w:sz w:val="18"/>
                <w:szCs w:val="18"/>
                <w:color w:val="auto"/>
              </w:rPr>
              <w:t>Balance at June 30,</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9,301</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20" w:type="dxa"/>
            <w:vAlign w:val="bottom"/>
          </w:tcPr>
          <w:p>
            <w:pPr>
              <w:spacing w:after="0"/>
              <w:rPr>
                <w:sz w:val="19"/>
                <w:szCs w:val="19"/>
                <w:color w:val="auto"/>
              </w:rPr>
            </w:pPr>
          </w:p>
        </w:tc>
        <w:tc>
          <w:tcPr>
            <w:tcW w:w="220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720" w:type="dxa"/>
            <w:vAlign w:val="bottom"/>
            <w:vMerge w:val="restart"/>
          </w:tcPr>
          <w:p>
            <w:pPr>
              <w:jc w:val="right"/>
              <w:ind w:right="195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2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3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14" w:lineRule="exact"/>
        <w:rPr>
          <w:sz w:val="20"/>
          <w:szCs w:val="20"/>
          <w:color w:val="auto"/>
        </w:rPr>
      </w:pPr>
    </w:p>
    <w:p>
      <w:pPr>
        <w:ind w:left="500" w:hanging="493"/>
        <w:spacing w:after="0"/>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Company uses the estimated annual effective tax rate approach as prescribed by ASC 740-270, Interim Reporting, to calculate its interim provision for 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58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2025, differed from the federal statutory rate primarily due to the excess tax benefits on stock-based compensation. The effective tax rate for the three and six months ended June 30, 2024 differed from the federal statutory tax rate primarily due to the valuation allowance maintained on the Company's federal and state net deferred tax assets until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5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SUPPLEMENTAL DISCLOSURE OF CASH FLOW INFORMATION</w:t>
            </w:r>
          </w:p>
        </w:tc>
        <w:tc>
          <w:tcPr>
            <w:tcW w:w="2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500" w:type="dxa"/>
            <w:vAlign w:val="bottom"/>
          </w:tcPr>
          <w:p>
            <w:pPr>
              <w:spacing w:after="0"/>
              <w:rPr>
                <w:sz w:val="24"/>
                <w:szCs w:val="24"/>
                <w:color w:val="auto"/>
              </w:rPr>
            </w:pPr>
          </w:p>
        </w:tc>
        <w:tc>
          <w:tcPr>
            <w:tcW w:w="7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Supplemental cash flow information for the six months ended June 30, 2025 and 2024 is as follows:</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6"/>
        </w:trPr>
        <w:tc>
          <w:tcPr>
            <w:tcW w:w="8240" w:type="dxa"/>
            <w:vAlign w:val="bottom"/>
            <w:gridSpan w:val="4"/>
            <w:vMerge w:val="continue"/>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5"/>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5"/>
        </w:trPr>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Equipment acquired reflected in accounts payable and accrued liabilities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5"/>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treasury shares reflected in accrued liabilities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1"/>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SUBSEQUENT EVENTS</w:t>
            </w:r>
          </w:p>
        </w:tc>
        <w:tc>
          <w:tcPr>
            <w:tcW w:w="57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Expansion</w:t>
      </w:r>
    </w:p>
    <w:p>
      <w:pPr>
        <w:spacing w:after="0" w:line="22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July 2025, the Company acquired real estate in Boca Raton, FL consisting of 5 acres of land and a building for a total purchase price of $12.6 million, which is inclusive of deposits aggregating $0.5 million made in May 2025. This real estate purchase is intended to allow the Company to expand its production operations and related activities as well as provide for certain redundancies for ambient and cold-chain storage of raw materials, work in process and finished goods inventory.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Refinancing</w:t>
      </w:r>
    </w:p>
    <w:p>
      <w:pPr>
        <w:spacing w:after="0" w:line="22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On August 5, 2025 (the “JPM Closing Date”), the Company and all of the Company’s subsidiaries entered into a Credit Agreement (the “JPM Credit Agreement”) with the lenders party thereto and JPMorgan Chase Bank, N.A., as administrative agent. The JPM Credit Agreement provides for $300 million of senior secured credit facilities, consisting of (a) a term loan in the aggregate principal amount of $75 million (the “JPM Term Loan Facility”) and</w:t>
      </w:r>
    </w:p>
    <w:p>
      <w:pPr>
        <w:spacing w:after="0" w:line="1" w:lineRule="exact"/>
        <w:rPr>
          <w:sz w:val="20"/>
          <w:szCs w:val="20"/>
          <w:color w:val="auto"/>
        </w:rPr>
      </w:pPr>
    </w:p>
    <w:p>
      <w:pPr>
        <w:jc w:val="both"/>
        <w:ind w:firstLine="7"/>
        <w:spacing w:after="0" w:line="251" w:lineRule="auto"/>
        <w:tabs>
          <w:tab w:leader="none" w:pos="2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credit facility in the aggregate principal amount of $225 million (the “JPM Revolving Facility”). The Company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(the “JPM Revolving Maturity Date”).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On the JPM Closing Date, the Company used the proceeds of the JPM Credit Facilities to terminate and pay in full all of the outstanding obligations under the Ares Credit Facility, including the outstanding principal of all loans, all accrued and unpaid interest thereon, and any unpaid fees, charges, premiums (including prepayment premiums) and costs, and expenses related thereto. The Company expects to recognize debt extinguishment losses of approximately $2.0 million as a result of this repayment. The Company may also use the proceeds of the JPM Credit Facilities to finance share repurchases and for working capital and general corporate purposes.</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Interest on borrowings under the JPM Credit Facilities will accrue at an applicable rate equal to (i) an alternate base rate plus an applicable spread (each such borrowing, an “ABR Borrowing”) or (ii) Term SOFR plus an applicable spread (each such borrowing, a “Term Benchmark Borrowing”), in each case based on the lower of the applicable rates set forth in the JPM Credit Agreement, which are based on the Company’s total leverage ratio. These applicable spreads range from 150 basis points to 200 basis points over the alternate base rate and 250 basis points to 300 basis points over Term SOFR, in each case, as determined in accordance with the provisions of the JPM Credit Agreement. The Company has agreed to pay a commitment fee at specified rates set forth in the JPM Credit Agreement, which, based on the Company’s total leverage ratio, ranges from 30 basis points to 35 basis points on the daily amount of the undrawn portion of the aggregate commitments of the lenders under the JPM Revolving Facility. At the Company’s request, each borrowing initially shall be either an ABR Borrowing or a Term Benchmark Borrowing, and the Company may thereafter elect to convert any such borrowing to a different type. During the occurrence and continuance of an Event of Default (as defined in the JPM Credit Agreement), all borrowings shall accrue interest at a rate per annum equal to 2% plus the applicable rate.</w:t>
      </w:r>
    </w:p>
    <w:p>
      <w:pPr>
        <w:spacing w:after="0" w:line="19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On the JPM Revolving Maturity Date, the Company will repay the unpaid principal amount outstanding under the JPM Revolving Facility. Under the JPM Term Loan Facility, the Company will make principal payments in accordance with and on the dates specified in the amortization schedule set forth in the JPM Credit Agreement, with the remaining unpaid principal amount to be paid in full on the JPM Term Maturity Date. The Company may prepay at any time and from time to time any borrowing in whole or in part, without premium or penalty (other than, if applicable, any break funding expenses), subject to customary notice requirements.</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All of the Company’s obligations under the JPM Credit Agreement are secured by a first-priority lien and security interest in substantially all of the tangible and intangible assets, including intellectual property and equity interests, of the Company and all of its subsidiaries.</w:t>
      </w:r>
    </w:p>
    <w:p>
      <w:pPr>
        <w:spacing w:after="0" w:line="16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JPM Credit Agreement contains certain representations and warranties, affirmative covenants, negative covenants and conditions that are customarily required for similar financings. The negative covenants include certain financial covenants, including a maximum total leverage ratio of 2.50 to 1.00 and a minimum fixed charge coverage ratio of 1.20 to 1.00. The negative covenants also restrict or limit the Company’s ability and the ability of the Company’s subsidiaries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certain Restricted Payments (as defined in the JPM Credit Agreement); engage in certain affiliate transactions; enter into any other agreements that have the impact of restricting the Company’s ability to make loan repayments under the JPM Credit Agreement; or amend certain material documents.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which refers to our historical results, should be read in conjunction with the other sections of this Quarterly Report on Form 10-Q (this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2024, filed on March 18, 2025 (the “2024 10-K”). The various sections of this discussion contain a number of forward-looking statements, all of which are based on our current expectations and could be affected by the uncertainties and risk factors described throughout or referenced within this Form 10-Q. See “Special Note Regarding Forward-Looking Statements.” Our actual results may differ materially from our current expectations.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ADMA Biologics, Inc. (the “Company,” “ADMA,” “we,” “us” or “our”) is a U.S. based,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1"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in April 2019 and commenced first commercial sales in October 2019; (ii) BIVIGAM (Immune Globulin Intravenous, Human), an IVIG product indicated for the treatment of PI, and for which we received FDA approval in May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Nos. 10,259,865 and 11,084,870 related to methods of treatment and prevention of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infection for an immunoglobulin manufactured to contain standardized antibodies to numerous serotypes of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We have successfully completed production of a pilot-scale batch and are conducting animal studies for our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globulin program, SG-001. Our products and product candidates are intended to be used by physician specialists focused on caring for immune-compromised patients with or at risk for certain infectious diseases.</w:t>
      </w:r>
    </w:p>
    <w:p>
      <w:pPr>
        <w:spacing w:after="0" w:line="18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manufacture these products at our FDA-licensed, plasma fractionation and purification facility located in Boca Raton, FL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w:t>
      </w:r>
    </w:p>
    <w:p>
      <w:pPr>
        <w:spacing w:after="0" w:line="181"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Through our ADMA BioCenters subsidiary, we currently operate ten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Developments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For the year ended December 31, 2024, we achieved net income of $197.7 million, the first time in our history that we achieved net income on a GAAP basis, and we generated positive cash flow from operations of $118.7 million, the full details of which can be found in the 2024 10-K. Our improved operating results are primarily the result of the substantial revenue growth driven by the continued physician, patient and payer acceptance of ASCENIV.</w:t>
      </w:r>
    </w:p>
    <w:p>
      <w:pPr>
        <w:spacing w:after="0" w:line="17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April 2025, the FDA approved our Prior Approval Supplement (the “PAS”) for our innovative yield enhancement production process (the “Yield Enhancement”) benefiting both ASCENIV and BIVIGAM. This PAS approval amends the Biologic License Application (BLA) approvals for ASCENIV and BIVIGAM and is intended to be the process the Company will manufacture these products on a go-forward basis. The production methods approved in this PAS are expected to result in additional bulk drug yield from the same starting raw material source plasma volumes and the Company believes it should experience meaningful revenue and earnings accretion beginning as early as the second half of 2025 and accelerating further into 2026 and beyond. This innovative process has demonstrated an ability to increase ASCENIV and BIVIGAM production yields by approximately 20% from the same starting source plasma volume.</w:t>
      </w:r>
    </w:p>
    <w:p>
      <w:pPr>
        <w:spacing w:after="0" w:line="18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which includes numerous changes to existing tax law including extending or making permanent certain business provisions initially established under the 2017 Tax Cuts and Jobs Act, which were set to expire. The OBBBA permanently eliminates the requirement to capitalize and amortize U.S.-based research and experimental expenditures, making these expenditures fully deductible in the period incurred. The OBBBA also permanently extends recognition of the accelerated bonus depreciation on qualifying assets in the period acquired. We expect these provisions to result in a reduction of current income tax liabilities and a corresponding reduction to income tax expense. While we are still evaluating these and other changes contained in the law, we do not expect these changes to have a material effect on our financial statements, including our effective tax rate.</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As discussed above in Note 14 − Subsequent Events, to our condensed consolidated financial statements included in this Form 10-Q, in July 2025, we acquired real estate in Boca Raton, FL for a total purchase price of $12.6 million, which included deposits aggregating $0.5 million made in May 2025. This real estate purchase is intended to allow the Company to expand its production operations and related activities as well as provide for certain redundancies for ambient and cold-chain storage of raw materials, work in process and finished goods inventory.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ASCENIV</w:t>
      </w:r>
    </w:p>
    <w:p>
      <w:pPr>
        <w:spacing w:after="0" w:line="225"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in April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ASCENIV is approved for the treatment of PIDD or PI,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of 2019 and in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2024, which drove record utilization and pull-through for this product. These elevated demand trends have sustained into 2025, and we currently expect that this product’s rapid growth will continue throughout 2025 and beyond.</w:t>
      </w:r>
    </w:p>
    <w:p>
      <w:pPr>
        <w:spacing w:after="0" w:line="18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In June 2025, we filed our supplemental Biologics License Application (“sBLA”) for the expansion of ASCENIV’s label to include the pediatric setting for patients who are two years and older and we anticipate potential FDA approval in the first half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BIVIGAM</w:t>
      </w:r>
    </w:p>
    <w:p>
      <w:pPr>
        <w:spacing w:after="0" w:line="225"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8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May 2019, the FDA approved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2019.</w:t>
      </w:r>
    </w:p>
    <w:p>
      <w:pPr>
        <w:spacing w:after="0" w:line="181"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April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spacing w:after="0" w:line="181"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In December 2023, we announced that the FDA approved the expansion of BIVIGAM’s label in the United States to now include the pediatric setting for those two years of age and 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Nabi-HB</w:t>
      </w:r>
    </w:p>
    <w:p>
      <w:pPr>
        <w:spacing w:after="0" w:line="225"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in March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chargebacks deducted from gross revenues and estimates related to the Company’s effective tax rate.</w:t>
      </w:r>
    </w:p>
    <w:p>
      <w:pPr>
        <w:spacing w:after="0" w:line="18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Some of the estimates and assumptions we are required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our 2024 10-K. Estimates and assumptions used in projecting future liquidity and capital requirements are described in Note 1 to the condensed consolidated financial statements appearing elsewhere in this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Deductions for Rebates and Chargebacks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Our provision for income taxes and the determination of our effective tax rate are subject to significant judgment and complexity. We estimate our income tax expense based on enacted tax laws and statutory tax rates in the jurisdictions in which we operate, as well as our interpretation of relevant tax regulations. The effective tax rate includes the impact of various estimates and judgments. Changes in these estimates or in tax laws could significantly affect our effective tax rate and results of operations. Due to the complexity of tax regulations and the potential for differing interpretations, it is reasonably possible that the ultimate resolution of these matters could result in material adjustments to our effective tax rate in future periods.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three months ended June 30, 2025, compared to the three months ended June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00"/>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30"/>
              <w:spacing w:after="0" w:line="200" w:lineRule="exact"/>
              <w:rPr>
                <w:sz w:val="20"/>
                <w:szCs w:val="20"/>
                <w:color w:val="auto"/>
              </w:rPr>
            </w:pPr>
            <w:r>
              <w:rPr>
                <w:rFonts w:ascii="Times New Roman" w:cs="Times New Roman" w:eastAsia="Times New Roman" w:hAnsi="Times New Roman"/>
                <w:sz w:val="18"/>
                <w:szCs w:val="18"/>
                <w:b w:val="1"/>
                <w:bCs w:val="1"/>
                <w:color w:val="auto"/>
              </w:rPr>
              <w:t>Increase</w:t>
            </w:r>
          </w:p>
        </w:tc>
      </w:tr>
      <w:tr>
        <w:trPr>
          <w:trHeight w:val="237"/>
        </w:trPr>
        <w:tc>
          <w:tcPr>
            <w:tcW w:w="20" w:type="dxa"/>
            <w:vAlign w:val="bottom"/>
          </w:tcPr>
          <w:p>
            <w:pPr>
              <w:spacing w:after="0"/>
              <w:rPr>
                <w:sz w:val="20"/>
                <w:szCs w:val="20"/>
                <w:color w:val="auto"/>
              </w:rPr>
            </w:pPr>
          </w:p>
        </w:tc>
        <w:tc>
          <w:tcPr>
            <w:tcW w:w="6380" w:type="dxa"/>
            <w:vAlign w:val="bottom"/>
          </w:tcPr>
          <w:p>
            <w:pPr>
              <w:ind w:left="30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2"/>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121,984</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107,191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14,793</w:t>
            </w:r>
          </w:p>
        </w:tc>
      </w:tr>
      <w:tr>
        <w:trPr>
          <w:trHeight w:val="215"/>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54,757</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49,738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5,019</w:t>
            </w:r>
          </w:p>
        </w:tc>
      </w:tr>
      <w:tr>
        <w:trPr>
          <w:trHeight w:val="222"/>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67,227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9,774</w:t>
            </w: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28"/>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5"/>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22,214</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16,608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5,606</w:t>
            </w: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42,798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3,597</w:t>
            </w:r>
          </w:p>
        </w:tc>
      </w:tr>
      <w:tr>
        <w:trPr>
          <w:trHeight w:val="228"/>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15"/>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40,097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4,246</w:t>
            </w:r>
          </w:p>
        </w:tc>
      </w:tr>
      <w:tr>
        <w:trPr>
          <w:trHeight w:val="349"/>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5,878</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3,789</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r>
      <w:tr>
        <w:trPr>
          <w:trHeight w:val="215"/>
        </w:trPr>
        <w:tc>
          <w:tcPr>
            <w:tcW w:w="64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34,219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32,062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2,157</w:t>
            </w:r>
          </w:p>
        </w:tc>
      </w:tr>
      <w:tr>
        <w:trPr>
          <w:trHeight w:val="195"/>
        </w:trPr>
        <w:tc>
          <w:tcPr>
            <w:tcW w:w="64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5"/>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10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50,769</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6,224</w:t>
            </w: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r>
        <w:trPr>
          <w:trHeight w:val="411"/>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See Non-GAAP Financial Measures appearing at the end of this discussion</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645"/>
        <w:spacing w:after="0" w:line="269" w:lineRule="auto"/>
        <w:rPr>
          <w:sz w:val="20"/>
          <w:szCs w:val="20"/>
          <w:color w:val="auto"/>
        </w:rPr>
      </w:pPr>
      <w:r>
        <w:rPr>
          <w:rFonts w:ascii="Times New Roman" w:cs="Times New Roman" w:eastAsia="Times New Roman" w:hAnsi="Times New Roman"/>
          <w:sz w:val="17"/>
          <w:szCs w:val="17"/>
          <w:color w:val="auto"/>
        </w:rPr>
        <w:t>We recorded total revenues of $122.0 million for the three months ended June 30, 2025, as compared to $107.2 million for the three months ended June 30, 2024, an increase of $14.8 million, or approximately 14%. The increase is primarily related to increased sales volume of ASCENIV, as we experienced increased physician, payer and patient acceptance and utilization of this product. During the three months ended June 30, 2025, and as previously disclosed in our Form 10-Q for the three months ended March 31, 2025 that was filed with the Securities and Exchange Commission (the “SEC”) on May 7, 2025 (the "2025 1Q 10-Q"), we voluntarily withdrew three lots of BIVIGAM (such a withdrawal, hereinafter referred to as the “Voluntary Withdrawal”) as a precautionary measure. This resulted in a reduction in revenue of $0.2 million for credits issued to customers that were impacted by this Voluntary Withdrawal during the current period. This action was proactively initiated, and we believe this matter to be resolved. Excluding the $12.6 million adjustment we recorded in the second quarter of 2024 to decrease our accrual for U.S. Medicaid rebates (which had the effect of increasing 2024 revenues by $12.6 million), our second quarter 2025 revenue increased $27.4 million, or 29%, as compared to the second quarter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Cost of product revenue was $54.8 million for the three months ended June 30, 2025, as compared to $49.7 million for the three months ended June 30, 2024. This increase is primarily attributable to volume-driven increases in product revenue costs related to the increased sales of our IG products of $10.9 million, partially offset by $5.9 million of lower product revenue costs related to the reduction in plasma and intermediates sales.</w:t>
      </w:r>
    </w:p>
    <w:p>
      <w:pPr>
        <w:spacing w:after="0" w:line="17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2025, we had gross profit of $67.2 million, as compared to $57.5 million for the same period of a year ago, which represents a gross margin in the second quarter of 2025 of 55.1%, as compared to 53.6%, or 47.4% excluding the $12.6 million adjustment recorded in the second quarter of 2024 to decrease our accrual for U.S. Medicaid rebates (which had the effect of increasing 2024 revenue by $12.6 million) in the second quarter of 2024. This improvement in gross margin is primarily driven by a significantly more favorable mix of higher margin IG sales in 2025 as compared to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 xml:space="preserve">Research and development (“R&amp;D”) expenses totaled $1.0 million for the second quarter of 2025, as compared to $0.6 million for the second quarter of 2024. The increase is primarily due to expenses incurred during the second quarter related to our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globulin program, SG-001.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Plasma Center Operating Expenses increased from $0.9 million for the three months ended June 30, 2024 to $1.2 million for the three months ended June 30, 2025. The increase is primarily due to higher employee-related costs.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866"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Amortization expense mainly pertains to the amortization of internally developed software and was less than $0.1 million and $0.1 million for the three months ended June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$5.6 million to $22.2 million for the three months ended June 30, 2025, as compared to $16.6 million, for the three months ended June 30, 2024. The increase is primarily driven by higher compensation-related costs due to increased headcount to support the growth of our business and manufacturing operations. In addition, higher stock-based compensation costs, insurance premium costs and higher professional fees contributed to this increase.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Interest expense for the three months ended June 30, 2025 was $1.8 million, as compared to $3.8 million for the three months ended June 30, 2024, primarily driven by the decrease in debt balances due to principal repayments made in 2024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a result of the prepayment we made on our term loan in May 2025, we incurred a prepayment penalty in the amount of $0.5 million and recorded a partial write-down of unamortized debt discount of approximately $0.7 million, for a loss on this partial extinguishment of debt in the amount of $1.2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for the three months ended June 30, 2025 was $0.3 million, as compared to $0.4 million for the three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provision for income taxes of $5.9 million for the three months ended June 30, 2025 represented an effective tax rate of 14.7%, as compared to the provision of $3.8 million for the three months ended June 30, 2024, with an effective tax rate of 10.6%. As of June 30, 2024, the Company had a full valuation allowance for its net deferred tax assets, and the effective tax rate for the three months ended June 30, 2024 differed from the federal statutory tax rate of 21% primarily due to the recognition of deferred tax assets for the net operating losses. The Company released its valuation allowance in December 2024, and the effective tax rate for the three months ended June 30, 2025 differed from the federal statutory rate primarily due to the excess tax benefits on stock-based compensation.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22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six months ended June 30, 2025, compared to the six months ended June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0"/>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70"/>
              <w:spacing w:after="0" w:line="200" w:lineRule="exact"/>
              <w:rPr>
                <w:sz w:val="20"/>
                <w:szCs w:val="20"/>
                <w:color w:val="auto"/>
              </w:rPr>
            </w:pPr>
            <w:r>
              <w:rPr>
                <w:rFonts w:ascii="Times New Roman" w:cs="Times New Roman" w:eastAsia="Times New Roman" w:hAnsi="Times New Roman"/>
                <w:sz w:val="18"/>
                <w:szCs w:val="18"/>
                <w:b w:val="1"/>
                <w:bCs w:val="1"/>
                <w:color w:val="auto"/>
              </w:rPr>
              <w:t>Increase</w:t>
            </w:r>
          </w:p>
        </w:tc>
      </w:tr>
      <w:tr>
        <w:trPr>
          <w:trHeight w:val="237"/>
        </w:trPr>
        <w:tc>
          <w:tcPr>
            <w:tcW w:w="20" w:type="dxa"/>
            <w:vAlign w:val="bottom"/>
          </w:tcPr>
          <w:p>
            <w:pPr>
              <w:spacing w:after="0"/>
              <w:rPr>
                <w:sz w:val="20"/>
                <w:szCs w:val="20"/>
                <w:color w:val="auto"/>
              </w:rPr>
            </w:pPr>
          </w:p>
        </w:tc>
        <w:tc>
          <w:tcPr>
            <w:tcW w:w="6400" w:type="dxa"/>
            <w:vAlign w:val="bottom"/>
          </w:tcPr>
          <w:p>
            <w:pPr>
              <w:ind w:left="30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2"/>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236,786</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189,066</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47,720</w:t>
            </w: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108,463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92,505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15,958</w:t>
            </w:r>
          </w:p>
        </w:tc>
      </w:tr>
      <w:tr>
        <w:trPr>
          <w:trHeight w:val="222"/>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128,323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96,561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31,762</w:t>
            </w:r>
          </w:p>
        </w:tc>
      </w:tr>
      <w:tr>
        <w:trPr>
          <w:trHeight w:val="228"/>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r>
      <w:tr>
        <w:trPr>
          <w:trHeight w:val="228"/>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r>
      <w:tr>
        <w:trPr>
          <w:trHeight w:val="228"/>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46,292</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32,247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14,045</w:t>
            </w: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77,678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16,656</w:t>
            </w:r>
          </w:p>
        </w:tc>
      </w:tr>
      <w:tr>
        <w:trPr>
          <w:trHeight w:val="296"/>
        </w:trPr>
        <w:tc>
          <w:tcPr>
            <w:tcW w:w="20" w:type="dxa"/>
            <w:vAlign w:val="bottom"/>
          </w:tcPr>
          <w:p>
            <w:pPr>
              <w:spacing w:after="0"/>
              <w:rPr>
                <w:sz w:val="24"/>
                <w:szCs w:val="2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3,743</w:t>
            </w:r>
          </w:p>
        </w:tc>
      </w:tr>
      <w:tr>
        <w:trPr>
          <w:trHeight w:val="228"/>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73,546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19,294</w:t>
            </w:r>
          </w:p>
        </w:tc>
      </w:tr>
      <w:tr>
        <w:trPr>
          <w:trHeight w:val="349"/>
        </w:trPr>
        <w:tc>
          <w:tcPr>
            <w:tcW w:w="20" w:type="dxa"/>
            <w:vAlign w:val="bottom"/>
          </w:tcPr>
          <w:p>
            <w:pPr>
              <w:spacing w:after="0"/>
              <w:rPr>
                <w:sz w:val="24"/>
                <w:szCs w:val="2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12,424</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4,384</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8,040</w:t>
            </w:r>
          </w:p>
        </w:tc>
      </w:tr>
      <w:tr>
        <w:trPr>
          <w:trHeight w:val="215"/>
        </w:trPr>
        <w:tc>
          <w:tcPr>
            <w:tcW w:w="64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61,122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49,868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11,254</w:t>
            </w:r>
          </w:p>
        </w:tc>
      </w:tr>
      <w:tr>
        <w:trPr>
          <w:trHeight w:val="195"/>
        </w:trPr>
        <w:tc>
          <w:tcPr>
            <w:tcW w:w="64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5"/>
        </w:trPr>
        <w:tc>
          <w:tcPr>
            <w:tcW w:w="20" w:type="dxa"/>
            <w:vAlign w:val="bottom"/>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10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98,706</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70,969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27,737</w:t>
            </w: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r>
        <w:trPr>
          <w:trHeight w:val="411"/>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See Non-GAAP Financial Measures appearing at the end of this discussion</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We recorded total revenues of $236.8 million for the six months ended June 30, 2025, as compared to $189.1 million for the six months ended June 30, 2024, an increase of $47.7 million, or approximately 25%. The increase is primarily related to increased sales volume of ASCENIV, as we experienced increased physician, payer and patient acceptance and utilization of this product. During the six months ended June 30, 2025, and as previously disclosed in the 2025 1Q 10-Q, we effected the Voluntary Withdrawal as a precautionary measure. This resulted in a reduction in revenue of $4.0 million for credits issued to customers that were impacted by this Voluntary Withdrawal during the current period. This action was proactively initiated, and we believe this matter to be resolved. Excluding the $12.6 million adjustment we recorded in the second quarter of 2024 to decrease our accrual for U.S. Medicaid rebates (which had the effect of increasing 2024 revenues by $12.6 million), our revenues for the six months ended June 30, 2025 increased $60.3 million, or 34%, as compared to the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Cost of product revenue was $108.5 million for the six months ended June 30, 2025, as compared to $92.5 million for the six months ended June 30, 2024. This increase is primarily attributable to volume-driven increases in product revenue costs related to the increased sales of our IG products of $23.9 million, partially offset by $8.0 million of lower product revenue costs related to the reduction in plasma and intermediates sales.</w:t>
      </w:r>
    </w:p>
    <w:p>
      <w:pPr>
        <w:spacing w:after="0" w:line="17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we had gross profit of $128.3 million, as compared to $96.6 million for the same period of a year ago, which represents a gross margin in 2025 of 54.2%, as compared to 51.1%, or 47.6% when excluding the $12.6 million adjustment recorded in the second quarter of 2024 to decrease our accrual for U.S. Medicaid rebates (which had the effect of increasing 2024 revenue by $12.6 million) in the same period of 2024. This improvement in gross margin is primarily driven by a significantly more favorable mix of higher margin IG sales in 2025 as compared to 2024, along with the operational efficiencies achieved resulting in a reduction in other manufacturing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 xml:space="preserve">Research and development (“R&amp;D”) expenses totaled $1.9 million for the six months ended June 30, 2025, as compared to $1.0 million for the six months ended June 30, 2024. The increase is primarily due to expenses incurred in 2025 related to the ASCENIV pediatric study and our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globulin program, SG-001.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Plasma Center Operating Expenses increased from $1.9 million for the six months ended June 30, 2024 to $2.4 million for the six months ended June 30, 2025. The increase is primarily due to an increase in employee-related costs of $0.5 million.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014"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Amortization expense mainly pertains to the amortization of internally developed software and was $0.1 million and $0.3 million for the six months ended June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$14.0 million to $46.3 million for the six months ended June 30, 2025, as compared to $32.2 million, for the six months ended June 30, 2024. The increase is primarily driven by higher compensation-related costs due to increased headcount to support the growth of our business and manufacturing operations. In addition, higher stock-based compensation costs, insurance premium costs and higher professional fees contributed to this increase.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Interest expense for the six months ended June 30, 2025 was $3.8 million, as compared to $7.6 million for the six months ended June 30, 2024, primarily driven by the decrease in debt balances due to principal repayments made in 2024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a result of the prepayment we made on our term loan in May 2025, we incurred a prepayment penalty in the amount of $0.5 million and recorded a partial write-down of unamortized debt discount of approximately $0.7 million, for a loss on this partial extinguishment of debt in the amount of $1.2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was $0.8 million during the six months ended June 30, 2025 and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7" w:lineRule="exact"/>
        <w:rPr>
          <w:sz w:val="20"/>
          <w:szCs w:val="20"/>
          <w:color w:val="auto"/>
        </w:rPr>
      </w:pPr>
    </w:p>
    <w:p>
      <w:pPr>
        <w:jc w:val="both"/>
        <w:ind w:firstLine="645"/>
        <w:spacing w:after="0" w:line="275" w:lineRule="auto"/>
        <w:rPr>
          <w:sz w:val="20"/>
          <w:szCs w:val="20"/>
          <w:color w:val="auto"/>
        </w:rPr>
      </w:pPr>
      <w:r>
        <w:rPr>
          <w:rFonts w:ascii="Times New Roman" w:cs="Times New Roman" w:eastAsia="Times New Roman" w:hAnsi="Times New Roman"/>
          <w:sz w:val="17"/>
          <w:szCs w:val="17"/>
          <w:color w:val="auto"/>
        </w:rPr>
        <w:t>The provision for income taxes of $12.4 million for the six months ended June 30, 2025, represented an effective tax rate of 16.9%, as compared to $4.4 million for the six months ended June 30, 2024, with an effective tax rate of 8.1%. As of June 30, 2024, the Company had a full valuation allowance for its net deferred tax assets, and the effective tax rate for the six months ended June 30, 2024 differed from the federal statutory tax rate of 21% primarily due to the recognition of deferred tax assets for the net operating losses. The Company released its valuation allowance in December 2024, and the effective tax rate for the six months ended June 30, 2025 differed from the federal statutory rate primarily due to the excess tax benefits on stock-based compensation.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 (“EBITDA”), Adjusted EBITDA and Adjusted Net Income</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EBITDA, Adjusted EBITDA and Adjusted net income are important non-GAAP financial measures used by our management and Board to assess our operating performance. We use EBITDA, Adjusted EBITDA and Adjusted net income as key performance measures because we believe that they facilitate operating performance comparisons from period to period that exclude, in the case of Adjusted net income, items that are expected to be non-recurring,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income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income to net income, the most directly comparable financial measure calculated and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Because EBITDA, Adjusted EBITDA and Adjusted net income are measures not deemed to be in accordance with U.S. GAAP and are susceptible to varying calculations, our EBITDA, Adjusted EBITDA and Adjusted net income may not be comparable to similarly titled measures of other companies, including companies in our industry, because other companies may calculate EBITDA, Adjusted EBITDA and Adjusted net income in a different manner than we calculate these measurements. Although the Company uses Adjusted EBITDA as one of several financial measures to assess its operating performance, its use is limited as it excludes certain significant operating expenses. EBITDA, Adjusted EBITDA and Adjusted net income are not intended to represent cash flows for the periods presented, nor have they been presented as an alternative to operating income, net income or as an indicator of operating performance and should not be considered in isolation or as a substitute for measures of performance prepared in accordance with U.S. GAAP. The following table presents the reconciliation of net income to EBITDA and Adjusted EBITDA for the three and six months ended June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8"/>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2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2"/>
              </w:rPr>
              <w:t>thousands, except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share and per share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data)</w:t>
            </w:r>
          </w:p>
        </w:tc>
        <w:tc>
          <w:tcPr>
            <w:tcW w:w="8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34,219</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32,062</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61,122</w:t>
            </w:r>
          </w:p>
        </w:tc>
        <w:tc>
          <w:tcPr>
            <w:tcW w:w="5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49,868</w:t>
            </w:r>
          </w:p>
        </w:tc>
      </w:tr>
      <w:tr>
        <w:trPr>
          <w:trHeight w:val="228"/>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3,826</w:t>
            </w:r>
          </w:p>
        </w:tc>
      </w:tr>
      <w:tr>
        <w:trPr>
          <w:trHeight w:val="228"/>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r>
      <w:tr>
        <w:trPr>
          <w:trHeight w:val="228"/>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12,424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4,384</w:t>
            </w:r>
          </w:p>
        </w:tc>
      </w:tr>
      <w:tr>
        <w:trPr>
          <w:trHeight w:val="215"/>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7,552</w:t>
            </w: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43,990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41,682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81,382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65,965</w:t>
            </w:r>
          </w:p>
        </w:tc>
      </w:tr>
      <w:tr>
        <w:trPr>
          <w:trHeight w:val="228"/>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5,004</w:t>
            </w:r>
          </w:p>
        </w:tc>
      </w:tr>
      <w:tr>
        <w:trPr>
          <w:trHeight w:val="228"/>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credits related to the Voluntary Withdrawal</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 enhancement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professional fees (pre-tax) (a)</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50,769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44,545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98,706</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70,969</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220" w:hanging="213"/>
        <w:spacing w:after="0"/>
        <w:tabs>
          <w:tab w:leader="none" w:pos="220" w:val="left"/>
        </w:tabs>
        <w:numPr>
          <w:ilvl w:val="0"/>
          <w:numId w:val="3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Non-recurring professional fees represent incremental costs associated with a vendor change that we do not expect to incur in future periods.</w:t>
      </w:r>
    </w:p>
    <w:p>
      <w:pPr>
        <w:spacing w:after="0" w:line="196" w:lineRule="exact"/>
        <w:rPr>
          <w:sz w:val="20"/>
          <w:szCs w:val="20"/>
          <w:color w:val="auto"/>
        </w:rPr>
      </w:pPr>
    </w:p>
    <w:p>
      <w:pPr>
        <w:ind w:right="20" w:firstLine="645"/>
        <w:spacing w:after="0" w:line="280" w:lineRule="auto"/>
        <w:rPr>
          <w:sz w:val="20"/>
          <w:szCs w:val="20"/>
          <w:color w:val="auto"/>
        </w:rPr>
      </w:pPr>
      <w:r>
        <w:rPr>
          <w:rFonts w:ascii="Times New Roman" w:cs="Times New Roman" w:eastAsia="Times New Roman" w:hAnsi="Times New Roman"/>
          <w:sz w:val="18"/>
          <w:szCs w:val="18"/>
          <w:color w:val="auto"/>
        </w:rPr>
        <w:t>Adjusted EBITDA increased for the three and six months ended June 30, 2025, as compared to the same periods of a year ago, by $6.2 million and $27.7 million, respectively. The improvement is primarily due to the increased sales and gross profit in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to Adjusted net income for the three and six months ended June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430"/>
        </w:trPr>
        <w:tc>
          <w:tcPr>
            <w:tcW w:w="6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49"/>
        </w:trPr>
        <w:tc>
          <w:tcPr>
            <w:tcW w:w="6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61,122</w:t>
            </w:r>
          </w:p>
        </w:tc>
      </w:tr>
      <w:tr>
        <w:trPr>
          <w:trHeight w:val="25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modifications (pre-tax)</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r>
      <w:tr>
        <w:trPr>
          <w:trHeight w:val="2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credits related to the Voluntary Withdrawal (pre-tax)</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4,001</w:t>
            </w:r>
          </w:p>
        </w:tc>
      </w:tr>
      <w:tr>
        <w:trPr>
          <w:trHeight w:val="25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 (pre-tax)</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r>
      <w:tr>
        <w:trPr>
          <w:trHeight w:val="2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 Enhancement (pre-tax)</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r>
      <w:tr>
        <w:trPr>
          <w:trHeight w:val="276"/>
        </w:trPr>
        <w:tc>
          <w:tcPr>
            <w:tcW w:w="6100" w:type="dxa"/>
            <w:vAlign w:val="bottom"/>
            <w:tcBorders>
              <w:bottom w:val="single" w:sz="8" w:color="CCEEFF"/>
            </w:tcBorders>
          </w:tcPr>
          <w:p>
            <w:pPr>
              <w:spacing w:after="0" w:line="269" w:lineRule="exact"/>
              <w:rPr>
                <w:sz w:val="20"/>
                <w:szCs w:val="20"/>
                <w:color w:val="auto"/>
              </w:rPr>
            </w:pPr>
            <w:r>
              <w:rPr>
                <w:rFonts w:ascii="Times New Roman" w:cs="Times New Roman" w:eastAsia="Times New Roman" w:hAnsi="Times New Roman"/>
                <w:sz w:val="18"/>
                <w:szCs w:val="18"/>
                <w:color w:val="auto"/>
              </w:rPr>
              <w:t xml:space="preserve">Non-recurring professional fees (pre-tax) </w:t>
            </w:r>
            <w:r>
              <w:rPr>
                <w:rFonts w:ascii="Times New Roman" w:cs="Times New Roman" w:eastAsia="Times New Roman" w:hAnsi="Times New Roman"/>
                <w:sz w:val="29"/>
                <w:szCs w:val="29"/>
                <w:color w:val="auto"/>
                <w:vertAlign w:val="superscript"/>
              </w:rPr>
              <w:t>(a)</w:t>
            </w:r>
          </w:p>
        </w:tc>
        <w:tc>
          <w:tcPr>
            <w:tcW w:w="1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r>
      <w:tr>
        <w:trPr>
          <w:trHeight w:val="262"/>
        </w:trPr>
        <w:tc>
          <w:tcPr>
            <w:tcW w:w="610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28"/>
                <w:szCs w:val="28"/>
                <w:b w:val="1"/>
                <w:bCs w:val="1"/>
                <w:color w:val="auto"/>
                <w:vertAlign w:val="superscript"/>
              </w:rPr>
              <w:t>(b)</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69,333</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260" w:hanging="253"/>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professional fees represent incremental costs associated with a vendor change that we do not expect to incur in future periods.</w:t>
      </w:r>
    </w:p>
    <w:p>
      <w:pPr>
        <w:spacing w:after="0" w:line="22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estimated tax effect of the add-backs of $0.3 and $1.4 million for the three and six months ended June 30, 2025, respectively.</w:t>
      </w:r>
    </w:p>
    <w:p>
      <w:pPr>
        <w:spacing w:after="0" w:line="218" w:lineRule="exact"/>
        <w:rPr>
          <w:rFonts w:ascii="Times New Roman" w:cs="Times New Roman" w:eastAsia="Times New Roman" w:hAnsi="Times New Roman"/>
          <w:sz w:val="18"/>
          <w:szCs w:val="18"/>
          <w:color w:val="auto"/>
        </w:rPr>
      </w:pPr>
    </w:p>
    <w:p>
      <w:pPr>
        <w:ind w:left="3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At June 30, 2025, we had working capital of $324.6 million, primarily consisting of $191.5 million of inventory, cash and cash equivalents of $90.3 million and $109.7 million of accounts receivable, partially offset by current liabilities of $74.9 million, as compared to working capital at December 31, 2024 of $275.9 million, primarily consisting of $170.2 million of inventory, cash and cash equivalents of $103.1 million and accounts receivable of $50.0 million, partially offset by current liabilities of $55.5 million. Our material cash requirements are primarily comprised of:</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ind w:left="1300"/>
        <w:spacing w:after="0" w:line="272" w:lineRule="auto"/>
        <w:rPr>
          <w:sz w:val="20"/>
          <w:szCs w:val="20"/>
          <w:color w:val="auto"/>
        </w:rPr>
      </w:pPr>
      <w:r>
        <w:rPr>
          <w:rFonts w:ascii="Times New Roman" w:cs="Times New Roman" w:eastAsia="Times New Roman" w:hAnsi="Times New Roman"/>
          <w:sz w:val="18"/>
          <w:szCs w:val="18"/>
          <w:color w:val="auto"/>
        </w:rPr>
        <w:t>The collection and procurement of raw material source plasma, which includes plasma donor fees and plasma center supplies, and other raw materials necessary to maintain and scale up our manufacturing operations; Employee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-247015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25400</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4" w:lineRule="exact"/>
        <w:rPr>
          <w:sz w:val="20"/>
          <w:szCs w:val="20"/>
          <w:color w:val="auto"/>
        </w:rPr>
      </w:pPr>
    </w:p>
    <w:p>
      <w:pPr>
        <w:ind w:left="1300" w:right="100"/>
        <w:spacing w:after="0" w:line="249" w:lineRule="auto"/>
        <w:rPr>
          <w:sz w:val="20"/>
          <w:szCs w:val="20"/>
          <w:color w:val="auto"/>
        </w:rPr>
      </w:pPr>
      <w:r>
        <w:rPr>
          <w:rFonts w:ascii="Times New Roman" w:cs="Times New Roman" w:eastAsia="Times New Roman" w:hAnsi="Times New Roman"/>
          <w:sz w:val="18"/>
          <w:szCs w:val="18"/>
          <w:color w:val="auto"/>
        </w:rPr>
        <w:t>Capital expenditures for equipment upgrades and capacity expansion at the Boca Facility and to maintain our plasma collection facilities; Interest on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-233680</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-97155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right="4080"/>
        <w:spacing w:after="0" w:line="249" w:lineRule="auto"/>
        <w:rPr>
          <w:sz w:val="20"/>
          <w:szCs w:val="20"/>
          <w:color w:val="auto"/>
        </w:rPr>
      </w:pPr>
      <w:r>
        <w:rPr>
          <w:rFonts w:ascii="Times New Roman" w:cs="Times New Roman" w:eastAsia="Times New Roman" w:hAnsi="Times New Roman"/>
          <w:sz w:val="18"/>
          <w:szCs w:val="18"/>
          <w:color w:val="auto"/>
        </w:rPr>
        <w:t>Marketing programs, medical education and continued commercialization efforts; The Boca Facility maintenance, improvements, repairs and supplies; Research and development activities;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-370205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-233680</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-97155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300"/>
        <w:spacing w:after="0" w:line="258" w:lineRule="auto"/>
        <w:rPr>
          <w:sz w:val="20"/>
          <w:szCs w:val="20"/>
          <w:color w:val="auto"/>
        </w:rPr>
      </w:pPr>
      <w:r>
        <w:rPr>
          <w:rFonts w:ascii="Times New Roman" w:cs="Times New Roman" w:eastAsia="Times New Roman" w:hAnsi="Times New Roman"/>
          <w:sz w:val="18"/>
          <w:szCs w:val="18"/>
          <w:color w:val="auto"/>
        </w:rPr>
        <w:t>Continuous improvements and updates to our IT infrastructure, laboratory equipment and assays, and facilities and engineering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-243840</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As discussed above in Note 14 − Subsequent Events, to our condensed consolidated financial statements included in this Form 10-Q, in July 2025, we acquired real estate in Boca Raton, FL for a total purchase price of $12.6 million, which included deposits aggregating $0.5 million made in May 2025. This property was purchased to add redundancies, expand operations and prepare for future growth opportunities. 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spacing w:after="0" w:line="186" w:lineRule="exact"/>
        <w:rPr>
          <w:sz w:val="20"/>
          <w:szCs w:val="20"/>
          <w:color w:val="auto"/>
        </w:rPr>
      </w:pPr>
    </w:p>
    <w:p>
      <w:pPr>
        <w:jc w:val="both"/>
        <w:ind w:firstLine="645"/>
        <w:spacing w:after="0" w:line="275" w:lineRule="auto"/>
        <w:rPr>
          <w:sz w:val="20"/>
          <w:szCs w:val="20"/>
          <w:color w:val="auto"/>
        </w:rPr>
      </w:pPr>
      <w:r>
        <w:rPr>
          <w:rFonts w:ascii="Times New Roman" w:cs="Times New Roman" w:eastAsia="Times New Roman" w:hAnsi="Times New Roman"/>
          <w:sz w:val="17"/>
          <w:szCs w:val="17"/>
          <w:color w:val="auto"/>
        </w:rPr>
        <w:t>We currently anticipate, based upon our projected revenue and expenditures, that our current cash, cash equivalents and accounts receivable, along with our projected future operating cash flow, will be sufficient to fund our operations, as currently conducted, through the first half of 2026 and beyond. Based on current operations and assuming continued market acceptance and utilization of our finished drug products, we do not anticipate the need to raise additional capital at this time. However, should the market for our products or political, economic or inflationary conditions change, we may need to seek additional capital which may not be available due to a variety of potential factors beyond our control (see “Risk Factors” appearing elsewhere in this report).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ADMA continues to evaluate a variety of strategic alternatives, and the exploration of value-creating opportunities remains a top corporate priority.</w:t>
      </w:r>
    </w:p>
    <w:p>
      <w:pPr>
        <w:spacing w:after="0" w:line="23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On December 18, 2023 (the “Ares Closing Date”), we and all of our subsidiaries entered into a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had a maturity date of December 20, 2027 (the “Ares Maturity Date”).</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On August 14, 2024, we repaid $30.0 million against the revolving credit facility and the outstanding balance on the revolving credit facility as of March 31, 2025 was $42.5 million. On December 19, 2024, we repaid $30.0 million against the term loan facility and the outstanding balance on the term loan facility as of March 31, 2025 was $32.5 million. On May 5, 2025, we borrowed $30.0 million under our revolving credit facility, which we used to concurrently repay an additional $30.0 million against the term loan facility on May 6, 2025, as a result of which, the Company recorded debt extinguishment losses of $1.2 million during the three and six months ended June 30, 2025. Following such transactions, and as of June 30, 2025, we had $72.5 million outstanding under our revolving credit facility and $2.5 million outstanding under our term loan facility.</w:t>
      </w:r>
    </w:p>
    <w:p>
      <w:pPr>
        <w:spacing w:after="0" w:line="145" w:lineRule="exact"/>
        <w:rPr>
          <w:sz w:val="20"/>
          <w:szCs w:val="20"/>
          <w:color w:val="auto"/>
        </w:rPr>
      </w:pPr>
    </w:p>
    <w:p>
      <w:pPr>
        <w:jc w:val="both"/>
        <w:ind w:firstLine="645"/>
        <w:spacing w:after="0" w:line="227" w:lineRule="exact"/>
        <w:rPr>
          <w:sz w:val="20"/>
          <w:szCs w:val="20"/>
          <w:color w:val="auto"/>
        </w:rPr>
      </w:pPr>
      <w:r>
        <w:rPr>
          <w:rFonts w:ascii="Times New Roman" w:cs="Times New Roman" w:eastAsia="Times New Roman" w:hAnsi="Times New Roman"/>
          <w:sz w:val="17"/>
          <w:szCs w:val="17"/>
          <w:color w:val="auto"/>
        </w:rPr>
        <w:t>Borrowings under the term loan bore interest at the adjusted Term SOFR for a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tenor in effect on the day that is two business days prior to the first day of the applicable calendar quarter plus 6.50% (the “Initial SOFR Term Loan Applicable Margin”). Borrowings under the revolving facility initially bore interest at the adjusted Term SOFR for a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tenor in effect on the day that is two business days prior to the first day of the applicable calendar quarter plus 3.75% (the “SOFR Revolving Facility Applicable Margin”). As of June 30, 2025 and December 31, 2024, the interest rate on the term loan was approximately 10.81% and 10.85%, respectively, and the interest rate on the revolving facility was approximately 8.05% and 8.34%, respectively.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On the Ares Maturity Date, we would have been required to pay Ares the entire outstanding principal amount underlying the Ares Loans and any accrued and unpaid interest thereon. Prior to the Ares Maturity Date, there were no scheduled principal payments on the Ares Credit Facility, and we were required to make quarterly interest payments during the term of Ares Credit Facility. We were permitted to prepay the outstanding principal under the revolving facility, together with any accrued but unpaid interest on the prepaid principal amount, at any time and from time to time upon three business days’ prior written notice with no prepayment premium. However, in the event that we prepaid an amount under the revolving facility that was greater than 50% of the current $72.5 million outstanding balance, or $36,250,000, we would have still been required to pay an amount of interest on the revolving facility that would have been payable had $36,250,000 been outstanding, through the term of Ares Credit Facility. We were permitted to prepay the outstanding principal on the term loan, together with any accrued but unpaid interest on the prepaid principal amount, at any time and from time to time upon three business days’ prior written notice, subject to the payment to Ares of a prepayment premium equal to (i) 1.5% of the prepaid principal amount, if prepaid after the first anniversary of the Ares Closing Date and on or prior to the second anniversary of the Ares Closing Date, or (ii) 1.0% of the prepaid principal amount, if prepaid on or prior to the third anniversary of the Ares Closing Date.</w:t>
      </w:r>
    </w:p>
    <w:p>
      <w:pPr>
        <w:spacing w:after="0" w:line="18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All of our obligations under the Ares Credit Agreement were secured by a first-priority lien and security interest in substantially all of our tangible and intangible assets, including intellectual property and all of the equity interests in our subsidiaries. The Ares Credit Agreement contained certain representations and warranties, affirmative covenants, negative covenants and conditions that are customarily required for similar financings. The negative covenants included certain financial covenants, including maximum total leverage ratios and a $15.0 million liquidity covenant, and also restricted or limited our ability and the ability of our subsidiaries to, among other things and subject to certain exceptions contained in the Ares Credit Agreement, incur new indebtedness; create liens on assets; engage in certain fundamental corporate changes, such as mergers or acquisitions, or changes to our or our subsidiaries’ business activities; make certain Investments or Restricted Payments (each as defined in the Ares Credit Agreement); engage in certain affiliate transactions; or enter into, amend or terminate any other agreements that have the impact of restricting our ability to make loan repayments under the Ares Credit Agreement. As of June 30, 2025, we were in compliance with all of the covenants contained in the Ares Credit Agreement.</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Events of default on the Ares Loans included, among others, non-payment of principal, interest or fees, violation of covenants, inaccuracy of representations and warranties, bankruptcy and insolvency events, material judgments, cross-defaults to material contracts and events constituting a change of control. If there was an event of default, we would have incurred an increase in the rate of interest on the Ares Loans of 2% per annum.</w:t>
      </w:r>
    </w:p>
    <w:p>
      <w:pPr>
        <w:spacing w:after="0" w:line="17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On August 5, 2025 (the “JPM Closing Date”), we and all of our subsidiaries entered into a Credit Agreement (the “JPM Credit Agreement”) with the lenders party thereto and JPMorgan Chase Bank, N.A., as administrative agent (“JPMorgan”). The JPM Credit Agreement provides for $300 million of senior secured credit facilities, consisting of (a) a term loan in the aggregate principal amount of $75 million (the “JPM Term Loan Facility”) and (b) a revolving credit facility in the aggregate principal amount of $225 million (the “JPM Revolving Facility”). We may also request, subject to customary conditions, additional incremental revolving commitments or term loans in an aggregate principal amount not to exceed $100 million (together with the JPM Term Loan Facility and the JPM Revolving Facility, the “JPM Credit Facilities”). The JPM Term Loan Facility has a maturity date of August 5, 2028 (the “JPM Term Maturity Date”) and the JPM Revolving Facility has a maturity date of August 5, 2028 or any earlier date on which the commitments under the JPM Revolving Facility are reduced to zero or otherwise terminated pursuant to the terms of the JPM Credit Agreement (the “JPM Revolving Maturity Date”).</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On the JPM Closing Date, we used the proceeds of the JPM Credit Facilities to terminate and pay in full all of the outstanding obligations under the Ares Credit Facility, including the outstanding principal of all loans, all accrued and unpaid interest thereon, and any unpaid fees, charges, premiums (including prepayment premiums) and costs, and expenses related thereto. We may also use the proceeds of the JPM Credit Facilities to finance share repurchases and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Interest on borrowings under the JPM Credit Facilities will accrue at an applicable rate equal to (i) an alternate base rate plus an applicable spread (each such borrowing, an “ABR Borrowing”) or (ii) Term SOFR plus an applicable spread (each such borrowing, a “Term Benchmark Borrowing”), in each case based on the lower of the applicable rates set forth in the JPM Credit Agreement, which are based on our total leverage ratio. These applicable spreads range from 150 basis points to 200 basis points over the alternate base rate and 250 basis points to 300 basis points over Term SOFR, in each case, as determined in accordance with the provisions of the JPM Credit Agreement. We have agreed to pay a commitment fee at specified rates set forth in the JPM Credit Agreement, which, based on our total leverage ratio, ranges from 30 basis points to 35 basis points on the daily amount of the undrawn portion of the aggregate commitments of the lenders under the JPM Revolving Facility. At our request, each borrowing initially shall be either an ABR Borrowing or a Term Benchmark Borrowing, and we may thereafter elect to convert any such borrowing to a different type. During the occurrence and continuance of an Event of Default (as defined in the JPM Credit Agreement), all borrowings shall accrue interest at a rate per annum equal to 2% plus the applicable rate.</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On the JPM Revolving Maturity Date, we will repay the unpaid principal amount outstanding under the JPM Revolving Facility. Under the JPM Term Loan Facility, we will make principal payments in accordance with and on the dates specified in the amortization schedule set forth in the JPM Credit Agreement, with the remaining unpaid principal amount to be paid in full on the JPM Term Maturity Date. We may prepay at any time and from time to time any borrowing in whole or in part, without premium or penalty (other than, if applicable, any break funding expenses), subject to customary notice requirements.</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All of our obligations under the JPM Credit Agreement are secured by a first-priority lien and security interest in substantially all of the tangible and intangible assets, including intellectual property and equity interests, of us and all of our subsidiaries.</w:t>
      </w:r>
    </w:p>
    <w:p>
      <w:pPr>
        <w:spacing w:after="0" w:line="162"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JPM Credit Agreement contains certain representations and warranties, affirmative covenants, negative covenants and conditions that are customarily required for similar financings. The negative covenants include certain financial covenants, including a maximum total leverage ratio of 2.50 to 1.00 and a minimum fixed charge coverage ratio of 1.20 to 1.00. The negative covenants also restrict or limit our ability and the ability of our subsidiaries to, among other things and subject to certain exceptions contained in the JPM Credit Agreement, incur new indebtedness; create liens on assets; engage in certain fundamental corporate changes; make certain investments; dispose of certain assets; engage in sale and leaseback transactions or swap agreements; make certain Restricted Payments (as defined in the JPM Credit Agreement); engage in certain affiliate transactions; enter into any other agreements that have the impact of restricting our ability to make loan repayments under the JPM Credit Agreement; or amend certain material documents.</w:t>
      </w:r>
    </w:p>
    <w:p>
      <w:pPr>
        <w:sectPr>
          <w:pgSz w:w="11900" w:h="16838" w:orient="portrait"/>
          <w:cols w:equalWidth="0" w:num="1">
            <w:col w:w="11240"/>
          </w:cols>
          <w:pgMar w:left="320" w:top="439"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14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36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08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6725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43,428</w:t>
            </w:r>
          </w:p>
        </w:tc>
      </w:tr>
      <w:tr>
        <w:trPr>
          <w:trHeight w:val="215"/>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33"/>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227"/>
        </w:trPr>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36,892</w:t>
            </w:r>
          </w:p>
        </w:tc>
      </w:tr>
      <w:tr>
        <w:trPr>
          <w:trHeight w:val="438"/>
        </w:trPr>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103,147</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51,352</w:t>
            </w:r>
          </w:p>
        </w:tc>
      </w:tr>
      <w:tr>
        <w:trPr>
          <w:trHeight w:val="208"/>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90,285</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88,244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99" w:lineRule="exact"/>
        <w:rPr>
          <w:sz w:val="20"/>
          <w:szCs w:val="20"/>
          <w:color w:val="auto"/>
        </w:rPr>
      </w:pPr>
    </w:p>
    <w:p>
      <w:pPr>
        <w:sectPr>
          <w:pgSz w:w="11900" w:h="16838" w:orient="portrait"/>
          <w:cols w:equalWidth="0" w:num="2">
            <w:col w:w="7880" w:space="720"/>
            <w:col w:w="2640"/>
          </w:cols>
          <w:pgMar w:left="320" w:top="439" w:right="339" w:bottom="1440" w:gutter="0" w:footer="0" w:header="0"/>
          <w:type w:val="continuous"/>
        </w:sectPr>
      </w:pPr>
    </w:p>
    <w:p>
      <w:pPr>
        <w:spacing w:after="0" w:line="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2025 was $1.5 million, a decrease of $42.0 million from the same period of a year ago, primarily due to the unfavorable impact of the timing of sales and due to inventory investments made in 2025 to support the Company’s manufacturing and distribution objectives, partially offset by higher net income and favorable impact of timing of payments. The following table illustrates the primary components of our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86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Index</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437"/>
        </w:trPr>
        <w:tc>
          <w:tcPr>
            <w:tcW w:w="340" w:type="dxa"/>
            <w:vAlign w:val="bottom"/>
            <w:tcBorders>
              <w:top w:val="single" w:sz="8" w:color="0000EE"/>
            </w:tcBorders>
          </w:tcPr>
          <w:p>
            <w:pPr>
              <w:spacing w:after="0"/>
              <w:rPr>
                <w:sz w:val="24"/>
                <w:szCs w:val="24"/>
                <w:color w:val="auto"/>
              </w:rPr>
            </w:pPr>
          </w:p>
        </w:tc>
        <w:tc>
          <w:tcPr>
            <w:tcW w:w="8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9"/>
        </w:trPr>
        <w:tc>
          <w:tcPr>
            <w:tcW w:w="340" w:type="dxa"/>
            <w:vAlign w:val="bottom"/>
          </w:tcPr>
          <w:p>
            <w:pPr>
              <w:spacing w:after="0"/>
              <w:rPr>
                <w:sz w:val="21"/>
                <w:szCs w:val="21"/>
                <w:color w:val="auto"/>
              </w:rPr>
            </w:pPr>
          </w:p>
        </w:tc>
        <w:tc>
          <w:tcPr>
            <w:tcW w:w="8260" w:type="dxa"/>
            <w:vAlign w:val="bottom"/>
          </w:tcPr>
          <w:p>
            <w:pPr>
              <w:ind w:left="34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61,122</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49,868</w:t>
            </w:r>
          </w:p>
        </w:tc>
      </w:tr>
      <w:tr>
        <w:trPr>
          <w:trHeight w:val="26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expenses, gains and losses</w:t>
            </w:r>
          </w:p>
        </w:tc>
        <w:tc>
          <w:tcPr>
            <w:tcW w:w="1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20,097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9,598</w:t>
            </w:r>
          </w:p>
        </w:tc>
      </w:tr>
      <w:tr>
        <w:trPr>
          <w:trHeight w:val="26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(59,726)</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6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r>
      <w:tr>
        <w:trPr>
          <w:trHeight w:val="26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4,203</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r>
      <w:tr>
        <w:trPr>
          <w:trHeight w:val="269"/>
        </w:trPr>
        <w:tc>
          <w:tcPr>
            <w:tcW w:w="8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62"/>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43,428</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and 2024 was $7.2 million and $4.7 million, respectively. The increase is primarily related to the roof replacement at the Boca Facility in the amount of $1.3 million, due to capital expenditures associated with the Yield Enhancement project. While as of June 30, 2025 we had no firm commitments for capital expenditures with the exception of the July 2025 purchase of the real estate in Boca Raton, FL, we expect our total capital expenditures will be between $18.0 million and $21.6 million for the remainder of fiscal 2025, mainly for additional upgrades to the Boca Facility manufacturing operations, related operational systems, and the purchase of the real estate in Boca Raton, FL, which was completed in July 2025. Of the total remaining 2025 capital expenditures, $13.0 million represents the acquisition cost and improvements of the new Boca Raton real estate.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Net cash used in financing activities was $7.1 million and $1.8 million for the six months ended June 30, 2025 and 2024, respectively. The increase is primarily due to higher taxes paid in connection with shares that were withheld from RSUs that vested during the period, as a result of an increase in the value of our common stock as compared to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7" w:lineRule="exact"/>
        <w:rPr>
          <w:sz w:val="20"/>
          <w:szCs w:val="20"/>
          <w:color w:val="auto"/>
        </w:rPr>
      </w:pPr>
    </w:p>
    <w:p>
      <w:pPr>
        <w:jc w:val="both"/>
        <w:ind w:firstLine="645"/>
        <w:spacing w:after="0" w:line="270" w:lineRule="auto"/>
        <w:rPr>
          <w:sz w:val="20"/>
          <w:szCs w:val="20"/>
          <w:color w:val="auto"/>
        </w:rPr>
      </w:pPr>
      <w:r>
        <w:rPr>
          <w:rFonts w:ascii="Times New Roman" w:cs="Times New Roman" w:eastAsia="Times New Roman" w:hAnsi="Times New Roman"/>
          <w:sz w:val="17"/>
          <w:szCs w:val="17"/>
          <w:color w:val="auto"/>
        </w:rPr>
        <w:t>Inflation impacted a number of facets of our business during the six months ended June 30, 2025 and 2024 at each of our business segments. We experienced price increases for, among other items, certain raw materials,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continue in 2025 and potentially longer, which could have a significant impact on our future results of operations. In addition, some of our third-party inventory purchase agreements provide for scheduled price increases that are tied to various consumer price indexes, which have resulted in higher than historical percentage price increases and could result in higher source plasma and other raw material and supplies costs in 2025 and beyond. Also, in a higher inflationary environment, we may not be able to raise the prices of our products to maintain the rate of inflation, and this may affect our product margins. We are unable to predict when these external drivers of inflation will subside.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We are exposed to market risk as a result of changes in interest rates. Our senior credit facility with Ares required quarterly payments of interest based on the adjusted Term SOFR plus the applicable margin. Our new senior credit facility with JPMorgan requires quarterly payments of interest, in the case of an alternate base rate borrowing, and one-month or three-month payments of interest, in the case of a Term SOFR borrowing, in each case, plus the applicable rate. We currently do not utilize any derivative financial instruments, such as interest rate swaps or caps, to mitigate this risk. As of June 30, 2025, we had $75.0 million outstanding under our senior credit facility with Ares that was subject to a variable interest rate. As a result, the effect of a hypothetical, instantaneous and unfavorable change of 100 basis points in the interest rate would have an approximate $0.8 million annualized negative impact on our earnings and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 (SEC)’s rules and forms, and (ii) accumulated and communicated to our management, including our principal executive officer and principal financial officer, as appropriate to allow timely decisions regarding required disclosures.</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June 30, 2025. Based on this evaluation, our principal executive officer and principal financial officer concluded that our disclosure controls and procedures as of June 30, 2025, were effective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8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the 2024 10-K and our other filings with the U.S. Securities and Exchange Commission, or the SEC, before making an investment decision regarding our common stock.</w:t>
      </w:r>
    </w:p>
    <w:p>
      <w:pPr>
        <w:spacing w:after="0" w:line="180"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Although we achieved net income on a GAAP basis for the year ended December 31, 2024 for the first time, we may not be able to maintain profitability and continue to generate positive cashflows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We contract with third parties for the filling, packaging, testing and labeling of the drug substance we manufacture, and we also obtain source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-516890</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1"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-382905</wp:posOffset>
            </wp:positionV>
            <wp:extent cx="596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Business interruptions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596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3"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Biologics License Application (“BLA”) or other required submission for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-382905</wp:posOffset>
            </wp:positionV>
            <wp:extent cx="596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7"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-382905</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7"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We depend on third-party researchers, developers and vendors to develop, manufacture, supply materials for or test our products and product candidates, as well as for other pre-and post-approval services, and such parties’ performance is, to some extent, outside of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-382905</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Issues with product quality and compliance could have a material adverse effect upon our business, subject us to regulatory actions and cause a loss of customer confidence in us 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If physicians, payers and patients do not accept and use our current products or our future product candidates, our ability to generate revenue from these products will be materially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-382905</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7" w:lineRule="exact"/>
        <w:rPr>
          <w:sz w:val="20"/>
          <w:szCs w:val="20"/>
          <w:color w:val="auto"/>
        </w:rPr>
      </w:pPr>
    </w:p>
    <w:p>
      <w:pPr>
        <w:jc w:val="both"/>
        <w:ind w:left="660" w:right="20"/>
        <w:spacing w:after="0" w:line="264" w:lineRule="auto"/>
        <w:rPr>
          <w:sz w:val="20"/>
          <w:szCs w:val="20"/>
          <w:color w:val="auto"/>
        </w:rPr>
      </w:pPr>
      <w:r>
        <w:rPr>
          <w:rFonts w:ascii="Times New Roman" w:cs="Times New Roman" w:eastAsia="Times New Roman" w:hAnsi="Times New Roman"/>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-382905</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7"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right="20"/>
        <w:spacing w:after="0" w:line="280" w:lineRule="auto"/>
        <w:rPr>
          <w:sz w:val="20"/>
          <w:szCs w:val="20"/>
          <w:color w:val="auto"/>
        </w:rPr>
      </w:pPr>
      <w:r>
        <w:rPr>
          <w:rFonts w:ascii="Times New Roman" w:cs="Times New Roman" w:eastAsia="Times New Roman" w:hAnsi="Times New Roman"/>
          <w:sz w:val="18"/>
          <w:szCs w:val="18"/>
          <w:color w:val="auto"/>
        </w:rPr>
        <w:t>Our senior secured credit facility with JPMorgan Chase Bank, N.A. and certain other lenders party thereto (collectively “JPMorgan”) is subject to acceleration in specified circumstances, which may result in JPMorgan taking possession and disposing of any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right="20"/>
        <w:spacing w:after="0" w:line="280" w:lineRule="auto"/>
        <w:rPr>
          <w:sz w:val="20"/>
          <w:szCs w:val="20"/>
          <w:color w:val="auto"/>
        </w:rPr>
      </w:pPr>
      <w:r>
        <w:rPr>
          <w:rFonts w:ascii="Times New Roman" w:cs="Times New Roman" w:eastAsia="Times New Roman" w:hAnsi="Times New Roman"/>
          <w:sz w:val="18"/>
          <w:szCs w:val="18"/>
          <w:color w:val="auto"/>
        </w:rPr>
        <w:t>Cyberattacks and other security breaches could compromise our proprietary and confidential information or otherwise penetrate our network, which could harm our business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Our ability to continue to produce safe and effective products depends on the safety of our plasma supply, testing by third parties and the timing of receiving the testing results, and the manufacturing processes we have in place to counter transmittable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use our net operating loss carryforwards (“NOLs”)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3"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price of our common stock may be volatile and may fluctuate in a way that is disproportionate to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Although we achieved net income on a GAAP basis for the year ended December 31, 2024, for the first time, we may not be able to maintain profitability and continue to generate positive cash flows in the future.</w:t>
      </w:r>
    </w:p>
    <w:p>
      <w:pPr>
        <w:spacing w:after="0" w:line="15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Although we achieved net income of $197.7 million for the year ended December 31, 2024, for the years ended December 31, 2023 and 2022, we incurred net losses of $28.2 million and $65.9 million, respectively. From our inception in 2004 through December 31, 2024, we have incurred an accumulated deficit of $308.6 million. We may not be able to maintain profitability in 2025 or beyond, and if we are unable to continue to consistently achieve positive cash flows we may need to finance our operations through additional equity or debt financings or corporate collaboration and licensing agreements. If, in the future, our operating or financial results for a particular period do not meet our guidance, analyst estimates or the expectations of investors, or if we reduce our guidance for future periods, our stock price may decline. Any sustained or increased profitability or financial performance may contribute to increased scrutiny from the investment community and applicable federal, state and foreign regulatory authorities and government bodies. We also expect to continue to incur significant operating and capital expenditures and anticipate that as our business continues to grow our operating expenses will increase accordingly as we:</w:t>
      </w:r>
    </w:p>
    <w:p>
      <w:pPr>
        <w:spacing w:after="0" w:line="186" w:lineRule="exact"/>
        <w:rPr>
          <w:sz w:val="20"/>
          <w:szCs w:val="20"/>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commercialization and marketing efforts;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programs;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controls and infrastructure;</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production capacity at the Boca Facility.</w:t>
      </w:r>
    </w:p>
    <w:p>
      <w:pPr>
        <w:spacing w:after="0" w:line="223" w:lineRule="exact"/>
        <w:rPr>
          <w:sz w:val="20"/>
          <w:szCs w:val="20"/>
          <w:color w:val="auto"/>
        </w:rPr>
      </w:pPr>
    </w:p>
    <w:p>
      <w:pPr>
        <w:ind w:right="540" w:firstLine="645"/>
        <w:spacing w:after="0" w:line="280" w:lineRule="auto"/>
        <w:rPr>
          <w:sz w:val="20"/>
          <w:szCs w:val="20"/>
          <w:color w:val="auto"/>
        </w:rPr>
      </w:pPr>
      <w:r>
        <w:rPr>
          <w:rFonts w:ascii="Times New Roman" w:cs="Times New Roman" w:eastAsia="Times New Roman" w:hAnsi="Times New Roman"/>
          <w:sz w:val="18"/>
          <w:szCs w:val="18"/>
          <w:color w:val="auto"/>
        </w:rPr>
        <w:t>As a result, we will need to continue to generate significant revenues in order to maintain profitability. We may not be able to generate these revenues or maintain profitability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pandemic, epidemic, or outbreak of an unknown or emerging infections disease.</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in regions where we have concentrations of business activities and such epidemics could cause significant disruption in the operations of third-party service providers upon whom we rely. A resurgence of a global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a portion of the filling, packaging, testing and labeling of the drug substance we manufacture, and also obtain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7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services, raw materials and products meeting the necessary quality standards or at all could have a material and adverse effect on our products, business, financial condition and results from operations.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Although we are utilizing our FDA-approved fill/finish suite that we built at the Boca Facility for a portion of our finished drug product and although we receive our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contractors exposes us to the following risks:</w:t>
      </w:r>
    </w:p>
    <w:p>
      <w:pPr>
        <w:spacing w:after="0" w:line="223" w:lineRule="exact"/>
        <w:rPr>
          <w:sz w:val="20"/>
          <w:szCs w:val="20"/>
          <w:color w:val="auto"/>
        </w:rPr>
      </w:pPr>
    </w:p>
    <w:p>
      <w:pPr>
        <w:ind w:left="660" w:hanging="653"/>
        <w:spacing w:after="0" w:line="28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contractors on acceptable terms or at all because the number of potential service providers is limited and the FDA must inspect and qualify any contract manufacturers for current cGMP compliance as part of our marketing application;</w:t>
      </w:r>
    </w:p>
    <w:p>
      <w:pPr>
        <w:spacing w:after="0" w:line="161" w:lineRule="exact"/>
        <w:rPr>
          <w:rFonts w:ascii="Times New Roman" w:cs="Times New Roman" w:eastAsia="Times New Roman" w:hAnsi="Times New Roman"/>
          <w:sz w:val="18"/>
          <w:szCs w:val="18"/>
          <w:color w:val="auto"/>
        </w:rPr>
      </w:pPr>
    </w:p>
    <w:p>
      <w:pPr>
        <w:ind w:left="660" w:hanging="653"/>
        <w:spacing w:after="0" w:line="28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fill/finisher would have to be educated in, or develop substantially equivalent processes for, the production of our products and product candidates;</w:t>
      </w:r>
    </w:p>
    <w:p>
      <w:pPr>
        <w:spacing w:after="0" w:line="161" w:lineRule="exact"/>
        <w:rPr>
          <w:rFonts w:ascii="Times New Roman" w:cs="Times New Roman" w:eastAsia="Times New Roman" w:hAnsi="Times New Roman"/>
          <w:sz w:val="18"/>
          <w:szCs w:val="18"/>
          <w:color w:val="auto"/>
        </w:rPr>
      </w:pPr>
    </w:p>
    <w:p>
      <w:pPr>
        <w:ind w:left="660" w:right="20" w:hanging="653"/>
        <w:spacing w:after="0" w:line="28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the resurgence of a pandemic such as the COVID-19 pandemic, or a cyberattack or data breach, could adversely affect our contractors’ operations, supply chain or workforce;</w:t>
      </w:r>
    </w:p>
    <w:p>
      <w:pPr>
        <w:spacing w:after="0" w:line="161" w:lineRule="exact"/>
        <w:rPr>
          <w:rFonts w:ascii="Times New Roman" w:cs="Times New Roman" w:eastAsia="Times New Roman" w:hAnsi="Times New Roman"/>
          <w:sz w:val="18"/>
          <w:szCs w:val="18"/>
          <w:color w:val="auto"/>
        </w:rPr>
      </w:pPr>
    </w:p>
    <w:p>
      <w:pPr>
        <w:ind w:left="660" w:right="20" w:hanging="653"/>
        <w:spacing w:after="0" w:line="310" w:lineRule="auto"/>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w:t>
      </w:r>
    </w:p>
    <w:p>
      <w:pPr>
        <w:spacing w:after="0" w:line="139" w:lineRule="exact"/>
        <w:rPr>
          <w:rFonts w:ascii="Times New Roman" w:cs="Times New Roman" w:eastAsia="Times New Roman" w:hAnsi="Times New Roman"/>
          <w:sz w:val="17"/>
          <w:szCs w:val="17"/>
          <w:color w:val="auto"/>
        </w:rPr>
      </w:pPr>
    </w:p>
    <w:p>
      <w:pPr>
        <w:ind w:left="660" w:hanging="653"/>
        <w:spacing w:after="0" w:line="28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might be unable to timely provide finished drug product or raw material plasma in sufficient quantity or in accordance with our specifications to meet our commercial needs;</w:t>
      </w:r>
    </w:p>
    <w:p>
      <w:pPr>
        <w:spacing w:after="0" w:line="161"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not be able to execute our inspection procedures and required tests appropriately;</w:t>
      </w:r>
    </w:p>
    <w:p>
      <w:pPr>
        <w:spacing w:after="0" w:line="222" w:lineRule="exact"/>
        <w:rPr>
          <w:rFonts w:ascii="Times New Roman" w:cs="Times New Roman" w:eastAsia="Times New Roman" w:hAnsi="Times New Roman"/>
          <w:sz w:val="18"/>
          <w:szCs w:val="18"/>
          <w:color w:val="auto"/>
        </w:rPr>
      </w:pPr>
    </w:p>
    <w:p>
      <w:pPr>
        <w:ind w:left="660" w:right="20" w:hanging="653"/>
        <w:spacing w:after="0" w:line="28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61" w:lineRule="exact"/>
        <w:rPr>
          <w:rFonts w:ascii="Times New Roman" w:cs="Times New Roman" w:eastAsia="Times New Roman" w:hAnsi="Times New Roman"/>
          <w:sz w:val="18"/>
          <w:szCs w:val="18"/>
          <w:color w:val="auto"/>
        </w:rPr>
      </w:pPr>
    </w:p>
    <w:p>
      <w:pPr>
        <w:jc w:val="both"/>
        <w:ind w:left="660" w:right="100" w:hanging="653"/>
        <w:spacing w:after="0" w:line="26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w:t>
      </w:r>
    </w:p>
    <w:p>
      <w:pPr>
        <w:spacing w:after="0" w:line="176"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parties could breach or terminate their agreements with us; and</w:t>
      </w:r>
    </w:p>
    <w:p>
      <w:pPr>
        <w:spacing w:after="0" w:line="222" w:lineRule="exact"/>
        <w:rPr>
          <w:rFonts w:ascii="Times New Roman" w:cs="Times New Roman" w:eastAsia="Times New Roman" w:hAnsi="Times New Roman"/>
          <w:sz w:val="18"/>
          <w:szCs w:val="18"/>
          <w:color w:val="auto"/>
        </w:rPr>
      </w:pPr>
    </w:p>
    <w:p>
      <w:pPr>
        <w:ind w:left="660" w:right="180" w:hanging="653"/>
        <w:spacing w:after="0" w:line="28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62" w:lineRule="exact"/>
        <w:rPr>
          <w:sz w:val="20"/>
          <w:szCs w:val="20"/>
          <w:color w:val="auto"/>
        </w:rPr>
      </w:pPr>
    </w:p>
    <w:p>
      <w:pPr>
        <w:jc w:val="both"/>
        <w:ind w:firstLine="645"/>
        <w:spacing w:after="0" w:line="275" w:lineRule="auto"/>
        <w:rPr>
          <w:sz w:val="20"/>
          <w:szCs w:val="20"/>
          <w:color w:val="auto"/>
        </w:rPr>
      </w:pPr>
      <w:r>
        <w:rPr>
          <w:rFonts w:ascii="Times New Roman" w:cs="Times New Roman" w:eastAsia="Times New Roman" w:hAnsi="Times New Roman"/>
          <w:sz w:val="17"/>
          <w:szCs w:val="17"/>
          <w:color w:val="auto"/>
        </w:rPr>
        <w:t>Each of these risks could delay or prevent production,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strikes, embargoes, trade and sanction requirements and limits, other acts of God or force majeure events or global health occurrences and emergencies.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5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pneumoniae </w:t>
      </w:r>
      <w:r>
        <w:rPr>
          <w:rFonts w:ascii="Times New Roman" w:cs="Times New Roman" w:eastAsia="Times New Roman" w:hAnsi="Times New Roman"/>
          <w:sz w:val="18"/>
          <w:szCs w:val="18"/>
          <w:color w:val="auto"/>
        </w:rPr>
        <w:t>hyperimmune globulin are subject to significant variables that can be difficult to measure, estimate or quantify.</w:t>
      </w:r>
    </w:p>
    <w:p>
      <w:pPr>
        <w:spacing w:after="0" w:line="17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business depends on, among other things, successful manufacturing and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including but not limited to our current expectations with respect to our yield enhancement production process, which received FDA approval in April 2025.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economic conditions, war, terrorism or other military actions may have a material adverse effect on our business.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the Middle East and the surrounding areas could have a broader impact that extends into other markets where we do business. We are unable to predict whether geopolitical or economic conditions,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spacing w:after="0" w:line="182"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p>
    <w:p>
      <w:pPr>
        <w:spacing w:after="0" w:line="173"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We and our suppliers and contractors may be unable to comply with our specifications, cGMP requirements and with other FDA, state, and foreign regulatory requirements for commercial and clinical supply. The FDA and other regulatory authorities are authorized to perform inspections and remote regulatory assessments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8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business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Our operations, including our headquarters located in Ramsey, NJ, the Boca Facility, our new real estate in Boca Raton, FL and our plasma collection facilities, are vulnerable to interruption by fire,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terrorism,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5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 applications or BLAs, or to repeat clinical trials. The commencement and completion of clinical trials or ultimate product approval for any current or future development product candidate may be delayed by several factors, including:</w:t>
      </w:r>
    </w:p>
    <w:p>
      <w:pPr>
        <w:spacing w:after="0" w:line="186" w:lineRule="exact"/>
        <w:rPr>
          <w:sz w:val="20"/>
          <w:szCs w:val="20"/>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safety or effectiveness, or other adverse study results during clinical trials;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noncompliance with clinical trial requirements;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w:t>
      </w:r>
    </w:p>
    <w:p>
      <w:pPr>
        <w:spacing w:after="0" w:line="22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clinical trial process may fail to demonstrate that our product candidates are safe for humans and effective for indicated uses. This failure would cause us to abandon a product candidate and may delay the development of other product candidates. Any delay in, or termination of, our clinical trials will delay our ability to commercialize our product candidates and generate product revenues.</w:t>
      </w:r>
    </w:p>
    <w:p>
      <w:pPr>
        <w:spacing w:after="0" w:line="17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Other issues that may impact our clinical trials and that could delay or prevent our ability to receive marketing approval or commercialize our product candidates, include:</w:t>
      </w:r>
    </w:p>
    <w:p>
      <w:pPr>
        <w:spacing w:after="0" w:line="162"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our contract research organizations (“CROs”);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Regulators requiring us to perform additional or unanticipated clinical trials to obtain approval or becoming subject to additional post-marketing testing, surveillance, or Risk Evaluation and Mitigation Strategies requirements to maintain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left="660" w:right="20"/>
        <w:spacing w:after="0" w:line="280" w:lineRule="auto"/>
        <w:rPr>
          <w:sz w:val="20"/>
          <w:szCs w:val="20"/>
          <w:color w:val="auto"/>
        </w:rPr>
      </w:pPr>
      <w:r>
        <w:rPr>
          <w:rFonts w:ascii="Times New Roman" w:cs="Times New Roman" w:eastAsia="Times New Roman" w:hAnsi="Times New Roman"/>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596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Insufficient supply or inadequate quality of our product candidates or other materials necessary to conduct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3"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Flaws in our clinical trial design that are not discoverable until the clinical trial has progressed;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596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3"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-382905</wp:posOffset>
            </wp:positionV>
            <wp:extent cx="5969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7" w:lineRule="exact"/>
        <w:rPr>
          <w:sz w:val="20"/>
          <w:szCs w:val="20"/>
          <w:color w:val="auto"/>
        </w:rPr>
      </w:pPr>
    </w:p>
    <w:p>
      <w:pPr>
        <w:jc w:val="both"/>
        <w:ind w:left="660"/>
        <w:spacing w:after="0" w:line="280" w:lineRule="auto"/>
        <w:rPr>
          <w:sz w:val="20"/>
          <w:szCs w:val="20"/>
          <w:color w:val="auto"/>
        </w:rPr>
      </w:pPr>
      <w:r>
        <w:rPr>
          <w:rFonts w:ascii="Times New Roman" w:cs="Times New Roman" w:eastAsia="Times New Roman" w:hAnsi="Times New Roman"/>
          <w:sz w:val="18"/>
          <w:szCs w:val="18"/>
          <w:color w:val="auto"/>
        </w:rPr>
        <w:t>The need to make changes to our product candidates that require additional testing or that cause our product candidates to perform differently than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trade policies that may impact our ability to obtain raw materials and/or finished product for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5969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FDA or comparable regulatory authorities taking longer than we anticipate to make decisions on our products or product candidates;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5969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3" w:lineRule="exact"/>
        <w:rPr>
          <w:sz w:val="20"/>
          <w:szCs w:val="20"/>
          <w:color w:val="auto"/>
        </w:rPr>
      </w:pPr>
    </w:p>
    <w:p>
      <w:pPr>
        <w:jc w:val="both"/>
        <w:ind w:left="660" w:right="20"/>
        <w:spacing w:after="0" w:line="280" w:lineRule="auto"/>
        <w:rPr>
          <w:sz w:val="20"/>
          <w:szCs w:val="20"/>
          <w:color w:val="auto"/>
        </w:rPr>
      </w:pPr>
      <w:r>
        <w:rPr>
          <w:rFonts w:ascii="Times New Roman" w:cs="Times New Roman" w:eastAsia="Times New Roman" w:hAnsi="Times New Roman"/>
          <w:sz w:val="18"/>
          <w:szCs w:val="18"/>
          <w:color w:val="auto"/>
        </w:rPr>
        <w:t>Potential inability to demonstrate that a product or product candidate provides an advantage over current standards of care or current or future competitive therapies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5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sales of intermediates and revenues generated from new contract manufacturing arrangements with third parties.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94" w:lineRule="exact"/>
        <w:rPr>
          <w:sz w:val="20"/>
          <w:szCs w:val="20"/>
          <w:color w:val="auto"/>
        </w:rPr>
      </w:pP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revenues from, our product candidates;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22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for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7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73"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92"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researchers, developers and vendors to develop, manufacture, supply materials for or test our products and product candidates, as well as for other pre and post-approval services, and such parties’ performance is, to some extent, outside of our control.</w:t>
      </w:r>
    </w:p>
    <w:p>
      <w:pPr>
        <w:spacing w:after="0" w:line="15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or we may not be able to produce forecasted amounts of product.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We also depend on third-party suppliers for materials used in our operations. Certain of our third-party suppliers may be single-sourced, or may not be able to supply sufficient materials for our operations at a reasonable price, and it may be time-consuming, expensive or otherwise not feasible to locate an alternative supplier. In the event a single-source supplier is unable to provide us with a sufficient amount of materials, such shortage could have a material adverse effect on our business, results of operations and financial condition. Additionally, any change in the regulatory compliance status of any of our vendors may impede our ability to receive and maintain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currently anticipate potential future expansion of our manufacturing capacity and product output capability of the Boca Facility. Following the expansion of any of our manufacturing processes or the addition of new equipment, we will be required to validate the expanded facility, process changes if any and equipment, make the necessary submissions to FDA, obtain any FDA-required approvals and have it inspected by the FDA. Given the significant delays that may result during the validation and approval process, we may experience a supply shortage of our products or our production capabilities may be limited until completion of and validation of our facility expansion and new manufacturing equipment.</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3"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required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87" w:lineRule="exact"/>
        <w:rPr>
          <w:sz w:val="20"/>
          <w:szCs w:val="20"/>
          <w:color w:val="auto"/>
        </w:rPr>
      </w:pPr>
    </w:p>
    <w:p>
      <w:pPr>
        <w:ind w:left="980" w:hanging="32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or manufacturing processes;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2" w:lineRule="exact"/>
        <w:rPr>
          <w:rFonts w:ascii="Times New Roman" w:cs="Times New Roman" w:eastAsia="Times New Roman" w:hAnsi="Times New Roman"/>
          <w:sz w:val="18"/>
          <w:szCs w:val="18"/>
          <w:color w:val="auto"/>
        </w:rPr>
      </w:pPr>
    </w:p>
    <w:p>
      <w:pPr>
        <w:ind w:left="980" w:right="900" w:hanging="328"/>
        <w:spacing w:after="0" w:line="280"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further post-marketing studies or clinical trials, implement risk mitigation strategies, or to issue corrective information;</w:t>
      </w:r>
    </w:p>
    <w:p>
      <w:pPr>
        <w:spacing w:after="0" w:line="161"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payers;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222" w:lineRule="exact"/>
        <w:rPr>
          <w:rFonts w:ascii="Times New Roman" w:cs="Times New Roman" w:eastAsia="Times New Roman" w:hAnsi="Times New Roman"/>
          <w:sz w:val="18"/>
          <w:szCs w:val="18"/>
          <w:color w:val="auto"/>
        </w:rPr>
      </w:pPr>
    </w:p>
    <w:p>
      <w:pPr>
        <w:ind w:left="980" w:right="20" w:hanging="328"/>
        <w:spacing w:after="0" w:line="28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161"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penalties or criminal fines.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59"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the six months ended June 30, 2025 and 2024, two customers, BioCARE, Inc. (“BioCare”) and Priority Healthcare Distribution, Inc. d/b/a CuraScript SD Specialty Distribution (“Curascript”), represented an aggregate of approximately 72%, respectively, of our consolidated revenues.</w:t>
      </w:r>
    </w:p>
    <w:p>
      <w:pPr>
        <w:spacing w:after="0" w:line="162"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As of June 30, 2025, and December 31, 2024, three customers, BioCare, Healix Infusion Therapy, LLC (“Healix”) and Cencora, Inc. (f/k/a AmerisourceBergen Corporation), represented an aggregate of approximately 90% and 91%, respectively, of our consolidated accounts receivable.</w:t>
      </w:r>
    </w:p>
    <w:p>
      <w:pPr>
        <w:spacing w:after="0" w:line="16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77" w:lineRule="exact"/>
        <w:rPr>
          <w:sz w:val="20"/>
          <w:szCs w:val="20"/>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at competitive prices;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features and quality standards for our products sufficient to meet the expectations of our customers;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deliver a sufficient quantity of our products in a timely manner to meet our customers’ requirements;</w:t>
      </w:r>
    </w:p>
    <w:p>
      <w:pPr>
        <w:spacing w:after="0" w:line="222" w:lineRule="exact"/>
        <w:rPr>
          <w:rFonts w:ascii="Times New Roman" w:cs="Times New Roman" w:eastAsia="Times New Roman" w:hAnsi="Times New Roman"/>
          <w:sz w:val="18"/>
          <w:szCs w:val="18"/>
          <w:color w:val="auto"/>
        </w:rPr>
      </w:pPr>
    </w:p>
    <w:p>
      <w:pPr>
        <w:ind w:left="660" w:right="280" w:hanging="330"/>
        <w:spacing w:after="0" w:line="28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or the resurgence of a pandemic, and government responses thereto on our customers and their businesses, operations and financial condition;</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cyberattack or data breach on our customers or related entities; and</w:t>
      </w:r>
    </w:p>
    <w:p>
      <w:pPr>
        <w:spacing w:after="0" w:line="222" w:lineRule="exact"/>
        <w:rPr>
          <w:rFonts w:ascii="Times New Roman" w:cs="Times New Roman" w:eastAsia="Times New Roman" w:hAnsi="Times New Roman"/>
          <w:sz w:val="18"/>
          <w:szCs w:val="18"/>
          <w:color w:val="auto"/>
        </w:rPr>
      </w:pPr>
    </w:p>
    <w:p>
      <w:pPr>
        <w:ind w:left="660" w:right="320" w:hanging="330"/>
        <w:spacing w:after="0" w:line="28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economic conditions or geopolitical conditions, including the exacerbated conflicts in Europe, the Middle East and the surrounding areas.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5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withdrawals, monetary sanctions, injunctions to halt manufacture and distribution of products, civil or criminal sanctions, costly litigation, patient injury, refusal of a government to grant approvals and licenses, restrictions on operations or withdrawal of existing approvals and licenses. The FDA and similar foreign governmental authorities have the authority to require the recall of commercialized products. We may elect, in the interest of public safety, to voluntarily withdraw our products from the market for labeled adverse events or for other reasons. For example, during the three and six months ended June 30, 2025, as a precautionary measure, we voluntarily withdrew three lots of BIVIGAM and recorded a reduction to revenue of $0.2 million and $4.0 million, respectively, for credits issued to customers for related product returns. Recalls or withdrawals of any of our products could divert managerial and financial resources which could have an adverse effect on our financial condition and results of operations. An inability to address a quality or safety issue by us or by a third-party vendor in an effective and timely manner may also cause negative publicity or a loss of customer confidence in us or our current or future products, which may result in the loss of prior or future sales and difficulty in successfully commercializing our current products and launching new products.</w:t>
      </w:r>
    </w:p>
    <w:p>
      <w:pPr>
        <w:spacing w:after="0" w:line="19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and state and local regulations, or due to testing results not meeting specifications. As a result, our operating results are subject to potentially significant variability from one reporting period to the next should such losses or write-downs occur in any given period. Additionally,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59"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62" w:lineRule="exact"/>
        <w:rPr>
          <w:sz w:val="20"/>
          <w:szCs w:val="20"/>
          <w:color w:val="auto"/>
        </w:rPr>
      </w:pPr>
    </w:p>
    <w:p>
      <w:pPr>
        <w:ind w:left="660" w:hanging="330"/>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products relative to competing products;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 from government or other healthcare payers;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distribution efforts by us and our licensees and distributors, if any.</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0"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 Significant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we believe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or the ultimate settlement or resolution of payor claims. For example, during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for the year ended December 31, 2024. We considered several qualitative factors when evaluating our rebate accrual,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There was additional new information that arose during June 2024 that suggested our liabilities for certain payor claims were successfully resolved, which resulted in the $12.6 million adjustment to the accrual for U.S. Medicaid rebates in June 2024.</w:t>
      </w:r>
    </w:p>
    <w:p>
      <w:pPr>
        <w:spacing w:after="0" w:line="20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(“ACA”) included a significant expansion of state Medicaid programs. As more individuals become eligible for coverage under these programs,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7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 xml:space="preserve">Our current product development portfolio consists primarily of label expansion activities for ASCENIV, as well as expanding our IP estate with patents issued for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IG. We have initiated small-scale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intermediates, contract manufacturing and plasma attributable to the operations of ADMA BioCenters to support our operations.</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5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with the service provider that receives PHI on behalf of the entity.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While we are not a covered entity or business associate subject to HIPAA, 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numbers,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JPMorgan Credit Facilities are subject to acceleration in specified circumstances, which may result in JPMorgan taking possession and disposing of any collateral.</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On August 5, 2025 (the “JPM Closing Date”), we entered into a credit agreement with JPMorgan and certain other lenders party thereto (the “JPM Credit Agreement”) (see “Liquidity and Capital Resources”). The JPM Credit Agreement provides for a total of $300 million in senior secured credit facilities (the “JPM Credit Facilities”) consisting of (i) a term loan in the aggregate principal amount of $75 million, which was drawn in full on the JPM Closing Date, and (ii) a revolving credit facility in the aggregate principal amount of up to $225 million (collectively, the “JPM Loans”), none of which was drawn on the JPM Closing Date. The JPM Credit Facility has a maturity date of August 5, 2028.</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JPM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JPM Loans of 2% per annum. The occurrence of an event of default could result in, among other things, the termination of commitments under the JPM Credit Facilities, the declaration that all outstanding loans are immediately due and payable in whole or in part, and JPMorgan taking immediate possession of, and selling, any collateral securing the JPM Loans.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59"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7"/>
          <w:szCs w:val="17"/>
          <w:color w:val="auto"/>
        </w:rPr>
        <w:t>As we move forward in clinical development, we continue to discover novel technologies related to our products and we may draft patent applications directed to these technologies. We rely on a combination of patent rights, trade secrets, intellectual property assignment agreements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invention assignment,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of a product earlier than expected.</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81"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85"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85"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There is no assurance that ASCENIV, or any other of our products for which we are issued a patent, will enjoy market exclusivity for the full time period of the respective patent.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our business may be harmed.</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could adversely affect our business.</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could compromise our proprietary and confidential information or otherwise penetrate our network, which could harm our business and reputation.</w:t>
      </w:r>
    </w:p>
    <w:p>
      <w:pPr>
        <w:spacing w:after="0" w:line="15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Cybersecurity vulnerabilities can also arise from human error, fraud or malice on the part of our employees, other insiders or third parties, or from technology or product enhancements or the migration of information and data to new technology platforms, systems or applications. Hackers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may be increased as we and third parties with whom we interact leverage our IT infrastructure in unanticipated ways.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and retain a substantial number of qualified personnel, our ability to sustain and grow our business may be harmed.</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p>
    <w:p>
      <w:pPr>
        <w:spacing w:after="0" w:line="173"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7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5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laws governing our conduct in the United States are enforceable on the federal, state and local levels by criminal, civil and administrative sanctions. Violations of laws such as the FDCA,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participation in or debarment from federal and state healthcare or government procurement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92"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and a final rule promulgated on December 29, 2023 delayed implementation of this portion of the rule until January 1, 2032.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196"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Failure to satisfy requirements under the FDCA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FDCA and subjects us to civil and criminal sanctions. Furthermore, sanctions under the federal False Claims Act have been brought against companies accused of promoting off-label uses of drugs, because such promotion induces unapproved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19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181"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85"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18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7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More recently, in April 2025, at least 15% of the FDA’s staff was terminated as part of the new U.S. presidential administration’s efforts to reduce the size of the federal government and cut costs. If a prolonged government shutdown or regulatory agency disruption reoccurs, or in the event the FDA has an insufficient amount of staff, it could significantly impact the ability of the FDA to timely review and process our regulatory submissions, conduct evaluations and inspections and other reporting requirements which could have a material adverse effect on our business. Further, future government shutdowns could impact our ability to access the public markets and obtain capital that may be necessary in order to properly capitalize and continue our operations.</w:t>
      </w:r>
    </w:p>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5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our 2024 10-K.</w:t>
      </w:r>
    </w:p>
    <w:p>
      <w:pPr>
        <w:spacing w:after="0" w:line="19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we have in place to counter transmittable diseases.</w:t>
      </w:r>
    </w:p>
    <w:p>
      <w:pPr>
        <w:spacing w:after="0" w:line="159" w:lineRule="exact"/>
        <w:rPr>
          <w:sz w:val="20"/>
          <w:szCs w:val="20"/>
          <w:color w:val="auto"/>
        </w:rPr>
      </w:pPr>
    </w:p>
    <w:p>
      <w:pPr>
        <w:jc w:val="both"/>
        <w:ind w:firstLine="645"/>
        <w:spacing w:after="0" w:line="250" w:lineRule="auto"/>
        <w:rPr>
          <w:sz w:val="20"/>
          <w:szCs w:val="20"/>
          <w:color w:val="auto"/>
        </w:rPr>
      </w:pPr>
      <w:r>
        <w:rPr>
          <w:rFonts w:ascii="Times New Roman" w:cs="Times New Roman" w:eastAsia="Times New Roman" w:hAnsi="Times New Roman"/>
          <w:sz w:val="18"/>
          <w:szCs w:val="18"/>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59" w:lineRule="exact"/>
        <w:rPr>
          <w:sz w:val="20"/>
          <w:szCs w:val="20"/>
          <w:color w:val="auto"/>
        </w:rPr>
      </w:pPr>
    </w:p>
    <w:p>
      <w:pPr>
        <w:jc w:val="both"/>
        <w:ind w:firstLine="645"/>
        <w:spacing w:after="0" w:line="250" w:lineRule="auto"/>
        <w:rPr>
          <w:sz w:val="20"/>
          <w:szCs w:val="20"/>
          <w:color w:val="auto"/>
        </w:rPr>
      </w:pPr>
      <w:r>
        <w:rPr>
          <w:rFonts w:ascii="Times New Roman" w:cs="Times New Roman" w:eastAsia="Times New Roman" w:hAnsi="Times New Roman"/>
          <w:sz w:val="18"/>
          <w:szCs w:val="18"/>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Additionally, although we achieved normal source plasma supply self-sufficiency with the approval of our tenth plasma collection center in November 2023, we remain reliant on the purchase of RSV plasma from third parties and the collection of RSV and normal source plasma from our FDA-licensed plasma collection centers to manufacture our products. We can give no assurances that appropriate plasma will be available to us through our own plasma collection facilities or on commercially reasonable terms, or at all, to manufacture our products, or that third parties will be able to supply plasma to us in accordance with plasma purchase agreements.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73"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biosimilar pathway established as part of healthcare reform may make it easier for competitors to market biosimilar products.</w:t>
      </w:r>
    </w:p>
    <w:p>
      <w:pPr>
        <w:spacing w:after="0" w:line="227"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The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Healthcare Reform Law in the United States may adversely affect our business.</w:t>
      </w:r>
    </w:p>
    <w:p>
      <w:pPr>
        <w:spacing w:after="0" w:line="227" w:lineRule="exact"/>
        <w:rPr>
          <w:sz w:val="20"/>
          <w:szCs w:val="20"/>
          <w:color w:val="auto"/>
        </w:rPr>
      </w:pPr>
    </w:p>
    <w:p>
      <w:pPr>
        <w:jc w:val="both"/>
        <w:ind w:firstLine="645"/>
        <w:spacing w:after="0" w:line="250" w:lineRule="auto"/>
        <w:rPr>
          <w:sz w:val="20"/>
          <w:szCs w:val="20"/>
          <w:color w:val="auto"/>
        </w:rPr>
      </w:pPr>
      <w:r>
        <w:rPr>
          <w:rFonts w:ascii="Times New Roman" w:cs="Times New Roman" w:eastAsia="Times New Roman" w:hAnsi="Times New Roman"/>
          <w:sz w:val="18"/>
          <w:szCs w:val="18"/>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203"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77"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93" w:lineRule="exact"/>
        <w:rPr>
          <w:sz w:val="20"/>
          <w:szCs w:val="20"/>
          <w:color w:val="auto"/>
        </w:rPr>
      </w:pPr>
    </w:p>
    <w:p>
      <w:pPr>
        <w:jc w:val="both"/>
        <w:ind w:firstLine="645"/>
        <w:spacing w:after="0" w:line="273" w:lineRule="auto"/>
        <w:rPr>
          <w:sz w:val="20"/>
          <w:szCs w:val="20"/>
          <w:color w:val="auto"/>
        </w:rPr>
      </w:pPr>
      <w:r>
        <w:rPr>
          <w:rFonts w:ascii="Times New Roman" w:cs="Times New Roman" w:eastAsia="Times New Roman" w:hAnsi="Times New Roman"/>
          <w:sz w:val="17"/>
          <w:szCs w:val="17"/>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Corporate responsibility, specifically related to Environmental, Social and Governance (“ESG”) matters, may impose additional costs and expose us to new risks.</w:t>
      </w:r>
    </w:p>
    <w:p>
      <w:pPr>
        <w:spacing w:after="0" w:line="15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face reputational damage in the event our corporate responsibility initiatives or objectives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Capital Requirements and Other Financial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to us in amounts sufficient to enable us to make interest or principal payments on our indebtedness when due.</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JPM Credit Facilities provide for total senior secured loans in an aggregate principal amount of $300.0 million, of which $75.0 million is currently outstanding. The borrowing under the JPM Credit Facilities currently bears interest at a rate equal to approximately 6.9% per annum, which reflects the one-month term SOFR rate; provided, however, that upon, and during the continuance of, an event of default, the interest rate will automatically increase by an additional 200 basis points. We are currently required to make (i) payments of interest for our revolving facility, at quarterly, one-month or three-month intervals, depending upon the type of borrowing, during the remaining term of the JPM Credit Facilities, with all principal and unpaid interest due at maturity, and (ii) principal under our term loan facility, in accordance with and on the dates specified in the amortization schedule set forth in the JPM Credit Agreement, through the JPM Term Maturity Date. In addition, our monthly interest rate obligation under our revolving facility is subject to rising interest rates. The JPM Credit Facilities are subject to acceleration pursuant to the JPM Credit Agreement, including upon an event of default. All of our obligations under the JPM Credit Facilities are secured by a first-priority lien and security interest in substantially all of our and our subsidiaries’ tangible and intangible assets, including intellectual property, and all of the equity interests in our subsidiaries.</w:t>
      </w:r>
    </w:p>
    <w:p>
      <w:pPr>
        <w:spacing w:after="0" w:line="19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current and projected cash, cash equivalents and accounts receivable may not be sufficient to repay all of our current outstanding debt obligations as they mature. If we are unable to maintain sufficient positive cash flow to repay our outstanding debt obligations as they mature, we would need to obtain additional financing in the amounts necessary to repay our outstanding debt obligations when due. If we are unable to repay our outstanding debt obligations when they mature, our creditors would be able to accelerate all of the amounts due and, in the case of the JPM Credit Facilities, seek to enforce their security interests, which could lead to our creditors taking immediate possession of and selling substantially all of our assets with no return provided to our stockholders.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spacing w:after="0" w:line="17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will need to implement further upgrades, to our financial, information and operating systems, implement additional financial and management controls, reporting systems and procedures and hire additional accounting and finance staff.</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has been and will continue to be time-consuming, and there is a risk of noncompliance. In addition, as a large accelerated filer, we have incurred and anticipate incurring additional fees due to the increased complexity of our financial statements and the additional efforts required by our status, including, but not limited to, higher accounting and auditor costs. Further, the costs associated with the compliance with and implementation of procedures under these and future laws and related rules could have a material impact on our results of operations.</w:t>
      </w:r>
    </w:p>
    <w:p>
      <w:pPr>
        <w:spacing w:after="0" w:line="185"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(“NOLs”) may be limited.</w:t>
      </w:r>
    </w:p>
    <w:p>
      <w:pPr>
        <w:spacing w:after="0" w:line="227"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2024, we had federal and state NOLs of $265.6 million and $203.4 million, respectively. Federal and state NOLs of approximately $33.4 million and $62.0 million, respectively, will begin to expire at various dates beginning in 2028,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2024 and 2023, we may experience ownership changes in the future as a result of subsequent changes in our stock ownership that we cannot predict or control that could result in further limitations being placed on our ability to utilize our federal NOLs.</w:t>
      </w:r>
    </w:p>
    <w:p>
      <w:pPr>
        <w:spacing w:after="0" w:line="1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5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We are subject to taxes by the U.S. federal, state, and local tax authorities. We record income tax expense based on our estimates of future payments, which may include the recording of, or adjustments to, liabilities for uncertain tax positions, and the determination of a need for a valuation allowance related to our net deferred tax assets. In addition, at any one time multiple tax years may be subject to audit by various tax authorities. The results of these audits and negotiations with taxing authorities may affect the ultimate settlement of these issues and impact our results of operations. For fiscal year 2025 and beyond there could be ongoing variability in our effective tax rate as events occur and exposures are evaluated. The volatility of our future effective tax rate could be materially impacted by a number of factors, including:</w:t>
      </w:r>
    </w:p>
    <w:p>
      <w:pPr>
        <w:spacing w:after="0" w:line="185" w:lineRule="exact"/>
        <w:rPr>
          <w:sz w:val="20"/>
          <w:szCs w:val="20"/>
          <w:color w:val="auto"/>
        </w:rPr>
      </w:pPr>
    </w:p>
    <w:p>
      <w:pPr>
        <w:ind w:left="700" w:right="3220" w:hanging="44"/>
        <w:spacing w:after="0" w:line="280" w:lineRule="auto"/>
        <w:rPr>
          <w:sz w:val="20"/>
          <w:szCs w:val="20"/>
          <w:color w:val="auto"/>
        </w:rPr>
      </w:pPr>
      <w:r>
        <w:rPr>
          <w:rFonts w:ascii="Times New Roman" w:cs="Times New Roman" w:eastAsia="Times New Roman" w:hAnsi="Times New Roman"/>
          <w:sz w:val="18"/>
          <w:szCs w:val="18"/>
          <w:color w:val="auto"/>
        </w:rPr>
        <w:t>changes in our assessment of the lack of a need for a valuation allowance on our deferred tax assets; or changes in U.S. federal, state and local tax rates, tax laws, regulations, or interpretations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-255905</wp:posOffset>
            </wp:positionV>
            <wp:extent cx="5969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-119380</wp:posOffset>
            </wp:positionV>
            <wp:extent cx="5969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In addition, our effective tax rate in a given financial statement period may be materially impacted by a variety of other factors including, but not limited to, changes in the mix and level of earnings, changes in the states and other jurisdictions in which we operate, and deductible expenses and limitations on the use of NOLs resulting from ownership changes. Further, tax legislation may be enacted or amended, as applicable, in the future which could materially impact our current or future tax structure and effective tax rates. We may be subject to audits of our income, sales, and other transaction taxes by U.S. federal, state, and local taxing authorities. Outcomes from these audits could have a material effect on our financial condition or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fluctuate in a way that is disproportionate to our operating performance.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experience substantial volatility as a result of a number of factors, including:</w:t>
      </w:r>
    </w:p>
    <w:p>
      <w:pPr>
        <w:spacing w:after="0" w:line="223" w:lineRule="exact"/>
        <w:rPr>
          <w:sz w:val="20"/>
          <w:szCs w:val="20"/>
          <w:color w:val="auto"/>
        </w:rPr>
      </w:pPr>
    </w:p>
    <w:p>
      <w:pPr>
        <w:ind w:left="660" w:hanging="330"/>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or completing preclinical or clinical trials or unsatisfactory results of these trials;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 decision by federal, state or local business regulatory authority;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acceptance, third-party reimbursement and sales of BIVIGAM and ASCENIV;</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introductions;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third-party vendors;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volatility;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economic uncertainty;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securities analysts’ estimates of our performance, or our failure to meet analysts’ expectations.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5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As of August 1, 2025, most of our 238,630,719 outstanding shares of common stock,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7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5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As of June 30, 2025, BlackRock, Inc., The Vanguard Group, Inc., State Street Corporation, and our directors and executive officers and their affiliates collectively owned a significant amount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5" w:lineRule="exact"/>
        <w:rPr>
          <w:sz w:val="20"/>
          <w:szCs w:val="20"/>
          <w:color w:val="auto"/>
        </w:rPr>
      </w:pPr>
    </w:p>
    <w:p>
      <w:pPr>
        <w:ind w:left="660" w:hanging="330"/>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222" w:lineRule="exact"/>
        <w:rPr>
          <w:rFonts w:ascii="Times New Roman" w:cs="Times New Roman" w:eastAsia="Times New Roman" w:hAnsi="Times New Roman"/>
          <w:sz w:val="18"/>
          <w:szCs w:val="18"/>
          <w:color w:val="auto"/>
        </w:rPr>
      </w:pPr>
    </w:p>
    <w:p>
      <w:pPr>
        <w:ind w:left="660" w:right="40" w:hanging="330"/>
        <w:spacing w:after="0" w:line="28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61" w:lineRule="exact"/>
        <w:rPr>
          <w:rFonts w:ascii="Times New Roman" w:cs="Times New Roman" w:eastAsia="Times New Roman" w:hAnsi="Times New Roman"/>
          <w:sz w:val="18"/>
          <w:szCs w:val="18"/>
          <w:color w:val="auto"/>
        </w:rPr>
      </w:pPr>
    </w:p>
    <w:p>
      <w:pPr>
        <w:ind w:left="660" w:right="320" w:hanging="330"/>
        <w:spacing w:after="0" w:line="28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9" w:lineRule="exact"/>
        <w:rPr>
          <w:sz w:val="20"/>
          <w:szCs w:val="20"/>
          <w:color w:val="auto"/>
        </w:rPr>
      </w:pPr>
    </w:p>
    <w:p>
      <w:pPr>
        <w:ind w:firstLine="645"/>
        <w:spacing w:after="0" w:line="271" w:lineRule="auto"/>
        <w:rPr>
          <w:sz w:val="20"/>
          <w:szCs w:val="20"/>
          <w:color w:val="auto"/>
        </w:rPr>
      </w:pPr>
      <w:r>
        <w:rPr>
          <w:rFonts w:ascii="Times New Roman" w:cs="Times New Roman" w:eastAsia="Times New Roman" w:hAnsi="Times New Roman"/>
          <w:sz w:val="17"/>
          <w:szCs w:val="17"/>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and do not intend to pay cash dividends in the foreseeable future. As a result, capital appreciation, if any, will be your sole source of gain.</w:t>
      </w:r>
    </w:p>
    <w:p>
      <w:pPr>
        <w:spacing w:after="0" w:line="15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JPM Credit Agreement prohibits us from paying dividends. As a result, capital appreciation, if any, of our common stock will be your sole source of gain for the foreseeable future.</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7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June 30, 2025, there were 37,520,883 shares remaining available for issuance, after giving effect to 10,314,385 shares of our common stock that were subject to outstanding stock options and RSUs as of June 30, 2025 that may be issued by us without stockholder approval, as well as an additional 13,597,424 shares reserved for the future issuance of awards under our equity compensation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Sales of Unregistered Securities and Use of Proceeds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Repurchases of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Index</w:t>
            </w: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97"/>
        </w:trPr>
        <w:tc>
          <w:tcPr>
            <w:tcW w:w="340" w:type="dxa"/>
            <w:vAlign w:val="bottom"/>
            <w:tcBorders>
              <w:top w:val="single" w:sz="8" w:color="0000EE"/>
            </w:tcBorders>
          </w:tcPr>
          <w:p>
            <w:pPr>
              <w:spacing w:after="0"/>
              <w:rPr>
                <w:sz w:val="24"/>
                <w:szCs w:val="24"/>
                <w:color w:val="auto"/>
              </w:rPr>
            </w:pPr>
          </w:p>
        </w:tc>
        <w:tc>
          <w:tcPr>
            <w:tcW w:w="8240" w:type="dxa"/>
            <w:vAlign w:val="bottom"/>
            <w:gridSpan w:val="8"/>
          </w:tcPr>
          <w:p>
            <w:pPr>
              <w:jc w:val="right"/>
              <w:ind w:right="650"/>
              <w:spacing w:after="0"/>
              <w:rPr>
                <w:sz w:val="20"/>
                <w:szCs w:val="20"/>
                <w:color w:val="auto"/>
              </w:rPr>
            </w:pPr>
            <w:r>
              <w:rPr>
                <w:rFonts w:ascii="Times New Roman" w:cs="Times New Roman" w:eastAsia="Times New Roman" w:hAnsi="Times New Roman"/>
                <w:sz w:val="18"/>
                <w:szCs w:val="18"/>
                <w:color w:val="auto"/>
              </w:rPr>
              <w:t>The table below reflects shares of common stock we repurchased during the second quarter of 2025.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07"/>
        </w:trPr>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15"/>
        </w:trPr>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 Purchased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Shares that May Yet Be</w:t>
            </w:r>
          </w:p>
        </w:tc>
      </w:tr>
      <w:tr>
        <w:trPr>
          <w:trHeight w:val="224"/>
        </w:trPr>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 Publicly Announced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r>
      <w:tr>
        <w:trPr>
          <w:trHeight w:val="26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Month Ended</w:t>
            </w:r>
          </w:p>
        </w:tc>
        <w:tc>
          <w:tcPr>
            <w:tcW w:w="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2800" w:type="dxa"/>
            <w:vAlign w:val="bottom"/>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6"/>
              </w:rPr>
              <w:t>Plans or Programs</w:t>
            </w:r>
            <w:r>
              <w:rPr>
                <w:rFonts w:ascii="Times New Roman" w:cs="Times New Roman" w:eastAsia="Times New Roman" w:hAnsi="Times New Roman"/>
                <w:sz w:val="29"/>
                <w:szCs w:val="29"/>
                <w:b w:val="1"/>
                <w:bCs w:val="1"/>
                <w:color w:val="auto"/>
                <w:w w:val="96"/>
                <w:vertAlign w:val="superscript"/>
              </w:rPr>
              <w:t>(1)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3"/>
              </w:rPr>
              <w:t>Programs</w:t>
            </w:r>
            <w:r>
              <w:rPr>
                <w:rFonts w:ascii="Times New Roman" w:cs="Times New Roman" w:eastAsia="Times New Roman" w:hAnsi="Times New Roman"/>
                <w:sz w:val="29"/>
                <w:szCs w:val="29"/>
                <w:b w:val="1"/>
                <w:bCs w:val="1"/>
                <w:color w:val="auto"/>
                <w:w w:val="93"/>
                <w:vertAlign w:val="superscript"/>
              </w:rPr>
              <w:t>(2)</w:t>
            </w:r>
          </w:p>
        </w:tc>
      </w:tr>
      <w:tr>
        <w:trPr>
          <w:trHeight w:val="208"/>
        </w:trPr>
        <w:tc>
          <w:tcPr>
            <w:tcW w:w="2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31,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816,237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0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485,002,210</w:t>
            </w:r>
          </w:p>
        </w:tc>
      </w:tr>
      <w:tr>
        <w:trPr>
          <w:trHeight w:val="20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816,237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00" w:type="dxa"/>
            <w:vAlign w:val="bottom"/>
          </w:tcPr>
          <w:p>
            <w:pPr>
              <w:spacing w:after="0"/>
              <w:rPr>
                <w:sz w:val="18"/>
                <w:szCs w:val="18"/>
                <w:color w:val="auto"/>
              </w:rPr>
            </w:pPr>
          </w:p>
        </w:tc>
        <w:tc>
          <w:tcPr>
            <w:tcW w:w="2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197" w:lineRule="exact"/>
        <w:rPr>
          <w:sz w:val="20"/>
          <w:szCs w:val="20"/>
          <w:color w:val="auto"/>
        </w:rPr>
      </w:pPr>
    </w:p>
    <w:p>
      <w:pPr>
        <w:ind w:left="900" w:hanging="24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repurchased pursuant to our share repurchase program publicly announced on May 5, 2025.</w:t>
      </w:r>
    </w:p>
    <w:p>
      <w:pPr>
        <w:spacing w:after="0" w:line="222" w:lineRule="exact"/>
        <w:rPr>
          <w:rFonts w:ascii="Times New Roman" w:cs="Times New Roman" w:eastAsia="Times New Roman" w:hAnsi="Times New Roman"/>
          <w:sz w:val="18"/>
          <w:szCs w:val="18"/>
          <w:color w:val="auto"/>
        </w:rPr>
      </w:pPr>
    </w:p>
    <w:p>
      <w:pPr>
        <w:ind w:left="660" w:right="20" w:hanging="8"/>
        <w:spacing w:after="0" w:line="280" w:lineRule="auto"/>
        <w:tabs>
          <w:tab w:leader="none" w:pos="9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expiration date for this share repurchase program. The authorization to repurchase shares will end when we have repurchased the maximum number of shares authorized, or if we have determined to terminate such program.</w:t>
      </w:r>
    </w:p>
    <w:p>
      <w:pPr>
        <w:spacing w:after="0" w:line="158"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June 30, 2025, no such plans or other arrangements were adopted or terminated.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of this Form 10-Q.</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244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Index</w:t>
            </w:r>
          </w:p>
        </w:tc>
        <w:tc>
          <w:tcPr>
            <w:tcW w:w="84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7"/>
        </w:trPr>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6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6"/>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89"/>
        </w:trPr>
        <w:tc>
          <w:tcPr>
            <w:tcW w:w="16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0" w:type="dxa"/>
            <w:vAlign w:val="bottom"/>
            <w:vMerge w:val="continue"/>
          </w:tcPr>
          <w:p>
            <w:pPr>
              <w:spacing w:after="0"/>
              <w:rPr>
                <w:sz w:val="15"/>
                <w:szCs w:val="15"/>
                <w:color w:val="auto"/>
              </w:rPr>
            </w:pPr>
          </w:p>
        </w:tc>
        <w:tc>
          <w:tcPr>
            <w:tcW w:w="1080" w:type="dxa"/>
            <w:vAlign w:val="bottom"/>
            <w:gridSpan w:val="4"/>
            <w:shd w:val="clear" w:color="auto" w:fill="CCEEFF"/>
          </w:tcPr>
          <w:p>
            <w:pPr>
              <w:ind w:left="580"/>
              <w:spacing w:after="0" w:line="175"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9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as adopted pursuant to Section 302</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80" w:type="dxa"/>
            <w:vAlign w:val="bottom"/>
            <w:gridSpan w:val="4"/>
          </w:tcPr>
          <w:p>
            <w:pPr>
              <w:ind w:left="580"/>
              <w:spacing w:after="0" w:line="175"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900" w:type="dxa"/>
            <w:vAlign w:val="bottom"/>
            <w:gridSpan w:val="2"/>
          </w:tcPr>
          <w:p>
            <w:pPr>
              <w:spacing w:after="0" w:line="175"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as adopted pursuant to Section 302</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740" w:type="dxa"/>
            <w:vAlign w:val="bottom"/>
            <w:gridSpan w:val="5"/>
            <w:shd w:val="clear" w:color="auto" w:fill="CCEEFF"/>
          </w:tcPr>
          <w:p>
            <w:pPr>
              <w:ind w:left="580"/>
              <w:spacing w:after="0" w:line="175"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540" w:type="dxa"/>
            <w:vAlign w:val="bottom"/>
            <w:shd w:val="clear" w:color="auto" w:fill="CCEEFF"/>
          </w:tcPr>
          <w:p>
            <w:pPr>
              <w:spacing w:after="0"/>
              <w:rPr>
                <w:sz w:val="15"/>
                <w:szCs w:val="15"/>
                <w:color w:val="auto"/>
              </w:rPr>
            </w:pPr>
          </w:p>
        </w:tc>
        <w:tc>
          <w:tcPr>
            <w:tcW w:w="89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740" w:type="dxa"/>
            <w:vAlign w:val="bottom"/>
            <w:gridSpan w:val="5"/>
          </w:tcPr>
          <w:p>
            <w:pPr>
              <w:ind w:left="580"/>
              <w:spacing w:after="0" w:line="175"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540" w:type="dxa"/>
            <w:vAlign w:val="bottom"/>
          </w:tcPr>
          <w:p>
            <w:pPr>
              <w:spacing w:after="0"/>
              <w:rPr>
                <w:sz w:val="15"/>
                <w:szCs w:val="15"/>
                <w:color w:val="auto"/>
              </w:rPr>
            </w:pPr>
          </w:p>
        </w:tc>
        <w:tc>
          <w:tcPr>
            <w:tcW w:w="8900" w:type="dxa"/>
            <w:vAlign w:val="bottom"/>
            <w:gridSpan w:val="2"/>
          </w:tcPr>
          <w:p>
            <w:pPr>
              <w:spacing w:after="0" w:line="175"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980" w:type="dxa"/>
            <w:vAlign w:val="bottom"/>
            <w:gridSpan w:val="3"/>
            <w:shd w:val="clear" w:color="auto" w:fill="CCEEFF"/>
          </w:tcPr>
          <w:p>
            <w:pPr>
              <w:ind w:left="580"/>
              <w:spacing w:after="0" w:line="197"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9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The following materials from ADMA Biologics, Inc.’s Form 10-Q for the quarter ended June 30, 2025, formatted in</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Extensible Business Reporting Language (XBRL): (i) Condensed Consolidated Balance Sheets as of June 30, 2025</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and December 31, 2024, (ii) Unaudited Condensed Consolidated Statements of Operations for the three and</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six months ended June 30, 2025 and 2024, (iii) Unaudited Condensed Consolidated Statements of Changes in Stockholders'</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for the three and six months ended June 30, 2025 and 2024, (iv) Unaudited Condensed Consolidated Statements of</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for the six months ended June 30, 2025 and 2024, and (v) Notes to (Unaudited) Condensed Consolidated</w:t>
            </w: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accordance with SEC Release 33-8238, Exhibit 32.1 and Exhibit 32.2 are being furnished and not filed.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29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435"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360" w:firstLine="645"/>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540" w:type="dxa"/>
            <w:vAlign w:val="bottom"/>
            <w:gridSpan w:val="4"/>
          </w:tcPr>
          <w:p>
            <w:pPr>
              <w:ind w:left="1980"/>
              <w:spacing w:after="0"/>
              <w:rPr>
                <w:sz w:val="20"/>
                <w:szCs w:val="20"/>
                <w:color w:val="auto"/>
              </w:rPr>
            </w:pPr>
            <w:r>
              <w:rPr>
                <w:rFonts w:ascii="Times New Roman" w:cs="Times New Roman" w:eastAsia="Times New Roman" w:hAnsi="Times New Roman"/>
                <w:sz w:val="18"/>
                <w:szCs w:val="18"/>
                <w:b w:val="1"/>
                <w:bCs w:val="1"/>
                <w:color w:val="auto"/>
              </w:rPr>
              <w:t>ADMA Biologics, Inc.</w:t>
            </w:r>
          </w:p>
        </w:tc>
        <w:tc>
          <w:tcPr>
            <w:tcW w:w="100" w:type="dxa"/>
            <w:vAlign w:val="bottom"/>
          </w:tcPr>
          <w:p>
            <w:pPr>
              <w:spacing w:after="0"/>
              <w:rPr>
                <w:sz w:val="20"/>
                <w:szCs w:val="20"/>
                <w:color w:val="auto"/>
              </w:rPr>
            </w:pPr>
          </w:p>
        </w:tc>
      </w:tr>
      <w:tr>
        <w:trPr>
          <w:trHeight w:val="4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6, 2025</w:t>
            </w:r>
          </w:p>
        </w:tc>
        <w:tc>
          <w:tcPr>
            <w:tcW w:w="754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By: /s/ Adam S. Grossman</w:t>
            </w:r>
          </w:p>
        </w:tc>
        <w:tc>
          <w:tcPr>
            <w:tcW w:w="100" w:type="dxa"/>
            <w:vAlign w:val="bottom"/>
          </w:tcPr>
          <w:p>
            <w:pPr>
              <w:spacing w:after="0"/>
              <w:rPr>
                <w:sz w:val="24"/>
                <w:szCs w:val="24"/>
                <w:color w:val="auto"/>
              </w:rPr>
            </w:pPr>
          </w:p>
        </w:tc>
      </w:tr>
      <w:tr>
        <w:trPr>
          <w:trHeight w:val="227"/>
        </w:trPr>
        <w:tc>
          <w:tcPr>
            <w:tcW w:w="4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Adam S. Grossman</w:t>
            </w:r>
          </w:p>
        </w:tc>
        <w:tc>
          <w:tcPr>
            <w:tcW w:w="100" w:type="dxa"/>
            <w:vAlign w:val="bottom"/>
          </w:tcPr>
          <w:p>
            <w:pPr>
              <w:spacing w:after="0"/>
              <w:rPr>
                <w:sz w:val="19"/>
                <w:szCs w:val="19"/>
                <w:color w:val="auto"/>
              </w:rPr>
            </w:pPr>
          </w:p>
        </w:tc>
      </w:tr>
      <w:tr>
        <w:trPr>
          <w:trHeight w:val="237"/>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tcPr>
          <w:p>
            <w:pPr>
              <w:spacing w:after="0"/>
              <w:rPr>
                <w:sz w:val="20"/>
                <w:szCs w:val="20"/>
                <w:color w:val="auto"/>
              </w:rPr>
            </w:pPr>
          </w:p>
        </w:tc>
      </w:tr>
      <w:tr>
        <w:trPr>
          <w:trHeight w:val="504"/>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6, 2025</w:t>
            </w:r>
          </w:p>
        </w:tc>
        <w:tc>
          <w:tcPr>
            <w:tcW w:w="754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By: /s/ Brad Tade</w:t>
            </w:r>
          </w:p>
        </w:tc>
        <w:tc>
          <w:tcPr>
            <w:tcW w:w="10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Brad Tade</w:t>
            </w:r>
          </w:p>
        </w:tc>
        <w:tc>
          <w:tcPr>
            <w:tcW w:w="100" w:type="dxa"/>
            <w:vAlign w:val="bottom"/>
            <w:tcBorders>
              <w:top w:val="single" w:sz="8" w:color="auto"/>
            </w:tcBorders>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0"/>
                <w:szCs w:val="20"/>
                <w:color w:val="auto"/>
              </w:rPr>
            </w:pPr>
          </w:p>
        </w:tc>
      </w:tr>
      <w:tr>
        <w:trPr>
          <w:trHeight w:val="611"/>
        </w:trPr>
        <w:tc>
          <w:tcPr>
            <w:tcW w:w="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9"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Grossman, certify that:</w:t>
      </w:r>
    </w:p>
    <w:p>
      <w:pPr>
        <w:spacing w:after="0" w:line="223" w:lineRule="exact"/>
        <w:rPr>
          <w:sz w:val="20"/>
          <w:szCs w:val="20"/>
          <w:color w:val="auto"/>
        </w:rPr>
      </w:pPr>
    </w:p>
    <w:p>
      <w:pPr>
        <w:ind w:left="660" w:hanging="330"/>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 (the “registrant”);</w:t>
      </w:r>
    </w:p>
    <w:p>
      <w:pPr>
        <w:spacing w:after="0" w:line="222"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140" w:hanging="326"/>
        <w:spacing w:after="0" w:line="264"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140" w:hanging="326"/>
        <w:spacing w:after="0" w:line="264"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140" w:hanging="326"/>
        <w:spacing w:after="0" w:line="280"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26"/>
        <w:spacing w:after="0" w:line="264"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hanging="326"/>
        <w:spacing w:after="0" w:line="280"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26"/>
        <w:spacing w:after="0" w:line="280"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6, 2025</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c>
          <w:tcPr>
            <w:tcW w:w="100" w:type="dxa"/>
            <w:vAlign w:val="bottom"/>
          </w:tcPr>
          <w:p>
            <w:pPr>
              <w:spacing w:after="0"/>
              <w:rPr>
                <w:sz w:val="20"/>
                <w:szCs w:val="20"/>
                <w:color w:val="auto"/>
              </w:rPr>
            </w:pPr>
          </w:p>
        </w:tc>
      </w:tr>
      <w:tr>
        <w:trPr>
          <w:trHeight w:val="190"/>
        </w:trPr>
        <w:tc>
          <w:tcPr>
            <w:tcW w:w="3580" w:type="dxa"/>
            <w:vAlign w:val="bottom"/>
          </w:tcPr>
          <w:p>
            <w:pPr>
              <w:spacing w:after="0"/>
              <w:rPr>
                <w:sz w:val="16"/>
                <w:szCs w:val="16"/>
                <w:color w:val="auto"/>
              </w:rPr>
            </w:pPr>
          </w:p>
        </w:tc>
        <w:tc>
          <w:tcPr>
            <w:tcW w:w="2640" w:type="dxa"/>
            <w:vAlign w:val="bottom"/>
          </w:tcPr>
          <w:p>
            <w:pPr>
              <w:ind w:left="2040"/>
              <w:spacing w:after="0" w:line="190"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Adam S. Grossman</w:t>
            </w:r>
          </w:p>
        </w:tc>
        <w:tc>
          <w:tcPr>
            <w:tcW w:w="100" w:type="dxa"/>
            <w:vAlign w:val="bottom"/>
          </w:tcPr>
          <w:p>
            <w:pPr>
              <w:spacing w:after="0"/>
              <w:rPr>
                <w:sz w:val="16"/>
                <w:szCs w:val="16"/>
                <w:color w:val="auto"/>
              </w:rPr>
            </w:pPr>
          </w:p>
        </w:tc>
      </w:tr>
      <w:tr>
        <w:trPr>
          <w:trHeight w:val="215"/>
        </w:trPr>
        <w:tc>
          <w:tcPr>
            <w:tcW w:w="3580" w:type="dxa"/>
            <w:vAlign w:val="bottom"/>
          </w:tcPr>
          <w:p>
            <w:pPr>
              <w:spacing w:after="0"/>
              <w:rPr>
                <w:sz w:val="18"/>
                <w:szCs w:val="18"/>
                <w:color w:val="auto"/>
              </w:rPr>
            </w:pP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r>
      <w:tr>
        <w:trPr>
          <w:trHeight w:val="531"/>
        </w:trPr>
        <w:tc>
          <w:tcPr>
            <w:tcW w:w="35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74" w:name="page75"/>
    <w:bookmarkEnd w:id="74"/>
    <w:p>
      <w:pPr>
        <w:ind w:left="102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Tade, certify that:</w:t>
      </w:r>
    </w:p>
    <w:p>
      <w:pPr>
        <w:spacing w:after="0" w:line="223" w:lineRule="exact"/>
        <w:rPr>
          <w:sz w:val="20"/>
          <w:szCs w:val="20"/>
          <w:color w:val="auto"/>
        </w:rPr>
      </w:pPr>
    </w:p>
    <w:p>
      <w:pPr>
        <w:ind w:left="640" w:hanging="310"/>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 (the “registrant”);</w:t>
      </w:r>
    </w:p>
    <w:p>
      <w:pPr>
        <w:spacing w:after="0" w:line="222"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140" w:hanging="326"/>
        <w:spacing w:after="0" w:line="264"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140" w:hanging="326"/>
        <w:spacing w:after="0" w:line="264"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140" w:hanging="326"/>
        <w:spacing w:after="0" w:line="280"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26"/>
        <w:spacing w:after="0" w:line="264"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140" w:hanging="326"/>
        <w:spacing w:after="0" w:line="280"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26"/>
        <w:spacing w:after="0" w:line="280"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6, 2025</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Tade</w:t>
            </w:r>
          </w:p>
        </w:tc>
        <w:tc>
          <w:tcPr>
            <w:tcW w:w="100" w:type="dxa"/>
            <w:vAlign w:val="bottom"/>
          </w:tcPr>
          <w:p>
            <w:pPr>
              <w:spacing w:after="0"/>
              <w:rPr>
                <w:sz w:val="20"/>
                <w:szCs w:val="20"/>
                <w:color w:val="auto"/>
              </w:rPr>
            </w:pPr>
          </w:p>
        </w:tc>
      </w:tr>
      <w:tr>
        <w:trPr>
          <w:trHeight w:val="190"/>
        </w:trPr>
        <w:tc>
          <w:tcPr>
            <w:tcW w:w="3580" w:type="dxa"/>
            <w:vAlign w:val="bottom"/>
          </w:tcPr>
          <w:p>
            <w:pPr>
              <w:spacing w:after="0"/>
              <w:rPr>
                <w:sz w:val="16"/>
                <w:szCs w:val="16"/>
                <w:color w:val="auto"/>
              </w:rPr>
            </w:pPr>
          </w:p>
        </w:tc>
        <w:tc>
          <w:tcPr>
            <w:tcW w:w="2640" w:type="dxa"/>
            <w:vAlign w:val="bottom"/>
          </w:tcPr>
          <w:p>
            <w:pPr>
              <w:ind w:left="2040"/>
              <w:spacing w:after="0" w:line="190"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Brad Tade</w:t>
            </w:r>
          </w:p>
        </w:tc>
        <w:tc>
          <w:tcPr>
            <w:tcW w:w="100" w:type="dxa"/>
            <w:vAlign w:val="bottom"/>
          </w:tcPr>
          <w:p>
            <w:pPr>
              <w:spacing w:after="0"/>
              <w:rPr>
                <w:sz w:val="16"/>
                <w:szCs w:val="16"/>
                <w:color w:val="auto"/>
              </w:rPr>
            </w:pPr>
          </w:p>
        </w:tc>
      </w:tr>
      <w:tr>
        <w:trPr>
          <w:trHeight w:val="215"/>
        </w:trPr>
        <w:tc>
          <w:tcPr>
            <w:tcW w:w="3580" w:type="dxa"/>
            <w:vAlign w:val="bottom"/>
          </w:tcPr>
          <w:p>
            <w:pPr>
              <w:spacing w:after="0"/>
              <w:rPr>
                <w:sz w:val="18"/>
                <w:szCs w:val="18"/>
                <w:color w:val="auto"/>
              </w:rPr>
            </w:pP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0"/>
                <w:szCs w:val="20"/>
                <w:color w:val="auto"/>
              </w:rPr>
            </w:pPr>
          </w:p>
        </w:tc>
      </w:tr>
      <w:tr>
        <w:trPr>
          <w:trHeight w:val="531"/>
        </w:trPr>
        <w:tc>
          <w:tcPr>
            <w:tcW w:w="35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connection with the Quarterly Report of ADMA Biologics, Inc., a Delaware corporation (the “Company”), on Form 10-Q for the quarter ended June 30, 2025,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59" w:lineRule="exact"/>
        <w:rPr>
          <w:sz w:val="20"/>
          <w:szCs w:val="20"/>
          <w:color w:val="auto"/>
        </w:rPr>
      </w:pPr>
    </w:p>
    <w:p>
      <w:pPr>
        <w:ind w:left="660" w:hanging="33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6, 2025</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c>
          <w:tcPr>
            <w:tcW w:w="100" w:type="dxa"/>
            <w:vAlign w:val="bottom"/>
          </w:tcPr>
          <w:p>
            <w:pPr>
              <w:spacing w:after="0"/>
              <w:rPr>
                <w:sz w:val="20"/>
                <w:szCs w:val="20"/>
                <w:color w:val="auto"/>
              </w:rPr>
            </w:pPr>
          </w:p>
        </w:tc>
      </w:tr>
      <w:tr>
        <w:trPr>
          <w:trHeight w:val="190"/>
        </w:trPr>
        <w:tc>
          <w:tcPr>
            <w:tcW w:w="3580" w:type="dxa"/>
            <w:vAlign w:val="bottom"/>
          </w:tcPr>
          <w:p>
            <w:pPr>
              <w:spacing w:after="0"/>
              <w:rPr>
                <w:sz w:val="16"/>
                <w:szCs w:val="16"/>
                <w:color w:val="auto"/>
              </w:rPr>
            </w:pPr>
          </w:p>
        </w:tc>
        <w:tc>
          <w:tcPr>
            <w:tcW w:w="2640" w:type="dxa"/>
            <w:vAlign w:val="bottom"/>
          </w:tcPr>
          <w:p>
            <w:pPr>
              <w:ind w:left="2040"/>
              <w:spacing w:after="0" w:line="190"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Adam S. Grossman</w:t>
            </w:r>
          </w:p>
        </w:tc>
        <w:tc>
          <w:tcPr>
            <w:tcW w:w="100" w:type="dxa"/>
            <w:vAlign w:val="bottom"/>
          </w:tcPr>
          <w:p>
            <w:pPr>
              <w:spacing w:after="0"/>
              <w:rPr>
                <w:sz w:val="16"/>
                <w:szCs w:val="16"/>
                <w:color w:val="auto"/>
              </w:rPr>
            </w:pPr>
          </w:p>
        </w:tc>
      </w:tr>
      <w:tr>
        <w:trPr>
          <w:trHeight w:val="215"/>
        </w:trPr>
        <w:tc>
          <w:tcPr>
            <w:tcW w:w="3580" w:type="dxa"/>
            <w:vAlign w:val="bottom"/>
          </w:tcPr>
          <w:p>
            <w:pPr>
              <w:spacing w:after="0"/>
              <w:rPr>
                <w:sz w:val="18"/>
                <w:szCs w:val="18"/>
                <w:color w:val="auto"/>
              </w:rPr>
            </w:pP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r>
      <w:tr>
        <w:trPr>
          <w:trHeight w:val="531"/>
        </w:trPr>
        <w:tc>
          <w:tcPr>
            <w:tcW w:w="35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ADMA Biologics, Inc., a Delaware corporation (the “Company”), on Form 10-Q for the quarter ended June 30, 2025, as filed with the Securities and Exchange Commission on the date hereof (the “Report”), I, Brad Tade, Chief Financial Officer of the Company, hereby certify, pursuant to 18 U.S.C. § 1350, as adopted pursuant to Section 906 of the Sarbanes-Oxley Act of 2002, that to my knowledge:</w:t>
      </w:r>
    </w:p>
    <w:p>
      <w:pPr>
        <w:spacing w:after="0" w:line="177" w:lineRule="exact"/>
        <w:rPr>
          <w:sz w:val="20"/>
          <w:szCs w:val="20"/>
          <w:color w:val="auto"/>
        </w:rPr>
      </w:pPr>
    </w:p>
    <w:p>
      <w:pPr>
        <w:ind w:left="660" w:hanging="330"/>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6, 2025</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Tade</w:t>
            </w:r>
          </w:p>
        </w:tc>
        <w:tc>
          <w:tcPr>
            <w:tcW w:w="100" w:type="dxa"/>
            <w:vAlign w:val="bottom"/>
          </w:tcPr>
          <w:p>
            <w:pPr>
              <w:spacing w:after="0"/>
              <w:rPr>
                <w:sz w:val="20"/>
                <w:szCs w:val="20"/>
                <w:color w:val="auto"/>
              </w:rPr>
            </w:pPr>
          </w:p>
        </w:tc>
      </w:tr>
      <w:tr>
        <w:trPr>
          <w:trHeight w:val="190"/>
        </w:trPr>
        <w:tc>
          <w:tcPr>
            <w:tcW w:w="3580" w:type="dxa"/>
            <w:vAlign w:val="bottom"/>
          </w:tcPr>
          <w:p>
            <w:pPr>
              <w:spacing w:after="0"/>
              <w:rPr>
                <w:sz w:val="16"/>
                <w:szCs w:val="16"/>
                <w:color w:val="auto"/>
              </w:rPr>
            </w:pPr>
          </w:p>
        </w:tc>
        <w:tc>
          <w:tcPr>
            <w:tcW w:w="2640" w:type="dxa"/>
            <w:vAlign w:val="bottom"/>
          </w:tcPr>
          <w:p>
            <w:pPr>
              <w:ind w:left="2040"/>
              <w:spacing w:after="0" w:line="190"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Brad Tade</w:t>
            </w:r>
          </w:p>
        </w:tc>
        <w:tc>
          <w:tcPr>
            <w:tcW w:w="100" w:type="dxa"/>
            <w:vAlign w:val="bottom"/>
          </w:tcPr>
          <w:p>
            <w:pPr>
              <w:spacing w:after="0"/>
              <w:rPr>
                <w:sz w:val="16"/>
                <w:szCs w:val="16"/>
                <w:color w:val="auto"/>
              </w:rPr>
            </w:pPr>
          </w:p>
        </w:tc>
      </w:tr>
      <w:tr>
        <w:trPr>
          <w:trHeight w:val="215"/>
        </w:trPr>
        <w:tc>
          <w:tcPr>
            <w:tcW w:w="3580" w:type="dxa"/>
            <w:vAlign w:val="bottom"/>
          </w:tcPr>
          <w:p>
            <w:pPr>
              <w:spacing w:after="0"/>
              <w:rPr>
                <w:sz w:val="18"/>
                <w:szCs w:val="18"/>
                <w:color w:val="auto"/>
              </w:rPr>
            </w:pP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0"/>
                <w:szCs w:val="20"/>
                <w:color w:val="auto"/>
              </w:rPr>
            </w:pPr>
          </w:p>
        </w:tc>
      </w:tr>
      <w:tr>
        <w:trPr>
          <w:trHeight w:val="531"/>
        </w:trPr>
        <w:tc>
          <w:tcPr>
            <w:tcW w:w="35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1."/>
      <w:numFmt w:val="decimal"/>
      <w:start w:val="10"/>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decimal"/>
      <w:start w:val="12"/>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2025-08-06T16:24:38Z</dcterms:created>
  <dcterms:modified xsi:type="dcterms:W3CDTF">2025-08-06T16:24:38Z</dcterms:modified>
</cp:coreProperties>
</file>