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500" w:right="2100" w:hanging="492"/>
        <w:spacing w:after="0" w:line="261"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September 30, 2025</w:t>
      </w: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right="2080" w:firstLine="8"/>
        <w:spacing w:after="0" w:line="266" w:lineRule="auto"/>
        <w:tabs>
          <w:tab w:leader="none" w:pos="48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 to ________</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001-36728</w:t>
      </w:r>
    </w:p>
    <w:p>
      <w:pPr>
        <w:spacing w:after="0" w:line="1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u w:val="single" w:color="auto"/>
          <w:color w:val="auto"/>
        </w:rPr>
        <w:t>ADMA BIOLOGICS,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540" w:type="dxa"/>
            <w:vAlign w:val="bottom"/>
            <w:gridSpan w:val="3"/>
          </w:tcPr>
          <w:p>
            <w:pPr>
              <w:jc w:val="center"/>
              <w:ind w:right="2860"/>
              <w:spacing w:after="0"/>
              <w:rPr>
                <w:sz w:val="20"/>
                <w:szCs w:val="20"/>
                <w:color w:val="auto"/>
              </w:rPr>
            </w:pPr>
            <w:r>
              <w:rPr>
                <w:rFonts w:ascii="Times New Roman" w:cs="Times New Roman" w:eastAsia="Times New Roman" w:hAnsi="Times New Roman"/>
                <w:sz w:val="18"/>
                <w:szCs w:val="18"/>
                <w:color w:val="auto"/>
                <w:w w:val="98"/>
              </w:rPr>
              <w:t>Delaware</w:t>
            </w:r>
          </w:p>
        </w:tc>
        <w:tc>
          <w:tcPr>
            <w:tcW w:w="37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72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8"/>
        </w:trPr>
        <w:tc>
          <w:tcPr>
            <w:tcW w:w="720" w:type="dxa"/>
            <w:vAlign w:val="bottom"/>
          </w:tcPr>
          <w:p>
            <w:pPr>
              <w:spacing w:after="0"/>
              <w:rPr>
                <w:sz w:val="24"/>
                <w:szCs w:val="24"/>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465 State Route 17, Ramsey, New Jersey</w:t>
            </w:r>
          </w:p>
        </w:tc>
        <w:tc>
          <w:tcPr>
            <w:tcW w:w="1720" w:type="dxa"/>
            <w:vAlign w:val="bottom"/>
          </w:tcPr>
          <w:p>
            <w:pPr>
              <w:spacing w:after="0"/>
              <w:rPr>
                <w:sz w:val="24"/>
                <w:szCs w:val="24"/>
                <w:color w:val="auto"/>
              </w:rPr>
            </w:pPr>
          </w:p>
        </w:tc>
        <w:tc>
          <w:tcPr>
            <w:tcW w:w="218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07446</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4680" w:type="dxa"/>
            <w:vAlign w:val="bottom"/>
            <w:gridSpan w:val="4"/>
          </w:tcPr>
          <w:p>
            <w:pPr>
              <w:jc w:val="center"/>
              <w:ind w:right="17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(201) 478-5552</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ADMA</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both"/>
        <w:ind w:right="2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394" w:right="319" w:bottom="1440" w:gutter="0" w:footer="0" w:header="0"/>
        </w:sectPr>
      </w:pPr>
    </w:p>
    <w:p>
      <w:pPr>
        <w:spacing w:after="0" w:line="162" w:lineRule="exact"/>
        <w:rPr>
          <w:sz w:val="24"/>
          <w:szCs w:val="24"/>
          <w:color w:val="auto"/>
        </w:rPr>
      </w:pPr>
    </w:p>
    <w:p>
      <w:pPr>
        <w:ind w:left="13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3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820" w:space="720"/>
            <w:col w:w="3720"/>
          </w:cols>
          <w:pgMar w:left="320" w:top="394" w:right="319" w:bottom="1440" w:gutter="0" w:footer="0" w:header="0"/>
          <w:type w:val="continuous"/>
        </w:sectPr>
      </w:pPr>
    </w:p>
    <w:p>
      <w:pPr>
        <w:spacing w:after="0" w:line="17"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3, 2025, there were 237,997,765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9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(Unaudited) and December 31, 2024</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7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 and Nine Months Ended September 30, 2025</w:t>
            </w:r>
          </w:p>
        </w:tc>
        <w:tc>
          <w:tcPr>
            <w:tcW w:w="3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10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for the Three and Nine Months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320" w:type="dxa"/>
            <w:vAlign w:val="bottom"/>
            <w:tcBorders>
              <w:top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September 30, 2025 and 2024</w:t>
            </w:r>
          </w:p>
        </w:tc>
        <w:tc>
          <w:tcPr>
            <w:tcW w:w="780" w:type="dxa"/>
            <w:vAlign w:val="bottom"/>
            <w:tcBorders>
              <w:top w:val="single" w:sz="8" w:color="CCEEFF"/>
            </w:tcBorders>
            <w:gridSpan w:val="3"/>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September 30, 2025 and 2024</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Item 1A.</w:t>
            </w: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7"/>
          <w:szCs w:val="17"/>
          <w:color w:val="auto"/>
        </w:rPr>
        <w:t>This Quarterly Report on Form 10-Q includes our trademarks, trade names and service marks, such as “ASCENIV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“Nabi-HB</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“BIVIGAM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which are protected under applicable intellectual property laws and are the property of ADMA Biologics, Inc., or its subsidiaries. Solely for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convenience, trademarks, trade names and service marks referred to in this report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within the meaning of Section 27A of the Securities Act of 1933, as amended (the “Exchange Act”), and such forward-looking statements involve risks and uncertainties. These forward-looking statements include, but are not limited to, statements about our plans, objectives, representations and contentions that are not historical facts and typically are identified by use of terms such as “may,” “should,” “could,” “would,” “expect,” “plan,” “anticipate,” “believe,” “estimate,” “predict,” “potential,” “project,” “continue,” or the negative thereof, or other variations or comparable terminology, although some forward-looking statements are expressed differently. The forward-looking statements included herein represent management’s current judgment and expectations, but our actual results, events and performance could differ materially from those in the forward-looking statements. These statements include, among others, statements about:</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commercialize ASCENIV and BIVIGAM;</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manufacture, market, launch and expand our commercial infrastructure and commercialize our current and future products and the success of such efforts;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expected timing of and our ability to obtain and maintain regulatory approvals for our current products and product candidates, the labeling or nature of any such approvals, and whether any of our current products may be subject to post-marketing restrictions or withdrawal from the market;</w:t>
      </w:r>
    </w:p>
    <w:p>
      <w:pPr>
        <w:spacing w:after="0" w:line="17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or expected timing, progress and results of clinical development, clinical trials and potential regulatory approvals for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our third-party customers, suppliers and vendors and their compliance with applicable regulatory requirements;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have addressed the delays experienced with final drug product current Good Manufacturing Practices (“cGMP”) release testing by our third-party vendors by adding additional release testing laboratories to our U.S. Food and Drug Administration (“FDA”)-approved consortium listed in our drug approval documents;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quantities of FDA-approved plasma with proper specifications;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our supplies of source plasma (including source plasma containing certain levels of antibodies to Respiratory Syncytial Virus), our ability to obtain and maintain regulatory compliance and reliance on third-party supply agreements as well as any extensions to such agreements;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indications for our products and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investigational new product applications;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any of our products, including ASCENIV, BIVIGAM and Nabi-HB, for any purpose, including FDA-approved indications, by physicians, patients or payers;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evaluate the clinical and regulatory paths to grow the ASCENIV franchise through expanded FDA-approved uses;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regulatory and business review processes and timing by such governmental and regulatory agencies of our business and regulatory submissions;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concurrence by the FDA with our conclusions concerning our products and product candidates;</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results of our hyperimmune and immune globulin (“IG”) products to other comparably run hyperimmune and immune globulin clinical trials;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ind w:left="660" w:right="720" w:hanging="328"/>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ASCENIV and BIVIGAM to provide meaningful clinical improvement for patients living with Primary Humoral Immunodeficiency (“PI”), also known as Primary Immunodeficiency Disease (“PIDD”) or Inborn Errors of Immunity, or other immune deficiencies or any other condition for which the products may be prescribed or evaluated;</w:t>
      </w:r>
    </w:p>
    <w:p>
      <w:pPr>
        <w:spacing w:after="0" w:line="18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promote Nabi-HB in a highly competitive environment with increasing competition from other antiviral therapies and to generate meaningful revenues from this product;</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defense thereof, including our expectations regarding the scope of patent protection with respect to ASCENIV, SG-001 or other future pipeline product candidates;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receive regulatory approval and commercialize our potential pipeline of any new hyperimmune globulins, including SG-001;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third-party contractor capabilities;</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6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revenues, earnings, expenses, capital requirements, capital expenditures, ASCENIV’s growth, ability to maintain profitability and positive cash flows and the potential need for and availability of additional financing;</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yield and revenue and earnings benefits following FDA approval of our innovative yield enhancement production process, and the timing associated with realizing such benefits;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our deferred tax assets or the need for a valuation allowance, or the effects of changes in tax laws on our deferred tax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taxable income, which could have a material impact on our financial condition or financial results;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effective tax rates and corresponding tax obligations and expenses, including our expectations for the One Big Beautiful Bill Act’s impact on our financial condition or financial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likely reimbursement levels for our currently marketed products;</w:t>
      </w:r>
    </w:p>
    <w:p>
      <w:pPr>
        <w:spacing w:after="0" w:line="225"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projected growth and sales of our existing products as well as our expectations of market acceptance of ASCENIV and BIVIGAM;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uses and benefits of the recently acquired real estate in Boca Raton, FL;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refinancing of our senior credit facility;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pandemics, or a resurgence of a pandemic, to adversely affect our business, financial condition, liquidity or results of operations;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9"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domestic and global economic conditions including, but not limited to, supply chain constraints, inflationary pressures or performance or geopolitical conditions, including the continuing conflicts in Europe, selected countries in North Africa and in the Middle East and surrounding areas, and any anticipated effects of such factors on the pricing and availability of imported raw materials used in the production of our products.</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These statements may be found under the “Risk Factors” and “Management’s Discussion and Analysis of Financial Condition and Results of Operations” sections of this Quarterly Report on Form 10-Q for the quarter ended September 30, 2025 (this “Form 10-Q”).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2024 (the “2024 10-K”) and in this Form 10-Q. Any forward-looking statement included or incorporated by reference in this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56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80" w:type="dxa"/>
            <w:vAlign w:val="bottom"/>
            <w:gridSpan w:val="8"/>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0" w:type="dxa"/>
            <w:vAlign w:val="bottom"/>
          </w:tcPr>
          <w:p>
            <w:pPr>
              <w:spacing w:after="0"/>
              <w:rPr>
                <w:sz w:val="1"/>
                <w:szCs w:val="1"/>
                <w:color w:val="auto"/>
              </w:rPr>
            </w:pPr>
          </w:p>
        </w:tc>
      </w:tr>
      <w:tr>
        <w:trPr>
          <w:trHeight w:val="198"/>
        </w:trPr>
        <w:tc>
          <w:tcPr>
            <w:tcW w:w="8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61,385</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103,147</w:t>
            </w:r>
          </w:p>
        </w:tc>
        <w:tc>
          <w:tcPr>
            <w:tcW w:w="0" w:type="dxa"/>
            <w:vAlign w:val="bottom"/>
          </w:tcPr>
          <w:p>
            <w:pPr>
              <w:spacing w:after="0"/>
              <w:rPr>
                <w:sz w:val="1"/>
                <w:szCs w:val="1"/>
                <w:color w:val="auto"/>
              </w:rPr>
            </w:pPr>
          </w:p>
        </w:tc>
      </w:tr>
      <w:tr>
        <w:trPr>
          <w:trHeight w:val="216"/>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137,673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49,999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196,667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170,235</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8,029</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402,655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331,410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69,509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54,707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74,433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84,280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8,798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4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568,687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488,678</w:t>
            </w: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24,021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34,105</w:t>
            </w:r>
          </w:p>
        </w:tc>
        <w:tc>
          <w:tcPr>
            <w:tcW w:w="0" w:type="dxa"/>
            <w:vAlign w:val="bottom"/>
          </w:tcPr>
          <w:p>
            <w:pPr>
              <w:spacing w:after="0"/>
              <w:rPr>
                <w:sz w:val="1"/>
                <w:szCs w:val="1"/>
                <w:color w:val="auto"/>
              </w:rPr>
            </w:pPr>
          </w:p>
        </w:tc>
      </w:tr>
      <w:tr>
        <w:trPr>
          <w:trHeight w:val="216"/>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09"/>
        </w:trPr>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56,490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55,542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72,337</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fee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 net of current portion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0"/>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137,501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139,660</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and outstanding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voting, $0.0001 par value, 300,000,000 shares authorized, September 30, 2025: 239,661,041 issued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238,332,393 outstanding; December 31, 2024: 236,620,545 issued and outstanding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1,328,648 and 0 shares as of September 30, 2025 and December 31, 2024, respectively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657,577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(211,032)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(308,583)</w:t>
            </w:r>
          </w:p>
        </w:tc>
        <w:tc>
          <w:tcPr>
            <w:tcW w:w="0" w:type="dxa"/>
            <w:vAlign w:val="bottom"/>
          </w:tcPr>
          <w:p>
            <w:pPr>
              <w:spacing w:after="0"/>
              <w:rPr>
                <w:sz w:val="1"/>
                <w:szCs w:val="1"/>
                <w:color w:val="auto"/>
              </w:rPr>
            </w:pPr>
          </w:p>
        </w:tc>
      </w:tr>
      <w:tr>
        <w:trPr>
          <w:trHeight w:val="210"/>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431,186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349,018</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568,687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488,678</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5480" w:type="dxa"/>
            <w:vAlign w:val="bottom"/>
            <w:gridSpan w:val="1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Nine Months ended September 30,</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60" w:type="dxa"/>
            <w:vAlign w:val="bottom"/>
            <w:gridSpan w:val="10"/>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134,224</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308,905</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58,598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60,180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167,061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152,685</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59,659</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203,949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156,220</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21,776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18,560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50,807</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24,614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75,257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55,560</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51,012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128,692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100,660</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(11,051)</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(9,659)</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91,001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23,510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36,428</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85,777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238,602,978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234,571,376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238,408,042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231,959,579</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244,664,263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244,804,065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245,491,334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241,772,162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r>
      <w:tr>
        <w:trPr>
          <w:trHeight w:val="238"/>
        </w:trPr>
        <w:tc>
          <w:tcPr>
            <w:tcW w:w="3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236,620,545</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(308,583</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349,018</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4,624</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866,302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1,016,005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(7,228)</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29,400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3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26,904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26,904</w:t>
            </w: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238,532,252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655,074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373,419</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4,963</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105,543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745,750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2,064</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(15,148)</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34,219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34,219</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239,383,545</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660,909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398,325</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5,047</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161,304</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116,192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(8,040)</w:t>
            </w:r>
          </w:p>
        </w:tc>
      </w:tr>
      <w:tr>
        <w:trPr>
          <w:trHeight w:val="216"/>
        </w:trPr>
        <w:tc>
          <w:tcPr>
            <w:tcW w:w="3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36,428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36,428</w:t>
            </w:r>
          </w:p>
        </w:tc>
      </w:tr>
      <w:tr>
        <w:trPr>
          <w:trHeight w:val="210"/>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239,661,041</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665,382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(211,032)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431,186</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13"/>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20"/>
                <w:szCs w:val="20"/>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2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226,063,032</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641,439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135,206</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4,545,503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774,889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386,341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3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17,806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17,806</w:t>
            </w: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231,769,765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153,706</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937,507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171,408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148,056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3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32,062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32,062</w:t>
            </w: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233,026,736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188,269</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3,179</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1,741,882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250,107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(1,158)</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1,359,882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35,909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35,909</w:t>
            </w: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236,378,607</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652,345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(420,479)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231,890</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5"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9"/>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97,551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85,777</w:t>
            </w:r>
          </w:p>
        </w:tc>
      </w:tr>
      <w:tr>
        <w:trPr>
          <w:trHeight w:val="216"/>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6,101</w:t>
            </w:r>
          </w:p>
        </w:tc>
      </w:tr>
      <w:tr>
        <w:trPr>
          <w:trHeight w:val="216"/>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9,848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8,183</w:t>
            </w:r>
          </w:p>
        </w:tc>
      </w:tr>
      <w:tr>
        <w:trPr>
          <w:trHeight w:val="216"/>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license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(22,719)</w:t>
            </w:r>
          </w:p>
        </w:tc>
      </w:tr>
      <w:tr>
        <w:trPr>
          <w:trHeight w:val="216"/>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r>
      <w:tr>
        <w:trPr>
          <w:trHeight w:val="216"/>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r>
      <w:tr>
        <w:trPr>
          <w:trHeight w:val="216"/>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09"/>
        </w:trPr>
        <w:tc>
          <w:tcPr>
            <w:tcW w:w="83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14,757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68,456</w:t>
            </w:r>
          </w:p>
        </w:tc>
      </w:tr>
      <w:tr>
        <w:trPr>
          <w:trHeight w:val="209"/>
        </w:trPr>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16"/>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0"/>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r>
      <w:tr>
        <w:trPr>
          <w:trHeight w:val="209"/>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Ares term loan payments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Ares revolving facility payments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Ares revolving facility proceeds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JPM term loan payments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JPM term loan proceeds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Prepayment penalties on repayment of debt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paid on vested restricted stock units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r>
      <w:tr>
        <w:trPr>
          <w:trHeight w:val="216"/>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the exercise of stock options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7,051</w:t>
            </w:r>
          </w:p>
        </w:tc>
      </w:tr>
      <w:tr>
        <w:trPr>
          <w:trHeight w:val="216"/>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end of term fee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(27,276)</w:t>
            </w:r>
          </w:p>
        </w:tc>
      </w:tr>
      <w:tr>
        <w:trPr>
          <w:trHeight w:val="210"/>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35,355</w:t>
            </w: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103,147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51,352</w:t>
            </w:r>
          </w:p>
        </w:tc>
      </w:tr>
      <w:tr>
        <w:trPr>
          <w:trHeight w:val="210"/>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61,385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86,707</w:t>
            </w:r>
          </w:p>
        </w:tc>
      </w:tr>
      <w:tr>
        <w:trPr>
          <w:trHeight w:val="20"/>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-5845810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ADMA Biologics, Inc. (“ADMA” or the “Company”) is a U.S. based, end-to-end commercial biopharmaceutical company dedicated to manufacturing, marketing and developing specialty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ADMA operates through its wholly owned subsidiaries ADMA BioManufacturing, LLC (“ADMA BioManufacturing”) and ADMA BioCenters Georgia Inc. (“ADMA BioCenters”). ADMA BioManufacturing was formed in January 2017 to facilitate the acquisition of certain assets held by the Company’s former third-party contract manufacturer, which included the U.S. Food and Drug Administration (“FDA”)-licensed BIVIGAM and Nabi-HB immunoglobulin products, and an FDA-licensed plasma fractionation manufacturing facility located in Boca Raton, FL (the “Boca Facility”). ADMA BioCenters is the Company’s source plasma collection business with ten plasma collection facilities located throughout the United States, all of which hold an approved license with the FDA.</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three FDA-approved products,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for which the Company received FDA approval in April 2019 and commenced first commercial sales in October 2019; (ii) BIVIGAM (Immune Globulin Intravenous, Human), an IVIG product indicated for the treatment of PI, and for which the Company received FDA approval in May 2019 and commenced commercial sales in August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generates revenues from the sale of intermediates that result from the immunoglobulin production process and from time to time provides contract manufacturing and laboratory services for certain clients.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88"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 and basis of presentation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annual audited consolidated financial statements and notes thereto as of and for the year ended December 31, 2024 included in the 2024 10-K. All intercompany balances and transactions have been eliminated in consolidation. The preparation of our interim consolidated financial statements in conformity with U.S. GAAP requires management to make estimates and assumptions that affect the amounts reported and disclosed. We have made reasonable estimates and judgments of such items within our financial statements and there may be changes to those estimates in future periods. Certain amounts in the prior year’s unaudited condensed consolidated financial statements have been reclassified to conform to the current year presentation.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comprehensive income was equal to the net income amounts presented for the respective periods in the accompanying condensed consolidated statements of operations. Results for interim periods are not necessarily indicative of the results that may be expected for the full fiscal year.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deducted from gross revenues and estimates related to the Company’s effective tax 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is reported at realizable value, net of allowances for customer credits and credit losses in the amount of $0.3 million at September 30, 2025 and $0.2 million at December 31, 2024. The Company extends credit to its customers based upon an evaluation of each customer’s financial condition and credit history. Evaluations of the financial condition, payment history and associated credit risk of customers are performed on an ongoing basis. Based on these evaluations, the Company has concluded that its credit risk is minimal. At September 30, 2025 and December 31, 2024, three customers accounted for an aggregate of approximately 91% of the Company’s total accounts receivable.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Raw materials inventory consists of various materials purchased from suppliers, including normal source plasma and Respiratory Syncytial Virus (“RSV”) high titer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Boca Facility overhead allocation to inventory is generally based upon the estimated square footage of the Boca Facility that is used in the production of the Company’s FDA-approved products relative to the total square footage of the facility.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by the Company. Goodwill at September 30, 2025 and December 31, 2024 was $3.5 million. All of the Company’s goodwill is attributable to its ADMA BioManufacturing business segment.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record any impairment charges related to goodwill for the three and nine months ended September 30,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Revenues are comprised of (i) revenues from the sale of the Company’s immunoglobulin products, ASCENIV, BIVIGAM and Nabi-HB, (ii) product revenues from the sale of human plasma collected through the Company’s Plasma Collection Centers business segment, (iii) contract manufacturing and laboratory services revenue, (iv) revenues from the sale of intermediates; and (v) license and other revenues primarily attributable to the out-licensing of ASCENIV to Biotest AG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21 years.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ind w:right="60" w:firstLine="648"/>
        <w:spacing w:after="0" w:line="255" w:lineRule="auto"/>
        <w:rPr>
          <w:sz w:val="20"/>
          <w:szCs w:val="20"/>
          <w:color w:val="auto"/>
        </w:rPr>
      </w:pPr>
      <w:r>
        <w:rPr>
          <w:rFonts w:ascii="Times New Roman" w:cs="Times New Roman" w:eastAsia="Times New Roman" w:hAnsi="Times New Roman"/>
          <w:sz w:val="18"/>
          <w:szCs w:val="18"/>
          <w:color w:val="auto"/>
        </w:rPr>
        <w:t>Product revenue is recognized when the customer is deemed to have control over the product. Control is determined based on when the product is shipped or delivered, depending on the sales terms,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wholesaler distribution and related fees, customer incentives, including prompt pay discounts, wholesaler chargebacks, group purchasing organization fees and reimbursements for patient assistance. These estimates are based on historical experience and certain other assumptions, and while the Company believes that such estimates are reasonable, they are subject to change based on future experience and other factors.</w:t>
      </w:r>
    </w:p>
    <w:p>
      <w:pPr>
        <w:spacing w:after="0" w:line="18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three customers represented an aggregate of approximately 78% and 79%, respectively, of the Company’s consolidated revenues. For the three and nine months ended September 30, 2024, two customers represented an aggregate of approximately 71% of the Company’s consolidated revenues.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w:t>
      </w:r>
    </w:p>
    <w:p>
      <w:pPr>
        <w:spacing w:after="0" w:line="22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includes costs associated with the manufacturing of the Company’s FDA-approved products, intermediates and the collection of human source plasma, depreciation of the production equipment, as well as expenses related to tech lots batch production, validation, process development and scientific and technical operations when these operations are attributable to marketed products. When the activities of these operations are attributable to new products or processes in development, the expenses are classified as research and development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Earnings/loss Per Common Share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basic and diluted earnings per share are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Nine Months ended September 30,</w:t>
            </w:r>
          </w:p>
        </w:tc>
      </w:tr>
      <w:tr>
        <w:trPr>
          <w:trHeight w:val="238"/>
        </w:trPr>
        <w:tc>
          <w:tcPr>
            <w:tcW w:w="5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($000's) (numerator)</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85,777</w:t>
            </w:r>
          </w:p>
        </w:tc>
        <w:tc>
          <w:tcPr>
            <w:tcW w:w="60" w:type="dxa"/>
            <w:vAlign w:val="bottom"/>
          </w:tcPr>
          <w:p>
            <w:pPr>
              <w:spacing w:after="0"/>
              <w:rPr>
                <w:sz w:val="18"/>
                <w:szCs w:val="18"/>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number of common shares (denominator)</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238,602,978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234,571,376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238,408,042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231,959,579</w:t>
            </w:r>
          </w:p>
        </w:tc>
        <w:tc>
          <w:tcPr>
            <w:tcW w:w="60" w:type="dxa"/>
            <w:vAlign w:val="bottom"/>
          </w:tcPr>
          <w:p>
            <w:pPr>
              <w:spacing w:after="0"/>
              <w:rPr>
                <w:sz w:val="18"/>
                <w:szCs w:val="18"/>
                <w:color w:val="auto"/>
              </w:rPr>
            </w:pP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6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238,602,978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234,571,376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238,408,042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231,959,579</w:t>
            </w:r>
          </w:p>
        </w:tc>
        <w:tc>
          <w:tcPr>
            <w:tcW w:w="6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outstanding stock options</w:t>
            </w: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3,165,210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4,514,438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3,810,380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3,925,545</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outstanding warrants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1,829,089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3,584,226</w:t>
            </w:r>
          </w:p>
        </w:tc>
        <w:tc>
          <w:tcPr>
            <w:tcW w:w="60" w:type="dxa"/>
            <w:vAlign w:val="bottom"/>
          </w:tcPr>
          <w:p>
            <w:pPr>
              <w:spacing w:after="0"/>
              <w:rPr>
                <w:sz w:val="18"/>
                <w:szCs w:val="18"/>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outstanding RSUs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2,896,075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3,889,162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3,253,976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2,275,812</w:t>
            </w:r>
          </w:p>
        </w:tc>
        <w:tc>
          <w:tcPr>
            <w:tcW w:w="60" w:type="dxa"/>
            <w:vAlign w:val="bottom"/>
          </w:tcPr>
          <w:p>
            <w:pPr>
              <w:spacing w:after="0"/>
              <w:rPr>
                <w:sz w:val="18"/>
                <w:szCs w:val="18"/>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 diluted (denominator)</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244,664,263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244,804,065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245,491,334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241,772,162</w:t>
            </w:r>
          </w:p>
        </w:tc>
        <w:tc>
          <w:tcPr>
            <w:tcW w:w="60" w:type="dxa"/>
            <w:vAlign w:val="bottom"/>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6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there were no shares with an anti-dilutive effect that needed to be excluded from the earnings per share computation.</w:t>
      </w:r>
    </w:p>
    <w:p>
      <w:pPr>
        <w:spacing w:after="0" w:line="1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16" w:right="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Update requires disaggregated information about a reporting entity’s effective tax rate reconciliation as well as information on income taxes paid and became effective for public business entities for fiscal years beginning after December 15, 2024. The Company is currently evaluating the impact that this Update may have on the Company’s consolidated financial statements.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(Subtopic 220-40). The amendments in this Update require disclosure, in the notes to the financial statements, of specified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costs and expenses, including but not limited to, purchases of inventory, employee compensation and selling expense. This Update becomes effective for fiscal years beginning after December 15, 2026. The Company is currently evaluating the impact that this Update may have on the Company’s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INVENTORIES</w:t>
            </w:r>
          </w:p>
        </w:tc>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53"/>
        </w:trPr>
        <w:tc>
          <w:tcPr>
            <w:tcW w:w="500" w:type="dxa"/>
            <w:vAlign w:val="bottom"/>
          </w:tcPr>
          <w:p>
            <w:pPr>
              <w:spacing w:after="0"/>
              <w:rPr>
                <w:sz w:val="24"/>
                <w:szCs w:val="24"/>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following table provides the components of inventories: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87,836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60,473</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61,641</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48,121</w:t>
            </w:r>
          </w:p>
        </w:tc>
      </w:tr>
      <w:tr>
        <w:trPr>
          <w:trHeight w:val="21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inventories, net</w:t>
            </w: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196,667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170,235</w:t>
            </w:r>
          </w:p>
        </w:tc>
      </w:tr>
      <w:tr>
        <w:trPr>
          <w:trHeight w:val="20"/>
        </w:trPr>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Raw materials includes plasma and other materials expected to be used in the production of ASCENIV, BIVIGAM and Nabi-HB. These materials will be consumed in the production of goods expected to be available for sale or otherwise have alternative uses that provide a probable future benefit.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Work-in-process inventory primarily consists of bulk drug substance and unlabeled filled vials of the Company’s immunoglobulin products.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Finished goods inventory is comprised of immunoglobulin product inventory and related intermediates that are available for commercial sale, as well as plasma collected at the Company’s plasma collection centers that is expected to be sold to third-party customers.</w:t>
      </w:r>
    </w:p>
    <w:p>
      <w:pPr>
        <w:spacing w:after="0" w:line="158"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AND EQUIPMENT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for the three and nine months ended September 30, 2025 of $2.0 million and $6.0 million, respectively, and $1.9 million and $5.7 million for the three and nine months ended September 30, 2024, respectively.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2025, the Company completed the acquisition of real estate in Boca Raton, FL, consisting of 5 acres of land and a building, for a total purchase price of $12.6 million, which is inclusive of deposits aggregating $0.5 million made in May 2025. This real estate purchase is intended to allow the Company to expand its production operations and related activities as well as provide for certain redundancies for ambient and cold-chain storage of raw materials, work in process and finished goods inventory.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at September 30, 2025 and December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4"/>
          </w:tcPr>
          <w:p>
            <w:pPr>
              <w:ind w:left="5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distribution fees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incentives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testing</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payroll and other compensation</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49"/>
        </w:trPr>
        <w:tc>
          <w:tcPr>
            <w:tcW w:w="7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28,827</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34,105</w:t>
            </w: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372"/>
        </w:trPr>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360" w:type="dxa"/>
            <w:vAlign w:val="bottom"/>
            <w:tcBorders>
              <w:top w:val="single" w:sz="8" w:color="CCEEFF"/>
            </w:tcBorders>
          </w:tcPr>
          <w:p>
            <w:pPr>
              <w:spacing w:after="0"/>
              <w:rPr>
                <w:sz w:val="24"/>
                <w:szCs w:val="24"/>
                <w:color w:val="auto"/>
              </w:rPr>
            </w:pPr>
          </w:p>
        </w:tc>
        <w:tc>
          <w:tcPr>
            <w:tcW w:w="74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summary of outstanding senior notes payable is as follows: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term loan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32,500</w:t>
            </w:r>
          </w:p>
        </w:tc>
        <w:tc>
          <w:tcPr>
            <w:tcW w:w="20" w:type="dxa"/>
            <w:vAlign w:val="bottom"/>
          </w:tcPr>
          <w:p>
            <w:pPr>
              <w:spacing w:after="0"/>
              <w:rPr>
                <w:sz w:val="18"/>
                <w:szCs w:val="18"/>
                <w:color w:val="auto"/>
              </w:rPr>
            </w:pPr>
          </w:p>
        </w:tc>
      </w:tr>
      <w:tr>
        <w:trPr>
          <w:trHeight w:val="216"/>
        </w:trPr>
        <w:tc>
          <w:tcPr>
            <w:tcW w:w="7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Ares revolving credit facility</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42,500</w:t>
            </w:r>
          </w:p>
        </w:tc>
        <w:tc>
          <w:tcPr>
            <w:tcW w:w="20" w:type="dxa"/>
            <w:vAlign w:val="bottom"/>
          </w:tcPr>
          <w:p>
            <w:pPr>
              <w:spacing w:after="0"/>
              <w:rPr>
                <w:sz w:val="18"/>
                <w:szCs w:val="18"/>
                <w:color w:val="auto"/>
              </w:rPr>
            </w:pPr>
          </w:p>
        </w:tc>
      </w:tr>
      <w:tr>
        <w:trPr>
          <w:trHeight w:val="216"/>
        </w:trPr>
        <w:tc>
          <w:tcPr>
            <w:tcW w:w="7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JPM term loan</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74,531</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140" w:type="dxa"/>
            <w:vAlign w:val="bottom"/>
            <w:tcBorders>
              <w:bottom w:val="single" w:sz="8" w:color="CCEEFF"/>
            </w:tcBorders>
          </w:tcPr>
          <w:p>
            <w:pPr>
              <w:spacing w:after="0"/>
              <w:rPr>
                <w:sz w:val="18"/>
                <w:szCs w:val="18"/>
                <w:color w:val="auto"/>
              </w:rPr>
            </w:pPr>
          </w:p>
        </w:tc>
        <w:tc>
          <w:tcPr>
            <w:tcW w:w="7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Debt discount and issuance costs</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(2,663)</w:t>
            </w:r>
          </w:p>
        </w:tc>
        <w:tc>
          <w:tcPr>
            <w:tcW w:w="20" w:type="dxa"/>
            <w:vAlign w:val="bottom"/>
          </w:tcPr>
          <w:p>
            <w:pPr>
              <w:spacing w:after="0"/>
              <w:rPr>
                <w:sz w:val="18"/>
                <w:szCs w:val="18"/>
                <w:color w:val="auto"/>
              </w:rPr>
            </w:pPr>
          </w:p>
        </w:tc>
      </w:tr>
      <w:tr>
        <w:trPr>
          <w:trHeight w:val="210"/>
        </w:trPr>
        <w:tc>
          <w:tcPr>
            <w:tcW w:w="7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72,428</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72,337</w:t>
            </w:r>
          </w:p>
        </w:tc>
        <w:tc>
          <w:tcPr>
            <w:tcW w:w="20" w:type="dxa"/>
            <w:vAlign w:val="bottom"/>
          </w:tcPr>
          <w:p>
            <w:pPr>
              <w:spacing w:after="0"/>
              <w:rPr>
                <w:sz w:val="18"/>
                <w:szCs w:val="18"/>
                <w:color w:val="auto"/>
              </w:rPr>
            </w:pPr>
          </w:p>
        </w:tc>
      </w:tr>
      <w:tr>
        <w:trPr>
          <w:trHeight w:val="210"/>
        </w:trPr>
        <w:tc>
          <w:tcPr>
            <w:tcW w:w="140" w:type="dxa"/>
            <w:vAlign w:val="bottom"/>
            <w:tcBorders>
              <w:bottom w:val="single" w:sz="8" w:color="CCEEFF"/>
            </w:tcBorders>
          </w:tcPr>
          <w:p>
            <w:pPr>
              <w:spacing w:after="0"/>
              <w:rPr>
                <w:sz w:val="18"/>
                <w:szCs w:val="18"/>
                <w:color w:val="auto"/>
              </w:rPr>
            </w:pPr>
          </w:p>
        </w:tc>
        <w:tc>
          <w:tcPr>
            <w:tcW w:w="7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7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70,084</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72,337</w:t>
            </w:r>
          </w:p>
        </w:tc>
        <w:tc>
          <w:tcPr>
            <w:tcW w:w="2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Ares Credit Agreement</w:t>
      </w:r>
    </w:p>
    <w:p>
      <w:pPr>
        <w:spacing w:after="0" w:line="22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On December 18, 2023 (the “Ares Closing Date”), the Company and all of its subsidiaries entered into a new senior secured credit facility (the “Ares Credit Agreement”) with Ares Capital Corporation and certain credit funds affiliated with Ares Capital Corporation (collectively, “Ares”). The Ares Credit Agreement provided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had a maturity date of December 20, 2027 (the “Ares Maturity Date”).</w:t>
      </w:r>
    </w:p>
    <w:p>
      <w:pPr>
        <w:spacing w:after="0" w:line="147" w:lineRule="exact"/>
        <w:rPr>
          <w:sz w:val="20"/>
          <w:szCs w:val="20"/>
          <w:color w:val="auto"/>
        </w:rPr>
      </w:pPr>
    </w:p>
    <w:p>
      <w:pPr>
        <w:jc w:val="both"/>
        <w:ind w:right="20" w:firstLine="648"/>
        <w:spacing w:after="0" w:line="228" w:lineRule="exact"/>
        <w:rPr>
          <w:sz w:val="20"/>
          <w:szCs w:val="20"/>
          <w:color w:val="auto"/>
        </w:rPr>
      </w:pPr>
      <w:r>
        <w:rPr>
          <w:rFonts w:ascii="Times New Roman" w:cs="Times New Roman" w:eastAsia="Times New Roman" w:hAnsi="Times New Roman"/>
          <w:sz w:val="18"/>
          <w:szCs w:val="18"/>
          <w:color w:val="auto"/>
        </w:rPr>
        <w:t>Borrowings under the term loan bore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6.50% (the “Initial SOFR Term Loan Applicable Margin”). Borrowings under the revolving facility bore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3.75% (the “SOFR Revolving Facility Applicable Margin”). As of December 31, 2024, the interest rate on the term loan was approximately 10.85%, and the interest rate on the revolving facility was approximately 8.34%.</w:t>
      </w:r>
    </w:p>
    <w:p>
      <w:pPr>
        <w:spacing w:after="0" w:line="198"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On the Ares Maturity Date, the Company was required to pay Ares the entire outstanding principal amount underlying the Ares term loan and revolving loan (together, the “Ares Loans”) and any accrued and unpaid interest thereon. Prior to the Ares Maturity Date, there were no scheduled principal payments on the Ares Loans. The Ares Credit Agreement permitted prepayment of the outstanding principal under the revolving facility, together with any accrued but unpaid interest on the prepaid principal amount, at any time and from time to time upon three business days’ prior written notice with no prepayment premium. However, in the event the Company paid down an aggregate amount under the revolving facility that is greater than 50% of the $72.5 million commitment amount, or $36,250,000, the Company was still required to pay an amount of interest on the revolving facility that would have been payable had $36,250,000 been outstanding, through the Ares Maturity Date. The Ares Credit Agreement permitted prepayment of the outstanding principal on the term loan, together with any accrued but unpaid interest on the prepaid principal amount, at any time and from time to time upon three business days’ prior written notice, subject to the payment to Ares of a prepayment premium equal to (i) 1.5% of the prepaid principal amount, if prepaid after the first anniversary of the Ares Closing Date and on or prior to the second anniversary of the Ares Closing Date or (ii) 1.0% of the prepaid principal amount, if prepaid on or prior to the third anniversary of the Ares Closing Date.</w:t>
      </w:r>
    </w:p>
    <w:p>
      <w:pPr>
        <w:sectPr>
          <w:pgSz w:w="11900" w:h="16838" w:orient="portrait"/>
          <w:cols w:equalWidth="0" w:num="1">
            <w:col w:w="11260"/>
          </w:cols>
          <w:pgMar w:left="320" w:top="116" w:right="319" w:bottom="1440" w:gutter="0" w:footer="0" w:header="0"/>
        </w:sectPr>
      </w:pP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2025, the Company repaid $30.0 million against the term loan using a draw of $30.0 million against the revolving credit facility made in May 2025, as a result of which, the Company recorded debt extinguishment losses of $1.2 million during the nine months ended September 30, 2025. In August 2025, the Company repaid all obligations outstanding under the Ares Credit Agreement using the proceeds from the JPM Credit Agreement, defined below, and recorded related debt extinguishment losses of $2.2 million during the three and nine months ended September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JPM Credit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5, 2025 (the “JPM Closing Date”), the Company and all of the Company’s subsidiaries entered into a Credit Agreement (the “JPM Credit Agreement”) with the lenders party thereto and JPMorgan Chase Bank, N.A., as administrative agent. The JPM Credit Agreement provides for $300 million of senior secured credit facilities, consisting of (a) a term loan in the aggregate principal amount of $75 million (the “JPM Term Loan Facility”), which was drawn in full on the JPM Closing Date, and (b) a revolving credit facility in the aggregate principal amount of $225 million (the “JPM Revolving Facility”). The Company may also request, subject to customary conditions, additional incremental revolving commitments or term loans in an aggregate principal amount not to exceed $100 million (together with the JPM Term Loan Facility and the JPM Revolving Facility, the “JPM Credit Facilities”). The JPM Term Loan Facility has a maturity date of August 5, 2028 (the “JPM Term Maturity Date”) and the JPM Revolving Facility has a maturity date of August 5, 2028 or any earlier date on which the commitments under the JPM Revolving Facility are reduced to zero or otherwise terminated pursuant to the terms of the JPM Credit Agreement (the “JPM Revolving Maturity Date”).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Interest on borrowings under the JPM Credit Facilities will accrue at an applicable rate equal to (i) an alternate base rate plus an applicable spread (each such borrowing, an “ABR Borrowing”) or (ii) Term SOFR plus an applicable spread (each such borrowing, a “Term Benchmark Borrowing”), in each case based on the lower of the applicable rates set forth in the JPM Credit Agreement, which are based on the Company’s total leverage ratio. These applicable spreads range from 150 basis points to 200 basis points over the alternate base rate and 250 basis points to 300 basis points over Term SOFR, in each case, as determined in accordance with the provisions of the JPM Credit Agreement. The Company has agreed to pay a commitment fee at specified rates set forth in the JPM Credit Agreement, which, based on the Company’s total leverage ratio, ranges from 30 basis points to 35 basis points on the daily amount of the undrawn portion of the aggregate commitments of the lenders under the JPM Revolving Facility. At the Company’s request, each borrowing initially shall be either an ABR Borrowing or a Term Benchmark Borrowing, and the Company may thereafter elect to convert any such borrowing to a different type. During the occurrence and continuance of an Event of Default (as defined in the JPM Credit Agreement), all borrowings shall accrue interest at a rate per annum equal to 2% plus the applicable rate. As of September 30, 2025, the interest rate on the JPM Term Loan Facility was approximately 6.75%. No borrowings were outstanding under the JPM Revolving Facility as of September 30, 2025.</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JPM Revolving Maturity Date, the Company will repay the unpaid principal amount outstanding under the JPM Revolving Facility. Under the JPM Term Loan Facility, the Company will make principal payments in accordance with and on the dates specified in the amortization schedule set forth in the JPM Credit Agreement, with the remaining unpaid principal amount to be paid in full on the JPM Term Maturity Date. The Company may prepay at any time and from time to time any borrowing in whole or in part, without premium or penalty (other than, if applicable, any break funding expenses), subject to customary notice requirements.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of the Company’s obligations under the JPM Credit Agreement are secured by a first-priority lien and security interest in substantially all of the tangible and intangible assets, including intellectual property and equity interests, of the Company and all of its subsidiaries.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JPM Credit Agreement contains certain representations and warranties, affirmative covenants, negative covenants and conditions that are customarily required for similar debt financings. The negative covenants include certain financial covenants, including a maximum total leverage ratio of 2.50 to 1.00 and a minimum fixed charge coverage ratio of 1.20 to 1.00. The negative covenants also restrict or limit the Company’s ability and the ability of the Company’s subsidiaries to, among other things and subject to certain exceptions contained in the JPM Credit Agreement, incur new indebtedness; create liens on assets; engage in certain fundamental corporate changes; make certain investments; dispose of certain assets; engage in sale and leaseback transactions or swap agreements; make certain Restricted Payments (as defined in the JPM Credit Agreement); engage in certain affiliate transactions; enter into any other agreements that have the impact of restricting the Company’s ability to make loan repayments under the JPM Credit Agreement; or amend certain material documents.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the Company was in compliance with all of its debt covenants in the JPM Credit Agreement.</w:t>
      </w:r>
    </w:p>
    <w:p>
      <w:pPr>
        <w:spacing w:after="0" w:line="221"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Treasury Stock</w:t>
      </w:r>
    </w:p>
    <w:p>
      <w:pPr>
        <w:spacing w:after="0" w:line="22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In May 2025, the Company’s board of directors (the “Board”) authorized a share repurchase program of up to $500.0 million of the Company’s outstanding shares of common stock (the “Repurchase Program”). The Repurchase Program does not obligate the Company to acquire any particular amount of its common stock, and may be modified, suspended, or terminated at any time at the Company’s discretion. The Repurchase Program has no expiration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common stock repurchase activity under the Repurchase Program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2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09"/>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shares repurchased</w:t>
            </w:r>
          </w:p>
        </w:tc>
        <w:tc>
          <w:tcPr>
            <w:tcW w:w="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8,040</w:t>
            </w:r>
          </w:p>
        </w:tc>
        <w:tc>
          <w:tcPr>
            <w:tcW w:w="100" w:type="dxa"/>
            <w:vAlign w:val="bottom"/>
          </w:tcPr>
          <w:p>
            <w:pPr>
              <w:spacing w:after="0"/>
              <w:rPr>
                <w:sz w:val="20"/>
                <w:szCs w:val="20"/>
                <w:color w:val="auto"/>
              </w:rPr>
            </w:pPr>
          </w:p>
        </w:tc>
        <w:tc>
          <w:tcPr>
            <w:tcW w:w="14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23,188</w:t>
            </w:r>
          </w:p>
        </w:tc>
        <w:tc>
          <w:tcPr>
            <w:tcW w:w="10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repurchased shares are included in treasury stock in our condensed consolidated balance sheet.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w:t>
      </w:r>
    </w:p>
    <w:p>
      <w:pPr>
        <w:spacing w:after="0" w:line="227"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is currently authorized to issue up to 10 million shares of preferred stock, $0.0001, par value per share. There were no shares of preferred stock outstanding at September 30, 2025 and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22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 was authorized to issue 300,000,000 shares of its common stock, $0.0001 par value per share, and 238,332,393 and 236,620,545 shares of common stock were outstanding as of September 30, 2025 and December 31, 2024, respectively. After giving effect to shares reserved for the issuance of warrants and for awards issued under the Company’s equity incentive plans, 38.1 million shares of common stock were available for issuance as of September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On January 7, 2025, affiliates of a former noteholder of the Company exercised warrants to purchase an aggregate of 966,554 shares of common stock on a cashless basis, and the Company issued 866,302 shares of common stock to these entities. On January 10, 2024, a former noteholder of the Company exercised a warrant to purchase 4 million shares of the Company’s common stock on a cashless basis and the Company issued 1,977,514 shares of common stock to this noteholder. On March 8, 2024, affiliates of a former noteholder exercised warrants to purchase an aggregate of 3,388,681 shares of the Company’s common stock on a cashless basis and the Company issued 2,482,205 shares of common stock to such noteholders. On March 14, 2024, an entity associated with another former noteholder of the Company exercised a warrant to purchase 169,651 shares of the Company’s common stock on a cashless basis and the Company issued 85,784 shares of common stock to this entity.</w:t>
      </w:r>
    </w:p>
    <w:p>
      <w:pPr>
        <w:spacing w:after="0" w:line="18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On February 24, 2024, a warrant to purchase 34,800 shares of the Company’s common stock held by a former noteholder of the Company expired in accordance with its terms. At September 30, 2024 and December 31, 2023, the Company had outstanding warrants to purchase an aggregate of 3,122,350 and 12,502,906 shares, respectively, of common stock, with weighted-average exercise prices of $2.08 and $2.32 per share, respectively, with expiration dates ranging between October 2024 and May 2030.</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16"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outstanding warrants as of September 30, 2025 and outstanding warrants to purchase 966,554 shares of common stock as of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stock options granted under the Company’s equity incentive plans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nine months ended September 30, 2025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09"/>
        </w:trPr>
        <w:tc>
          <w:tcPr>
            <w:tcW w:w="844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5.5 - 6.3 years</w:t>
            </w: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5.5 - 6.3 years</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4.16-4.34%</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option activity under the Company’s equity incentive plans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38"/>
        </w:trPr>
        <w:tc>
          <w:tcPr>
            <w:tcW w:w="86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December 31, 2024</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5,141,516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(205,024)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683,720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(920,007)</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r>
      <w:tr>
        <w:trPr>
          <w:trHeight w:val="250"/>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September 30, 2025</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4,699,080</w:t>
            </w:r>
          </w:p>
        </w:tc>
        <w:tc>
          <w:tcPr>
            <w:tcW w:w="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r>
      <w:tr>
        <w:trPr>
          <w:trHeight w:val="197"/>
        </w:trPr>
        <w:tc>
          <w:tcPr>
            <w:tcW w:w="8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2,758,497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r>
      <w:tr>
        <w:trPr>
          <w:trHeight w:val="20"/>
        </w:trPr>
        <w:tc>
          <w:tcPr>
            <w:tcW w:w="8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$10.1 million of unrecognized compensation expense related to options granted under the Company’s equity incentive plans, which is expected to be recognized over a weighted-average period of 2.7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RSUs generally vest annually over a period of four years for employees and semi-annually over a period of one year for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RSU activity and related information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432"/>
        </w:trPr>
        <w:tc>
          <w:tcPr>
            <w:tcW w:w="3900" w:type="dxa"/>
            <w:vAlign w:val="bottom"/>
            <w:tcBorders>
              <w:bottom w:val="single" w:sz="8" w:color="CCEEFF"/>
            </w:tcBorders>
          </w:tcPr>
          <w:p>
            <w:pPr>
              <w:spacing w:after="0"/>
              <w:rPr>
                <w:sz w:val="24"/>
                <w:szCs w:val="24"/>
                <w:color w:val="auto"/>
              </w:rPr>
            </w:pPr>
          </w:p>
        </w:tc>
        <w:tc>
          <w:tcPr>
            <w:tcW w:w="45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5,745,990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1,874,865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(552,689)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5,228,264</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580" w:type="dxa"/>
            <w:vAlign w:val="bottom"/>
            <w:vMerge w:val="restart"/>
          </w:tcPr>
          <w:p>
            <w:pPr>
              <w:jc w:val="right"/>
              <w:ind w:right="2695"/>
              <w:spacing w:after="0"/>
              <w:rPr>
                <w:sz w:val="20"/>
                <w:szCs w:val="20"/>
                <w:color w:val="auto"/>
              </w:rPr>
            </w:pPr>
            <w:r>
              <w:rPr>
                <w:rFonts w:ascii="Times New Roman" w:cs="Times New Roman" w:eastAsia="Times New Roman" w:hAnsi="Times New Roman"/>
                <w:sz w:val="14"/>
                <w:szCs w:val="14"/>
                <w:color w:val="auto"/>
              </w:rPr>
              <w:t>12</w:t>
            </w: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90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3900" w:type="dxa"/>
            <w:vAlign w:val="bottom"/>
            <w:tcBorders>
              <w:bottom w:val="single" w:sz="8" w:color="auto"/>
            </w:tcBorders>
          </w:tcPr>
          <w:p>
            <w:pPr>
              <w:spacing w:after="0"/>
              <w:rPr>
                <w:sz w:val="5"/>
                <w:szCs w:val="5"/>
                <w:color w:val="auto"/>
              </w:rPr>
            </w:pPr>
          </w:p>
        </w:tc>
        <w:tc>
          <w:tcPr>
            <w:tcW w:w="45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$40.6 million of unrecognized compensation expense related to unvested RSUs granted under the Company’s equity incentive plans, which is expected to be recognized over a weighted-average period of 2.9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expense for all awards granted under the Company’s equity incentive plans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vMerge w:val="restart"/>
          </w:tcPr>
          <w:p>
            <w:pPr>
              <w:ind w:left="23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Nine Months ended September 30,</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229" w:lineRule="exact"/>
        <w:rPr>
          <w:sz w:val="20"/>
          <w:szCs w:val="20"/>
          <w:color w:val="auto"/>
        </w:rPr>
      </w:pPr>
    </w:p>
    <w:p>
      <w:pPr>
        <w:jc w:val="both"/>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an office building and equipment from Areth, LLC (“Areth”) pursuant to an agreement for services effective as of January 1, 2016, as amended from time to time, and pays monthly rent on this facility in the amount of $10,000. Either party may terminate the agreement by providing the other party with one year’s prior written notice. Rent expense for the three and nine months ended September 30, 2025 and 2024 amounted to $30,000 and $90,000, respectively. Areth is a company controlled by Dr. Jerrold B. Grossman, the Vice Chairman of the Board, and Adam S. Grossman, the Company’s President and Chief Executive Officer. The Company also reimburses Areth for office, warehousing and building related (common area) expenses, equipment and certain other operational expenses, which were not material to the consolidated financial statements for the three and nine months ended September 30, 2025 and 2024.</w:t>
      </w:r>
    </w:p>
    <w:p>
      <w:pPr>
        <w:spacing w:after="0" w:line="18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purchased certain specialized equipment and repair services used for the collection and processing of source plasma from GenesisBPS (“Genesis”) in the amount of $0.2 million. Genesis was owned by Dr. Grossman and Adam Grossman until September 30, 2025.</w:t>
      </w:r>
    </w:p>
    <w:p>
      <w:pPr>
        <w:spacing w:after="0" w:line="172"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Legal Matters</w:t>
      </w:r>
    </w:p>
    <w:p>
      <w:pPr>
        <w:spacing w:after="0" w:line="22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Vendor Commitments</w:t>
      </w:r>
    </w:p>
    <w:p>
      <w:pPr>
        <w:spacing w:after="0" w:line="227" w:lineRule="exact"/>
        <w:rPr>
          <w:sz w:val="20"/>
          <w:szCs w:val="20"/>
          <w:color w:val="auto"/>
        </w:rPr>
      </w:pPr>
    </w:p>
    <w:p>
      <w:pPr>
        <w:jc w:val="both"/>
        <w:ind w:right="60"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a plasma purchase agreement dated as of November 17, 2011 (the “2011 Plasma Purchase Agreement”), the Company agreed to purchase from its former contract manufacturer an annual minimum volume of source plasma containing antibodies to RSV to be used in the manufacture of ASCENIV. The Company must purchase a to-be-determined and agreed upon annual minimum volume from the counterparty, and under the original 2011 Plasma Purchase Agreement the Company was permitted to also collect high-titer RSV plasma from up to five wholly owned ADMA plasma collection facilities. During 2015, the Company amended the 2011 Plasma Purchase Agreement to (i) allow the Company to collect its raw material RSV high-titer plasma from any number of wholly owned ADMA plasma collection facilities and (ii) allow the Company to purchase its raw material RSV high-titer plasma from other third-party collection organizations, in each case, provided that the annual minimum volumes from the Company’s former contract manufacturer were met, thus allowing the Company to expand its reach for raw material supply as it executes its commercialization plans for ASCENIV. On December 10, 2018, the Company’s former contract manufacturer assigned its rights and obligations under the 2011 Plasma Purchase Agreement to Grifols Worldwide Operations Limited (“Grifols”) as its successor-in-interest, effective January 1, 2019. Effective October 1, 2024, the Company entered into an Amended and Restated Plasma Purchase Agreement with Grifols (the “A&amp;R Grifols Agreement”) with a term expiring in September 2039, after which it may be renewed for two additional multi-year periods if agreed to by the parties. Pursuant to the A&amp;R Grifols Agreement, Grifols supplies, on a non-exclusive basis, to ADMA BioManufacturing a minimum of 35,000 liters of RSV plasma annually to be used in the manufacture of ASCENIV, with an escalating price per liter depending on the volume supplied in a given 12-month period, with a minimum annual price increase every 12 months. Additionally, Grifols will be entitled to receive a fixed bonus payment if a specified liter amount of high-titer plasma is supplied to the Company in any 12-month period during the term of the A&amp;R Grifols Agreement.</w:t>
      </w:r>
    </w:p>
    <w:p>
      <w:pPr>
        <w:spacing w:after="0" w:line="1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16"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August 6, 2024, the Company entered into a Plasma Purchase Agreement with KEDPlasma LLC (“KEDPlasma”) with a term expiring in July 2031, after which it may be renewed for an additional five-year period if agreed to by the parties (the “KEDPlasma Agreement”). Pursuant to the KEDPlasma Agreement, KEDPlasma supplies, on a non-exclusive basis, to ADMA BioManufacturing a minimum of 35,000 liters of RSV plasma annually commencing with the 12-month period ending July 31, 2026, with an escalating price per liter depending on the volume supplied in a given 12-month period. The price per liter of high-titer plasma supplied pursuant to the KEDPlasma Agreement is also scheduled to increase on an annual basis. Additionally, KEDPlasma will be entitled to receive a fixed bonus payment if a specified liter amount of RSV plasma is supplied to the Company in any 12-month period during the term of the KEDPlasma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6, 2017, the Company entered into a Plasma Supply Agreement with its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10-year term. On July 19,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the counterparty, then the counterparty shall reimburse ADMA BioManufacturing for the difference in price ADMA BioManufacturing incurs. On December 10, 2018, the Company’s former contract manufacturer assigned its rights and obligations under the Plasma Supply Agreement to Grifols, effective January 1, 2019.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Post-Marketing Commitments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FDA’s approval of ASCENIV on April 1, 2019, the Company is required to perform a pediatric study to evaluate the safety and efficacy of ASCENIV in children and adolescents. For the three and nine months ended September 30, 2025, the Company incurred expenses related to this study in the amount of $0 and $0.9 million, respectively. For the three and nine months ended September 30, 2024, the Company incurred expenses related to this study in the amount of $0.3 million and $1.0 million, respectively. The study has been completed, and the Company submitted the ASCENIV pediatric indication for approval to the FDA during the second quarter of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Commitments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September 30, 2025. The Company does not anticipate recognizing any significant losses relating to these arrangements.</w:t>
      </w:r>
    </w:p>
    <w:p>
      <w:pPr>
        <w:spacing w:after="0" w:line="176"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engaged in the manufacture, marketing and development of specialty plasma-derived biologics. The Company’s ADMA BioManufacturing operating segment reflects the Company’s immunoglobulin manufacturing, commercial and development operations in Boca Raton, FL. The Plasma Collection Centers operating segment consists of ten plasma collection facilities located throughout the United States, all of which are operational, collecting plasma and currently hold FDA licenses. The Company defines its operating segments as those business units whose operating results are regularly reviewed by the chief operating decision maker (“CODM”) to analyze performance and allocate resources. While not considered an operating segment, the Corporate information included in the tables below consists of certain unallocated general and administrative overhead expenses and interest expense on the Company’s senior debt (see Note 6). The Company’s CODM is its President and Chief Executive Officer. For the Company’s two operating segments, the CODM uses income/loss before taxes as the measure of segment profit to determine the allocation of resources for each segment. Summarized financial information concerning reportable segments is shown in the following tables: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ADMA</w:t>
            </w:r>
          </w:p>
        </w:tc>
        <w:tc>
          <w:tcPr>
            <w:tcW w:w="1800" w:type="dxa"/>
            <w:vAlign w:val="bottom"/>
            <w:tcBorders>
              <w:top w:val="single" w:sz="8" w:color="auto"/>
            </w:tcBorders>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980" w:type="dxa"/>
            <w:vAlign w:val="bottom"/>
            <w:tcBorders>
              <w:top w:val="single" w:sz="8" w:color="auto"/>
            </w:tcBorders>
          </w:tcPr>
          <w:p>
            <w:pPr>
              <w:spacing w:after="0"/>
              <w:rPr>
                <w:sz w:val="16"/>
                <w:szCs w:val="16"/>
                <w:color w:val="auto"/>
              </w:rPr>
            </w:pPr>
          </w:p>
        </w:tc>
      </w:tr>
      <w:tr>
        <w:trPr>
          <w:trHeight w:val="238"/>
        </w:trPr>
        <w:tc>
          <w:tcPr>
            <w:tcW w:w="5360" w:type="dxa"/>
            <w:vAlign w:val="bottom"/>
          </w:tcPr>
          <w:p>
            <w:pPr>
              <w:ind w:left="28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0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240" w:type="dxa"/>
            <w:vAlign w:val="bottom"/>
          </w:tcPr>
          <w:p>
            <w:pPr>
              <w:spacing w:after="0"/>
              <w:rPr>
                <w:sz w:val="20"/>
                <w:szCs w:val="20"/>
                <w:color w:val="auto"/>
              </w:rPr>
            </w:pPr>
          </w:p>
        </w:tc>
        <w:tc>
          <w:tcPr>
            <w:tcW w:w="1560" w:type="dxa"/>
            <w:vAlign w:val="bottom"/>
            <w:gridSpan w:val="3"/>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134,188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134,188</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58,598</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8,150</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14,585</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49,996</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14,944</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403,917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430,945</w:t>
            </w:r>
          </w:p>
        </w:tc>
      </w:tr>
      <w:tr>
        <w:trPr>
          <w:trHeight w:val="216"/>
        </w:trPr>
        <w:tc>
          <w:tcPr>
            <w:tcW w:w="5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revenue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134,188</w:t>
            </w:r>
          </w:p>
        </w:tc>
      </w:tr>
      <w:tr>
        <w:trPr>
          <w:trHeight w:val="216"/>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License revenue</w:t>
            </w:r>
          </w:p>
        </w:tc>
        <w:tc>
          <w:tcPr>
            <w:tcW w:w="14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revenues</w:t>
            </w:r>
          </w:p>
        </w:tc>
        <w:tc>
          <w:tcPr>
            <w:tcW w:w="1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134,224</w:t>
            </w:r>
          </w:p>
        </w:tc>
      </w:tr>
      <w:tr>
        <w:trPr>
          <w:trHeight w:val="20"/>
        </w:trPr>
        <w:tc>
          <w:tcPr>
            <w:tcW w:w="5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License revenue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Unallocated interest expense, primarily related to interest on senior debt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Unallocated interest income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Consolidated income before taxes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68" w:hanging="668"/>
        <w:spacing w:after="0"/>
        <w:tabs>
          <w:tab w:leader="none" w:pos="6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8,150</w:t>
      </w:r>
    </w:p>
    <w:p>
      <w:pPr>
        <w:spacing w:after="0" w:line="27" w:lineRule="exact"/>
        <w:rPr>
          <w:rFonts w:ascii="Times New Roman" w:cs="Times New Roman" w:eastAsia="Times New Roman" w:hAnsi="Times New Roman"/>
          <w:sz w:val="18"/>
          <w:szCs w:val="18"/>
          <w:color w:val="auto"/>
        </w:rPr>
      </w:pPr>
    </w:p>
    <w:p>
      <w:pPr>
        <w:ind w:left="5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14,585</w:t>
      </w:r>
    </w:p>
    <w:p>
      <w:pPr>
        <w:spacing w:after="0" w:line="9" w:lineRule="exact"/>
        <w:rPr>
          <w:rFonts w:ascii="Times New Roman" w:cs="Times New Roman" w:eastAsia="Times New Roman" w:hAnsi="Times New Roman"/>
          <w:sz w:val="18"/>
          <w:szCs w:val="18"/>
          <w:color w:val="auto"/>
        </w:rPr>
      </w:pPr>
    </w:p>
    <w:p>
      <w:pPr>
        <w:ind w:left="7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(959)</w:t>
      </w:r>
    </w:p>
    <w:p>
      <w:pPr>
        <w:spacing w:after="0" w:line="9" w:lineRule="exact"/>
        <w:rPr>
          <w:sz w:val="20"/>
          <w:szCs w:val="20"/>
          <w:color w:val="auto"/>
        </w:rPr>
      </w:pPr>
    </w:p>
    <w:p>
      <w:pPr>
        <w:ind w:left="588" w:hanging="588"/>
        <w:spacing w:after="0"/>
        <w:tabs>
          <w:tab w:leader="none" w:pos="5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543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88" w:hanging="588"/>
        <w:spacing w:after="0"/>
        <w:tabs>
          <w:tab w:leader="none" w:pos="5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49,996</w:t>
      </w:r>
    </w:p>
    <w:p>
      <w:pPr>
        <w:spacing w:after="0" w:line="27" w:lineRule="exact"/>
        <w:rPr>
          <w:rFonts w:ascii="Times New Roman" w:cs="Times New Roman" w:eastAsia="Times New Roman" w:hAnsi="Times New Roman"/>
          <w:sz w:val="18"/>
          <w:szCs w:val="18"/>
          <w:color w:val="auto"/>
        </w:rPr>
      </w:pPr>
    </w:p>
    <w:p>
      <w:pPr>
        <w:ind w:left="9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(1,675)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376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(2,177)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543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ind w:left="588" w:hanging="588"/>
        <w:spacing w:after="0"/>
        <w:tabs>
          <w:tab w:leader="none" w:pos="5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47,515</w:t>
      </w:r>
    </w:p>
    <w:p>
      <w:pPr>
        <w:spacing w:after="0" w:line="22" w:lineRule="exact"/>
        <w:rPr>
          <w:sz w:val="20"/>
          <w:szCs w:val="20"/>
          <w:color w:val="auto"/>
        </w:rPr>
      </w:pPr>
    </w:p>
    <w:p>
      <w:pPr>
        <w:sectPr>
          <w:pgSz w:w="11900" w:h="16838" w:orient="portrait"/>
          <w:cols w:equalWidth="0" w:num="2">
            <w:col w:w="9332" w:space="720"/>
            <w:col w:w="1188"/>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100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assets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430,945</w:t>
            </w:r>
          </w:p>
        </w:tc>
      </w:tr>
      <w:tr>
        <w:trPr>
          <w:trHeight w:val="216"/>
        </w:trPr>
        <w:tc>
          <w:tcPr>
            <w:tcW w:w="10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(b)</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137,742</w:t>
            </w:r>
          </w:p>
        </w:tc>
      </w:tr>
      <w:tr>
        <w:trPr>
          <w:trHeight w:val="210"/>
        </w:trPr>
        <w:tc>
          <w:tcPr>
            <w:tcW w:w="10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568,687</w:t>
            </w:r>
          </w:p>
        </w:tc>
      </w:tr>
      <w:tr>
        <w:trPr>
          <w:trHeight w:val="20"/>
        </w:trPr>
        <w:tc>
          <w:tcPr>
            <w:tcW w:w="10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8"/>
        <w:spacing w:after="0" w:line="282"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 and deferred tax assets.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ADMA</w:t>
            </w: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38"/>
        </w:trPr>
        <w:tc>
          <w:tcPr>
            <w:tcW w:w="6780" w:type="dxa"/>
            <w:vAlign w:val="bottom"/>
          </w:tcPr>
          <w:p>
            <w:pPr>
              <w:ind w:left="28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2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369,852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370,902</w:t>
            </w:r>
          </w:p>
        </w:tc>
      </w:tr>
      <w:tr>
        <w:trPr>
          <w:trHeight w:val="216"/>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166,220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167,061</w:t>
            </w:r>
          </w:p>
        </w:tc>
      </w:tr>
      <w:tr>
        <w:trPr>
          <w:trHeight w:val="216"/>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3,386</w:t>
            </w:r>
          </w:p>
        </w:tc>
      </w:tr>
      <w:tr>
        <w:trPr>
          <w:trHeight w:val="216"/>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3,710</w:t>
            </w:r>
          </w:p>
        </w:tc>
      </w:tr>
      <w:tr>
        <w:trPr>
          <w:trHeight w:val="216"/>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17,827</w:t>
            </w:r>
          </w:p>
        </w:tc>
      </w:tr>
      <w:tr>
        <w:trPr>
          <w:trHeight w:val="216"/>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44,688</w:t>
            </w:r>
          </w:p>
        </w:tc>
      </w:tr>
      <w:tr>
        <w:trPr>
          <w:trHeight w:val="216"/>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137,443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133,942</w:t>
            </w:r>
          </w:p>
        </w:tc>
      </w:tr>
      <w:tr>
        <w:trPr>
          <w:trHeight w:val="216"/>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21,629</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403,917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430,945</w:t>
            </w:r>
          </w:p>
        </w:tc>
      </w:tr>
      <w:tr>
        <w:trPr>
          <w:trHeight w:val="216"/>
        </w:trPr>
        <w:tc>
          <w:tcPr>
            <w:tcW w:w="6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revenue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370,902</w:t>
            </w:r>
          </w:p>
        </w:tc>
      </w:tr>
      <w:tr>
        <w:trPr>
          <w:trHeight w:val="216"/>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License revenue</w:t>
            </w:r>
          </w:p>
        </w:tc>
        <w:tc>
          <w:tcPr>
            <w:tcW w:w="2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10"/>
        </w:trPr>
        <w:tc>
          <w:tcPr>
            <w:tcW w:w="6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revenues</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371,010</w:t>
            </w:r>
          </w:p>
        </w:tc>
      </w:tr>
      <w:tr>
        <w:trPr>
          <w:trHeight w:val="20"/>
        </w:trPr>
        <w:tc>
          <w:tcPr>
            <w:tcW w:w="6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income (loss)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License revenue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Unallocated interest expense, primarily related to interest on senior debt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Unallocated interest income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Consolidated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segment assets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total assets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588" w:hanging="588"/>
        <w:spacing w:after="0"/>
        <w:tabs>
          <w:tab w:leader="none" w:pos="5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17,827</w:t>
      </w:r>
    </w:p>
    <w:p>
      <w:pPr>
        <w:spacing w:after="0" w:line="27" w:lineRule="exact"/>
        <w:rPr>
          <w:rFonts w:ascii="Times New Roman" w:cs="Times New Roman" w:eastAsia="Times New Roman" w:hAnsi="Times New Roman"/>
          <w:sz w:val="18"/>
          <w:szCs w:val="18"/>
          <w:color w:val="auto"/>
        </w:rPr>
      </w:pPr>
    </w:p>
    <w:p>
      <w:pPr>
        <w:ind w:left="5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44,688</w:t>
      </w:r>
    </w:p>
    <w:p>
      <w:pPr>
        <w:spacing w:after="0" w:line="9" w:lineRule="exact"/>
        <w:rPr>
          <w:rFonts w:ascii="Times New Roman" w:cs="Times New Roman" w:eastAsia="Times New Roman" w:hAnsi="Times New Roman"/>
          <w:sz w:val="18"/>
          <w:szCs w:val="18"/>
          <w:color w:val="auto"/>
        </w:rPr>
      </w:pPr>
    </w:p>
    <w:p>
      <w:pPr>
        <w:ind w:left="6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5,553</w:t>
      </w:r>
    </w:p>
    <w:p>
      <w:pPr>
        <w:spacing w:after="0" w:line="9" w:lineRule="exact"/>
        <w:rPr>
          <w:sz w:val="20"/>
          <w:szCs w:val="20"/>
          <w:color w:val="auto"/>
        </w:rPr>
      </w:pPr>
    </w:p>
    <w:p>
      <w:pPr>
        <w:ind w:left="588" w:hanging="588"/>
        <w:spacing w:after="0"/>
        <w:tabs>
          <w:tab w:leader="none" w:pos="5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543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88" w:hanging="488"/>
        <w:spacing w:after="0"/>
        <w:tabs>
          <w:tab w:leader="none" w:pos="4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133,942</w:t>
      </w:r>
    </w:p>
    <w:p>
      <w:pPr>
        <w:spacing w:after="0" w:line="27" w:lineRule="exact"/>
        <w:rPr>
          <w:rFonts w:ascii="Times New Roman" w:cs="Times New Roman" w:eastAsia="Times New Roman" w:hAnsi="Times New Roman"/>
          <w:sz w:val="18"/>
          <w:szCs w:val="18"/>
          <w:color w:val="auto"/>
        </w:rPr>
      </w:pPr>
    </w:p>
    <w:p>
      <w:pPr>
        <w:ind w:left="8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(5,484)</w:t>
      </w:r>
    </w:p>
    <w:p>
      <w:pPr>
        <w:spacing w:after="0" w:line="9" w:lineRule="exact"/>
        <w:rPr>
          <w:sz w:val="20"/>
          <w:szCs w:val="20"/>
          <w:color w:val="auto"/>
        </w:rPr>
      </w:pPr>
    </w:p>
    <w:p>
      <w:pPr>
        <w:ind w:left="668"/>
        <w:spacing w:after="0"/>
        <w:rPr>
          <w:sz w:val="20"/>
          <w:szCs w:val="20"/>
          <w:color w:val="auto"/>
        </w:rPr>
      </w:pPr>
      <w:r>
        <w:rPr>
          <w:rFonts w:ascii="Times New Roman" w:cs="Times New Roman" w:eastAsia="Times New Roman" w:hAnsi="Times New Roman"/>
          <w:sz w:val="18"/>
          <w:szCs w:val="18"/>
          <w:color w:val="auto"/>
        </w:rPr>
        <w:t>1,384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(3,336)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54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ind w:left="488" w:hanging="488"/>
        <w:spacing w:after="0"/>
        <w:tabs>
          <w:tab w:leader="none" w:pos="4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543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88" w:hanging="488"/>
        <w:spacing w:after="0"/>
        <w:tabs>
          <w:tab w:leader="none" w:pos="4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430,945</w:t>
      </w:r>
    </w:p>
    <w:p>
      <w:pPr>
        <w:spacing w:after="0" w:line="27" w:lineRule="exact"/>
        <w:rPr>
          <w:rFonts w:ascii="Times New Roman" w:cs="Times New Roman" w:eastAsia="Times New Roman" w:hAnsi="Times New Roman"/>
          <w:sz w:val="18"/>
          <w:szCs w:val="18"/>
          <w:color w:val="auto"/>
        </w:rPr>
      </w:pPr>
    </w:p>
    <w:p>
      <w:pPr>
        <w:ind w:left="4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137,742</w:t>
      </w:r>
    </w:p>
    <w:p>
      <w:pPr>
        <w:spacing w:after="0" w:line="9" w:lineRule="exact"/>
        <w:rPr>
          <w:sz w:val="20"/>
          <w:szCs w:val="20"/>
          <w:color w:val="auto"/>
        </w:rPr>
      </w:pPr>
    </w:p>
    <w:p>
      <w:pPr>
        <w:ind w:left="488" w:hanging="488"/>
        <w:spacing w:after="0"/>
        <w:tabs>
          <w:tab w:leader="none" w:pos="4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568,687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543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9332" w:space="720"/>
            <w:col w:w="1188"/>
          </w:cols>
          <w:pgMar w:left="320" w:top="115" w:right="339" w:bottom="1440" w:gutter="0" w:footer="0" w:header="0"/>
          <w:type w:val="continuous"/>
        </w:sectPr>
      </w:pPr>
    </w:p>
    <w:p>
      <w:pPr>
        <w:spacing w:after="0" w:line="52" w:lineRule="exact"/>
        <w:rPr>
          <w:sz w:val="20"/>
          <w:szCs w:val="20"/>
          <w:color w:val="auto"/>
        </w:rPr>
      </w:pPr>
    </w:p>
    <w:p>
      <w:pPr>
        <w:ind w:right="20" w:firstLine="8"/>
        <w:spacing w:after="0" w:line="282"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 and deferred tax assets.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ADMA</w:t>
            </w:r>
          </w:p>
        </w:tc>
        <w:tc>
          <w:tcPr>
            <w:tcW w:w="160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38"/>
        </w:trPr>
        <w:tc>
          <w:tcPr>
            <w:tcW w:w="5360" w:type="dxa"/>
            <w:vAlign w:val="bottom"/>
          </w:tcPr>
          <w:p>
            <w:pPr>
              <w:ind w:left="28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0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24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2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117,719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119,803</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60,180</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5,900</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3,988</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48,218</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299,647</w:t>
            </w:r>
          </w:p>
        </w:tc>
      </w:tr>
      <w:tr>
        <w:trPr>
          <w:trHeight w:val="216"/>
        </w:trPr>
        <w:tc>
          <w:tcPr>
            <w:tcW w:w="5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revenue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119,803</w:t>
            </w:r>
          </w:p>
        </w:tc>
      </w:tr>
      <w:tr>
        <w:trPr>
          <w:trHeight w:val="216"/>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License revenue</w:t>
            </w:r>
          </w:p>
        </w:tc>
        <w:tc>
          <w:tcPr>
            <w:tcW w:w="14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revenues</w:t>
            </w:r>
          </w:p>
        </w:tc>
        <w:tc>
          <w:tcPr>
            <w:tcW w:w="1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119,839</w:t>
            </w:r>
          </w:p>
        </w:tc>
      </w:tr>
      <w:tr>
        <w:trPr>
          <w:trHeight w:val="20"/>
        </w:trPr>
        <w:tc>
          <w:tcPr>
            <w:tcW w:w="5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income (loss)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License revenue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Unallocated interest expense, primarily related to interest on senior debt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Unallocated interest income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income before taxes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68" w:hanging="668"/>
        <w:spacing w:after="0"/>
        <w:tabs>
          <w:tab w:leader="none" w:pos="6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5,900</w:t>
      </w:r>
    </w:p>
    <w:p>
      <w:pPr>
        <w:spacing w:after="0" w:line="27" w:lineRule="exact"/>
        <w:rPr>
          <w:rFonts w:ascii="Times New Roman" w:cs="Times New Roman" w:eastAsia="Times New Roman" w:hAnsi="Times New Roman"/>
          <w:sz w:val="18"/>
          <w:szCs w:val="18"/>
          <w:color w:val="auto"/>
        </w:rPr>
      </w:pPr>
    </w:p>
    <w:p>
      <w:pPr>
        <w:ind w:left="6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3,988</w:t>
      </w:r>
    </w:p>
    <w:p>
      <w:pPr>
        <w:spacing w:after="0" w:line="9" w:lineRule="exact"/>
        <w:rPr>
          <w:rFonts w:ascii="Times New Roman" w:cs="Times New Roman" w:eastAsia="Times New Roman" w:hAnsi="Times New Roman"/>
          <w:sz w:val="18"/>
          <w:szCs w:val="18"/>
          <w:color w:val="auto"/>
        </w:rPr>
      </w:pPr>
    </w:p>
    <w:p>
      <w:pPr>
        <w:ind w:left="6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8,672</w:t>
      </w:r>
    </w:p>
    <w:p>
      <w:pPr>
        <w:spacing w:after="0" w:line="9" w:lineRule="exact"/>
        <w:rPr>
          <w:sz w:val="20"/>
          <w:szCs w:val="20"/>
          <w:color w:val="auto"/>
        </w:rPr>
      </w:pPr>
    </w:p>
    <w:p>
      <w:pPr>
        <w:ind w:left="588" w:hanging="588"/>
        <w:spacing w:after="0"/>
        <w:tabs>
          <w:tab w:leader="none" w:pos="5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543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88" w:hanging="588"/>
        <w:spacing w:after="0"/>
        <w:tabs>
          <w:tab w:leader="none" w:pos="5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48,218</w:t>
      </w:r>
    </w:p>
    <w:p>
      <w:pPr>
        <w:spacing w:after="0" w:line="27" w:lineRule="exact"/>
        <w:rPr>
          <w:rFonts w:ascii="Times New Roman" w:cs="Times New Roman" w:eastAsia="Times New Roman" w:hAnsi="Times New Roman"/>
          <w:sz w:val="18"/>
          <w:szCs w:val="18"/>
          <w:color w:val="auto"/>
        </w:rPr>
      </w:pPr>
    </w:p>
    <w:p>
      <w:pPr>
        <w:ind w:left="9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(3,499)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666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(8,672)</w:t>
      </w:r>
    </w:p>
    <w:p>
      <w:pPr>
        <w:spacing w:after="0" w:line="9" w:lineRule="exact"/>
        <w:rPr>
          <w:sz w:val="20"/>
          <w:szCs w:val="20"/>
          <w:color w:val="auto"/>
        </w:rPr>
      </w:pPr>
    </w:p>
    <w:p>
      <w:pPr>
        <w:ind w:left="588" w:hanging="588"/>
        <w:spacing w:after="0"/>
        <w:tabs>
          <w:tab w:leader="none" w:pos="5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543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9332" w:space="720"/>
            <w:col w:w="1188"/>
          </w:cols>
          <w:pgMar w:left="320" w:top="115" w:right="3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assets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299,647</w:t>
            </w:r>
          </w:p>
        </w:tc>
      </w:tr>
      <w:tr>
        <w:trPr>
          <w:trHeight w:val="216"/>
        </w:trPr>
        <w:tc>
          <w:tcPr>
            <w:tcW w:w="10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90,971</w:t>
            </w:r>
          </w:p>
        </w:tc>
      </w:tr>
      <w:tr>
        <w:trPr>
          <w:trHeight w:val="210"/>
        </w:trPr>
        <w:tc>
          <w:tcPr>
            <w:tcW w:w="10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390,618</w:t>
            </w:r>
          </w:p>
        </w:tc>
      </w:tr>
      <w:tr>
        <w:trPr>
          <w:trHeight w:val="20"/>
        </w:trPr>
        <w:tc>
          <w:tcPr>
            <w:tcW w:w="10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8"/>
        <w:spacing w:after="0" w:line="282"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 and deferred tax assets.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ADMA</w:t>
            </w:r>
          </w:p>
        </w:tc>
        <w:tc>
          <w:tcPr>
            <w:tcW w:w="160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38"/>
        </w:trPr>
        <w:tc>
          <w:tcPr>
            <w:tcW w:w="5360" w:type="dxa"/>
            <w:vAlign w:val="bottom"/>
          </w:tcPr>
          <w:p>
            <w:pPr>
              <w:ind w:left="28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0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24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2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304,016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308,797</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147,619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152,685</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2,968</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13,374</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18,276</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122,859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119,602</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5,825</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299,647</w:t>
            </w:r>
          </w:p>
        </w:tc>
      </w:tr>
      <w:tr>
        <w:trPr>
          <w:trHeight w:val="216"/>
        </w:trPr>
        <w:tc>
          <w:tcPr>
            <w:tcW w:w="5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revenue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308,797</w:t>
            </w:r>
          </w:p>
        </w:tc>
      </w:tr>
      <w:tr>
        <w:trPr>
          <w:trHeight w:val="216"/>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License revenue</w:t>
            </w:r>
          </w:p>
        </w:tc>
        <w:tc>
          <w:tcPr>
            <w:tcW w:w="14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09"/>
        </w:trPr>
        <w:tc>
          <w:tcPr>
            <w:tcW w:w="5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revenues</w:t>
            </w:r>
          </w:p>
        </w:tc>
        <w:tc>
          <w:tcPr>
            <w:tcW w:w="1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308,905</w:t>
            </w:r>
          </w:p>
        </w:tc>
      </w:tr>
      <w:tr>
        <w:trPr>
          <w:trHeight w:val="20"/>
        </w:trPr>
        <w:tc>
          <w:tcPr>
            <w:tcW w:w="5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income (loss)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License revenue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Unallocated interest expense, primarily related to interest on senior debt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Unallocated interest income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income before taxes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588" w:hanging="588"/>
        <w:spacing w:after="0"/>
        <w:tabs>
          <w:tab w:leader="none" w:pos="5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13,374</w:t>
      </w:r>
    </w:p>
    <w:p>
      <w:pPr>
        <w:spacing w:after="0" w:line="27" w:lineRule="exact"/>
        <w:rPr>
          <w:rFonts w:ascii="Times New Roman" w:cs="Times New Roman" w:eastAsia="Times New Roman" w:hAnsi="Times New Roman"/>
          <w:sz w:val="18"/>
          <w:szCs w:val="18"/>
          <w:color w:val="auto"/>
        </w:rPr>
      </w:pPr>
    </w:p>
    <w:p>
      <w:pPr>
        <w:ind w:left="5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18,276</w:t>
      </w:r>
    </w:p>
    <w:p>
      <w:pPr>
        <w:spacing w:after="0" w:line="9" w:lineRule="exact"/>
        <w:rPr>
          <w:rFonts w:ascii="Times New Roman" w:cs="Times New Roman" w:eastAsia="Times New Roman" w:hAnsi="Times New Roman"/>
          <w:sz w:val="18"/>
          <w:szCs w:val="18"/>
          <w:color w:val="auto"/>
        </w:rPr>
      </w:pPr>
    </w:p>
    <w:p>
      <w:pPr>
        <w:ind w:left="5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19,157</w:t>
      </w:r>
    </w:p>
    <w:p>
      <w:pPr>
        <w:spacing w:after="0" w:line="9" w:lineRule="exact"/>
        <w:rPr>
          <w:sz w:val="20"/>
          <w:szCs w:val="20"/>
          <w:color w:val="auto"/>
        </w:rPr>
      </w:pPr>
    </w:p>
    <w:p>
      <w:pPr>
        <w:ind w:left="588" w:hanging="588"/>
        <w:spacing w:after="0"/>
        <w:tabs>
          <w:tab w:leader="none" w:pos="5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543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08" w:hanging="508"/>
        <w:spacing w:after="0"/>
        <w:tabs>
          <w:tab w:leader="none" w:pos="5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119,602</w:t>
      </w:r>
    </w:p>
    <w:p>
      <w:pPr>
        <w:spacing w:after="0" w:line="27" w:lineRule="exact"/>
        <w:rPr>
          <w:rFonts w:ascii="Times New Roman" w:cs="Times New Roman" w:eastAsia="Times New Roman" w:hAnsi="Times New Roman"/>
          <w:sz w:val="18"/>
          <w:szCs w:val="18"/>
          <w:color w:val="auto"/>
        </w:rPr>
      </w:pPr>
    </w:p>
    <w:p>
      <w:pPr>
        <w:ind w:left="8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(11,051)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1,499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(19,157)</w:t>
      </w:r>
    </w:p>
    <w:p>
      <w:pPr>
        <w:spacing w:after="0" w:line="9" w:lineRule="exact"/>
        <w:rPr>
          <w:sz w:val="20"/>
          <w:szCs w:val="20"/>
          <w:color w:val="auto"/>
        </w:rPr>
      </w:pPr>
    </w:p>
    <w:p>
      <w:pPr>
        <w:ind w:left="588" w:hanging="588"/>
        <w:spacing w:after="0"/>
        <w:tabs>
          <w:tab w:leader="none" w:pos="5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543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9332" w:space="720"/>
            <w:col w:w="1188"/>
          </w:cols>
          <w:pgMar w:left="320" w:top="115" w:right="3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assets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299,647</w:t>
            </w:r>
          </w:p>
        </w:tc>
      </w:tr>
      <w:tr>
        <w:trPr>
          <w:trHeight w:val="216"/>
        </w:trPr>
        <w:tc>
          <w:tcPr>
            <w:tcW w:w="10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90,971</w:t>
            </w:r>
          </w:p>
        </w:tc>
      </w:tr>
      <w:tr>
        <w:trPr>
          <w:trHeight w:val="210"/>
        </w:trPr>
        <w:tc>
          <w:tcPr>
            <w:tcW w:w="10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390,618</w:t>
            </w:r>
          </w:p>
        </w:tc>
      </w:tr>
      <w:tr>
        <w:trPr>
          <w:trHeight w:val="20"/>
        </w:trPr>
        <w:tc>
          <w:tcPr>
            <w:tcW w:w="10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8"/>
        <w:spacing w:after="0" w:line="282"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 and deferred tax assets.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according to geographic area, based on the location of where the product is shipped,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vMerge w:val="restart"/>
          </w:tcPr>
          <w:p>
            <w:pPr>
              <w:ind w:left="23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4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 Nine Months Ended September 30,</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114,748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366,692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134,224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119,839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371,010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u w:val="single" w:color="auto"/>
          <w:color w:val="auto"/>
        </w:rPr>
        <w:t>LEASE OBLIGATIONS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w:t>
      </w:r>
    </w:p>
    <w:p>
      <w:pPr>
        <w:spacing w:after="0" w:line="176" w:lineRule="exact"/>
        <w:rPr>
          <w:sz w:val="20"/>
          <w:szCs w:val="20"/>
          <w:color w:val="auto"/>
        </w:rPr>
      </w:pPr>
    </w:p>
    <w:p>
      <w:pPr>
        <w:jc w:val="both"/>
        <w:ind w:right="60"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Right-of-use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The Company’s lease expense is recognized on a straight-line basis over the lease term and is reflected in Plasma center operating expenses and selling, general and administrative expenses. Aggregate lease expense for the Company’s leases for the three months ended September 30, 2025 and 2024 was approximately $0.6 million, and aggregate lease expense for the nine months ended September 30, 2025 and 2024 was $1.8 million. Cash paid for the Company’s leases for the three months ended September 30, 2025 and 2024 was also approximately $0.6 million, and cash paid for the nine months ended September 30, 2025 and 2024 was approximately $1.9 million and $1.8 million, respectively.</w:t>
      </w:r>
    </w:p>
    <w:p>
      <w:pPr>
        <w:spacing w:after="0" w:line="194"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aggregate lease liabilities of $10.7 million and $9.8 million as of September 30, 2025 and December 31, 2024, respectively, which are comprised primarily of the leases for the Company’s plasma collection centers and a warehouse lease for raw material storage related to the Company’s immunoglobulin manufacturing operations. As of September 30, 2025, the Company’s operating leases have a weighted-average remaining term of 6.4 years. Scheduled payments under the Company’s lease obligations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Remainder of 2025</w:t>
            </w:r>
          </w:p>
        </w:tc>
        <w:tc>
          <w:tcPr>
            <w:tcW w:w="48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4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2,558</w:t>
            </w:r>
          </w:p>
        </w:tc>
        <w:tc>
          <w:tcPr>
            <w:tcW w:w="0" w:type="dxa"/>
            <w:vAlign w:val="bottom"/>
          </w:tcPr>
          <w:p>
            <w:pPr>
              <w:spacing w:after="0"/>
              <w:rPr>
                <w:sz w:val="1"/>
                <w:szCs w:val="1"/>
                <w:color w:val="auto"/>
              </w:rPr>
            </w:pPr>
          </w:p>
        </w:tc>
      </w:tr>
      <w:tr>
        <w:trPr>
          <w:trHeight w:val="216"/>
        </w:trPr>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4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2,537</w:t>
            </w:r>
          </w:p>
        </w:tc>
        <w:tc>
          <w:tcPr>
            <w:tcW w:w="0" w:type="dxa"/>
            <w:vAlign w:val="bottom"/>
          </w:tcPr>
          <w:p>
            <w:pPr>
              <w:spacing w:after="0"/>
              <w:rPr>
                <w:sz w:val="1"/>
                <w:szCs w:val="1"/>
                <w:color w:val="auto"/>
              </w:rPr>
            </w:pPr>
          </w:p>
        </w:tc>
      </w:tr>
      <w:tr>
        <w:trPr>
          <w:trHeight w:val="216"/>
        </w:trPr>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Thereafter</w:t>
            </w:r>
          </w:p>
        </w:tc>
        <w:tc>
          <w:tcPr>
            <w:tcW w:w="44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10"/>
        </w:trPr>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payments</w:t>
            </w:r>
          </w:p>
        </w:tc>
        <w:tc>
          <w:tcPr>
            <w:tcW w:w="4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 imputed interest</w:t>
            </w:r>
          </w:p>
        </w:tc>
        <w:tc>
          <w:tcPr>
            <w:tcW w:w="4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Current portion</w:t>
            </w:r>
          </w:p>
        </w:tc>
        <w:tc>
          <w:tcPr>
            <w:tcW w:w="4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4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480" w:type="dxa"/>
            <w:vAlign w:val="bottom"/>
            <w:vMerge w:val="restart"/>
          </w:tcPr>
          <w:p>
            <w:pPr>
              <w:jc w:val="right"/>
              <w:ind w:right="4239"/>
              <w:spacing w:after="0"/>
              <w:rPr>
                <w:sz w:val="20"/>
                <w:szCs w:val="20"/>
                <w:color w:val="auto"/>
              </w:rPr>
            </w:pPr>
            <w:r>
              <w:rPr>
                <w:rFonts w:ascii="Times New Roman" w:cs="Times New Roman" w:eastAsia="Times New Roman" w:hAnsi="Times New Roman"/>
                <w:sz w:val="14"/>
                <w:szCs w:val="14"/>
                <w:color w:val="auto"/>
                <w:w w:val="99"/>
              </w:rPr>
              <w:t>19</w:t>
            </w: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5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5540" w:type="dxa"/>
            <w:vAlign w:val="bottom"/>
            <w:tcBorders>
              <w:bottom w:val="single" w:sz="8" w:color="auto"/>
            </w:tcBorders>
          </w:tcPr>
          <w:p>
            <w:pPr>
              <w:spacing w:after="0"/>
              <w:rPr>
                <w:sz w:val="5"/>
                <w:szCs w:val="5"/>
                <w:color w:val="auto"/>
              </w:rPr>
            </w:pPr>
          </w:p>
        </w:tc>
        <w:tc>
          <w:tcPr>
            <w:tcW w:w="44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115"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estimated annual effective tax rate approach as prescribed by ASC 740-270, Interim Reporting, to calculate its interim provision for income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8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23,510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2025 differed from the federal statutory rate primarily due to the excess tax benefits on stock-based compensation. The effective tax rate for the three and nine months ended September 30, 2024 differed from the federal statutory tax rate primarily due to the valuation allowance maintained on the Company's federal and state net deferred tax assets until December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13.   SUPPLEMENTAL DISCLOSURE OF CASH FLOW INFORMATION</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Supplemental cash flow information for the nine months ended September 30, 2025 and 2024 is as follows: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7"/>
        </w:trPr>
        <w:tc>
          <w:tcPr>
            <w:tcW w:w="8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7,417</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14,345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8,895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Equipment acquired reflected in accounts payable and accrued liabilities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obligations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2"/>
        </w:trPr>
        <w:tc>
          <w:tcPr>
            <w:tcW w:w="5980" w:type="dxa"/>
            <w:vAlign w:val="bottom"/>
            <w:gridSpan w:val="2"/>
          </w:tcPr>
          <w:p>
            <w:pPr>
              <w:ind w:left="5560"/>
              <w:spacing w:after="0"/>
              <w:rPr>
                <w:sz w:val="20"/>
                <w:szCs w:val="20"/>
                <w:color w:val="auto"/>
              </w:rPr>
            </w:pPr>
            <w:r>
              <w:rPr>
                <w:rFonts w:ascii="Times New Roman" w:cs="Times New Roman" w:eastAsia="Times New Roman" w:hAnsi="Times New Roman"/>
                <w:sz w:val="14"/>
                <w:szCs w:val="14"/>
                <w:color w:val="auto"/>
              </w:rPr>
              <w:t>20</w:t>
            </w: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500" w:type="dxa"/>
            <w:vAlign w:val="bottom"/>
            <w:tcBorders>
              <w:bottom w:val="single" w:sz="8" w:color="auto"/>
            </w:tcBorders>
          </w:tcPr>
          <w:p>
            <w:pPr>
              <w:spacing w:after="0"/>
              <w:rPr>
                <w:sz w:val="5"/>
                <w:szCs w:val="5"/>
                <w:color w:val="auto"/>
              </w:rPr>
            </w:pPr>
          </w:p>
        </w:tc>
        <w:tc>
          <w:tcPr>
            <w:tcW w:w="548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which refers to our historical results, should be read in conjunction with the other sections of this Quarterly Report on Form 10-Q (this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2024, filed on March 18, 2025 (the “2024 10-K”). The various sections of this discussion contain a number of forward-looking statements, all of which are based on our current expectations and could be affected by the uncertainties and risk factors described throughout or referenced within this Form 10-Q. See “Special Note Regarding Forward-Looking Statements.” Our actual results may differ materially from our current expectations.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ADMA Biologics, Inc. (the “Company,” “ADMA,” “we,” “us” or “our”) is a U.S. based,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adolescents, for which we received FDA approval in April 2019 and commenced first commercial sales in October 2019; (ii) BIVIGAM (Immune Globulin Intravenous, Human), an IVIG product indicated for the treatment of PI, and for which we received FDA approval in May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Nos. 10,259,865 and 11,084,870 related to methods of treatment and prevention of </w:t>
      </w:r>
      <w:r>
        <w:rPr>
          <w:rFonts w:ascii="Times New Roman" w:cs="Times New Roman" w:eastAsia="Times New Roman" w:hAnsi="Times New Roman"/>
          <w:sz w:val="18"/>
          <w:szCs w:val="18"/>
          <w:i w:val="1"/>
          <w:iCs w:val="1"/>
          <w:color w:val="auto"/>
        </w:rPr>
        <w:t>S. pneumonia</w:t>
      </w:r>
      <w:r>
        <w:rPr>
          <w:rFonts w:ascii="Times New Roman" w:cs="Times New Roman" w:eastAsia="Times New Roman" w:hAnsi="Times New Roman"/>
          <w:sz w:val="18"/>
          <w:szCs w:val="18"/>
          <w:color w:val="auto"/>
        </w:rPr>
        <w:t xml:space="preserve"> infection for an immunoglobulin manufactured to contain standardized antibodies to numerous serotypes of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We have successfully completed production of a pilot-scale batch and are conducting animal studies for our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globulin program, SG-001. Our products and product candidates are intended to be used by physician specialists focused on caring for immune-compromised patients with or at risk for certain infectious diseases.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manufacture these products at our FDA-licensed, plasma fractionation and purification facility located in Boca Raton, FL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Through our ADMA BioCenters subsidiary, we currently operate ten source plasma collection facilities in the U.S.,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provide contract manufacturing services for certain third-party clients. We also provide laboratory contracting services to certain customers and may provide contract filling, labeling and packing services utilizing our FDA-approved in-house fill-finish capabilities.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Developments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achieved net income of $197.7 million, the first time in our history that we achieved net income on a GAAP basis, and we generated positive cash flow from operations of $118.7 million, the full details of which can be found in the 2024 10-K. Our improved operating results are primarily the result of the substantial revenue growth driven by the continued physician, patient and payer acceptance of ASCENIV.</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April 2025, the FDA approved our Prior Approval Supplement (the “PAS”) for our innovative yield enhancement production process (the “Yield Enhancement”) benefiting both ASCENIV and BIVIGAM. This PAS approval amends the Biologic License Application (BLA) approvals for ASCENIV and BIVIGAM and will continue to be the process by which the Company will manufacture these products on a go-forward basis. The production methods approved in this PAS have started to result in additional bulk drug yield from the same starting raw material source plasma volumes and the Company believes it should experience meaningful revenue and earnings accretion beginning in the fourth quarter of 2025 and accelerating further into 2026 and beyond. This innovative process has demonstrated an ability to increase ASCENIV and BIVIGAM production yields by 20% or more from the same starting source plasma volume.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which includes numerous changes to existing tax law including extending or making permanent certain business provisions initially established under the 2017 Tax Cuts and Jobs Act, which were set to expire. The OBBBA permanently eliminates the requirement to capitalize and amortize U.S.-based research and experimental expenditures, making these expenditures fully deductible in the period incurred. The OBBBA also permanently extends recognition of the accelerated bonus depreciation on qualifying assets in the period acquired. We expect these provisions to result in a reduction of current income tax liabilities and a corresponding reduction to income tax expense. While we are still evaluating these and other changes contained in the law, we do not expect these changes to have a material effect on our financial statements, including our effective tax rate.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2025, the Company completed the acquisition of real estate in Boca Raton, FL for a total purchase price of $12.6 million. This real estate purchase is intended to allow the Company to expand its production operations and related activities as well as provide for certain redundancies for ambient and cold-chain storage of raw materials, work in process and finished goods inventory.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ASCENIV</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in April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With our patented testing methods and assay, we are able to identify the high-titer or “hyperimmune” plasma that meets our internal and required specifications for ASCENIV. This type of high-titer plasma is typically found in less than 10% of the total donor collection samples we test.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ASCENIV is approved for the treatment of PIDD or PI, a class of inherited genetic disorders that causes a deficient or absent immune system in adults and adolescents (12 to 17 years of age).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 school and 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In the future, we may elect to work with the FDA and the immunology and infectious disease community to design an appropriate clinical trial to evaluate the use of ASCENIV in this patient population. Following FDA approval in April 2019, commercial sales of ASCENIV commenced in October of 2019 and in 2023 we commenced manufacturing ASCENIV at the 4,400 Liter production scale. This expansion has improved the product’s margin profile and increased plant production capacity as fewer batches are needed to support our revenue goals. ASCENIV’s prescriber and patient base continued to expand during 2024, which drove record utilization and pull-through for this product. These elevated demand trends have sustained into 2025, and we currently expect that this product’s rapid growth will continue throughout 2025 and beyond.</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2025, we filed our supplemental Biologics License Application (“sBLA”) for the expansion of ASCENIV’s label to include the pediatric setting for patients who are two years and older and we anticipate potential FDA approval in the first half of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BIVIGAM</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2019, the FDA approved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2019.</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2023, we announced that the FDA approved the expansion of BIVIGAM’s label in the United States to now include the pediatric setting for those two years of age and 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Nabi-HB</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in March 1999. Production of Nabi-HB at the Boca Facility has continued under our leadership since the third quarter of 2017. In early 2018, we received authorization from the FDA for the release of our first commercial batch of Nabi-HB for commercial distribution in the United States and we continue to manufacture Nabi-HB under HHS License No. 2019.</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chargebacks deducted from gross revenues and estimates related to the Company’s effective tax rate.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the estimates and assumptions we are required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and estimates, see Note 2 to the Consolidated Financial Statements included in our 2024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Deductions for Rebates and Chargebacks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provision for income taxes and the determination of our effective tax rate are subject to significant judgment and complexity. We estimate our income tax expense based on enacted tax laws and statutory tax rates in the jurisdictions in which we operate, as well as our interpretation of relevant tax regulations. The effective tax rate includes the impact of various estimates and judgments. Changes in these estimates or in tax laws could significantly affect our effective tax rate and results of operations. Due to the complexity of tax regulations and the potential for differing interpretations, it is reasonably possible that the ultimate resolution of these matters could result in material adjustments to our effective tax rate in future periods.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Three Months Ended September 30, 2024</w:t>
      </w:r>
    </w:p>
    <w:p>
      <w:pPr>
        <w:spacing w:after="0" w:line="20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three months ended September 30, 2025, compared to the three months ended September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38"/>
        </w:trPr>
        <w:tc>
          <w:tcPr>
            <w:tcW w:w="7320" w:type="dxa"/>
            <w:vAlign w:val="bottom"/>
            <w:tcBorders>
              <w:bottom w:val="single" w:sz="8" w:color="CCEEFF"/>
            </w:tcBorders>
          </w:tcPr>
          <w:p>
            <w:pPr>
              <w:ind w:left="30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134,224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14,385</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58,598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75,626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21,776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18,560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11,087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10,247</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36,428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58,740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45,367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13,371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 See Non-GAAP Financial Measures appearing at the end of this discussion</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total revenues of $134.2 million for the three months ended September 30, 2025, as compared to $119.8 million for the three months ended September 30, 2024, an increase of $14.4 million, or approximately 12%. The increase is primarily related to increased sales volume of ASCENIV, as we experienced increased physician, payer and patient acceptance and utilization of this product.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product revenue was $58.6 million for the three months ended September 30, 2025, as compared to $60.2 million for the three months ended September 30, 2024, a decrease of $1.6 million, or 2.6%, due to a more favorable product mix.</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we had gross profit of $75.6 million, as compared to $59.7 million for the same period of a year ago, which represents a gross margin in the third quarter of 2025 of 56.3%, as compared to 49.8% for the third quarter of 2024. This improvement in gross margin is primarily driven by a more favorable product mix and operational efficiencies that reduced manufacturing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Research and development (“R&amp;D”) expenses totaled $1.5 million for the third quarter of 2025, as compared to $0.4 million for the third quarter of 2024. The increase is primarily due to expenses incurred during the third quarter of 2025 related to our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globulin program, SG-001.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Plasma Center Operating Expenses increased from $1.0 million for the three months ended September 30, 2024 to $1.3 million for the three months ended September 30, 2025. The increase is primarily due to higher employee-related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mainly pertains to the amortization of internally developed software and was less than $0.1 million and $0.1 million for the three months ended September 30, 2025 and 2024 respectively.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$3.2 million to $21.8 million for the three months ended September 30, 2025, as compared to $18.6 million for the three months ended September 30, 2024. The increase is primarily driven by higher compensation costs due to increased headcount to support the growth of our business and manufacturing operations. In addition, higher insurance premiums, professional fees and software expenses contributed to this increase.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2025 was $1.7 million, as compared to $3.5 million for the three months ended September 30, 2024, primarily driven by the decrease in debt balances due to principal repayments made in 2024 and the lower JPM Term Loan Facility (as defined in Liquidity and Capital Resources below) interest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repayment of all obligations outstanding under the Ares Credit Facility (as defined in Liquidity and Capital Resources below), we have incurred prepayment penalties and wrote off the remaining unamortized debt issuance costs and discount associated with that facility, which resulted in recognition of debt extinguishment losses of $2.2 million during the three months ended September 30, 2025. No debt extinguishment losses were incurred as part of debt repayments made during the three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2025 was $0.4 million, as compared to $0.6 million for the three months ended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provision for income taxes of $11.1 million for the three months ended September 30, 2025 represented an effective tax rate of 23.3%, as compared to the provision of $0.8 million for the three months ended September 30, 2024, with an effective tax rate of 2.3%. As of September 30, 2024, the Company had a full valuation allowance for its net deferred tax assets, and the effective tax rate for the three months ended September 30, 2024 differed from the federal statutory tax rate of 21% primarily due to the recognition of deferred tax assets for the net operating losses. The Company released its valuation allowance in December 2024, and the effective tax rate for the three months ended September 30, 2025 differed from the federal statutory rate primarily due to the excess tax benefits on stock-based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nine months ended September 30, 2025, compared to the nine months ended September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7"/>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38"/>
        </w:trPr>
        <w:tc>
          <w:tcPr>
            <w:tcW w:w="7320" w:type="dxa"/>
            <w:vAlign w:val="bottom"/>
            <w:tcBorders>
              <w:bottom w:val="single" w:sz="8" w:color="CCEEFF"/>
            </w:tcBorders>
          </w:tcPr>
          <w:p>
            <w:pPr>
              <w:ind w:left="30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371,010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308,905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62,105</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167,061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152,685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14,376</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203,949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47,729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68,068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50,807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17,261</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128,692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100,660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28,032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121,061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23,510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18,286</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97,551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85,777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157,444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116,336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41,109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 See Non-GAAP Financial Measures appearing at the end of this discussion</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recorded total revenues of $371.0 million for the nine months ended September 30, 2025, as compared to $308.9 million for the nine months ended September 30, 2024, an increase of $62.1 million, or approximately 20%. The increase is primarily related to increased sales volume of ASCENIV, as we experienced increased physician, payer and patient acceptance and utilization of this product. During the nine months ended September 30, 2025, and as previously disclosed in our Quarterly Reports on Form 10-Q for the quarters ended March 31, 2025 and June 30, 2025, we voluntarily withdrew three lots of BIVIGAM (such a withdrawal, hereinafter referred to as the “Voluntary Withdrawal”) as a precautionary measure. This resulted in a reduction in revenue of $4.0 million for credits issued to customers that were impacted by this Voluntary Withdrawal during the current year. This action was proactively initiated, and we believe this matter to be resolved. Excluding the $12.6 million adjustment we recorded in the second quarter of 2024 to decrease our accrual for U.S. Medicaid rebates (which had the effect of increasing 2024 revenues by $12.6 million), our revenues for the nine months ended September 30, 2025 increased $74.7 million, or 25%, as compared to the nine months ended September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was $167.1 million for the nine months ended September 30, 2025, as compared to $152.7 million for the nine months ended September 30, 2024. This increase is primarily attributable to higher volume of our IG products of $21.9 million and Plasma products of $9.5 million, partially offset by $8.8 million of lower product revenue costs related to the reduction in plasma and intermediates sales, reduction of inventory losses and unabsorbed manufacturing costs.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we had gross profit of $203.9 million, as compared to $156.2 million for the same period of a year ago, which represents a gross margin in 2025 of 55%, as compared to 50.6%, or 48.5% when excluding the $12.6 million adjustment recorded in the second quarter of 2024 to decrease our accrual for U.S. Medicaid rebates (which had the effect of increasing 2024 revenue by $12.6 million) in the second quarter of 2024. This improvement in gross margin is primarily driven by a significantly more favorable mix of higher margin IG sales in 2025 as compared to 2024, along with the operational efficiencies achieved resulting in a reduction in other manufacturing costs.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Research and development (“R&amp;D”) expenses totaled $3.4 million for the nine months ended September 30, 2025, as compared to $1.4 million for the nine months ended September 30, 2024. The increase is primarily due to expenses incurred in 2025 related to the ASCENIV pediatric study and our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pneumoniae </w:t>
      </w:r>
      <w:r>
        <w:rPr>
          <w:rFonts w:ascii="Times New Roman" w:cs="Times New Roman" w:eastAsia="Times New Roman" w:hAnsi="Times New Roman"/>
          <w:sz w:val="18"/>
          <w:szCs w:val="18"/>
          <w:color w:val="auto"/>
        </w:rPr>
        <w:t>hyperimmune globulin program, SG-001.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Plasma Center Operating Expenses increased from $3.0 million for the nine months ended September 30, 2024 to $3.7 million for the nine months ended September 30, 2025. The increase is primarily due to an increase in employee-related costs of $0.7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mainly pertains to the amortization of internally developed software and was $0.1 million and $0.4 million for the nine months ended September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were $68.1 million for the nine months ended September 30, 2025, an increase of $17.3 million as compared to $50.8 million for the nine months ended September 30, 2024. The increase is primarily driven by higher compensation costs due to increased headcount to support the growth of our business and manufacturing operations. In addition, higher insurance premiums, professional fees and software expenses contributed to this increase.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2025 was $5.5 million, as compared to $11.1 million for the nine months ended September 30, 2024, primarily driven by the decrease in debt balances due to principal repayments made in 2024 and lower JPM Term Loan Facility interest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$30 million prepayment we made in May 2025 and repayment of all obligations then outstanding under the Ares Credit Facility in August 2025, we have incurred prepayment penalties and wrote off the remaining debt issuance costs and discount associated with that facility, which resulted in recognition of debt extinguishment losses of $3.3 million during the nine months ended September 30, 2025. No debt extinguishment losses were incurred as part of debt repayments made during the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was $1.2 million and $1.4 million during the nine months ended September 30,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provision for income taxes of $23.5 million for the nine months ended September 30, 2025 represented an effective tax rate of 19.4%, as compared to $5.2 million for the nine months ended September 30, 2024, with an effective tax rate of 5.7%. As of September 30, 2024, the Company had a full valuation allowance for its net deferred tax assets, and the effective tax rate for the nine months ended September 30, 2024 differed from the federal statutory tax rate of 21% primarily due to the recognition of deferred tax assets for the net operating losses. The Company released its valuation allowance in December 2024, and the effective tax rate for the nine months ended September 30, 2025 differed from the federal statutory rate primarily due to the excess tax benefits on stock-based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 (“EBITDA”), Adjusted EBITDA and Adjusted Net Income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EBITDA, Adjusted EBITDA and Adjusted net income are important non-GAAP financial measures used by our management and Board to assess our operating performance. We use EBITDA, Adjusted EBITDA and Adjusted net income as key performance measures because we believe that they facilitate operating performance comparisons from period to period that exclude, in the case of Adjusted net income, items that are expected to be non-recurring, and in the case of EBITDA and Adjusted EBITDA, potential differences driven by the impact of variations of non-cash items such as depreciation and amortization, as well as, in the case of Adjusted EBITDA, stock-based compensation or certain one-time and non-recurring items. In addition, we believe that EBITDA, Adjusted EBITDA and Adjusted net income and similar measures are widely used by investors, securities analysts, ratings agencies and other parties in evaluating companies in our industry as a measure of financial performance and debt-service capabilities. See below for a reconciliation of our EBITDA, Adjusted EBITDA and Adjusted net income to net income, the most directly comparable financial measure calculated and presented in accordance with U.S. GAAP.</w:t>
      </w:r>
    </w:p>
    <w:p>
      <w:pPr>
        <w:sectPr>
          <w:pgSz w:w="11900" w:h="16838" w:orient="portrait"/>
          <w:cols w:equalWidth="0" w:num="1">
            <w:col w:w="11240"/>
          </w:cols>
          <w:pgMar w:left="320" w:top="11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right="60" w:firstLine="648"/>
        <w:spacing w:after="0" w:line="251" w:lineRule="auto"/>
        <w:rPr>
          <w:sz w:val="20"/>
          <w:szCs w:val="20"/>
          <w:color w:val="auto"/>
        </w:rPr>
      </w:pPr>
      <w:r>
        <w:rPr>
          <w:rFonts w:ascii="Times New Roman" w:cs="Times New Roman" w:eastAsia="Times New Roman" w:hAnsi="Times New Roman"/>
          <w:sz w:val="18"/>
          <w:szCs w:val="18"/>
          <w:color w:val="auto"/>
        </w:rPr>
        <w:t>Because EBITDA, Adjusted EBITDA and Adjusted net income are measures not deemed to be in accordance with U.S. GAAP and are susceptible to varying calculations, our EBITDA, Adjusted EBITDA and Adjusted net income may not be comparable to similarly titled measures of other companies, including companies in our industry, because other companies may calculate EBITDA, Adjusted EBITDA and Adjusted net income in a different manner than we calculate these measurements. Although the Company uses Adjusted EBITDA as one of several financial measures to assess its operating performance, its use is limited as it excludes certain significant operating expenses. EBITDA, Adjusted EBITDA and Adjusted net income are not intended to represent cash flows for the periods presented, nor have they been presented as an alternative to operating income, net income or as an indicator of operating performance and should not be considered in isolation or as a substitute for measures of performance prepared in accordance with U.S. GAAP. The following table presents the reconciliation of net income to EBITDA and Adjusted EBITDA for the three and nine months ended September 30, 2025 and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Nine Months ended September 30,</w:t>
            </w:r>
          </w:p>
        </w:tc>
      </w:tr>
      <w:tr>
        <w:trPr>
          <w:trHeight w:val="210"/>
        </w:trPr>
        <w:tc>
          <w:tcPr>
            <w:tcW w:w="58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09"/>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20" w:type="dxa"/>
            <w:vAlign w:val="bottom"/>
            <w:gridSpan w:val="9"/>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36,428</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85,777</w:t>
            </w:r>
          </w:p>
        </w:tc>
        <w:tc>
          <w:tcPr>
            <w:tcW w:w="6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5,738</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5,224</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11,051</w:t>
            </w:r>
          </w:p>
        </w:tc>
        <w:tc>
          <w:tcPr>
            <w:tcW w:w="60" w:type="dxa"/>
            <w:vAlign w:val="bottom"/>
          </w:tcPr>
          <w:p>
            <w:pPr>
              <w:spacing w:after="0"/>
              <w:rPr>
                <w:sz w:val="18"/>
                <w:szCs w:val="18"/>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132,595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108,153</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8,183</w:t>
            </w:r>
          </w:p>
        </w:tc>
        <w:tc>
          <w:tcPr>
            <w:tcW w:w="6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Customer credits related to the Voluntary Withdrawal</w:t>
            </w: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 enhancement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Non-recurring professional fees </w:t>
            </w:r>
            <w:r>
              <w:rPr>
                <w:rFonts w:ascii="Times New Roman" w:cs="Times New Roman" w:eastAsia="Times New Roman" w:hAnsi="Times New Roman"/>
                <w:sz w:val="29"/>
                <w:szCs w:val="29"/>
                <w:color w:val="auto"/>
                <w:vertAlign w:val="superscript"/>
              </w:rPr>
              <w:t>(a)</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58,740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45,367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157,444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116,336</w:t>
            </w:r>
          </w:p>
        </w:tc>
        <w:tc>
          <w:tcPr>
            <w:tcW w:w="6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1"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Non-recurring professional fees represent incremental costs associated with a vendor change that we do not expect to incur in future periods.</w:t>
      </w:r>
    </w:p>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Adjusted EBITDA increased for the three and nine months ended September 30, 2025, as compared to the same periods of a year ago, by $13.4 million and $41.1 million, respectively. The improvement is primarily due to the increased sales and gross profit in 2025.</w:t>
      </w:r>
    </w:p>
    <w:p>
      <w:pPr>
        <w:spacing w:after="0" w:line="1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15"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to Adjusted net income for the three and nine months ended September 30, 2025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tcPr>
          <w:p>
            <w:pPr>
              <w:spacing w:after="0"/>
              <w:rPr>
                <w:sz w:val="20"/>
                <w:szCs w:val="20"/>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0" w:type="dxa"/>
            <w:vAlign w:val="bottom"/>
          </w:tcPr>
          <w:p>
            <w:pPr>
              <w:spacing w:after="0"/>
              <w:rPr>
                <w:sz w:val="1"/>
                <w:szCs w:val="1"/>
                <w:color w:val="auto"/>
              </w:rPr>
            </w:pPr>
          </w:p>
        </w:tc>
      </w:tr>
      <w:tr>
        <w:trPr>
          <w:trHeight w:val="196"/>
        </w:trPr>
        <w:tc>
          <w:tcPr>
            <w:tcW w:w="61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4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36,428</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97,551</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modifications (pre-tax)</w:t>
            </w: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credits related to the Voluntary Withdrawal (pre-tax)</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 (pre-tax)</w:t>
            </w: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 Enhancement (pre-tax)</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57"/>
        </w:trPr>
        <w:tc>
          <w:tcPr>
            <w:tcW w:w="6160" w:type="dxa"/>
            <w:vAlign w:val="bottom"/>
            <w:tcBorders>
              <w:bottom w:val="single" w:sz="8" w:color="CCEEFF"/>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Non-recurring professional fees (pre-tax) </w:t>
            </w:r>
            <w:r>
              <w:rPr>
                <w:rFonts w:ascii="Times New Roman" w:cs="Times New Roman" w:eastAsia="Times New Roman" w:hAnsi="Times New Roman"/>
                <w:sz w:val="29"/>
                <w:szCs w:val="29"/>
                <w:color w:val="auto"/>
                <w:vertAlign w:val="superscript"/>
              </w:rPr>
              <w:t>(a)</w:t>
            </w:r>
          </w:p>
        </w:tc>
        <w:tc>
          <w:tcPr>
            <w:tcW w:w="16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6"/>
                <w:szCs w:val="16"/>
                <w:b w:val="1"/>
                <w:bCs w:val="1"/>
                <w:color w:val="auto"/>
              </w:rPr>
              <w:t xml:space="preserve">Adjusted net income </w:t>
            </w:r>
            <w:r>
              <w:rPr>
                <w:rFonts w:ascii="Times New Roman" w:cs="Times New Roman" w:eastAsia="Times New Roman" w:hAnsi="Times New Roman"/>
                <w:sz w:val="25"/>
                <w:szCs w:val="25"/>
                <w:b w:val="1"/>
                <w:bCs w:val="1"/>
                <w:color w:val="auto"/>
                <w:vertAlign w:val="superscript"/>
              </w:rPr>
              <w:t>(b)</w:t>
            </w:r>
          </w:p>
        </w:tc>
        <w:tc>
          <w:tcPr>
            <w:tcW w:w="16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38,906</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108,240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professional fees represent incremental costs associated with a vendor change that we do not expect to incur in future periods.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estimated tax effect of the add-backs of $0.6 and $2.1 million for the three and nine months ended September 30, 2025, respectively.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September 30, 2025, we had working capital of $346.2 million, primarily consisting of $196.7 million of inventory, cash and cash equivalents of $61.4 million and $137.7 million of accounts receivable, partially offset by current liabilities of $56.5 million, as compared to working capital at December 31, 2024 of $275.9 million, primarily consisting of $170.2 million of inventory, cash and cash equivalents of $103.1 million and accounts receivable of $50.0 million, partially offset by current liabilities of $55.5 million. Our material cash requirements are primarily comprised of:</w:t>
      </w:r>
    </w:p>
    <w:p>
      <w:pPr>
        <w:spacing w:after="0" w:line="180" w:lineRule="exact"/>
        <w:rPr>
          <w:sz w:val="20"/>
          <w:szCs w:val="20"/>
          <w:color w:val="auto"/>
        </w:rPr>
      </w:pPr>
    </w:p>
    <w:p>
      <w:pPr>
        <w:ind w:left="1300" w:hanging="320"/>
        <w:spacing w:after="0" w:line="261"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procurement of raw material source plasma, which includes plasma donor fees and plasma center supplies, and other raw materials necessary to maintain and scale up our manufacturing operations;</w:t>
      </w: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benefits;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equipment upgrades and capacity expansion at the Boca Facility and to maintain our plasma collection facilities;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amortizations and interest on our debt;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programs, medical education and continued commercialization efforts;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Boca Facility maintenance, improvements, repairs and supplies;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and</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improvements and updates to our IT infrastructure, laboratory equipment and assays, and facilities and engineering equipment.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2025, we completed the acquisition of real estate in Boca Raton, FL for a total purchase price of $12.6 million. This real estate purchase is intended to allow the Company to expand its production operations and related activities as well as provide for certain redundancies for ambient and cold-chain storage of raw materials, work in process and finished goods inventory.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anticipate, based upon our projected revenue and expenditures, that our current cash, cash equivalents and accounts receivable, along with our projected future operating cash flow, will be sufficient to fund our operations, as currently conducted, through the third quarter of 2026 and beyond. Based on current operations and assuming continued market acceptance and utilization of our finished drug products, we do not anticipate the need to raise additional capital at this time. However, should the market for our products or political, economic or inflationary conditions change, we may need to seek additional capital which may not be available due to a variety of potential factors beyond our control (see “Risk Factors” appearing elsewhere in this report).</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ADMA continues to evaluate a variety of strategic alternatives, and the exploration of value-creating opportunities remains a top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Ares Credit Agreement</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18, 2023 (the “Ares Closing Date”), we and all of our subsidiaries entered into a senior secured credit facility (the “Ares Credit Agreement”) with Ares Capital Corporation and certain credit funds affiliated with Ares Capital Corporation (collectively, “Ares”). The Ares Credit Agreement provided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had a maturity date of December 20, 2027 (the “Ares Maturity Date”).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14, 2024, we repaid $30.0 million against the revolving credit facility and the outstanding balance on the revolving credit facility as of March 31, 2025 was $42.5 million. On December 19, 2024, we repaid $30.0 million against the term loan facility and the outstanding balance on the term loan facility as of March 31, 2025 was $32.5 million. On May 5, 2025, we borrowed $30.0 million under our revolving credit facility, which we used to concurrently repay an additional $30.0 million against the term loan facility on May 6, 2025, as a result of which, the Company recorded debt extinguishment losses of $1.2 million. In August 2025, the Company repaid all remaining obligations outstanding under the Ares Credit Facility using the proceeds from the JPM Term Loan Facility, defined below, and recorded related debt extinguishment losses of $2.2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JPM Credit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5, 2025 (the “JPM Closing Date”), we and all of our subsidiaries entered into a Credit Agreement (the “JPM Credit Agreement”) with the lenders party thereto and JPMorgan Chase Bank, N.A., as administrative agent (“JPMorgan”). The JPM Credit Agreement provides for $300 million of senior secured credit facilities, consisting of (a) a term loan in the aggregate principal amount of $75 million, which was drawn in full on the JPM Closing Date (the “JPM Term Loan Facility”) and (b) a revolving credit facility in the aggregate principal amount of $225 million (the “JPM Revolving Facility”). We may also request, subject to customary conditions, additional incremental revolving commitments or term loans in an aggregate principal amount not to exceed $100 million (together with the JPM Term Loan Facility and the JPM Revolving Facility, the “JPM Credit Facilities”). The JPM Term Loan Facility has a maturity date of August 5, 2028 (the “JPM Term Maturity Date”) and the JPM Revolving Facility has a maturity date of August 5, 2028 or any earlier date on which the commitments under the JPM Revolving Facility are reduced to zero or otherwise terminated pursuant to the terms of the JPM Credit Agreement (the “JPM Revolving Maturity Date”). In addition to repaying amounts outstanding under the Ares Credit Facility, under the JPM Credit Agreement, proceeds of the JPM Credit Facilities may also be used to finance share repurchases and for working capital and general corporate purposes.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on borrowings under the JPM Credit Facilities will accrue at an applicable rate equal to (i) an alternate base rate plus an applicable spread (each such borrowing, an “ABR Borrowing”) or (ii) Term SOFR plus an applicable spread (each such borrowing, a “Term Benchmark Borrowing”), in each case based on the lower of the applicable rates set forth in the JPM Credit Agreement, which are based on our total leverage ratio. These applicable spreads range from 150 basis points to 200 basis points over the alternate base rate and 250 basis points to 300 basis points over Term SOFR, in each case, as determined in accordance with the provisions of the JPM Credit Agreement. We have agreed to pay a commitment fee at specified rates set forth in the JPM Credit Agreement, which, based on our total leverage ratio, ranges from 30 basis points to 35 basis points on the daily amount of the undrawn portion of the aggregate commitments of the lenders under the JPM Revolving Facility. At our request, each borrowing initially shall be either an ABR Borrowing or a Term Benchmark Borrowing, and we may thereafter elect to convert any such borrowing to a different type. During the occurrence and continuance of an Event of Default (as defined in the JPM Credit Agreement), all borrowings shall accrue interest at a rate per annum equal to 2% plus the applicable rate.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JPM Revolving Maturity Date, we will repay the unpaid principal amount outstanding under the JPM Revolving Facility. Under the JPM Term Loan Facility, we will make principal payments in accordance with and on the dates specified in the amortization schedule set forth in the JPM Credit Agreement, with the remaining unpaid principal amount to be paid in full on the JPM Term Maturity Date. We may prepay at any time and from time to time any borrowing in whole or in part, without premium or penalty (other than, if applicable, any break funding expenses), subject to customary notice requirements.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obligations under the JPM Credit Agreement are secured by a first-priority lien and security interest in substantially all of the tangible and intangible assets, including intellectual property and equity interests, of us and all of our subsidiaries.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JPM Credit Agreement contains certain representations and warranties, affirmative covenants, negative covenants and conditions that are customarily required for similar financings. The negative covenants include certain financial covenants, including a maximum total leverage ratio of 2.50 to 1.00 and a minimum fixed charge coverage ratio of 1.20 to 1.00. The negative covenants also restrict or limit our ability and the ability of our subsidiaries to, among other things and subject to certain exceptions contained in the JPM Credit Agreement, incur new indebtedness; create liens on assets; engage in certain fundamental corporate changes; make certain investments; dispose of certain assets; engage in sale and leaseback transactions or swap agreements; make certain Restricted Payments (as defined in the JPM Credit Agreement); engage in certain affiliate transactions; enter into any other agreements that have the impact of restricting our ability to make loan repayments under the JPM Credit Agreement; or amend certain material documents.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 for the periods indicated:</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68,456</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(27,276)</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35,355</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103,147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51,352</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61,385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86,707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2025 was $14.8 million, a decrease of $53.7 million from the same period of a year ago, primarily due to the unfavorable impact of the timing of sales and due to inventory investments made in 2025 to support the Company’s manufacturing and distribution objectives. The following table illustrates the primary components of our cash flows from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97,551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85,777</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Non-cash expenses, gains and losses</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14,941</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(22,719)</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inventories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16"/>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operations</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14,757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68,456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2025 and 2024 was $21.6 million and $5.8 million, respectively. The increase is primarily related to the roof replacement at the Boca Facility in the amount of $1.3 million, capital expenditures associated with the Yield Enhancement project and the acquisition of the real estate in Boca Raton, FL in the amount of $12.6 million. While as of September 30, 2025, we had no firm commitments for capital expenditures, we expect our total capital expenditures will be between $4.0 million and $6.0 million for the remainder of fiscal 2025, mainly for additional upgrades to the Boca Facility manufacturing operations and related operational systems.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$34.9 million and $27.3 million for the nine months ended September 30, 2025 and 2024, respectively. The increase is primarily due to share repurchases, higher taxes paid in connection with shares that were withheld from RSUs that vested during the period, as a result of an increase in the value of our common stock as compared to 2024, lower proceeds from option exercises, higher principal payments on term debt due to the payoff of the obligations outstanding under the Ares Credit Facility and related penalties, partially offset by the debt proceeds related to the JPM Credit Facilities.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Inflation impacted a number of facets of our business during the nine months ended September 30, 2025 and 2024 at each of our business segments. We experienced price increases for, among other items, certain raw materials, consumable supplies, services for repairs and maintenance of our facilities, utilities, shipping and freight charges, fuel surcharges and labor costs, among other expenses. Based upon the macroeconomic environment, publicly available information and reports from the U.S. government, we expect this trend to continue through the remainder of 2025 and potentially longer, which could have a significant impact on our future results of operations. In addition, some of our third-party inventory purchase agreements provide for scheduled price increases that are tied to various consumer price indexes, which have resulted in higher than historical percentage price increases and could result in higher source plasma and other raw material and supplies costs in the fourth quarter of 2025 and beyond. Also, in a higher inflationary environment, we may not be able to raise the prices of our products to maintain the rate of inflation, and this may affect our product margins. We are unable to predict when these external drivers of inflation will subside.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exposed to market risk as a result of changes in interest rates. The Ares Credit Agreement required quarterly payments of interest based on the adjusted Term SOFR plus the applicable margin. The JPM Credit Agreement requires monthly payments of interest, in the case of an alternate base rate borrowing, and one-month or three-month payments of interest, in the case of a Term SOFR borrowing, in each case, plus the applicable rate. We currently do not utilize any derivative financial instruments, such as interest rate swaps or caps, to mitigate this risk. As of September 30, 2025, we had $74.5 million outstanding under our JPM Credit Agreement that was subject to a variable interest rate. As a result, the effect of a hypothetical, instantaneous and unfavorable change of 100 basis points in the interest rate would have an approximate $0.7 million annualized negative impact on our earnings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 (SEC)’s rules and forms, and (ii) accumulated and communicated to our management, including our principal executive officer and principal financial officer, as appropriate to allow timely decisions regarding required disclosures.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principal financial officer, we conducted an evaluation of our disclosure controls and procedures as of September 30, 2025. Based on this evaluation, our principal executive officer and principal financial officer concluded that our disclosure controls and procedures as of September 30, 2025 were effective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2025 that have materially affected, or are reasonably likely to materially affect, our internal control over financial reporting.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the 2024 10-K and our other filings with the U.S. Securities and Exchange Commission, or the SEC, before making an investment decision regarding our common stock.</w:t>
      </w:r>
    </w:p>
    <w:p>
      <w:pPr>
        <w:spacing w:after="0" w:line="182"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achieved net income on a GAAP basis for the year ended December 31, 2024 for the first time, we may not be able to maintain profitability and continue to generate positive cashflows in the future.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filling, packaging, testing and labeling of the drug substance we manufacture, and we also obtain source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could adversely affect our business.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Biologics License Application (“BLA”) or other required submission for review.</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researchers, developers and vendors to develop, manufacture, supply materials for or test our products and product candidates, as well as for other pre-and post-approval services, and such parties’ performance is, to some extent, outside of our control.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ind w:left="660" w:hanging="328"/>
        <w:spacing w:after="0" w:line="25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8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payers and patients do not accept and use our current products or our future product candidates, our ability to generate revenue from these products will be materially impaired.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secured credit facility with JPMorgan Chase Bank, N.A. and certain other lenders party thereto (collectively “JPMorgan”) is subject to acceleration in specified circumstances, which may result in JPMorgan taking possession and disposing of any collateral.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other security breaches could compromise our proprietary and confidential information or otherwise penetrate our network, which could harm our business and reputation.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produce safe and effective products depends on the safety of our plasma supply, testing by third parties and the timing of receiving the testing results, and the manufacturing processes we have in place to counter transmittable diseases.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supply-constrained and our financial performance would suffer if we cannot obtain adequate quantities of FDA-approved source and high-titer plasma with proper specifications or other necessary raw materials.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(“NOLs”) may be limited.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tax obligations and effective tax rate and realization of our net deferred tax assets may result in volatility of our operating results and materially impact our financial condition or financial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may fluctuate in a way that is disproportionate to our operating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01"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achieved net income on a GAAP basis for the year ended December 31, 2024, for the first time, we may not be able to maintain profitability and continue to generate positive cash flows in the future.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achieved net income of $197.7 million for the year ended December 31, 2024, for the years ended December 31, 2023 and 2022, we incurred net losses of $28.2 million and $65.9 million, respectively. From our inception in 2004 through December 31, 2024, we have incurred an accumulated deficit of $308.6 million. We may not be able to maintain profitability in the future, and if we are unable to continue to consistently achieve positive cash flows we may need to finance our operations through additional equity or debt financings or corporate collaboration and licensing agreements. If, in the future, our operating or financial results for a particular period do not meet our guidance, analyst estimates or the expectations of investors, or if we reduce our guidance for future periods, our stock price may decline. Any sustained or increased profitability or financial performance may contribute to increased scrutiny from the investment community and applicable federal, state and foreign regulatory authorities and government bodies. We also expect to continue to incur significant operating and capital expenditures and anticipate that as our business continues to grow our operating expenses will increase accordingly as we:</w:t>
      </w:r>
    </w:p>
    <w:p>
      <w:pPr>
        <w:spacing w:after="0" w:line="188"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commercialization and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controls and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production capacity at the Boca Facility.</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a result, we will need to continue to generate significant revenues in order to maintain profitability. We may not be able to generate these revenues or maintain profitability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a pandemic, epidemic, or outbreak of an unknown or emerging infections disease.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in regions where we have concentrations of business activities and such epidemics could cause significant disruption in the operations of third-party service providers upon whom we rely. A resurgence of a global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our submissions or applications to the FDA and our employees. The ultimate impact will depend on the severity and duration of the pandemic and actions taken by governmental authorities and other third parties in response, each of which is unforeseeable and difficult to predict.</w:t>
      </w:r>
    </w:p>
    <w:p>
      <w:pPr>
        <w:spacing w:after="0" w:line="1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a portion of the filling, packaging, testing and labeling of the drug substance we manufacture, and also obtain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Third parties may not perform as agreed or in accordance with FDA requirements. Any significant problem that our third-party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services, raw materials and products meeting the necessary quality standards, in sufficient quantities or at all could have a material and adverse effect on our products, business, financial condition and results from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Although we are utilizing our FDA-approved fill/finish suite that we built at the Boca Facility for a portion of our finished drug product and although we receive our raw material plasma from our ADMA BioCenters plasma collection facilities, we also intend to continue to utilize third parties to supplement our fill/finish process for final drug product and to supply raw material source and high-titer RSV plasma. Any failure by us, our contract fill/finishers, or other third parties involved in the process for producing our products or product candidates to comply with the applicable manufacturing and regulatory requirements, including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contractors exposes us to the following risks:</w:t>
      </w:r>
    </w:p>
    <w:p>
      <w:pPr>
        <w:spacing w:after="0" w:line="225" w:lineRule="exact"/>
        <w:rPr>
          <w:sz w:val="20"/>
          <w:szCs w:val="20"/>
          <w:color w:val="auto"/>
        </w:rPr>
      </w:pPr>
    </w:p>
    <w:p>
      <w:pPr>
        <w:ind w:left="660" w:right="2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contractors on acceptable terms or at all because the number of potential service providers is limited and the FDA must inspect and qualify any contract manufacturers for current cGMP compliance as part of our marketing application;</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fill/finisher would have to be educated in, or develop substantially equivalent processes for, the production of our products and product candidates;</w:t>
      </w:r>
    </w:p>
    <w:p>
      <w:pPr>
        <w:spacing w:after="0" w:line="16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the resurgence of a pandemic such as the COVID-19 pandemic, or a cyberattack or data breach, could adversely affect our contractors’ operations, supply chain or workforce;</w:t>
      </w:r>
    </w:p>
    <w:p>
      <w:pPr>
        <w:spacing w:after="0" w:line="161"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contracted fill/finishers’ resources and level of expertise with plasma-derived biologics may be limited, therefore they may require a significant amount of support from us in order to implement and maintain the infrastructure and processes required to deliver our finished drug product;</w:t>
      </w:r>
    </w:p>
    <w:p>
      <w:pPr>
        <w:spacing w:after="0" w:line="17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might be unable to timely provide finished drug product or raw material plasma in sufficient quantity or in accordance with our specifications to meet our commercial needs;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may not be able to execute our inspection procedures and required tests appropriately;</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61"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may fail to comply with applicable regulatory requirements, placing them and us at risk of regulatory enforcement actions, recalls and other adverse consequences, and which place our patients at risk, which may negatively impact our business and their ability to supply products to meet our development, clinical and commercial needs;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 parties could breach or terminate their agreements with us; and</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of these risks could delay or prevent production,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potential tariffs, which could be passed along to us in whole or in part and adversely impact our results of operations, and supply disruptions in the event of fire, weather related events such as hurricanes, wind and rain, international conflicts, strikes, embargoes, trade and sanction requirements and limits, other acts of God or force majeure events or global health occurrences and emergencies.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Market opportunity estimates and growth forecasts are subject to significant uncertainty and are based on assumptions and estimates that may not prove to be accurate. In particular, the size and growth of the overall U.S. IVIG and source plasma markets and the potential market opportunity for an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pneumoniae </w:t>
      </w:r>
      <w:r>
        <w:rPr>
          <w:rFonts w:ascii="Times New Roman" w:cs="Times New Roman" w:eastAsia="Times New Roman" w:hAnsi="Times New Roman"/>
          <w:sz w:val="18"/>
          <w:szCs w:val="18"/>
          <w:color w:val="auto"/>
        </w:rPr>
        <w:t>hyperimmune globulin are subject to significant variables that can be difficult to measure, estimate or quantify.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depends on, among other things, successful manufacturing and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including but not limited to our current expectations with respect to our yield enhancement production process, which received FDA approval in April 2025.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economic conditions, war, terrorism or other military actions may have a material adverse effect on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ongoing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ongoing conflicts in the Middle East and the surrounding areas could have a broader impact that extends into other markets where we do business. We are unable to predict whether geopolitical or economic conditions,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w:t>
      </w:r>
    </w:p>
    <w:p>
      <w:pPr>
        <w:spacing w:after="0" w:line="184"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suppliers and contractors may be unable to comply with our specifications, cGMP requirements and with other FDA, state, and foreign regulatory requirements for commercial and clinical supply. The FDA and other regulatory authorities are authorized to perform inspections and remote regulatory assessments of our and our suppliers’ facilities, including the Boca Facility. The FDA and other regulatory authorities also may inspect and approve our and our third-parties’ facilities before they may be used for commercial production. If we or our suppliers are not able to comply with the applicable regulatory requirements, we or they may be subject to regulatory enforcement actions, which can materially impact our business. For instance,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the event of any enforcement actions, we and our third-party contractors would need to implement remedial actions which may be time-intensive or costly. We may not be able to timely resolve concerns raised by the applicable regulator as a result of an inspection or without expending significant resources. We are unable to control the timing of inspections, communications and actions, and will be required to respond to the regulator and make certain submissions within certain timeframes. We also do not know whether or not the regulator will change its requirements, guidance or expectations. If the regulator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8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including our headquarters located in Ramsey, NJ, the Boca Facility, our new real estate in Boca Raton, FL and our plasma collection facilities, are vulnerable to interruption by fire, weather related events such as hurricanes, wind and rain, other acts of God or force majeure events, electric power loss, telecommunications failure, equipment failure and breakdown, cyberattacks on our operations and information technology systems as well as the systems of our customers, suppliers and related entities, human error, employee issues, global health occurrences such as a pandemic, global and economic uncertainty, war, terrorism,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 applications or BLAs, or to repeat clinical trials. The commencement and completion of clinical trials or ultimate product approval for any current or future development product candidate may be delayed by several factors, including:</w:t>
      </w:r>
    </w:p>
    <w:p>
      <w:pPr>
        <w:spacing w:after="0" w:line="18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safety or effectiveness, or other adverse study results during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or noncompliance with clinical trial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clinical trial process may fail to demonstrate that our product candidates are safe for humans and effective for indicated uses. This failure would cause us to abandon a product candidate and may delay the development of other product candidates. Any delay in, or termination of, our clinical trials will delay our ability to commercialize our product candidates and generate product revenues.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issues that may impact our clinical trials and that could delay or prevent our ability to receive marketing approval or commercialize our product candidates, include:</w:t>
      </w:r>
    </w:p>
    <w:p>
      <w:pPr>
        <w:spacing w:after="0" w:line="162" w:lineRule="exact"/>
        <w:rPr>
          <w:sz w:val="20"/>
          <w:szCs w:val="20"/>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our contract research organizations (“CROs”);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requiring us to perform additional or unanticipated clinical trials to obtain approval or becoming subject to additional post-marketing testing, surveillance, or Risk Evaluation and Mitigation Strategies requirements to maintain regulatory approval;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inadequate quality of our product candidates or other materials necessary to conduct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Flaws in our clinical trial design that are not discoverable until the clinical trial has progressed;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make changes to our product candidates that require additional testing or that cause our product candidates to perform differently than expected;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policies that may impact our ability to obtain raw materials and/or finished product for commercialization;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comparable regulatory authorities taking longer than we anticipate to make decisions on our products or product candidates;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demonstrate that a product or product candidate provides an advantage over current standards of care or current or future competitive therapies in development.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United States, and therefore, may not be performed in accordance with standards normally required by the FDA and other regulatory agencies.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sales of intermediates and revenues generated from new contract manufacturing arrangements with third parties. We cannot assure you that we will receive the approvals necessary to commercialize any product candidate we may acquire or develop in the future or that we will be able to maintain our current approvals.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9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revenues from,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for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United States.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high-titer antibodies to RSV. This high-titer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researchers, developers and vendors to develop, manufacture, supply materials for or test our products and product candidates, as well as for other pre and post-approval services, and such parties’ performance is, to some extent, outside of our control.</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depend on independent investigators and collaborators, such as universities and medical institutions, contract laboratories, CROs, contract manufacturers, contract fill/finishers, third-party plasma centers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products and/or 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and we may not be able to maintain existing approvals or meet our regulatory requirements or we may not be able to produce forecasted amounts of product. We or they may also be subject to regulatory enforcement actions, may need to take corrective actions, including initiating recalls, and we may not be able to meet commercial demand. These collaborators may also have relationships with other commercial entities, some of whom may compete with us. If our collaborators assist our competitors at our expense, our competitive position would be harmed. We also depend on third-party suppliers for materials used in our operations. Certain of our third-party suppliers may be single-sourced, or may not be able to supply sufficient materials for our operations at a reasonable price, and it may be time-consuming, expensive or otherwise not feasible to locate an alternative supplier. In the event a single-source supplier is unable to provide us with a sufficient amount of materials, such shortage could have a material adverse effect on our business, results of operations and financial condition. Additionally, any change in the regulatory compliance status of any of our vendors may impede our ability to receive and maintain approval for our product candidates.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anticipate potential future expansion of our manufacturing capacity and product output capability of the Boca Facility. Following the expansion of any of our manufacturing processes or the addition of new equipment, we will be required to validate the expanded facility, process changes if any and equipment, make the necessary submissions to FDA, obtain any FDA-required approvals and have it inspected by the FDA. Given the significant delays that may result during the validation and approval process, we may experience a supply shortage of our products or our production capabilities may be limited until completion of and validation of our facility expansion and new manufacturing equipment.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application supplement to allow for the commercial relaunch of BIVIGAM, as well as the FDA’s approval of our BLA for ASCENIV, required us to conduct specified post-marketing studies, including pediatric and safety studies. If, during the post-marketing period (after marketing approval) previously unknown adverse events emerge, there is the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90"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or manufacturing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further post-marketing studies or clinical trials, implement risk mitigation strategies, or to issue corrective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penalties or criminal fines.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and 2024, two customers, BioCare, Inc. (“BioCare”) and Priority Healthcare Distribution, Inc. d/b/a CuraScript SD Specialty Distribution (“Curascript”), represented an aggregate of approximately 72% an 71%, respectively, of our consolidated revenues.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three customers, BioCare, Healix Infusion Therapy, LLC (“Healix”) and BioLife Plasma Services, L.P., represented an aggregate of approximately 90% of our consolidated accounts receivable. As of December 31, 2024, three customers, BioCare, Healix and Cencora, Inc. (f/k/a AmerisourceBergen Corporation), represented an aggregate of approximately 91% of our consolidated accounts receivable.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7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at competitive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features and quality standards for our products sufficient to meet the expectations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and deliver a sufficient quantity of our products in a timely manner to meet our customers’ requirements;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or the resurgence of a pandemic, and government responses thereto on our customers and their businesses,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cyberattack or data breach on our customers or related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inability to comply with the terms of our distribution agreements;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economic conditions or geopolitical conditions, including the exacerbated conflicts in Europe, the Middle East and the surrounding areas.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withdrawals, monetary sanctions, injunctions to halt manufacture and distribution of products, civil or criminal sanctions, costly litigation, patient injury, refusal of a government to grant approvals and licenses, restrictions on operations or withdrawal of existing approvals and licenses. The FDA and similar foreign governmental authorities have the authority to require the recall of commercialized products. We may elect, in the interest of public safety, to voluntarily withdraw our products from the market for labeled adverse events or for other reasons. For example, during the three and six months ended June 30, 2025, as a precautionary measure, we voluntarily withdrew three lots of BIVIGAM and we recorded a reduction to revenue of $4.0 million and $0.2 million, respectively, for credits issued to customers for the related product returns. Recalls or withdrawals of any of our products could divert managerial and financial resources which could have an adverse effect on our financial condition and results of operations. An inability to address a quality or safety issue by us or by a third-party vendor in an effective and timely manner may also cause negative publicity or a loss of customer confidence in us or our current or future products, which may result in the loss of prior or future sales and difficulty in successfully commercializing our current products and launching new products.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and state and local regulations, or due to testing results not meeting specifications. As a result, our operating results are subject to potentially significant variability from one reporting period to the next should such losses or write-downs occur in any given period. Additionally, because our products and product candidates are plasma-based products, not only are we subject to the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6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of our products relative to competing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for our products from government or other healthcare payers;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 Significant estimates include, among other things, accruals for U.S. Medicaid rebates related to the sale of our immunoglobulin products. We accrue these rebates at the time of sale based on our estimates of the sales mix of our products and the portion of the products we sell that will be prescribed to Medicaid beneficiaries. These estimates are based on historical experience and certain other assumptions, and while we believe that such estimates are reasonable, they are subject to change based on future experience, Medicaid utilization trends and other factors. If any of our ratios, factors, assessments, experiences or judgments are not indicative or accurate estimates of our future experience, our results could be materially affected. Estimates that are most at risk for material adjustment include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 or the ultimate settlement or resolution of payor claims. For example, during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 for the year ended December 31, 2024. We considered several qualitative factors when evaluating our rebate accrual, such as the absence of a statutory limitation on the rebate amounts drug manufacturers pay to state Medicaid programs and general uncertainty that pharmaceutical manufacturers have historically seen with government payors often submitting lagged claims many periods after the initial dispensing of a product to an end patient. There was additional new information that arose during June 2024 that suggested our liabilities for certain payor claims were successfully resolved, which resulted in the $12.6 million adjustment to the accrual for U.S. Medicaid rebates in June 2024.</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Patient Protection and Affordable Care Act (“ACA”) included a significant expansion of state Medicaid programs. As more individuals become eligible for coverage under these programs, Medicaid utilization of our products could increase, resulting in a corresponding increase in our rebate payments. Such rebate payments may exceed what we have accrued for during the applicable period. Increases in Medicaid rebate payments could decrease our net revenues from product sales, which in turn could adversely affect our business, financial position, and operating results.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current product development portfolio consists primarily of label expansion activities for ASCENIV, as well as expanding our IP estate with patents issued for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IG. We have initiated small-scale preclinical activities to potentially expand our current portfolio through new product development efforts. If we are not successful in developing or acquiring additional products and product candidates, we will have to depend on our ability to continue to generate revenues from ASCENIV, BIVIGAM, Nabi-HB, intermediates, contract manufacturing and plasma attributable to the operations of ADMA BioCenters to support our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requirements with respect to safeguarding the privacy, security and transmission of protected health information (“PHI”) held by covered entities and business associates. HIPAA “covered entities” include health plans/insurers, healthcare providers engaging in HIPAA standard electronic transactions and healthcare clearinghouses.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with the service provider that receives PHI on behalf of the entity.</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While we are not a covered entity or business associate subject to HIPAA, personal information that we obtain pursuant to a clinical trial may be subject to U.S. Federal Trade Commission (the “FTC”) privacy regulation. Failing to take appropriate steps to keep consumers’ personal information secure may constitute an unfair act or practice violating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less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numbers, driver’s license numbers, government identifiers, credit card and financial account numbers. For example, the CCPA was amended by the CPRA,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data breach. We could be subject to enforcement action and litigation exposure if we fail to adhere to these data privacy and security laws. Virginia, Colorado, Connecticut and Utah have also enacted privacy laws that became effective in 2023 and are similar in many respects to the CCPA. Several other states have also enacted privacy laws similar to the CCPA that will become effective in the coming years, adding to potential privacy compliance obligations.</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JPMorgan Credit Facilities are subject to acceleration in specified circumstances, which may result in JPMorgan taking possession and disposing of any collateral.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5, 2025 (the “JPM Closing Date”), we entered into a credit agreement with JPMorgan and certain other lenders party thereto (the “JPM Credit Agreement”) (see “Liquidity and Capital Resources”). The JPM Credit Agreement provides for a total of $300 million in senior secured credit facilities (the “JPM Credit Facilities”) consisting of (i) a term loan in the aggregate principal amount of $75 million, which was drawn in full on the JPM Closing Date, and (ii) a revolving credit facility in the aggregate principal amount of up to $225 million (collectively, the “JPM Loans”), none of which was drawn on the JPM Closing Date. The JPM Credit Facility has a maturity date of August 5, 2028.</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JPM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would incur an increase in the rate of interest on the JPM Loans of 2% per annum. The occurrence of an event of default could result in, among other things, the termination of commitments under the JPM Credit Facilities, the declaration that all outstanding loans are immediately due and payable in whole or in part, and JPMorgan taking immediate possession of, and selling, any collateral securing the JPM Loans.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render our products or technologies obsolete or non-competitive.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we move forward in clinical development, we continue to discover novel technologies related to our products and we may draft patent applications directed to these technologies. We rely on a combination of patent rights, trade secrets, intellectual property assignment agreements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invention assignment,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market exclusivity of a product earlier than expected.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realized during its market exclusivity period. In the United States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assurance that ASCENIV, or any other of our products for which we are issued a patent, will enjoy market exclusivity for the full time period of the respective patent.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manage our growth, our business may be harmed.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on the expansion of our commercial and manufacturing activities, supply of raw material plasma and overall operations and the effective management of our growth, which will place a significant strain on our management and on our administrative, operational and financial resources. To manage this growth, we must expand our operational, financial and management systems and hire and train additional qualified personnel. If we are unable to manage our growth effectively, our business could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could adversely affect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The loss of services of key personnel, or the inability to attract and retain additional qualified personnel, could result in delays in development or approval of our product candidates and diversion of management resources.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could compromise our proprietary and confidential information or otherwise penetrate our network, which could harm our business and reputation.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Cybersecurity vulnerabilities can also arise from human error, fraud or malice on the part of our employees, other insiders or third parties, or from technology or product enhancements or the migration of information and data to new technology platforms, systems or applications. Hackers may impersonate our vendors, suppliers or other third parties with whom we do business, which may result in financial harm to our business. Further, while many of our employees and certain suppliers with whom we do business operate in a remote working environment, the risk of cybersecurity attacks and data breaches, particularly through phishing attempts, may be increased as we and third parties with whom we interact leverage our IT infrastructure in unanticipated ways.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and retain a substantial number of qualified personnel, our ability to sustain and grow our business may be harmed.</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information technology,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collect human blood plasma at our ADMA BioCenters facilities, and if we cannot maintain FDA licensure for these facilities or obtain FDA licensure for additional facilities that we may construct or acquire rights to, we may be adversely affected and may not be able to sell or use this human blood plasma for future commercial purposes.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maintain FDA licensure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licensure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no assurances we will be able to maintain compliance with all FDA or other regulations. There is also no guarantee that we will be able to fulfill our contractual requirements to our customers.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laws governing our conduct in the United States are enforceable on the federal, state and local levels by criminal, civil and administrative sanctions. Violations of laws such as the FDCA,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participation in or debarment from federal and state healthcare or government procurement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participation in applicable state healthcare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point-of-sale reductions in price and (b) PBM service fees paid by a manufacturer to a PBM.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and a final rule promulgated on December 29, 2023 delayed implementation of this portion of the rule until January 1, 2032.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Failure to satisfy requirements under the FDCA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FDCA and subjects us to civil and criminal sanctions. Furthermore, sanctions under the federal False Claims Act have been brought against companies accused of promoting off-label uses of drugs, because such promotion induces unapproved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Most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rigorous governmental regulation, including the requirement of FDA and other federal, state and local business regulatory 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Both before and after the approval of our products, our products, operations, facilities, suppliers and CROs are subject to extensive regulation by federal, state and local governmental authorities in the United States and other countries, with regulations differing from country to country. In the United States,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United States without FDA and other federal, state and local business regulatory approvals. Any failure to receive the marketing approvals necessary to commercialize our products or product candidates could harm our business.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January 2019 and most recently October 2025, the U.S. government has shut down several times and certain regulatory agencies, such as the FDA and the SEC, have had to furlough critical employees and stop critical activities. Separately, in response to the COVID-19 pandemic, the FDA postponed most inspections at domestic and foreign manufacturing facilities from March 2020 until July 2021. More recently, in April 2025, at least 15% of the FDA’s staff was terminated as part of the new U.S. presidential administration’s efforts to reduce the size of the federal government and cut costs. If a prolonged government shutdown or regulatory agency disruption reoccurs, or in the event the FDA has an insufficient amount of staff, it could significantly impact the ability of the FDA to timely review and process our regulatory submissions, conduct evaluations and inspections and other reporting requirements which could have a material adverse effect on our business. Further, future government shutdowns could impact our ability to access the public markets and obtain capital that may be necessary in order to properly capitalize and continue our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certain amounts of raw materials and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our 2024 10-K.</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we have in place to counter transmittable diseases.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could become supply-constrained and our financial performance would suffer if we cannot obtain adequate quantities of FDA-approved source and high-titer plasma with proper specifications or other necessary raw materials.</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Additionally, although we achieved normal source plasma supply self-sufficiency with the approval of our tenth plasma collection center in November 2023, we remain reliant on the purchase of RSV plasma from third parties and the collection of RSV and normal source plasma from our FDA-licensed plasma collection centers to manufacture our products. We can give no assurances that appropriate plasma will be available to us through our own plasma collection facilities or on commercially reasonable terms, or at all, to manufacture our products, or that third parties will be able to supply plasma to us in accordance with plasma purchase agreements.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biosimilar pathway established as part of healthcare reform may make it easier for competitors to market biosimilar products.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ACA and the companion Healthcare and Education Reconciliation Act (which together are referred to as 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United States, we expect in the future to face greater competition from biosimilar products, including a possible increase in patent challenges.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Healthcare Reform Law in the United States may adversely affect our business.</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Through the March 2010 adoption of the Healthcare Reform Law in the United States, substantial changes are being made to the current system for paying for healthcare in the United States,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Corporate responsibility, specifically related to Environmental, Social and Governance (“ESG”) matters, may impose additional costs and expose us to new risks.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We may face reputational damage in the event our corporate responsibility initiatives or objectives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Finances, Capital Requirements and Other Financial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to us in amounts sufficient to enable us to make interest or principal payments on our indebtedness when due.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JPM Credit Facilities provide for total senior secured loans in an aggregate principal amount of $300.0 million, of which $75.0 million is currently outstanding. The borrowing under the JPM Credit Facilities currently bears interest at a rate equal to approximately 6.9% per annum, which reflects the one-month term SOFR rate; provided, however, that upon, and during the continuance of, an event of default, the interest rate will automatically increase by an additional 200 basis points. We are currently required to make (i) payments of interest for our revolving facility, at quarterly, one-month or three-month intervals, depending upon the type of borrowing, during the remaining term of the JPM Credit Facilities, with all principal and unpaid interest due at maturity, and (ii) principal under our term loan facility, in accordance with and on the dates specified in the amortization schedule set forth in the JPM Credit Agreement, through the JPM Term Maturity Date. In addition, our monthly interest rate obligation under our revolving facility is subject to rising interest rates. The JPM Credit Facilities are subject to acceleration pursuant to the JPM Credit Agreement, including upon an event of default. All of our obligations under the JPM Credit Facilities are secured by a first-priority lien and security interest in substantially all of our and our subsidiaries’ tangible and intangible assets, including intellectual property, and all of the equity interests in our subsidiaries.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current and projected cash, cash equivalents and accounts receivable may not be sufficient to repay all of our current outstanding debt obligations as they mature. If we are unable to maintain sufficient positive cash flow to repay our outstanding debt obligations as they mature, we would need to obtain additional financing in the amounts necessary to repay our outstanding debt obligations when due. If we are unable to repay our outstanding debt obligations when they mature, our creditors would be able to accelerate all of the amounts due and, in the case of the JPM Credit Facilities, seek to enforce their security interests, which could lead to our creditors taking immediate possession of and selling substantially all of our assets with no return provided to our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will need to implement further upgrades, to our financial, information and operating systems, implement additional financial and management controls, reporting systems and procedures and hire additional accounting and finance staff.</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we became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has been and will continue to be time-consuming, and there is a risk of noncompliance. In addition, as a large accelerated filer, we have incurred and anticipate incurring additional fees due to the increased complexity of our financial statements and the additional efforts required by our status, including, but not limited to, higher accounting and auditor costs. Further, the costs associated with the compliance with and implementation of procedures under these and future laws and related rules could have a material impact on our results of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(“NOLs”) may be limited.</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As of December 31, 2024, we had federal and state NOLs of $265.6 million and $203.4 million, respectively. Federal and state NOLs of approximately $33.4 million and $62.0 million, respectively, will begin to expire at various dates beginning in 2028,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Although we did not experience any ownership changes for the years ended December 31, 2024 and 2023, we may experience ownership changes in the future as a result of subsequent changes in our stock ownership that we cannot predict or control that could result in further limitations being placed on our ability to utilize our federal NOLs.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and realization of our net deferred tax assets may result in volatility of our operating results and materially impact our financial condition or financial results.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taxes by the U.S. federal, state, and local tax authorities. We record income tax expense based on our estimates of future payments, which may include the recording of, or adjustments to, liabilities for uncertain tax positions, and the determination of a need for a valuation allowance related to our net deferred tax assets. In addition, at any one time multiple tax years may be subject to audit by various tax authorities. The results of these audits and negotiations with taxing authorities may affect the ultimate settlement of these issues and impact our results of operations. For fiscal year 2025 and beyond there could be ongoing variability in our effective tax rate as events occur and exposures are evaluated. The volatility of our future effective tax rate could be materially impacted by a number of factors, including:</w:t>
      </w:r>
    </w:p>
    <w:p>
      <w:pPr>
        <w:spacing w:after="0" w:line="187"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assessment of the lack of a need for a valuation allowance on our deferred tax assets;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federal, state and local tax rates, tax laws, regulations, or interpretations thereof.</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effective tax rate in a given financial statement period may be materially impacted by a variety of other factors including, but not limited to, changes in the mix and level of earnings, changes in the states and other jurisdictions in which we operate, and deductible expenses and limitations on the use of NOLs resulting from ownership changes. Further, tax legislation may be enacted or amended, as applicable, in the future which could materially impact our current or future tax structure and effective tax rates. We may be subject to audits of our income, sales, and other transaction taxes by U.S. federal, state, and local taxing authorities. Outcomes from these audits could have a material effect on our financial condition or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fluctuate in a way that is disproportionate to our operating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potential sales of substantial amounts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or completing preclinical or clinical trials or unsatisfactory results of these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 decision by federal, state or local business regulatory authority;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acceptance, third-party reimbursement and sales of BIVIGAM and ASCENIV;</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us or about our competitors, including clinical trial results, regulatory approvals or new product introductions;</w:t>
      </w:r>
    </w:p>
    <w:p>
      <w:pPr>
        <w:spacing w:after="0" w:line="2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licensors or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developments relating to our patents or other proprietary rights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or biotechnology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legislation;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volatility;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economic uncertainty;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anticipated or actual operating results;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securities analysts’ estimates of our performance, or our failure to meet analysts’ expectations.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November 3, 2025, most of our 237,997,765 outstanding shares of common stock,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affiliates control a substantial amount of our shares of common stock. Provisions in our Second Amended and Restated Certificate of Incorporation, as amended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2025, BlackRock, Inc., The Vanguard Group, Inc., State Street Corporation, Invesco Ltd., and our directors and executive officers and their affiliates collectively owned a significant amount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7"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cash dividends and do not intend to pay cash dividends in the foreseeable future. As a result, capital appreciation, if any, will be your sole source of gain.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JPM Credit Agreement prohibits us from paying dividends. As a result, capital appreciation, if any, of our common stock will be your sole source of gain for the foreseeable future.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September 30, 2025, there were 38,091,233 shares remaining available for issuance, after giving effect to 9,927,344 shares of our common stock that were subject to outstanding stock options and RSUs that may be issued by us without stockholder approval, as well as an additional 13,649,030 shares reserved for the future issuance of awards under our equity compensation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right="7160" w:hanging="652"/>
        <w:spacing w:after="0" w:line="500" w:lineRule="auto"/>
        <w:tabs>
          <w:tab w:leader="none" w:pos="2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Unregistered Securities and Use of Proceeds 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Repurchases of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shares of common stock we repurchased during the third quarter of 2025.</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color w:val="0000EE"/>
        </w:rPr>
        <w:t>Index</w:t>
      </w:r>
    </w:p>
    <w:tbl>
      <w:tblPr>
        <w:tblLayout w:type="fixed"/>
        <w:tblInd w:w="0" w:type="dxa"/>
        <w:tblCellMar>
          <w:top w:w="0" w:type="dxa"/>
          <w:left w:w="0" w:type="dxa"/>
          <w:bottom w:w="0" w:type="dxa"/>
          <w:right w:w="0" w:type="dxa"/>
        </w:tblCellMar>
      </w:tblPr>
      <w:tr>
        <w:trPr>
          <w:trHeight w:val="187"/>
        </w:trPr>
        <w:tc>
          <w:tcPr>
            <w:tcW w:w="320" w:type="dxa"/>
            <w:vAlign w:val="bottom"/>
            <w:tcBorders>
              <w:top w:val="single" w:sz="8" w:color="0000EE"/>
            </w:tcBorders>
          </w:tcPr>
          <w:p>
            <w:pPr>
              <w:spacing w:after="0"/>
              <w:rPr>
                <w:sz w:val="16"/>
                <w:szCs w:val="16"/>
                <w:color w:val="auto"/>
              </w:rPr>
            </w:pPr>
          </w:p>
        </w:tc>
        <w:tc>
          <w:tcPr>
            <w:tcW w:w="4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16"/>
        </w:trPr>
        <w:tc>
          <w:tcPr>
            <w:tcW w:w="3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that May Yet Be</w:t>
            </w:r>
          </w:p>
        </w:tc>
      </w:tr>
      <w:tr>
        <w:trPr>
          <w:trHeight w:val="225"/>
        </w:trPr>
        <w:tc>
          <w:tcPr>
            <w:tcW w:w="3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Purchased Under the Plans or</w:t>
            </w:r>
          </w:p>
        </w:tc>
      </w:tr>
      <w:tr>
        <w:trPr>
          <w:trHeight w:val="270"/>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Month Ended</w:t>
            </w:r>
          </w:p>
        </w:tc>
        <w:tc>
          <w:tcPr>
            <w:tcW w:w="1980" w:type="dxa"/>
            <w:vAlign w:val="bottom"/>
            <w:gridSpan w:val="2"/>
          </w:tcPr>
          <w:p>
            <w:pPr>
              <w:ind w:left="20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Shares Purchased </w:t>
            </w:r>
            <w:r>
              <w:rPr>
                <w:rFonts w:ascii="Times New Roman" w:cs="Times New Roman" w:eastAsia="Times New Roman" w:hAnsi="Times New Roman"/>
                <w:sz w:val="29"/>
                <w:szCs w:val="29"/>
                <w:b w:val="1"/>
                <w:bCs w:val="1"/>
                <w:color w:val="auto"/>
                <w:vertAlign w:val="superscript"/>
              </w:rPr>
              <w:t>(1)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Programs</w:t>
            </w:r>
            <w:r>
              <w:rPr>
                <w:rFonts w:ascii="Times New Roman" w:cs="Times New Roman" w:eastAsia="Times New Roman" w:hAnsi="Times New Roman"/>
                <w:sz w:val="29"/>
                <w:szCs w:val="29"/>
                <w:b w:val="1"/>
                <w:bCs w:val="1"/>
                <w:color w:val="auto"/>
                <w:w w:val="95"/>
                <w:vertAlign w:val="superscript"/>
              </w:rPr>
              <w:t>(2)</w:t>
            </w:r>
          </w:p>
        </w:tc>
      </w:tr>
      <w:tr>
        <w:trPr>
          <w:trHeight w:val="209"/>
        </w:trPr>
        <w:tc>
          <w:tcPr>
            <w:tcW w:w="5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2025</w:t>
            </w:r>
          </w:p>
        </w:tc>
        <w:tc>
          <w:tcPr>
            <w:tcW w:w="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485,002,210</w:t>
            </w: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31, 2025</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484,928,777</w:t>
            </w: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507,824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476,961,541</w:t>
            </w:r>
          </w:p>
        </w:tc>
      </w:tr>
      <w:tr>
        <w:trPr>
          <w:trHeight w:val="210"/>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512,411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repurchased pursuant to our share repurchase program publicly announced on May 5, 2025.</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expiration date for this share repurchase program. The authorization to repurchase shares will end when we have repurchased the maximum number of shares authorized, or if we have determined to terminate such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may from time to time enter into plans or other arrangements for the purchase or sale of our common stock that are intended to satisfy the affirmative defense conditions of Rule 10b5-1(c) or may represent a non-Rule 10b5-1 trading arrangement under the Exchange Act. During the quarter ended September 30, 2025, no such plans or other arrangements were adopted or terminated.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of this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70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8"/>
        </w:trPr>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Description</w:t>
            </w:r>
          </w:p>
        </w:tc>
      </w:tr>
      <w:tr>
        <w:trPr>
          <w:trHeight w:val="264"/>
        </w:trPr>
        <w:tc>
          <w:tcPr>
            <w:tcW w:w="3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700" w:type="dxa"/>
            <w:vAlign w:val="bottom"/>
          </w:tcPr>
          <w:p>
            <w:pPr>
              <w:spacing w:after="0"/>
              <w:rPr>
                <w:sz w:val="22"/>
                <w:szCs w:val="22"/>
                <w:color w:val="auto"/>
              </w:rPr>
            </w:pPr>
          </w:p>
        </w:tc>
      </w:tr>
      <w:tr>
        <w:trPr>
          <w:trHeight w:val="175"/>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0" w:type="dxa"/>
            <w:vAlign w:val="bottom"/>
            <w:gridSpan w:val="3"/>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Credit Agreement, dated as of August 5, 2025, by and among ADMA Biologics, Inc., as Borrower, the other Loan Parties party</w:t>
            </w:r>
          </w:p>
        </w:tc>
      </w:tr>
      <w:tr>
        <w:trPr>
          <w:trHeight w:val="218"/>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0" w:type="dxa"/>
            <w:vAlign w:val="bottom"/>
            <w:tcBorders>
              <w:top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thereto, the Lenders party thereto and JPMorgan Chase Bank, N.A., as Administrative Agent (incorporated herein by reference to</w:t>
            </w: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Exhibit 10.1 to the Company’s Current Report on Form 8-K filed on August 6, 2025).</w:t>
            </w:r>
          </w:p>
        </w:tc>
      </w:tr>
      <w:tr>
        <w:trPr>
          <w:trHeight w:val="176"/>
        </w:trPr>
        <w:tc>
          <w:tcPr>
            <w:tcW w:w="5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0" w:type="dxa"/>
            <w:vAlign w:val="bottom"/>
            <w:gridSpan w:val="3"/>
          </w:tcPr>
          <w:p>
            <w:pPr>
              <w:ind w:left="260"/>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as adopted pursuant to Section 302 of the</w:t>
            </w:r>
          </w:p>
        </w:tc>
      </w:tr>
      <w:tr>
        <w:trPr>
          <w:trHeight w:val="237"/>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75"/>
        </w:trPr>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0" w:type="dxa"/>
            <w:vAlign w:val="bottom"/>
            <w:gridSpan w:val="3"/>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as adopted pursuant to Section 302 of the</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9800" w:type="dxa"/>
            <w:vAlign w:val="bottom"/>
            <w:tcBorders>
              <w:top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15"/>
                <w:szCs w:val="15"/>
                <w:color w:val="auto"/>
              </w:rPr>
            </w:pPr>
          </w:p>
        </w:tc>
        <w:tc>
          <w:tcPr>
            <w:tcW w:w="9800" w:type="dxa"/>
            <w:vAlign w:val="bottom"/>
            <w:gridSpan w:val="3"/>
          </w:tcPr>
          <w:p>
            <w:pPr>
              <w:ind w:left="260"/>
              <w:spacing w:after="0" w:line="176" w:lineRule="exact"/>
              <w:rPr>
                <w:sz w:val="20"/>
                <w:szCs w:val="20"/>
                <w:color w:val="auto"/>
              </w:rPr>
            </w:pPr>
            <w:r>
              <w:rPr>
                <w:rFonts w:ascii="Times New Roman" w:cs="Times New Roman" w:eastAsia="Times New Roman" w:hAnsi="Times New Roman"/>
                <w:sz w:val="18"/>
                <w:szCs w:val="18"/>
                <w:color w:val="auto"/>
                <w:w w:val="99"/>
              </w:rPr>
              <w:t>Certification of Principal Executive Officer pursuant to 18 U.S.C. Section 1350, as adopted pursuant to Section 906 of the Sarbanes-</w:t>
            </w:r>
          </w:p>
        </w:tc>
      </w:tr>
      <w:tr>
        <w:trPr>
          <w:trHeight w:val="237"/>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260" w:type="dxa"/>
            <w:vAlign w:val="bottom"/>
            <w:shd w:val="clear" w:color="auto" w:fill="CCEEFF"/>
          </w:tcPr>
          <w:p>
            <w:pPr>
              <w:spacing w:after="0"/>
              <w:rPr>
                <w:sz w:val="15"/>
                <w:szCs w:val="15"/>
                <w:color w:val="auto"/>
              </w:rPr>
            </w:pPr>
          </w:p>
        </w:tc>
        <w:tc>
          <w:tcPr>
            <w:tcW w:w="9800" w:type="dxa"/>
            <w:vAlign w:val="bottom"/>
            <w:gridSpan w:val="3"/>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9800" w:type="dxa"/>
            <w:vAlign w:val="bottom"/>
            <w:tcBorders>
              <w:top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98"/>
        </w:trPr>
        <w:tc>
          <w:tcPr>
            <w:tcW w:w="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0" w:type="dxa"/>
            <w:vAlign w:val="bottom"/>
            <w:gridSpan w:val="3"/>
          </w:tcPr>
          <w:p>
            <w:pPr>
              <w:ind w:left="260"/>
              <w:spacing w:after="0" w:line="198" w:lineRule="exact"/>
              <w:rPr>
                <w:sz w:val="20"/>
                <w:szCs w:val="20"/>
                <w:color w:val="auto"/>
              </w:rPr>
            </w:pPr>
            <w:r>
              <w:rPr>
                <w:rFonts w:ascii="Times New Roman" w:cs="Times New Roman" w:eastAsia="Times New Roman" w:hAnsi="Times New Roman"/>
                <w:sz w:val="18"/>
                <w:szCs w:val="18"/>
                <w:color w:val="auto"/>
              </w:rPr>
              <w:t>The following materials from ADMA Biologics, Inc.’s Form 10-Q for the quarter ended September 30, 2025, formatted in</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Extensible Business Reporting Language (XBRL): (i) Condensed Consolidated Balance Sheets as of September 30, 2025</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(Unaudited) and December 31, 2024, (ii) Unaudited Condensed Consolidated Statements of Operations for the three and nine</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months ended September 30, 2025 and 2024, (iii) Unaudited Condensed Consolidated Statements of Changes in Stockholders'</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Equity for the three and nine months ended September 30, 2025 and 2024, (iv) Unaudited Condensed Consolidated Statements of</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Cash Flows for the nine months ended September 30, 2025 and 2024, and (v) Notes to (Unaudited) Condensed Consolidated</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2858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accordance with SEC Release 33-8238, Exhibit 32.1 and Exhibit 32.2 are being furnished and not filed.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ADMA Biologics, Inc.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5, 2025</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Adam S. Grossman</w:t>
            </w:r>
          </w:p>
        </w:tc>
      </w:tr>
      <w:tr>
        <w:trPr>
          <w:trHeight w:val="191"/>
        </w:trPr>
        <w:tc>
          <w:tcPr>
            <w:tcW w:w="5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Adam S. Grossman</w:t>
            </w:r>
          </w:p>
        </w:tc>
      </w:tr>
      <w:tr>
        <w:trPr>
          <w:trHeight w:val="234"/>
        </w:trPr>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5, 2025</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Brad Tade</w:t>
            </w:r>
          </w:p>
        </w:tc>
      </w:tr>
      <w:tr>
        <w:trPr>
          <w:trHeight w:val="191"/>
        </w:trPr>
        <w:tc>
          <w:tcPr>
            <w:tcW w:w="5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Brad Tade</w:t>
            </w:r>
          </w:p>
        </w:tc>
      </w:tr>
      <w:tr>
        <w:trPr>
          <w:trHeight w:val="234"/>
        </w:trPr>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598"/>
        </w:trPr>
        <w:tc>
          <w:tcPr>
            <w:tcW w:w="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67</w:t>
            </w:r>
          </w:p>
        </w:tc>
        <w:tc>
          <w:tcPr>
            <w:tcW w:w="5260" w:type="dxa"/>
            <w:vAlign w:val="bottom"/>
          </w:tcPr>
          <w:p>
            <w:pPr>
              <w:spacing w:after="0"/>
              <w:rPr>
                <w:sz w:val="24"/>
                <w:szCs w:val="24"/>
                <w:color w:val="auto"/>
              </w:rPr>
            </w:pPr>
          </w:p>
        </w:tc>
      </w:tr>
      <w:tr>
        <w:trPr>
          <w:trHeight w:val="71"/>
        </w:trPr>
        <w:tc>
          <w:tcPr>
            <w:tcW w:w="520" w:type="dxa"/>
            <w:vAlign w:val="bottom"/>
            <w:tcBorders>
              <w:bottom w:val="single" w:sz="8" w:color="auto"/>
            </w:tcBorders>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526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116"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 Grossman, certify that:</w:t>
      </w:r>
    </w:p>
    <w:p>
      <w:pPr>
        <w:spacing w:after="0" w:line="225"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5, 2025</w:t>
            </w:r>
          </w:p>
        </w:tc>
        <w:tc>
          <w:tcPr>
            <w:tcW w:w="25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Adam S. Grossman</w:t>
            </w:r>
          </w:p>
        </w:tc>
      </w:tr>
      <w:tr>
        <w:trPr>
          <w:trHeight w:val="205"/>
        </w:trPr>
        <w:tc>
          <w:tcPr>
            <w:tcW w:w="3700" w:type="dxa"/>
            <w:vAlign w:val="bottom"/>
          </w:tcPr>
          <w:p>
            <w:pPr>
              <w:spacing w:after="0"/>
              <w:rPr>
                <w:sz w:val="17"/>
                <w:szCs w:val="17"/>
                <w:color w:val="auto"/>
              </w:rPr>
            </w:pPr>
          </w:p>
        </w:tc>
        <w:tc>
          <w:tcPr>
            <w:tcW w:w="250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Adam S. Grossman</w:t>
            </w:r>
          </w:p>
        </w:tc>
      </w:tr>
      <w:tr>
        <w:trPr>
          <w:trHeight w:val="216"/>
        </w:trPr>
        <w:tc>
          <w:tcPr>
            <w:tcW w:w="3700" w:type="dxa"/>
            <w:vAlign w:val="bottom"/>
          </w:tcPr>
          <w:p>
            <w:pPr>
              <w:spacing w:after="0"/>
              <w:rPr>
                <w:sz w:val="18"/>
                <w:szCs w:val="18"/>
                <w:color w:val="auto"/>
              </w:rPr>
            </w:pPr>
          </w:p>
        </w:tc>
        <w:tc>
          <w:tcPr>
            <w:tcW w:w="25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7"/>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Tade, certify that:</w:t>
      </w:r>
    </w:p>
    <w:p>
      <w:pPr>
        <w:spacing w:after="0" w:line="2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1140" w:hanging="322"/>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5, 2025</w:t>
            </w: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Tade</w:t>
            </w:r>
          </w:p>
        </w:tc>
        <w:tc>
          <w:tcPr>
            <w:tcW w:w="100" w:type="dxa"/>
            <w:vAlign w:val="bottom"/>
          </w:tcPr>
          <w:p>
            <w:pPr>
              <w:spacing w:after="0"/>
              <w:rPr>
                <w:sz w:val="20"/>
                <w:szCs w:val="20"/>
                <w:color w:val="auto"/>
              </w:rPr>
            </w:pPr>
          </w:p>
        </w:tc>
      </w:tr>
      <w:tr>
        <w:trPr>
          <w:trHeight w:val="191"/>
        </w:trPr>
        <w:tc>
          <w:tcPr>
            <w:tcW w:w="3700" w:type="dxa"/>
            <w:vAlign w:val="bottom"/>
          </w:tcPr>
          <w:p>
            <w:pPr>
              <w:spacing w:after="0"/>
              <w:rPr>
                <w:sz w:val="16"/>
                <w:szCs w:val="16"/>
                <w:color w:val="auto"/>
              </w:rPr>
            </w:pPr>
          </w:p>
        </w:tc>
        <w:tc>
          <w:tcPr>
            <w:tcW w:w="252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 Tade</w:t>
            </w:r>
          </w:p>
        </w:tc>
        <w:tc>
          <w:tcPr>
            <w:tcW w:w="10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0" w:type="dxa"/>
            <w:vAlign w:val="bottom"/>
          </w:tcPr>
          <w:p>
            <w:pPr>
              <w:spacing w:after="0"/>
              <w:rPr>
                <w:sz w:val="20"/>
                <w:szCs w:val="20"/>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ADMA Biologics, Inc., a Delaware corporation (the “Company”), on Form 10-Q for the quarter ended September 30, 2025,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5, 2025</w:t>
            </w: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 Grossman</w:t>
            </w:r>
          </w:p>
        </w:tc>
        <w:tc>
          <w:tcPr>
            <w:tcW w:w="100" w:type="dxa"/>
            <w:vAlign w:val="bottom"/>
          </w:tcPr>
          <w:p>
            <w:pPr>
              <w:spacing w:after="0"/>
              <w:rPr>
                <w:sz w:val="20"/>
                <w:szCs w:val="20"/>
                <w:color w:val="auto"/>
              </w:rPr>
            </w:pPr>
          </w:p>
        </w:tc>
      </w:tr>
      <w:tr>
        <w:trPr>
          <w:trHeight w:val="191"/>
        </w:trPr>
        <w:tc>
          <w:tcPr>
            <w:tcW w:w="3700" w:type="dxa"/>
            <w:vAlign w:val="bottom"/>
          </w:tcPr>
          <w:p>
            <w:pPr>
              <w:spacing w:after="0"/>
              <w:rPr>
                <w:sz w:val="16"/>
                <w:szCs w:val="16"/>
                <w:color w:val="auto"/>
              </w:rPr>
            </w:pPr>
          </w:p>
        </w:tc>
        <w:tc>
          <w:tcPr>
            <w:tcW w:w="252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S. Grossman</w:t>
            </w:r>
          </w:p>
        </w:tc>
        <w:tc>
          <w:tcPr>
            <w:tcW w:w="10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r>
      <w:tr>
        <w:trPr>
          <w:trHeight w:val="561"/>
        </w:trPr>
        <w:tc>
          <w:tcPr>
            <w:tcW w:w="37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ADMA Biologics, Inc., a Delaware corporation (the “Company”), on Form 10-Q for the quarter ended September 30, 2025, as filed with the Securities and Exchange Commission on the date hereof (the “Report”), I, Brad Tade, Chief Financial Officer of the Company, hereby certify, pursuant to 18 U.S.C. §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5, 2025</w:t>
            </w:r>
          </w:p>
        </w:tc>
        <w:tc>
          <w:tcPr>
            <w:tcW w:w="25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Tade</w:t>
            </w:r>
          </w:p>
        </w:tc>
      </w:tr>
      <w:tr>
        <w:trPr>
          <w:trHeight w:val="191"/>
        </w:trPr>
        <w:tc>
          <w:tcPr>
            <w:tcW w:w="3700" w:type="dxa"/>
            <w:vAlign w:val="bottom"/>
          </w:tcPr>
          <w:p>
            <w:pPr>
              <w:spacing w:after="0"/>
              <w:rPr>
                <w:sz w:val="16"/>
                <w:szCs w:val="16"/>
                <w:color w:val="auto"/>
              </w:rPr>
            </w:pPr>
          </w:p>
        </w:tc>
        <w:tc>
          <w:tcPr>
            <w:tcW w:w="250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Brad Tade</w:t>
            </w:r>
          </w:p>
        </w:tc>
      </w:tr>
      <w:tr>
        <w:trPr>
          <w:trHeight w:val="216"/>
        </w:trPr>
        <w:tc>
          <w:tcPr>
            <w:tcW w:w="3700" w:type="dxa"/>
            <w:vAlign w:val="bottom"/>
          </w:tcPr>
          <w:p>
            <w:pPr>
              <w:spacing w:after="0"/>
              <w:rPr>
                <w:sz w:val="18"/>
                <w:szCs w:val="18"/>
                <w:color w:val="auto"/>
              </w:rPr>
            </w:pPr>
          </w:p>
        </w:tc>
        <w:tc>
          <w:tcPr>
            <w:tcW w:w="25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33"/>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2"/>
    </w:lvl>
  </w:abstractNum>
  <w:abstractNum w:abstractNumId="6">
    <w:nsid w:val="3006C83E"/>
    <w:multiLevelType w:val="hybridMultilevel"/>
    <w:lvl w:ilvl="0">
      <w:lvlJc w:val="left"/>
      <w:lvlText w:val="%1."/>
      <w:numFmt w:val="decimal"/>
      <w:start w:val="4"/>
    </w:lvl>
  </w:abstractNum>
  <w:abstractNum w:abstractNumId="7">
    <w:nsid w:val="614FD4A1"/>
    <w:multiLevelType w:val="hybridMultilevel"/>
    <w:lvl w:ilvl="0">
      <w:lvlJc w:val="left"/>
      <w:lvlText w:val="%1."/>
      <w:numFmt w:val="decimal"/>
      <w:start w:val="5"/>
    </w:lvl>
  </w:abstractNum>
  <w:abstractNum w:abstractNumId="8">
    <w:nsid w:val="419AC241"/>
    <w:multiLevelType w:val="hybridMultilevel"/>
    <w:lvl w:ilvl="0">
      <w:lvlJc w:val="left"/>
      <w:lvlText w:val="%1."/>
      <w:numFmt w:val="decimal"/>
      <w:start w:val="7"/>
    </w:lvl>
  </w:abstractNum>
  <w:abstractNum w:abstractNumId="9">
    <w:nsid w:val="5577F8E1"/>
    <w:multiLevelType w:val="hybridMultilevel"/>
    <w:lvl w:ilvl="0">
      <w:lvlJc w:val="left"/>
      <w:lvlText w:val="%1."/>
      <w:numFmt w:val="decimal"/>
      <w:start w:val="8"/>
    </w:lvl>
  </w:abstractNum>
  <w:abstractNum w:abstractNumId="10">
    <w:nsid w:val="440BADFC"/>
    <w:multiLevelType w:val="hybridMultilevel"/>
    <w:lvl w:ilvl="0">
      <w:lvlJc w:val="left"/>
      <w:lvlText w:val="%1."/>
      <w:numFmt w:val="decimal"/>
      <w:start w:val="9"/>
    </w:lvl>
  </w:abstractNum>
  <w:abstractNum w:abstractNumId="11">
    <w:nsid w:val="5072367"/>
    <w:multiLevelType w:val="hybridMultilevel"/>
    <w:lvl w:ilvl="0">
      <w:lvlJc w:val="left"/>
      <w:lvlText w:val="%1."/>
      <w:numFmt w:val="decimal"/>
      <w:start w:val="10"/>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decimal"/>
      <w:start w:val="12"/>
    </w:lvl>
  </w:abstractNum>
  <w:abstractNum w:abstractNumId="35">
    <w:nsid w:val="7644A45C"/>
    <w:multiLevelType w:val="hybridMultilevel"/>
    <w:lvl w:ilvl="0">
      <w:lvlJc w:val="left"/>
      <w:lvlText w:val="(%1)"/>
      <w:numFmt w:val="lowerLetter"/>
      <w:start w:val="1"/>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1"/>
    </w:lvl>
    <w:lvl w:ilvl="1">
      <w:lvlJc w:val="left"/>
      <w:lvlText w:val="%2)"/>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1" Type="http://schemas.openxmlformats.org/officeDocument/2006/relationships/hyperlink" Target="https://www.sec.gov/Archives/edgar/data/1368514/000114036125029143/ef2005314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2025-11-05T16:30:57Z</dcterms:created>
  <dcterms:modified xsi:type="dcterms:W3CDTF">2025-11-05T16:30:57Z</dcterms:modified>
</cp:coreProperties>
</file>