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x 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2019</w:t>
      </w:r>
    </w:p>
    <w:p>
      <w:pPr>
        <w:spacing w:after="0" w:line="22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229" w:lineRule="exact"/>
        <w:rPr>
          <w:sz w:val="24"/>
          <w:szCs w:val="24"/>
          <w:color w:val="auto"/>
        </w:rPr>
      </w:pPr>
    </w:p>
    <w:p>
      <w:pPr>
        <w:spacing w:after="0"/>
        <w:tabs>
          <w:tab w:leader="none" w:pos="30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001-36728</w:t>
      </w:r>
    </w:p>
    <w:p>
      <w:pPr>
        <w:spacing w:after="0" w:line="19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ADMA BIOLOGICS,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Delaware</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56-2590442</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4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8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465 State Route 17, Ramsey, New Jersey</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7"/>
              </w:rPr>
              <w:t>07446</w:t>
            </w:r>
          </w:p>
        </w:tc>
      </w:tr>
      <w:tr>
        <w:trPr>
          <w:trHeight w:val="224"/>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4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(201) 478-5552</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560" w:type="dxa"/>
            <w:vAlign w:val="bottom"/>
            <w:gridSpan w:val="2"/>
          </w:tcPr>
          <w:p>
            <w:pPr>
              <w:ind w:left="1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91"/>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88"/>
              </w:rPr>
              <w:t>Title of each class</w:t>
            </w:r>
          </w:p>
        </w:tc>
        <w:tc>
          <w:tcPr>
            <w:tcW w:w="2080" w:type="dxa"/>
            <w:vAlign w:val="bottom"/>
          </w:tcPr>
          <w:p>
            <w:pPr>
              <w:spacing w:after="0"/>
              <w:rPr>
                <w:sz w:val="24"/>
                <w:szCs w:val="24"/>
                <w:color w:val="auto"/>
              </w:rPr>
            </w:pPr>
          </w:p>
        </w:tc>
        <w:tc>
          <w:tcPr>
            <w:tcW w:w="5560" w:type="dxa"/>
            <w:vAlign w:val="bottom"/>
            <w:gridSpan w:val="2"/>
          </w:tcPr>
          <w:p>
            <w:pPr>
              <w:ind w:left="2380"/>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7"/>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w w:val="92"/>
              </w:rPr>
              <w:t>Common stock, par value $0.0001 per share</w:t>
            </w:r>
          </w:p>
        </w:tc>
        <w:tc>
          <w:tcPr>
            <w:tcW w:w="5560" w:type="dxa"/>
            <w:vAlign w:val="bottom"/>
            <w:gridSpan w:val="2"/>
          </w:tcPr>
          <w:p>
            <w:pPr>
              <w:ind w:left="2380"/>
              <w:spacing w:after="0"/>
              <w:rPr>
                <w:sz w:val="20"/>
                <w:szCs w:val="20"/>
                <w:color w:val="auto"/>
              </w:rPr>
            </w:pPr>
            <w:r>
              <w:rPr>
                <w:rFonts w:ascii="Arial" w:cs="Arial" w:eastAsia="Arial" w:hAnsi="Arial"/>
                <w:sz w:val="18"/>
                <w:szCs w:val="18"/>
                <w:b w:val="1"/>
                <w:bCs w:val="1"/>
                <w:color w:val="auto"/>
              </w:rPr>
              <w:t>Nasdaq Global Market</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ind w:left="220" w:hanging="212"/>
        <w:spacing w:after="0" w:line="207" w:lineRule="exact"/>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was $158,690,677 as of June 30, 2019 (the last business day of the registrant’s most recently completed second fiscal quarter), based on a total of 41,005,343 shares of common stock held by non-affiliates and a closing price of $3.87 as reported on the Nasdaq Capital Market on June 28, 2019.</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As of March 10, 2020, there were 86,345,313 shares of the issuer’s common stock outstanding.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8" w:right="339" w:bottom="47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40" w:type="dxa"/>
            <w:vAlign w:val="bottom"/>
            <w:gridSpan w:val="8"/>
          </w:tcPr>
          <w:p>
            <w:pPr>
              <w:ind w:left="220"/>
              <w:spacing w:after="0"/>
              <w:rPr>
                <w:sz w:val="20"/>
                <w:szCs w:val="20"/>
                <w:color w:val="auto"/>
              </w:rPr>
            </w:pPr>
            <w:r>
              <w:rPr>
                <w:rFonts w:ascii="Arial" w:cs="Arial" w:eastAsia="Arial" w:hAnsi="Arial"/>
                <w:sz w:val="18"/>
                <w:szCs w:val="18"/>
                <w:b w:val="1"/>
                <w:bCs w:val="1"/>
                <w:color w:val="auto"/>
              </w:rPr>
              <w:t>ADMA BIOLOGICS, INC.</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Market For Registrant’s Common Equity, Related Stockholder Matters and Issuer Purchases of Equity Securities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Financial Statements and Supplementary Data</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Changes in and Disagreements With Accountants on Accounting and Financial Disclosure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Other Information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Directors, Executive Officers and Corporate Governance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Executive Compensation</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Certain Relationships and Related Transactions, and Director Independence</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Principal Accounting Fees and Services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Exhibits, Financial Statement Schedules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06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Form 10-K Summary</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and are not historical facts and typically are identified by use of terms such as “may,” “should,” “could,” “would,” “expect,” “plan,” “anticipate,” “believe,” “estimate,” “predict,” “potential,” “project,” “continue,” “will,”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statements about:</w:t>
      </w:r>
    </w:p>
    <w:p>
      <w:pPr>
        <w:spacing w:after="0" w:line="394" w:lineRule="exact"/>
        <w:rPr>
          <w:sz w:val="20"/>
          <w:szCs w:val="20"/>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on a commercial scale and commercialize this product as a result of the approval of the Prior Approval Supplement for BIVIGAM by the U.S. Food and Drug Administration (the “FDA”) on May 9, 2019;</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ASCENIV on a commercial scale and commercialize this product as a result of the FDA approval of ASCENIV’s Biologics License Application on April 1, 2019;</w:t>
      </w:r>
    </w:p>
    <w:p>
      <w:pPr>
        <w:spacing w:after="0" w:line="19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expand our commercial infrastructure and to manufacture and commercialize our current and future products and the success of such efforts;</w:t>
      </w:r>
    </w:p>
    <w:p>
      <w:pPr>
        <w:spacing w:after="0" w:line="197"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97" w:lineRule="exact"/>
        <w:rPr>
          <w:rFonts w:ascii="Arial" w:cs="Arial" w:eastAsia="Arial" w:hAnsi="Arial"/>
          <w:sz w:val="18"/>
          <w:szCs w:val="18"/>
          <w:color w:val="auto"/>
        </w:rPr>
      </w:pPr>
    </w:p>
    <w:p>
      <w:pPr>
        <w:ind w:left="660" w:right="4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third-party manufacturers and vendors and their compliance with applicable regulatory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source plasma with proper specifications;</w:t>
      </w:r>
    </w:p>
    <w:p>
      <w:pPr>
        <w:spacing w:after="0" w:line="252"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and reliance of third-party supply agreements as well as any extensions to such agreements;</w:t>
      </w:r>
    </w:p>
    <w:p>
      <w:pPr>
        <w:spacing w:after="0" w:line="3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Nabi-HB, BIVIGAM and ASCENIV,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timing and Company compliance with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52"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products to other comparably run hyperimmune and immune globulin clinical trials;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potential for ASCENIV and BIVIGAM to provide meaningful clinical improvement for patients living with Primary Immune Deficiency</w:t>
      </w:r>
    </w:p>
    <w:p>
      <w:pPr>
        <w:spacing w:after="0" w:line="35" w:lineRule="exact"/>
        <w:rPr>
          <w:sz w:val="20"/>
          <w:szCs w:val="20"/>
          <w:color w:val="auto"/>
        </w:rPr>
      </w:pPr>
    </w:p>
    <w:p>
      <w:pPr>
        <w:ind w:left="660" w:right="480"/>
        <w:spacing w:after="0" w:line="260" w:lineRule="auto"/>
        <w:rPr>
          <w:sz w:val="20"/>
          <w:szCs w:val="20"/>
          <w:color w:val="auto"/>
        </w:rPr>
      </w:pPr>
      <w:r>
        <w:rPr>
          <w:rFonts w:ascii="Arial" w:cs="Arial" w:eastAsia="Arial" w:hAnsi="Arial"/>
          <w:sz w:val="18"/>
          <w:szCs w:val="18"/>
          <w:color w:val="auto"/>
        </w:rPr>
        <w:t>Disease, Primary Humoral Immunodeficiency Disease (“PIDD” or “PI”) or other immune deficiencies or any other condition for which the products may be prescribed or evaluated;</w:t>
      </w:r>
    </w:p>
    <w:p>
      <w:pPr>
        <w:spacing w:after="0" w:line="212" w:lineRule="exact"/>
        <w:rPr>
          <w:sz w:val="20"/>
          <w:szCs w:val="20"/>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97"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52" w:lineRule="exact"/>
        <w:rPr>
          <w:rFonts w:ascii="Arial" w:cs="Arial" w:eastAsia="Arial" w:hAnsi="Arial"/>
          <w:sz w:val="18"/>
          <w:szCs w:val="18"/>
          <w:color w:val="auto"/>
        </w:rPr>
      </w:pPr>
    </w:p>
    <w:p>
      <w:pPr>
        <w:ind w:left="660" w:right="98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related to the expansion of our manufacturing capacity, yield improvements, supply chain robustness, distribution and other collaborative agreements and the success of such endeavors;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estimates regarding revenues, expenses, capital requirements, timing to profitability and the need for and availability of additional financing;</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52"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domestic and global economic conditions or performance;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52"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61" w:lineRule="exact"/>
        <w:rPr>
          <w:sz w:val="20"/>
          <w:szCs w:val="20"/>
          <w:color w:val="auto"/>
        </w:rPr>
      </w:pPr>
    </w:p>
    <w:p>
      <w:pPr>
        <w:ind w:right="160" w:firstLine="648"/>
        <w:spacing w:after="0" w:line="238" w:lineRule="auto"/>
        <w:rPr>
          <w:sz w:val="20"/>
          <w:szCs w:val="20"/>
          <w:color w:val="auto"/>
        </w:rPr>
      </w:pPr>
      <w:r>
        <w:rPr>
          <w:rFonts w:ascii="Arial" w:cs="Arial" w:eastAsia="Arial" w:hAnsi="Arial"/>
          <w:sz w:val="18"/>
          <w:szCs w:val="18"/>
          <w:color w:val="auto"/>
        </w:rPr>
        <w:t>This Annual Report on Form 10-K includes our trademarks, trade names and service marks, such as “ASCENIV</w:t>
      </w:r>
      <w:r>
        <w:rPr>
          <w:rFonts w:ascii="Arial" w:cs="Arial" w:eastAsia="Arial" w:hAnsi="Arial"/>
          <w:sz w:val="29"/>
          <w:szCs w:val="29"/>
          <w:color w:val="auto"/>
          <w:vertAlign w:val="superscript"/>
        </w:rPr>
        <w:t>TM</w:t>
      </w:r>
      <w:r>
        <w:rPr>
          <w:rFonts w:ascii="Arial" w:cs="Arial" w:eastAsia="Arial" w:hAnsi="Arial"/>
          <w:sz w:val="18"/>
          <w:szCs w:val="18"/>
          <w:color w:val="auto"/>
        </w:rPr>
        <w:t>,” “BIVIGAM®”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Unless the context otherwise requires, references in this Business section to “ADMA,” “ADMA Biologics,” the “Company,” “we,” “us” and “our” refer to ADMA Biologics, Inc., a Delaware corporation, as well as its wholly-owned and indirectly-owned subsidiaries, ADMA Plasma Biologics, Inc., a Delaware corporation, ADMA Bio Centers Georgia Inc., a Delaware corporation (“ADMA Bio Centers”) and ADMA BioManufacturing, LLC, a Delaware limited liability company (“ADMA BioManufacturing”).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commercial re-launch in August 2019; (ii) ASCENIV (Immune Globulin Intravenous, Human – slra 10% Liquid), previously referred to as RI-002,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We seek to develop a pipeline of plasma-derived therapeutics, including a product based on our most recently approved patent application under U.S. Patent No. 10,259,865 related to methods of treatment and prevention of S. pneumonia infection for an immunoglobulin manufactured to contain standardized antibodies to numerous serotypes of S. pneumonia. Our products and 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We manufacture our products at an FDA-licensed, 400,000-liter annual capacity plasma fractionation and purification facility located in Boca Raton, Florida (the “Boca Facility”). Based on current production yields, we believe this facility has the potential to produce quantities of our immune globulin (“IG”) products capable of generating up to $250 million in annual revenue as we ramp-up production over the next three to five years.</w:t>
      </w:r>
    </w:p>
    <w:p>
      <w:pPr>
        <w:spacing w:after="0" w:line="14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Through ADMA Bio Centers, we currently operate one FDA-approved source plasma collection facility in the U.S., which provides us with a portion of our blood plasma for the manufacture of our products and product candidates. We intend to open five to 10 additional plasma collection centers in the U.S. during the next three to five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and in other locations outside the U.S. where we are approved under supply agreements or in the open “spot” market.</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sell plasma-derived intermediate fractions to certain customers, which are generated as part of our FDA-approved manufacturing process for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services for certain third-party clients.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February 11, 2020, we completed an underwritten public offering of 23,500,000 shares of our common stock for gross proceeds of $82.3 million. On February 21, 2020, we sold an additional 3,525,000 shares pursuant to the underwriters’ exercise of their option to purchase additional shares of our common stock for additional gross proceeds of $12.3 million. We received net proceeds, after underwriting discounts and other expenses associated with the offering, of approximately $88.5 million.</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January 2020, we announced our entry into a five-year manufacturing and supply agreement with a third-party customer to produce and sell plasma-derived intermediate fractions from our FDA-approved IG manufacturing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BPC had originally received FDA approval for BIVIGAM on December 19, 2012, prior to our acquisition of BTBU, and product sales had commenced in the first quarter of 2013. On May 9, 2019, the FDA approved our Prior Approval Supplement (the “PAS”) for the use of our IVIG manufacturing process, thereby enabling us to re-launch and commercialize this product in the United States. We resumed production of BIVIGAM during the fourth quarter of 2017 after the closing of the Biotest Transaction and commercial production is ongoing, using our FDA-approved IVIG manufacturing process under U.S. Department of Health and Human Services (“HHS”) License No. 2019. The commercial re-launch and first commercial sales commenced in August of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a HHS License No. 2019 using a process known as fractionation. As part of our proprietary manufacturing process for ASCENIV, we leverage our unique, patented plasma donor screening methodology and tailored plasma pooling design, which blends normal source plasma and plasma from donors tested to have high levels of neutralizing titers to RSV using our proprietary microneutralization assay. We are able to identify the high titer plasma that meets our internal specifications for ASCENIV with our patented testing assay. This type of high titer plasma is typically found in less than 10% of the total donor collection samples we test.</w:t>
      </w:r>
    </w:p>
    <w:p>
      <w:pPr>
        <w:spacing w:after="0" w:line="1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ASCENIV is approved for the treatment of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In early 2018, we received authorization from the FDA for the release of our first commercial batch of Nabi-HB for commercial distribution in the U.S. and continue to manufacture under HHS License No.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PIDD Patients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PIDD or PI, a genetic disorder that causes a deficient or absent immune system, is caused by hereditary or genetic defects and can affect anyone regardless of age or gender. PIDD patients are more vulnerable to infections and more likely to suffer complications from these infections. IVIG is a plasma-derived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in industry journals, the U.S. sales of immune and hyperimmune globulin products for all its uses were reported to be approximately $6.8 billion in 2018, and approximately $14 billion in 2025 based upon anticipated compounded annual growth rate of approximately 11%.</w:t>
      </w:r>
    </w:p>
    <w:p>
      <w:pPr>
        <w:spacing w:after="0" w:line="17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ASCENIV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serious infections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18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BLA, exceed the requirement specified by FDA guidance of ≤ 1 SBI per patient-year.</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Rationale for the Potential Evaluation of ASCENIV in RSV-Infected Patients</w:t>
      </w:r>
    </w:p>
    <w:p>
      <w:pPr>
        <w:spacing w:after="0" w:line="229"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RSV is a common virus that ordinarily leads to mild, cold-like symptoms in healthy adults and children. In high-risk groups, such as the PIDD population and the other immune-compromised populations, RSV can lead to a more serious infection and may even cause death. The polyclonal antibodies that are present in ASCENIV are expected to prevent infections in immune-compromised patients.</w:t>
      </w:r>
    </w:p>
    <w:p>
      <w:pPr>
        <w:spacing w:after="0" w:line="184"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In October 2019, we announced the successful treatment of ASCENIV in two children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United States Food and Drug Administration (“FDA”) Investigational New Drug protocol.</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the past several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these results, we intend to evaluate ASCENIV for the treatment of RSV patients for treatment of PIDD.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of Our Products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order to produce plasma-derived immunoglobulin products, raw material plasma is collected from human donors and then manufactured into specialized products. Historically, plasma for our products and product candidates has been collected from healthy donors at FDA-licensed plasma donation centers. When stored under proper conditions, this plasma may have a shelf-life of up to 10 years. Source plasma is collected at any one of over 700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antibodies to human immunodeficiency virus types 1 and 2 (HIV-1/2), HBsAg and Hepatitis C virus (“HCV”), using FDA-licensed serological test procedures.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After receipt of the source plasma, the frozen plasma is thawed and pooled and goes through the fractionation process. This process is referred to as the Cohn method or cold ethanol method of fractionation.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ensures that our products comply with the requirements of the FDA and are safe and efficacious.</w:t>
      </w:r>
    </w:p>
    <w:p>
      <w:pPr>
        <w:spacing w:after="0" w:line="18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Once our drug-substance is produced in the Boca Facility, the product is further processed by certain third party fill-finish providers as well as through labeling, packaging and DSCSA serialization requirements. The end-to-end production cycle can take approximately nine to 12 months for a batch of FDA released drug product.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Commercialization of Our Products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Currently, BIVIGAM, ASCENIV and Nabi-HB are sold primarily through independent distributors, drug wholesalers acting as sales agents, specialty pharmacies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17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Commercialization efforts to generate increased market awareness for Nabi-HB include attending and presenting at medical conferences, as well as sponsoring medical education symposiums. We have also hired a small, specialty sales force to market BIVIGAM and ASCENIV to hospitals, physician offices/clinics, and other specialty treatment organizations as applicable. We also anticipate staffing our Company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Pricing and Reimbursement of Our Products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All sales in the U.S. of BIVIGAM, ASCENIV and Nabi-HB depend in part upon the availability of reimbursement from third-party payers. Third-party payers include government health programs, managed care providers, private health insurers and other organizations. Nabi-HB and BIVIGAM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individuals. Under Medicaid, drug manufacturers pay rebates to the states based on utilization data provided by the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Operations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ADMA Bio Centers operates an FDA-licensed source plasma collection facility located the U.S. that provides us with a portion of our blood plasma for the manufacture of our products and product candidates. As part of our plans for expansion, we intend to initiate the buildout of additional plasma centers in the U.S.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are sold to third-party customers in the U.S. and other international locations where we are approved under supply agreements or in the open “spot” market.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Transaction with Biotest Pharmaceuticals Corporation</w:t>
      </w:r>
    </w:p>
    <w:p>
      <w:pPr>
        <w:spacing w:after="0" w:line="229"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 Immediately following the acquisition, the Biotest Assets were contributed into ADMA BioManufacturing.</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closing of the Biotest Transaction, Biotest provided us with an aggregate of $40.0 million of funding. Upon the closing of the Biotest Transaction, we received $27.5 million from Biotest, consisting of $12.5 million in cash from BPC and a $15.0 million subordinated note at 6% interest payable to Biotest with a maturity of five years. Biotest also participated in our November 2017 follow-on equity offering by investing $12.5 million of the $42.0 million of total gross proceeds from that offering.</w:t>
      </w:r>
    </w:p>
    <w:p>
      <w:pPr>
        <w:spacing w:after="0" w:line="187"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At the closing of the Biotest Transaction, we delivered to BPC an aggregate equity interest equal to 50%, less one share, of our then-issued and outstanding capital stock comprised of 25%, or 4,295,580 shares, of our then-issued and outstanding voting common stock, $0.0001 par value per share (“Common Stock”), which shares are currently held by the Biotest Divestiture Trust (the “Biotest Trust”) and registered for resale under an effective Registration Statement on Form S-3, and 8,591,160 shares in the form of our then-authorized non-voting common stock, $0.0001 par value per share (the “NV Biotest Shares”). The NV Biotest Shares were convertible into our Common Stock upon the occurrence of certain specified events. As part of the purchase price to acquire the Biotest Assets, we also transferred ownership of two of our plasma collection facilities to BPC on January 1, 2019.</w:t>
      </w:r>
    </w:p>
    <w:p>
      <w:pPr>
        <w:spacing w:after="0" w:line="164"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May 14, 2018, we entered into a Share Transfer, Amendment and Release Agreement with BPC, Biotest AG, Biotest U.S. Corporation and the “Biotest Trust” (the “Biotest Transfer Agreement”) whereby BPC transferred to us, for no cash consideration, the NV Biotest Shares. Immediately upon transfer of the NV Biotest Shares to us, the NV Biotest Shares were retired and are no longer available for issuance. The retired NV Biotest Shares comprised approximately 67% of the total common stock consideration provided to Biotest and approximately 19% of the total outstanding common stock of the Company as of May 14, 2018. In exchange for the transfer and retirement of the NV Biotest Shares, we (i) granted Biotest and its successors and assigns a release from all potential past, present and future indemnity claims arising under the Master Purchase and Sale Agreement, dated as of January 21, 2017 (the “Master Purchase Agreement”), which governs the Biotest Transaction, and (ii) relinquished our rights to, under certain circumstances, repurchase the two FDA-approved plasma collection centers which were transferred to BPC on January 1, 2019. In addition, pursuant to the Biotest Transfer Agreement, BPC waived and terminated its rights to name a director and an observer to our Board of Directors (the “Board”). In connection with the U.S. Government-required divestiture of all of BPC’s U.S. assets as a result of the sale of Biotest AG to CREAT Group Corporation, pursuant to the Biotest Transfer Agreement BPC transferred its remaining 10,109,534 shares of our Common Stock to the Biotest Trust on July 24, 2018, and the Biotest Trust is bound by all obligations of and has all of the remaining rights of BPC under that certain Stockholders Agreement dated as of June 6, 2017, by and between us and BPC, as amended by the Biotest Transfer Agreement (the “Stockholders Agreement”).</w:t>
      </w:r>
    </w:p>
    <w:p>
      <w:pPr>
        <w:spacing w:after="0" w:line="17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Prior to the closing of the Biotest Transaction, the BTBU was our third-party manufacturer for ASCENIV. In the third quarter of 2015, the FDA accepted for review our BLA for ASCENIV (the “RI-002 BLA”) for the treatment of PIDD. In July 2016, the FDA issued a CRL (the “RI-002 CRL”). The RI-002 CRL reaffirmed the issues set forth in a November 2014 warning letter (the “Warning Letter”) that had been issued by the FDA to Biotest related to certain issues identified at the Boca Facility, but did not cite any concerns with the clinical safety or efficacy data for ASCENIV submitted in our RI-002 BLA, nor did the FDA request any additional clinical studies be completed prior to FDA approval of ASCENIV. The FDA identified in the RI-002 CRL, among other things, certain outstanding inspection issues and deficiencies related to chemistry, manufacturing and control (“CMC”) matters and Good Manufacturing Practices (“GMP”) at the Boca Facility and at certain of our third-party vendors, and requested documentation of corrections for a number of these issues. The FDA indicated in the RI-002 CRL that it cannot grant final approval of our RI-002 BLA until, among other things, these deficiencies are resolved. Upon the completion of the Biotest Transaction, we gained control over the regulatory, quality, general operations and drug substance manufacturing process at the Boca Facility. In April 2018, we completed an FDA inspection and as a result of the inspection, our Boca Facility’s regulatory compliance status improved from Official Action Indicated (“OAI”) to Voluntary Action Indicated (“VAI”), allowing us to submit regulatory applications to the FDA for review. During the second quarter of 2019, we received FDA approval of the respective submissions for both ASCENIV and BIVIGAM, and the transfer of the BIVIGAM and Nabi-HB licenses from BPC to us was completed on July 2, 2019.</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goal is to be a leader in manufacturing, marketing and developing specialized, targeted, plasma-derived therapeutics that are intended to extend and enhance the lives of individuals who are naturally or medically immune-compromised. The key elements of our strategy for achieving this goal are as follows:</w:t>
      </w:r>
    </w:p>
    <w:p>
      <w:pPr>
        <w:spacing w:after="0" w:line="180" w:lineRule="exact"/>
        <w:rPr>
          <w:sz w:val="20"/>
          <w:szCs w:val="20"/>
          <w:color w:val="auto"/>
        </w:rPr>
      </w:pPr>
    </w:p>
    <w:p>
      <w:pPr>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Continue to expand the commercial production of our IG products, as well as the commercial presence, penetration and sales of BIVIGAM and ASCENIV for the treatment of patients with PI</w:t>
      </w:r>
      <w:r>
        <w:rPr>
          <w:rFonts w:ascii="Arial" w:cs="Arial" w:eastAsia="Arial" w:hAnsi="Arial"/>
          <w:sz w:val="18"/>
          <w:szCs w:val="18"/>
          <w:color w:val="auto"/>
        </w:rPr>
        <w:t>. We plan to enhance our recruiting initiatives and expand our existing specialty</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sales force to market BIVIGAM and ASCENIV to home healthcare infusion facilities, hospitals, physician offices/clinics and other specialty treatment and infusion center organizations. We also anticipate staffing our Company with additional personnel for patient support, medical affairs, quality assurance, regulatory affairs, scientific affairs and third-party reimbursement. We may also use a network of national distributors to fulfill orders for BIVIGAM and ASCENIV.</w:t>
      </w:r>
    </w:p>
    <w:p>
      <w:pPr>
        <w:spacing w:after="0" w:line="214" w:lineRule="exact"/>
        <w:rPr>
          <w:rFonts w:ascii="Arial" w:cs="Arial" w:eastAsia="Arial" w:hAnsi="Arial"/>
          <w:sz w:val="18"/>
          <w:szCs w:val="18"/>
          <w:color w:val="auto"/>
        </w:rPr>
      </w:pPr>
    </w:p>
    <w:p>
      <w:pPr>
        <w:ind w:left="660" w:right="240" w:hanging="328"/>
        <w:spacing w:after="0" w:line="31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Increase marketing efforts around Nabi-HB. </w:t>
      </w:r>
      <w:r>
        <w:rPr>
          <w:rFonts w:ascii="Arial" w:cs="Arial" w:eastAsia="Arial" w:hAnsi="Arial"/>
          <w:sz w:val="17"/>
          <w:szCs w:val="17"/>
          <w:color w:val="auto"/>
        </w:rPr>
        <w:t>We plan to increase our marketing efforts and attend relevant medical conferences during 2020,</w:t>
      </w:r>
      <w:r>
        <w:rPr>
          <w:rFonts w:ascii="Arial" w:cs="Arial" w:eastAsia="Arial" w:hAnsi="Arial"/>
          <w:sz w:val="17"/>
          <w:szCs w:val="17"/>
          <w:b w:val="1"/>
          <w:bCs w:val="1"/>
          <w:color w:val="auto"/>
        </w:rPr>
        <w:t xml:space="preserve"> </w:t>
      </w:r>
      <w:r>
        <w:rPr>
          <w:rFonts w:ascii="Arial" w:cs="Arial" w:eastAsia="Arial" w:hAnsi="Arial"/>
          <w:sz w:val="17"/>
          <w:szCs w:val="17"/>
          <w:color w:val="auto"/>
        </w:rPr>
        <w:t>raising awareness of the risks associated with Hepatitis B and the benefits and efficacy of Nabi-HB in its indicated populations.</w:t>
      </w:r>
    </w:p>
    <w:p>
      <w:pPr>
        <w:spacing w:after="0" w:line="16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Expand ASCENIV’s FDA-approved uses</w:t>
      </w:r>
      <w:r>
        <w:rPr>
          <w:rFonts w:ascii="Arial" w:cs="Arial" w:eastAsia="Arial" w:hAnsi="Arial"/>
          <w:sz w:val="17"/>
          <w:szCs w:val="17"/>
          <w:color w:val="auto"/>
        </w:rPr>
        <w:t>. Having received approval by the FDA for ASCENIV as a treatment for PIDD, we plan to evaluate the</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and regulatory paths to grow the ASCENIV franchise through expanded FDA-approved uses. We believe that there may be patient populations beyond PIDD that would derive clinical benefit from ASCENIV, some of which may be eligible for orphan status. We plan to leverage our previously conducted randomized, double-blind, placebo-controlled Phase II clinical trial evaluating RI-001, RI-002’s predecessor product candidate, in immune-compromised, RSV-infected patients to explore ASCENIV for the treatment of RSV.</w:t>
      </w:r>
    </w:p>
    <w:p>
      <w:pPr>
        <w:spacing w:after="0" w:line="194" w:lineRule="exact"/>
        <w:rPr>
          <w:rFonts w:ascii="Arial" w:cs="Arial" w:eastAsia="Arial" w:hAnsi="Arial"/>
          <w:sz w:val="17"/>
          <w:szCs w:val="17"/>
          <w:color w:val="auto"/>
        </w:rPr>
      </w:pPr>
    </w:p>
    <w:p>
      <w:pPr>
        <w:ind w:left="660" w:right="2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Increase the Boca Facility’s manufacturing capacity, operating efficiency and gross margins. </w:t>
      </w:r>
      <w:r>
        <w:rPr>
          <w:rFonts w:ascii="Arial" w:cs="Arial" w:eastAsia="Arial" w:hAnsi="Arial"/>
          <w:sz w:val="18"/>
          <w:szCs w:val="18"/>
          <w:color w:val="auto"/>
        </w:rPr>
        <w:t>During 2020, we plan to execute on our</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optimization plan to increase the Boca Facility’s manufacturing capacity, operating efficiency and gross margins. We also plan to strengthen our supply chain capabilities to potentially unlock efficiencies, improve production yields and provide more control and visibility for timing of commercial product releases.</w:t>
      </w:r>
    </w:p>
    <w:p>
      <w:pPr>
        <w:spacing w:after="0" w:line="179"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Expand and develop our pipeline with additional specialty plasma and/or hyperimmune immunoglobulin products</w:t>
      </w:r>
      <w:r>
        <w:rPr>
          <w:rFonts w:ascii="Arial" w:cs="Arial" w:eastAsia="Arial" w:hAnsi="Arial"/>
          <w:sz w:val="18"/>
          <w:szCs w:val="18"/>
          <w:color w:val="auto"/>
        </w:rPr>
        <w:t>. Our core competency is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w:t>
      </w:r>
    </w:p>
    <w:p>
      <w:pPr>
        <w:spacing w:after="0" w:line="210" w:lineRule="exact"/>
        <w:rPr>
          <w:rFonts w:ascii="Arial" w:cs="Arial" w:eastAsia="Arial" w:hAnsi="Arial"/>
          <w:sz w:val="18"/>
          <w:szCs w:val="18"/>
          <w:color w:val="auto"/>
        </w:rPr>
      </w:pPr>
    </w:p>
    <w:p>
      <w:pPr>
        <w:ind w:left="660" w:right="500" w:hanging="328"/>
        <w:spacing w:after="0" w:line="28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Develop and expand ADMA Bio Centers</w:t>
      </w:r>
      <w:r>
        <w:rPr>
          <w:rFonts w:ascii="Arial" w:cs="Arial" w:eastAsia="Arial" w:hAnsi="Arial"/>
          <w:sz w:val="17"/>
          <w:szCs w:val="17"/>
          <w:color w:val="auto"/>
        </w:rPr>
        <w:t>. Over the next three to five years, we plan on expanding our plasma collection network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opening an additional five to 10 plasma collection facilities throughout the U.S. to potentially bolster our long-term raw material supply and prepare for production ramp-up and growth to capitalize on the global growing IVIG and source plasma markets, including obtaining FDA licenses for each new plasma collection center and regulatory approval in additional jurisdictions.</w:t>
      </w:r>
    </w:p>
    <w:p>
      <w:pPr>
        <w:spacing w:after="0" w:line="164" w:lineRule="exact"/>
        <w:rPr>
          <w:rFonts w:ascii="Arial" w:cs="Arial" w:eastAsia="Arial" w:hAnsi="Arial"/>
          <w:sz w:val="17"/>
          <w:szCs w:val="17"/>
          <w:color w:val="auto"/>
        </w:rPr>
      </w:pPr>
    </w:p>
    <w:p>
      <w:pPr>
        <w:ind w:left="660" w:right="160" w:hanging="328"/>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Secure new supply contracts for potential contract manufacturing organization (“CMO”) opportunities. </w:t>
      </w:r>
      <w:r>
        <w:rPr>
          <w:rFonts w:ascii="Arial" w:cs="Arial" w:eastAsia="Arial" w:hAnsi="Arial"/>
          <w:sz w:val="18"/>
          <w:szCs w:val="18"/>
          <w:color w:val="auto"/>
        </w:rPr>
        <w:t>We are exploring new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CMO and business development opportunities with our multi-faceted revenue generation platform, while continuing to fulfill our newly secured, long-term CMO supply agreement to produce and sell plasma-derived intermediate fractions.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Immunodeficiency Disease</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Of these 250,000 people diagnosed with PIDD in the U.S., approximately 125,000 receive monthly infusions of IVIG and it is estimated that over 300,000 patients worldwide receive monthly IVIG infusions for PIDD. Industry reports indicate the U.S. market for IG in 2018 was $6.8 billion and is expected to grow to $13.9 billion by 2025 based upon a compounded annual growth rate of 10.9%.</w:t>
      </w:r>
    </w:p>
    <w:p>
      <w:pPr>
        <w:spacing w:after="0" w:line="16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antibody deficiency and recurrent bacterial infections;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T-lymphocyte deficiency and opportunistic infections;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lymphocyte defects causing opportunistic infections;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neutrophil defects causing immunodeficiency;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complement deficiencies.</w:t>
      </w:r>
    </w:p>
    <w:p>
      <w:pPr>
        <w:spacing w:after="0" w:line="252"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of the severity and frequency of infections, prevention of chronic lung disease and prevention of enteroviral meningoencephalitis. Several immune globulin products have already been approved by the FDA.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 Background, Composition and Manufacturing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blood contains a number of components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 blood cells – Used to carry oxygen from the lungs to the body;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White blood cells – Used by the immune system to fight infection;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Platelets – Used for blood clotting;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Plasma – Used to carry the aforementioned components throughout the body and provide support in clotting and immunity.</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18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FDA-approved, automated device with a sterile, self-contained collection kit. The plasma that is collected is known as “normal source plasma.” There are over 700 plasma donation centers in the U.S. As noted in a variety of plasma industry trade reports and related conferences, approximately 42 million liters of source plasma were collected in the U.S. in 2018. In the U.S., a donor may donate plasma a maximum of two times during any seven-day period, with at least two days in between donations. Plasma donation centers in the U.S. typically pay donors $30 to $50 per donation and some donors with rare or high antibody levels can be paid more.</w:t>
      </w:r>
    </w:p>
    <w:p>
      <w:pPr>
        <w:spacing w:after="0" w:line="17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7 to 12 months, which is not unique to just ADMA as other fractionators report similar production timelines.</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Globulins</w:t>
      </w:r>
    </w:p>
    <w:p>
      <w:pPr>
        <w:spacing w:after="0" w:line="22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 xml:space="preserve">In June 2008, the FDA published the FDA Guidance for Industry outlining the regulatory pathway for the approval of IVIG for the treatment of PIDD </w:t>
      </w:r>
      <w:r>
        <w:rPr>
          <w:rFonts w:ascii="Arial" w:cs="Arial" w:eastAsia="Arial" w:hAnsi="Arial"/>
          <w:sz w:val="18"/>
          <w:szCs w:val="18"/>
          <w:i w:val="1"/>
          <w:iCs w:val="1"/>
          <w:color w:val="auto"/>
        </w:rPr>
        <w:t>(Guidance for Industry: Safety, Efficacy, and Pharmacokinetic Studies to Support Marketing of Immune Globulin Intravenous (Human) as</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Therapy for Primary Humoral Immunodeficiency)</w:t>
      </w:r>
      <w:r>
        <w:rPr>
          <w:rFonts w:ascii="Arial" w:cs="Arial" w:eastAsia="Arial" w:hAnsi="Arial"/>
          <w:sz w:val="18"/>
          <w:szCs w:val="18"/>
          <w:color w:val="auto"/>
        </w:rPr>
        <w:t>.</w:t>
      </w:r>
    </w:p>
    <w:p>
      <w:pPr>
        <w:spacing w:after="0" w:line="184"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171" w:lineRule="exact"/>
        <w:rPr>
          <w:sz w:val="20"/>
          <w:szCs w:val="20"/>
          <w:color w:val="auto"/>
        </w:rPr>
      </w:pPr>
    </w:p>
    <w:p>
      <w:pPr>
        <w:jc w:val="both"/>
        <w:ind w:right="120" w:firstLine="648"/>
        <w:spacing w:after="0" w:line="275" w:lineRule="auto"/>
        <w:rPr>
          <w:sz w:val="20"/>
          <w:szCs w:val="20"/>
          <w:color w:val="auto"/>
        </w:rPr>
      </w:pPr>
      <w:r>
        <w:rPr>
          <w:rFonts w:ascii="Arial" w:cs="Arial" w:eastAsia="Arial" w:hAnsi="Arial"/>
          <w:sz w:val="17"/>
          <w:szCs w:val="17"/>
          <w:color w:val="auto"/>
        </w:rPr>
        <w:t>As reported in industry journals, the U.S. sales of immune and hyperimmune globulin products for all its uses were reported to be approximately $6.8 billion in 2018, and approximately $14 billion in 2025 based upon anticipated compounded annual growth rate of approximately 11%.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order to produce plasma-derived therapeutics that can be administered to patients, raw material plasma is collected from healthy donors at plasma collection facilities licensed by the FDA. ADMA Bio Centers operates an FDA-licensed source plasma collection facility located in the U.S. which provides us with a portion of our blood plasma for the manufacture of our current products and product candidates. Over the next three to five years, we plan to open five to 10 plasma collection centers throughout the U.S., as well as enter into additional third-party contracts to procure normal source and high-titer plasma.</w:t>
      </w:r>
    </w:p>
    <w:p>
      <w:pPr>
        <w:spacing w:after="0" w:line="18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June 6, 2017, we entered into a Termination Agreement with BPC with respect to the Manufacturing Supply and License Agreement and Master Services Agreement, which included, effective as of January 21, 2017, a mutual release with respect to any claims relating to or arising from any breach or default under the existing Manufacturing Supply and License Agreement and Master Services Agreement between ADMA BioManufacturing and BPC. Under our Manufacturing, Supply and License Agreement with BPC, we had agreed to purchase exclusively from BPC our worldwide requirements of RSV immune globulin manufactured from human plasma containing RSV antibodies. The term of the agreement was for a period of ten years from January 1, 2013, renewable for two additional five-year periods at the agreement of both parties. We were obligated under this agreement to purchase a minimum of at least one lot of product during each calendar year after the finished product is approved by the FDA. This number was subject to increase at our option. As consideration for BPC’s obligations under the agreement, we were obligated to pay a dollar amount per lot of RSV immune globulin manufactured from human plasma containing RSV antibodies, as well as a percentage royalty on the sales thereof and of ASCENIV, up to a specified cumulative maximum amount.</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we have agreed to purchase from BPC an annual minimum volume of source plasma containing antibodies to RSV to be used in the manufacture of ASCENIV. We must purchase a to-be-determined and agreed upon annual minimum volume from BPC, but may also collect high-titer RSV plasma from up to five wholly-owned ADMA plasma collection facilities. During 2015, we amended the 2011 Plasma Purchase Agreement with BPC to allow us the ability to collect our raw material RSV high-titer plasma from other third-party collection organizations, thus allowing us to expand our reach for raw material supply for ASCENIV. Unless terminated earlier, the 2011 Plasma Purchase Agreement expires in June 2027, after which it may be renewed for two additional five-year periods if agreed to by the parties. As part of the closing of the Biotest Transaction, we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ADMA entered into an additional amendment to the 2011 Plasma Purchase Agreement for the purchase of source plasma containing antibodies to RSV from Grifols. Pursuant to this amendment, until January 1, 2022, we may purchase RSV plasma from Grifols from the two previously-owned ADMA plasma collection facilities which we transferred to BPC on January 1, 2019 at a price equal to cost plus five percent (5%) (without any additional increase due to inflation).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March 23, 2016, we entered into an Amended and Restated Plasma Supply Agreement with BPC for the purchase by BPC of normal source plasma to be derived from automated plasmapheresis procedures conducted at the two formerly-owned ADMA Bio Centers facilities to be used in BPC's proprietary products’ manufacturing (the “Amended and Restated Plasma Supply Agreement”). The initial term of the Amended and Restated Plasma Supply Agreement expired by its terms on December 31, 2018 and was not renewed.</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we entered into a Plasma Supply Agreement with BPC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we entered into an amendment to the Plasma Supply Agreement with BPC to provide, among other things, that in the event BPC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6, 2017, we entered into a Plasma Purchase Agreement with BPC (the “2017 Plasma Purchase</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Agreement”), pursuant to which ADMA BioManufacturing purchases normal source plasma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we entered into an amendment to the 2017 Plasma Purchase Agreement with BPC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Sales and Market Research</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We are in the process of hiring our own specialty sales force which will consist of account managers, medical science liaisons and other normal and customary scientific, medical and detail representatives. Our management and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June 6, 2017, we entered into a Termination Agreement with BPC with respect to the Manufacturing Supply and License Agreement and Master Services Agreement, which included, effective as of January 21, 2017, a mutual release with respect to any claims related to or arising from any breach or default under the existing Manufacturing Supply and License Agreement and Master Services Agreement between ADMA BioManufacturing and BPC. Pursuant to our Manufacturing, Supply and License Agreement, we granted Biotest an exclusive license to market and sell RI-002 in Europe and in selected countries in North Africa and the Middle East (the “Territory”), to have access to our testing services for testing of BPC’s plasma samples using our proprietary RSV assay, and to reference (but not access) our proprietary information for the purpose of Biotest seeking regulatory approval for the RI-002 in the Territory. As consideration for the license, Biotest provided us with certain services at no charge and also compensated us with cash payments upon the completion of certain milestones. Biotest was also obligated to pay us an adjustable royalty based on a percentage of revenues from the sale of RI-002 in the Territory for 20 years from the date of first commercial sale.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For the year ended December 31, 2019, three customers represented an aggregate of 70% of our consolidated revenues, with BioCARE, Inc. (“BioCare”), Biolife Plasma Services, L.P. (“Biolife”) and Sanofi Pasteur S.A. (“Sanofi”) representing approximately 26%, 24%, and 20%, respectively, of our consolidated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sophisticated marketing capabilities.</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competitors may include but are not limited to: CSL Behring, Grifols Biologicals, Takeda, Octapharma, Kedrion and BPL. There are four producers of plasma-derived products in the U.S. consisting of: CSL Behring, Grifols Biologicals, Takeda and ADMA Biologics. In addition to competition from other large worldwide plasma products providers, we face competition in local areas from smaller entities. In Europe, where the industry is highly regulated and healthcare systems vary from country to country, local companies may have greater knowledge of local healthcare systems, more established infrastructures and have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During the second quarter of 2015, U.S. Pat. App. Serial No. 14/592,721, entitled “Compositions and Methods for the Treatment of Immunodeficiency,” encompassing our RI-002 product, was allowed and issued August 18, 2015 as U.S. Patent No. 9,107,906. The ’906 patent has a term at least through January 2035 and covers compositions comprising pooled plasma, as well as immunoglobulin prepared therefrom, that contains a standardized, elevated titer of RSV neutralizing antibodies as well as elevated levels of antibodies specific for one or more other respiratory pathogens, as well as methods of making and using the compositions. Our proprietary methods allow us to effectively identify and isolate donor plasma with high-titer RSV neutralizing antibodies and to standardize RI-002’s antibody profile, which we believe may enable us to garner a premium price.</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During the third quarter of 2017, U.S. Pat. App. Serial No. 14/790,872, entitled “Compositions and Methods for the Treatment of Immunodeficiency,” encompassing immunotherapeutic methods of using immune globulin compositions proprietary to us, was allowed and issued July 25, 2017 as U.S. Patent No. 9,714,283. The ’283 patent has a term at least through January 2035.</w:t>
      </w:r>
    </w:p>
    <w:p>
      <w:pPr>
        <w:spacing w:after="0" w:line="184"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In November 2017, U.S. Pat. App. Serial No. 14/592,727, related to immune globulin compositions containing elevated, neutralizing antibody titers to RSV, as well as elevated antibody titers to other respiratory pathogens, was allowed and issued as U.S. Patent No. 9,815,886. The term of the issued patent extends to January 2035.</w:t>
      </w:r>
    </w:p>
    <w:p>
      <w:pPr>
        <w:spacing w:after="0" w:line="184"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In May 2018, U.S. Patent No. 9,969,793 was issued covering methods of treating respiratory infections. The newly issued patent encompasses methods of treating upper and lower respiratory infections, including those caused by RSV, other viruses as well as bacteria utilizing ADMA’s investigational drug candidate RI-002, that contains elevated, neutralizing antibody titers to RSV as well as elevated antibody titers to other respiratory pathogens, such as influenza virus, coronavirus, parainfluenza virus, and metapneumovirus. The term of the issued patent extends to January 2035.</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On January 24, 2019, the U.S. Patent and Trademark Office issued a Notice of Allowance for U.S. Patent Application Serial No. 15/460,147 related to methods of treatment and prevention of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infection. The allowed claims encompass methods of preparing immune globulin via harvesting plasma from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vaccinated, healthy adult human donors and pooling the harvested plasma as the source for manufacturing a hyperimmune anti-</w:t>
      </w:r>
      <w:r>
        <w:rPr>
          <w:rFonts w:ascii="Arial" w:cs="Arial" w:eastAsia="Arial" w:hAnsi="Arial"/>
          <w:sz w:val="18"/>
          <w:szCs w:val="18"/>
          <w:i w:val="1"/>
          <w:iCs w:val="1"/>
          <w:color w:val="auto"/>
        </w:rPr>
        <w:t>S pneumococcal</w:t>
      </w:r>
      <w:r>
        <w:rPr>
          <w:rFonts w:ascii="Arial" w:cs="Arial" w:eastAsia="Arial" w:hAnsi="Arial"/>
          <w:sz w:val="18"/>
          <w:szCs w:val="18"/>
          <w:color w:val="auto"/>
        </w:rPr>
        <w:t xml:space="preserve"> immune globulin containing elevated opsonic antibodies to a plurality of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serotypes, hyperimmune anti-</w:t>
      </w:r>
      <w:r>
        <w:rPr>
          <w:rFonts w:ascii="Arial" w:cs="Arial" w:eastAsia="Arial" w:hAnsi="Arial"/>
          <w:sz w:val="18"/>
          <w:szCs w:val="18"/>
          <w:i w:val="1"/>
          <w:iCs w:val="1"/>
          <w:color w:val="auto"/>
        </w:rPr>
        <w: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pneumococcal </w:t>
      </w:r>
      <w:r>
        <w:rPr>
          <w:rFonts w:ascii="Arial" w:cs="Arial" w:eastAsia="Arial" w:hAnsi="Arial"/>
          <w:sz w:val="18"/>
          <w:szCs w:val="18"/>
          <w:color w:val="auto"/>
        </w:rPr>
        <w:t>immune globulin so prepared and methods of treating</w:t>
      </w:r>
      <w:r>
        <w:rPr>
          <w:rFonts w:ascii="Arial" w:cs="Arial" w:eastAsia="Arial" w:hAnsi="Arial"/>
          <w:sz w:val="18"/>
          <w:szCs w:val="18"/>
          <w:i w:val="1"/>
          <w:iCs w:val="1"/>
          <w:color w:val="auto"/>
        </w:rPr>
        <w:t xml:space="preserve"> S. pneumonia </w:t>
      </w:r>
      <w:r>
        <w:rPr>
          <w:rFonts w:ascii="Arial" w:cs="Arial" w:eastAsia="Arial" w:hAnsi="Arial"/>
          <w:sz w:val="18"/>
          <w:szCs w:val="18"/>
          <w:color w:val="auto"/>
        </w:rPr>
        <w:t>infection and methods of providing immunotherapy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hyperimmune anti-</w:t>
      </w:r>
      <w:r>
        <w:rPr>
          <w:rFonts w:ascii="Arial" w:cs="Arial" w:eastAsia="Arial" w:hAnsi="Arial"/>
          <w:sz w:val="18"/>
          <w:szCs w:val="18"/>
          <w:i w:val="1"/>
          <w:iCs w:val="1"/>
          <w:color w:val="auto"/>
        </w:rPr>
        <w:t>S pneumococcal</w:t>
      </w:r>
      <w:r>
        <w:rPr>
          <w:rFonts w:ascii="Arial" w:cs="Arial" w:eastAsia="Arial" w:hAnsi="Arial"/>
          <w:sz w:val="18"/>
          <w:szCs w:val="18"/>
          <w:color w:val="auto"/>
        </w:rPr>
        <w:t xml:space="preserve"> immune globulin. This allowed Application is expected to issue as a patent in March 2019. The term of the patent, once issued, is expected to extend to March 2037.</w:t>
      </w:r>
    </w:p>
    <w:p>
      <w:pPr>
        <w:spacing w:after="0" w:line="19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also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 testing standards, standard operating procedures and methods we use in our anti-RSV microneutralization assay. While we intend to defend against threats to our intellectual property, litigation can be costly and there can be no assurance that our patent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 We have filed for other provisional patent applications with the U.S. which are pending related to expanded hyperimmune globulin products.</w:t>
      </w:r>
    </w:p>
    <w:p>
      <w:pPr>
        <w:spacing w:after="0" w:line="16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We currently hold multiple trademarks, including but not limited to ASCENIV, </w:t>
      </w:r>
      <w:r>
        <w:rPr>
          <w:rFonts w:ascii="Arial" w:cs="Arial" w:eastAsia="Arial" w:hAnsi="Arial"/>
          <w:sz w:val="18"/>
          <w:szCs w:val="18"/>
          <w:i w:val="1"/>
          <w:iCs w:val="1"/>
          <w:color w:val="auto"/>
        </w:rPr>
        <w:t>BIVIGAM</w:t>
      </w:r>
      <w:r>
        <w:rPr>
          <w:rFonts w:ascii="Arial" w:cs="Arial" w:eastAsia="Arial" w:hAnsi="Arial"/>
          <w:sz w:val="18"/>
          <w:szCs w:val="18"/>
          <w:color w:val="auto"/>
        </w:rPr>
        <w:t xml:space="preserve"> and </w:t>
      </w:r>
      <w:r>
        <w:rPr>
          <w:rFonts w:ascii="Arial" w:cs="Arial" w:eastAsia="Arial" w:hAnsi="Arial"/>
          <w:sz w:val="18"/>
          <w:szCs w:val="18"/>
          <w:i w:val="1"/>
          <w:iCs w:val="1"/>
          <w:color w:val="auto"/>
        </w:rPr>
        <w:t>Nabi-HB</w:t>
      </w:r>
      <w:r>
        <w:rPr>
          <w:rFonts w:ascii="Arial" w:cs="Arial" w:eastAsia="Arial" w:hAnsi="Arial"/>
          <w:sz w:val="18"/>
          <w:szCs w:val="18"/>
          <w:color w:val="auto"/>
        </w:rPr>
        <w:t>. We have spent considerable resources registering the trademarks and building brand awareness and equity of the ADMA Biologics trade name, which has been used in commerce since 2006. We expect to maintain and defend our various trademarks to the fullest extent possible.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FDA and comparable regulatory agencies in state and local jurisdictions and in foreign countries impose substantial requirements upon, among other things, the testing (preclinical and clinical), manufacturing, labeling, storage, recordkeeping, advertising, promotion, import, export, marketing and distribution of our products and product candidates. If we do not comply with applicable requirements, we may be fined, the government may refuse to approve our marketing applications or allow us to manufacture or market our products and we may be criminally prosecuted. We and our manufacturers may also be subject to regulations under other federal, state and local laws.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In the U.S., the FDA regulates products under the Federal Food, Drug, and Cosmetic Act (the “FDCA”) and related regulations. Our current and anticipated future product candidates are considered “biologics” under the FDA regulatory framework. The FDA's regulatory authority for the approval of biologics resides in the Public Health Service Act. However, biologics are also subject to regulation under the FDCA because most biological products also meet the FDCA’s definition of "drugs." Most pharmaceuticals or “conventional drugs” consist of pure chemical substances and their structures are known.</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The process required by the FDA before our product candidates may be marketed in the U.S. generally involves the following (although the FDA is given wide discretion to impose different or more stringent requirements on a case-by-case basis):</w:t>
      </w:r>
    </w:p>
    <w:p>
      <w:pPr>
        <w:spacing w:after="0" w:line="193" w:lineRule="exact"/>
        <w:rPr>
          <w:sz w:val="20"/>
          <w:szCs w:val="20"/>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preclinical animal studies and formulation studies performed in accordance with the FDA’s good laboratory practice regulations and other regulations;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(“IND”) application which must become effective before clinical trials may begin;</w:t>
      </w:r>
    </w:p>
    <w:p>
      <w:pPr>
        <w:spacing w:after="0" w:line="263" w:lineRule="exact"/>
        <w:rPr>
          <w:rFonts w:ascii="Arial" w:cs="Arial" w:eastAsia="Arial" w:hAnsi="Arial"/>
          <w:sz w:val="17"/>
          <w:szCs w:val="17"/>
          <w:color w:val="auto"/>
        </w:rPr>
      </w:pPr>
    </w:p>
    <w:p>
      <w:pPr>
        <w:ind w:left="660" w:right="4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meeting FDA requirements to establish the safety and efficacy of the product candidate for each proposed indication;</w:t>
      </w:r>
    </w:p>
    <w:p>
      <w:pPr>
        <w:spacing w:after="0" w:line="197" w:lineRule="exact"/>
        <w:rPr>
          <w:rFonts w:ascii="Arial" w:cs="Arial" w:eastAsia="Arial" w:hAnsi="Arial"/>
          <w:sz w:val="18"/>
          <w:szCs w:val="18"/>
          <w:color w:val="auto"/>
        </w:rPr>
      </w:pPr>
    </w:p>
    <w:p>
      <w:pPr>
        <w:ind w:left="660" w:right="50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manufacturing (through an FDA-licensed contract manufacturing organization) of product in accordance with good manufacturing practices (“cGMP”) to be used in the clinical trials and providing manufacturing information need in regulatory filings;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of a BLA to the FDA;</w:t>
      </w:r>
    </w:p>
    <w:p>
      <w:pPr>
        <w:spacing w:after="0" w:line="252" w:lineRule="exact"/>
        <w:rPr>
          <w:rFonts w:ascii="Arial" w:cs="Arial" w:eastAsia="Arial" w:hAnsi="Arial"/>
          <w:sz w:val="18"/>
          <w:szCs w:val="18"/>
          <w:color w:val="auto"/>
        </w:rPr>
      </w:pPr>
    </w:p>
    <w:p>
      <w:pPr>
        <w:ind w:left="660" w:right="64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 and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 review and approval of a BLA prior to any commercial marketing, sale or shipment of the product.</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product candidates will be granted on a timely basis, if at all.</w:t>
      </w:r>
    </w:p>
    <w:p>
      <w:pPr>
        <w:spacing w:after="0" w:line="170"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We submit manufacturing and analytical data,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Our submission of an IND, or those of our collaboration partners, may not result in the FDA allowance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The FDA, the IRB or the sponsor may suspend a clinical trial at any time on various grounds, including a finding that the subjects or patients are being exposed to an unacceptable health risk. Clinical testing also must satisfy extensive Good Clinical Practice requirements and regulations for informed consent.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97" w:lineRule="exact"/>
        <w:rPr>
          <w:rFonts w:ascii="Arial" w:cs="Arial" w:eastAsia="Arial" w:hAnsi="Arial"/>
          <w:sz w:val="18"/>
          <w:szCs w:val="18"/>
          <w:color w:val="auto"/>
        </w:rPr>
      </w:pPr>
    </w:p>
    <w:p>
      <w:pPr>
        <w:ind w:left="660" w:right="8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Phase II clinical trials are generally conducted in a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75" w:lineRule="exact"/>
        <w:rPr>
          <w:rFonts w:ascii="Arial" w:cs="Arial" w:eastAsia="Arial" w:hAnsi="Arial"/>
          <w:sz w:val="16"/>
          <w:szCs w:val="16"/>
          <w:color w:val="auto"/>
        </w:rPr>
      </w:pPr>
    </w:p>
    <w:p>
      <w:pPr>
        <w:jc w:val="both"/>
        <w:ind w:left="660" w:right="4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Phase III clinical trials are referred to as pivotal trials. When Phase II clinical trials demonstrate that a dose range of the product candidate is effective and has an acceptable safety profile, Phase III clinical trials are undertaken in large patient populations to provide substantial evidence of reproducibility of clinical efficacy results and to further test for safety in an expanded and diverse patient population at multiple, geographically dispersed clinical trial sites.</w:t>
      </w:r>
    </w:p>
    <w:p>
      <w:pPr>
        <w:spacing w:after="0" w:line="21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addition, under the Pediatric Research Equity Act of 2003, a BLA application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(“PSP”) within 60 days of an end-of-phase 2 meeting or as may be agreed between the sponsor and the FDA. The FDA may, on its own initiative or at the request of the applicant, grant deferrals for submission of data or full or partial waivers. The FDA and the sponsor must reach agreement on the PSP.</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In some cases, the FDA may condition continued approval of a BLA on the sponsor’s agreement to conduct additional clinical trials, or other commitments. Such post-approval studies are typically referred to as Phase IV studies.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results of product candidate development, preclinical testing and clinical trials, together with, among other things, detailed information on the manufacture and composition of the product and proposed labeling, and the payment of a user fee, are submitted to the FDA as part of a BLA. The FDA reviews all BLAs submitted before it accepts them for filing and may reject the filing as inadequate to merit review or may request additional information to be submitted in a very short time frame before accepting a BLA for filing. Once a BLA is accepted for filing, the FDA begins an in-depth review of the application.</w:t>
      </w:r>
    </w:p>
    <w:p>
      <w:pPr>
        <w:spacing w:after="0" w:line="18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During its review of a BLA, the FDA may refer the application to an advisory committee of experts for their review, evaluation and recommendation as to whether the application should be approved, which information is taken into consideration along with the FDA’s own review findings. The FDA may refuse to approve a BLA and issue a CRL if the applicable regulatory criteria are not satisfied or the FDA has additional open questions for which it requires clarification. A CRL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twelve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CBER’s written Standard Operating Policy and Procedure (SOPP) 8405.1 states that it will classify the resubmission as either Class 1 (triggering a two-month review goal for the FDA) or Class 2 (triggering a six-month review goal for the FDA) depending on the circumstances, and in this SOPP CBER stated goal for review of manufacturing and labeling supplement resubmissions for Prescription Drug User Fee Act (“PDUFA”) BLAs is (using the timeframes referenced in 21 C.F.R.§ 314.110(b)(1)(iii)) to review them within the same timeframe as the initial review cycle for the supplement (excluding any extension due to a major amendment of the initial supplement) (for example, under the FDA’s published PDUFA goals for fiscal years 2018 – 2022, a goal of acting on 90% of manufacturing PASs within four months of receipt). In practice, FDA reviews may take longer than the stated goals. 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 Products may be marketed only for the FDA-approved indications and in accordance with the FDA-approved label. The FDA generally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and obtain FDA approval of a new BLA or BLA supplement, which may require us to develop additional data or conduct additional preclinical studies and clinical trials, and/or require additional manufacturing data.</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9" w:name="page20"/>
    <w:bookmarkEnd w:id="1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Satisfaction of the FDA regulations and approval requirements or similar requirements of foreign regulatory agencies typically takes several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w:t>
      </w:r>
    </w:p>
    <w:p>
      <w:pPr>
        <w:spacing w:after="0" w:line="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Government regulation may delay or prevent marketing of product candidates for a considerable period of time and impose costly procedures upon our activities. The FDA or any other regulatory agency may not grant approvals for changes in dose form or new indications for a product candidate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Biological drug products manufactured or distributed pursuant to FDA approvals are subject to extensive and continuing regulation by the FDA, including, among other things, requirements related to recordkeeping (including certain electronic record and signature requirements), periodic reporting, product sampling and distribution, advertising and promotion and reporting of certain adverse experiences, deviations, and other problems with the product. After approval, most changes to the approved product, such as adding new indications or other labeling claims, are subject to prior FDA review and approval. There also are annual user fee requirements for any marketed products and the establishments at which such products are manufactured, as well as new application fees for supplemental applications with clinical data.</w:t>
      </w:r>
    </w:p>
    <w:p>
      <w:pPr>
        <w:spacing w:after="0" w:line="17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Manufacturers and certain other entities involved in the manufacturing and distribution of approved products are required to register their establishments with the FDA and certain state agencies, and are subject to periodic unannounced inspections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For biologics products in particular, for each product lot the applicant must submit materials related to that lot to the FDA before the lot can be released for distribution.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FDA may impose a number of post-approval requirements as a condition of approval of an application.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warning letters, suspension of manufacturing, sales or use, seizure of product, injunctive action or possible fines and other penalties. We cannot be certain that we or our present or future third-party manufacturers or suppliers will be able to comply with the cGMP regulations and other ongoing FDA regulatory requirements. If we or our present or future third-party manufacturers or suppliers are not able to comply with these requirements, the FDA may halt our clinical trials, require us to recall a product from distribution, or withdraw approval of our BLA for that product.</w:t>
      </w:r>
    </w:p>
    <w:p>
      <w:pPr>
        <w:spacing w:after="0" w:line="166"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and/or other regulatory letters, corrective advertising and potential major fines and other penalties.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commercial distribution of prescription drugs (including biological drug products) is subject to the</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Drug Supply Chain Security Act ("DSCSA"),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transaction information, transaction history, and transaction statements. Further, the DSCSA limits the distribution of prescription pharmaceutical products and imposes requirements to ensure overall accountability and security in the drug supply chain. The distribution of product samples continues to be regulated under the PDMA.</w:t>
      </w:r>
    </w:p>
    <w:p>
      <w:pPr>
        <w:spacing w:after="0" w:line="19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approval, manufacturing and marketing of products regulated by the FDA. In addition to new legislation, FDA regulations, guidance, and policies are often revised or reinterpreted by the FDA in ways that may significantly affect our business and our product candidates. It is impossible to predict whether further legislative or FDA regulation or policy changes will be enacted or implemented and what the impact of such changes, if any, may be.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ADMA Bio Centers</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All blood and blood product collection and manufacturing centers which engage in interstate commerce must be licensed by the FDA. In order to achieve licensure, the organization must submit a BLA and undergo pre-licensure inspection. ADMA Bio Centers has completed these requirements and holds an FDA license for its existing plasma collection facility. In order to maintain an FDA license, each such facility operated by ADMA Bio Centers will be inspected at least every two years. ADMA Bio Centers is also required to submit annual reports to the FDA.</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Blood plasma collection and manufacturing centers are also subject to the Clinical Laboratory Improvement Amendments, state licensure and compliance with industry standards such as the International Quality Plasma Program. Compliance with state and industry standards is verified by means of routine inspection. We believe that our existing ADMA Bio Centers facility is currently in compliance with state and industry standards. Delays in obtaining, or failures to maintain, regulatory approvals for any facilities operated by ADMA Bio Centers would harm our business. In addition, we cannot predict what adverse federal and state regulations and industry standards may arise in the future.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92"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mutual recognition procedure. The centralized procedure provides for the grant of a single marketing authorization that is valid for all European Union member states.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Coverage, Pricing and Reimbursement</w:t>
      </w:r>
    </w:p>
    <w:p>
      <w:pPr>
        <w:spacing w:after="0" w:line="229"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Significant uncertainties exist as to the coverage and reimbursement status of any products for which we may obtain regulatory approval. In the U.S., sales of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6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any products, in addition to the costs required to obtain regulatory approvals. Our product candidates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6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U.S. government and state legislatures have shown significant interest in implementing cost containment programs to limit the growth of government-paid healthcare costs, including price controls, restrictions on reimbursement and requirements for substitution of generic products for branded prescription drugs. For example, the Patient Protection and Affordable Care Act (“ACA”) and the companion Healthcare and Education Reconciliation Act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Adoption of government controls and measures, and tightening of restrictive policies in jurisdictions with existing controls and measures, could limit payments for pharmaceuticals.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payers fail to provide adequate coverage and reimbursement. In addition, an increasing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of December 31, 2019, we had a total of 314 employees, comprised of 313 full-time employees and one part-time employee. Over the course of the next year, we anticipate hiring additional full-time employees devoted to sales and marketing, medical and scientific affairs, general and administrative, as well as hiring additional staff as part of the build-out of our plasma collection centers as appropriate. We intend to use Clinical Research Organizations (“CROs”), third parties and consultants to perform our clinical studies and manufacturing, regulatory affairs and quality control services in addition to corporate marketing, branding and commercialization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ADMA Biologics, Inc. was founded on June 24, 2004 as a New Jersey corporation and re-incorporated in Delaware on July 16, 2007. We operate through our wholly-owned subsidiaries ADMA Plasma Biologics, ADMA BioManufacturing and ADMA Bio Centers. ADMA BioManufacturing was formed in January 2017 to facilitate the acquisition of BTBU. ADMA Bio Centers is the Company’s source plasma collection business which operates in the U.S. Each operational ADMA plasma collection center, once approved, will have a license with the FDA and may obtain additional certifications from other regulatory agencies.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To date, we have generated limited product revenues, have a history of losses and will need to raise additional capital to operate our business, which may not be available on favorable terms, if at all.</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To date, we have generated a substantial portion of our revenues from the sale of plasma by our plasma collections facilities. Following completion of the Biotest Transaction, we began generating revenues from the sale of our plasma-derived immune globulins which include: Nabi-HB, BIVIGAM, ASCENIV, intermediate fractions and the contract manufacturing of plasma-derived products for a third-party. On May 9, 2019 we received approval from the FDA for BIVIGAM, and the commercial re-launch of this product commenced in August 2019. On April 1, 2019, the FDA approved ASCENIV, formerly referred to as RI-002, and the first commercial sales of this product took place in October 2019. In October 2019, we generated initial sales of our plasma-derived intermediate fractions.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provide more control and visibility for timing of commercial product releases, raise additional capital, fund and successfully implement our research and development and commercial programs, establish and build out a commercial sales force, medical affairs organization and commercial infrastructure and meet our ongoing obligations.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currently anticipate, based upon our projected revenue and expenditures, as well as the additional funds we are able to draw-down under the Credit Agreement and Guaranty (the “Perceptive Credit Agreement”) between us and Perceptive Credit Holdings II, LP (“Perceptive”), that our current cash, cash equivalents and accounts receivable, will be sufficient to fund our operations into the second quarter of 2021. This time frame may change based upon how quickly we are able to execute on our commercialization efforts and operational initiatives. However, if the assumptions underlying our estimated revenues and expenses prove to be incorrect, we may have to raise additional capital sooner than we currently expect.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arrangements. If we are unable to raise additional capital as needed, we will have to delay, curtail or eliminate our commercialization efforts as well as product development activities. Even if we are able to raise additional capital, such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have a history of losses and expect to incur substantial losses and negative operating cash flow into fiscal 2021, and we may never achieve or maintain profitability. For the years ended December 31, 2019 and 2018, we incurred net losses of $48.3 million and $65.7 million, respectively. From our inception in 2004 through December 31, 2019, we have incurred an accumulated deficit of $264.7 million.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agreements. We also expect to continue to incur significant operating and capital expenditures and anticipate that our operating expenses will increase substantially in the foreseeable future as we:</w:t>
      </w:r>
    </w:p>
    <w:p>
      <w:pPr>
        <w:spacing w:after="0" w:line="16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52"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As a result, we will need to generate significant revenues in order to achieve and maintain profitability. We may not be able to generate these revenues or achieve profitability in the future. Our failure to achieve or maintain profitability could negatively impact the value of our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could have a material and adverse effect on our business, financial condition, results from operations and prospects.</w:t>
      </w:r>
    </w:p>
    <w:p>
      <w:pPr>
        <w:spacing w:after="0" w:line="171"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Although in the future we plan to build our own fill/finish suite within the Boca Facility, we also intend to continue to utilize third parties to supplement our fill/finish process for final drug substance and we may, in any event, never be successful in developing our own fill/finish suite. Our anticipated reliance on a limited number of third-party manufacturers exposes us to the following risks:</w:t>
      </w:r>
    </w:p>
    <w:p>
      <w:pPr>
        <w:spacing w:after="0" w:line="184" w:lineRule="exact"/>
        <w:rPr>
          <w:sz w:val="20"/>
          <w:szCs w:val="20"/>
          <w:color w:val="auto"/>
        </w:rPr>
      </w:pPr>
    </w:p>
    <w:p>
      <w:pPr>
        <w:ind w:left="780" w:right="100" w:hanging="772"/>
        <w:spacing w:after="0" w:line="34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50" w:lineRule="exact"/>
        <w:rPr>
          <w:rFonts w:ascii="Arial" w:cs="Arial" w:eastAsia="Arial" w:hAnsi="Arial"/>
          <w:sz w:val="16"/>
          <w:szCs w:val="16"/>
          <w:color w:val="auto"/>
        </w:rPr>
      </w:pPr>
    </w:p>
    <w:p>
      <w:pPr>
        <w:ind w:left="780" w:right="280" w:hanging="772"/>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97" w:lineRule="exact"/>
        <w:rPr>
          <w:rFonts w:ascii="Arial" w:cs="Arial" w:eastAsia="Arial" w:hAnsi="Arial"/>
          <w:sz w:val="18"/>
          <w:szCs w:val="18"/>
          <w:color w:val="auto"/>
        </w:rPr>
      </w:pPr>
    </w:p>
    <w:p>
      <w:pPr>
        <w:ind w:left="780" w:right="180" w:hanging="772"/>
        <w:spacing w:after="0" w:line="263"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210" w:lineRule="exact"/>
        <w:rPr>
          <w:rFonts w:ascii="Arial" w:cs="Arial" w:eastAsia="Arial" w:hAnsi="Arial"/>
          <w:sz w:val="18"/>
          <w:szCs w:val="18"/>
          <w:color w:val="auto"/>
        </w:rPr>
      </w:pPr>
    </w:p>
    <w:p>
      <w:pPr>
        <w:ind w:left="780" w:hanging="772"/>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63" w:lineRule="exact"/>
        <w:rPr>
          <w:rFonts w:ascii="Arial" w:cs="Arial" w:eastAsia="Arial" w:hAnsi="Arial"/>
          <w:sz w:val="17"/>
          <w:szCs w:val="17"/>
          <w:color w:val="auto"/>
        </w:rPr>
      </w:pPr>
    </w:p>
    <w:p>
      <w:pPr>
        <w:ind w:left="780" w:hanging="772"/>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52" w:lineRule="exact"/>
        <w:rPr>
          <w:rFonts w:ascii="Arial" w:cs="Arial" w:eastAsia="Arial" w:hAnsi="Arial"/>
          <w:sz w:val="18"/>
          <w:szCs w:val="18"/>
          <w:color w:val="auto"/>
        </w:rPr>
      </w:pPr>
    </w:p>
    <w:p>
      <w:pPr>
        <w:ind w:left="780" w:right="320" w:hanging="772"/>
        <w:spacing w:after="0" w:line="263"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210" w:lineRule="exact"/>
        <w:rPr>
          <w:rFonts w:ascii="Arial" w:cs="Arial" w:eastAsia="Arial" w:hAnsi="Arial"/>
          <w:sz w:val="18"/>
          <w:szCs w:val="18"/>
          <w:color w:val="auto"/>
        </w:rPr>
      </w:pPr>
    </w:p>
    <w:p>
      <w:pPr>
        <w:ind w:left="780" w:hanging="772"/>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780" w:hanging="772"/>
        <w:spacing w:after="0" w:line="27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9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Each of these risks could delay or prevent the completion of our finished drug product and the release of finished drug product by the FDA, which could result in higher costs or adversely impact the commercialization of our products. In addition, our contract fill/finishers and our other third-party vendors may source their materials and supplies globally, and are therefore subject to supply disruptions in the event of fire, weather related events such as hurricanes, wind and rain, other acts of God or force majeure events or global health occurrences and emergencies.</w:t>
      </w:r>
    </w:p>
    <w:p>
      <w:pPr>
        <w:spacing w:after="0" w:line="17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and revenue growth included in this Form 10-K may prove to be inaccurate, and even if the markets in which we compete achieve the forecasted growth, our business could fail to grow at similar rates, if at all.</w:t>
      </w:r>
    </w:p>
    <w:p>
      <w:pPr>
        <w:spacing w:after="0" w:line="12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facilities are capable of generating. As a result, we may not be able to accurately forecast or predict revenue. For these reasons, the estimates and forecasts in this Form 10-K relating to revenue generation and growth may prove to be inaccurate. Even if the markets in which we compete meet our size estimates and forecasted growth, our business could fail to grow at similar rates, if at all.</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Even though we operate under our own FDA-issued license, we may not be able to officially resolve or receive a final close-out letter with respect to the Warning Letter issued to Biotest’s License #1792 for the Boca Facility.</w:t>
      </w:r>
    </w:p>
    <w:p>
      <w:pPr>
        <w:spacing w:after="0" w:line="170"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Prior to the closing of the Biotest Transaction, BTBU was our third-party manufacturer for ASCENIV, formerly referred to as RI-002. In response to our Biologics License Application (“BLA”) submission for RI-002 in 2015 (the “RI-002 BLA”), in July 2016 the FDA issued a Complete Response Letter (“CRL”) for RI-002 (the “RI-002 CRL”). The RI-002 CRL did not specify or request the need for any addition clinical trials or data; however, the RI-002 CRL reaffirmed the issues set forth in a November 2014 warning letter (the “Warning Letter”) that the FDA had issued to BPC related to certain compliance and other inspection issues and deficiencies identified at the Boca Facility. The FDA identified in the RI-002 CRL, among other things, certain outstanding inspection issues and deficiencies related to chemistry, manufacturing and control (“CMC”) and Good Manufacturing Practices (“GMP”) at the Boca Facility and at certain of our third-party vendors, and requested documentation of corrections for a number of these issues. The FDA indicated in the RI-002 CRL that it could not grant final approval of our RI-002 BLA until, among other things, these deficiencies were resolved. In response to the Warning Letter, in December 2016, BTBU temporarily suspended the production of BIVIGAM to focus on the completion of planned improvements to the manufacturing process. As a result, BIVIGAM was not available for sale or distribution throughout fiscal 2017, 2018, and until August 2019.</w:t>
      </w:r>
    </w:p>
    <w:p>
      <w:pPr>
        <w:spacing w:after="0" w:line="16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Following the completion of the Biotest Transaction, we gained control over the regulatory, quality, general operations and drug substance manufacturing process at the Boca Facility, and our highest priority was to remediate the outstanding compliance issues at the Boca Facility as indicated in the Warning Letter. We worked with a leading consulting firm with extensive experience in remediating compliance and inspection issues related to quality management systems that managed a robust team of subject matter experts in plasma-derived products and biologic drugs to assist us in addressing all identified CMC and cGMP issues and deficiencies. In April 2018, the FDA inspected the Boca Facility and, in July 2018, our FDA status improved from Official Action Indicated (“OAI”) to Voluntary Action Indicated (“VAI”), and this inspection of the Boca Facility has been successfully closed out as indicated on the FDA’s website inspection database. The FDA subsequently approved ASCENIV in April 2019 and BIVIGAM in May 2019, and, on July 2, 2019, notified us that the licenses for BIVIGAM and Nabi-HB had been revoked from BPC’s U.S. License No. 1792, with respect to which the Warning Letter was issued, and transferred and issued to our U.S. License No. 2019. The commercial re-launch and first commercial sales of BIVIGAM under our ownership occurred in August 2019. Commercial sales of ASCENIV commenced in October 2019. Although we received FDA approval of our RI-002 BLA on April 1, 2019 and the FDA has transferred the BIVIGAM and Nabi-HB licenses to us, neither we nor BPC has received a “Warning Letter close-out letter” from the FDA. We believe that we have successfully closed out the April 2018 FDA inspection of the Boca Facility, and we believe that as result of the FDA’s transfer of the BIVIGAM and Nabi-HB licenses to us, we have neither a right nor an obligation to close out the Warning Letter, which applied to BPC’s U.S. License No. 1792. Consequently, we may not be able to officially close out the Warning Letter issued to Biotest under their license #1792 related to the Boca Facility.</w:t>
      </w:r>
    </w:p>
    <w:p>
      <w:pPr>
        <w:spacing w:after="0" w:line="18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can be no assurance that the FDA will not in the future determine that our efforts to remediate the underlying concerns at the Boca Facility that resulted in the Warning Letter and the CRL in July 2016 have not been effective. Additionally, we are unable to control the timing of FDA inspections, responses, meeting requests, teleconference requests, requests for clarifications and similar regulatory communications, as well as whether or not the FDA will change its requirements, guidance or expectations. If the FDA determines that we have not remediated the issues identified in the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operations, including our headquarters located in Ramsey, NJ, the Boca Facility and our plasma collection facilities, are vulnerable to interruption by fire, weather related events such as hurricanes, wind and rain, other acts of God, electric power loss, telecommunications failure, equipment failure and breakdown, human error, employee issues, global health occurrences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68"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biologics license applications, or to repeat clinical trials. The commencement and completion of clinical trials for any current or future development product candidate may be delayed by several factors, including:</w:t>
      </w:r>
    </w:p>
    <w:p>
      <w:pPr>
        <w:spacing w:after="0" w:line="17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5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3) be demonstrated in two adequate and well-controlled clinical trials. However, if the FDA or an equivalent foreign regulatory authority determines that our Phase 3 clinical trial results do not demonstrate a statistically significant, clinically meaningful benefit with an acceptable safety profile, or if a relevant regulator requires us to conduct additional Phase 3 clinical trials in order to gain approval, we will incur significant additional development costs and commercialization of these products would be prevented or delayed and our business would be adversely affected.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addition, the FDA or an independent institutional review board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78"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 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65"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If we are not be able to generate revenue from our products and product candidates, our sources of revenue may continue to be from a product mix consisting only of plasma collection and sales revenues, revenues generated from sales of our FDA-approved commercial products, revenues generated from ongoing contract manufacturing for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There are numerous FDA personnel assigned to review different aspects of a BLA, and uncertainties can be presented by their ability to exercise judgment and discretion during the review process.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6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approval procedures described above. We cannot assure you that we will receive the approvals necessary to commercialize any product candidate for sale outside the U.S.</w:t>
      </w:r>
    </w:p>
    <w:p>
      <w:pPr>
        <w:spacing w:after="0" w:line="19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The FDA generally does not allow drugs to be promoted for “off-label” uses — that is, uses that are not described in the product’s labeling and that differ from those that were approved by the FDA. Generally,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9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or institute fines or civil fines, or could result in disgorgement of money, operating restrictions, injunctions or criminal prosecution, any of which could harm our reputation and our business.</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developing and expanding commercial operations or balancing our research and development activities with our commercialization activities.</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With the approval of ASCENIV, we plan to commercialize this product, while also continuing our research and development activities. There can be no assurance that we will be able to successfully manage the balance of our research and development operations with our planned commercialization activities. Potential investors and stockholders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can include problems related to managing manufacturing and supply,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and test products and product candidates, and such parties are, to some extent, outside of our control.</w:t>
      </w:r>
    </w:p>
    <w:p>
      <w:pPr>
        <w:spacing w:after="0" w:line="170" w:lineRule="exact"/>
        <w:rPr>
          <w:sz w:val="20"/>
          <w:szCs w:val="20"/>
          <w:color w:val="auto"/>
        </w:rPr>
      </w:pPr>
    </w:p>
    <w:p>
      <w:pPr>
        <w:ind w:right="300" w:firstLine="648"/>
        <w:spacing w:after="0" w:line="270" w:lineRule="auto"/>
        <w:rPr>
          <w:sz w:val="20"/>
          <w:szCs w:val="20"/>
          <w:color w:val="auto"/>
        </w:rPr>
      </w:pPr>
      <w:r>
        <w:rPr>
          <w:rFonts w:ascii="Arial" w:cs="Arial" w:eastAsia="Arial" w:hAnsi="Arial"/>
          <w:sz w:val="17"/>
          <w:szCs w:val="17"/>
          <w:color w:val="auto"/>
        </w:rPr>
        <w:t>We depend on independent investigators and collaborators, such as universities and medical institutions, contract laboratories, clinical research organizations, contract manufacturers, contract fill/finishers and consultants to conduct our preclinical, clinical trials, CMC testing and other activities under agreements with us.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the approval of our FDA application(s), if any, and our introduction of new products, if any, will be delayed.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approval for our product candidates.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relating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requires us to conduct specified post-marketing studies related to our manufacturing controls and processes, and submit specified post-marketing reports to the FDA. If, during the post marketing period (after marketing approval) previously unknown adverse events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7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year ended December 31, 2019, three customers represented an aggregate of 70% of our consolidated revenues, with BioCare, Biolife and Sanofi representing approximately 26%, 24%, and 20%, respectively, of our consolidated revenues. For the year ended December 31, 2018, BPC, McKesson Corporation (“McKesson”) and AmerisourceBergen Corporation (“AmerisourceBergen”) represented 56%, 16% and 15%, respectively, of our consolidated revenues.</w:t>
      </w:r>
    </w:p>
    <w:p>
      <w:pPr>
        <w:spacing w:after="0" w:line="187"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At December 31, 2019, BioCare represented 77% of our consolidated accounts receivable and McKesson represented 13% of our consolidated accounts receivable. At December 31, 2018, BPC, AmerisourceBergen and Cardinal Health, Inc. (“Cardinal Health”) accounted for 59%, 23% and 12%, respectively, of our consolidated accounts receivable.</w:t>
      </w:r>
    </w:p>
    <w:p>
      <w:pPr>
        <w:spacing w:after="0" w:line="18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loss of any key customers or a material change in the revenue generated by any of these customers could have a material adverse effect on our business, results of operations and financial condition. The initial term of our Amended and Restated Plasma Supply Agreement with BPC, pursuant to which we supplied BPC with normal source plasma, expired by its terms on December 31, 2018 and was not renewed, and we fulfilled our commitment under our supply agreement with Sanofi during the year ended December 31, 2019. Moreover, we anticipate deriving increased revenue from BioCare over the next few years. Factors that could influence our relationships with our customers include, among other things:</w:t>
      </w:r>
    </w:p>
    <w:p>
      <w:pPr>
        <w:spacing w:after="0" w:line="16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Additionally, an adverse change in the financial condition of BioCare, Biolife, McKesson, Cardinal Health or AmerisourceBergen could negatively affect revenue derived from such customer, which in turn would have a material adverse effect on our business and results of operations.</w:t>
      </w:r>
    </w:p>
    <w:p>
      <w:pPr>
        <w:spacing w:after="0" w:line="14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Our current product development portfolio consists primarily of label expansion activities for Nabi-HB, BIVIGAM and ASCENIV.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raise capital for, and the successful commercialization of ASCENIV, as well as the revenue we may generate from the sale of Nabi-HB, BIVIGAM, contract manufacturing, and intermediates and plasma attributable to the operations of ADMA Bio Centers, to support our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ADMA Bio 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individually identifiable health information held by covered entities and business associates. A “covered entity” is the primary type of HIPAA-regulated entity. Health plans/insurers, healthcare providers engaging in standard transactions (insurance/health plan claims and encounters, payment and remittance advice, claims status, eligibility, enrollment/disenrollment, referrals and authorizations, coordination of benefits and premium payments), and healthcare clearinghouses (switches that convert data between standard and non-standard data sets) are covered entities. A “business associate” provides services to covered entities (directly or as subcontractors to other business associates) involving arranging, creating, receiving, maintaining, or transmitting protected health information (“PHI”) on a covered entity’s behalf. In order to legally provide access to PHI to service providers, covered entities and business associates must enter into a “business associate agreement” (“BAA”) with the service provider PHI recipient. Among other things, HITECH made certain aspects of the HIPAA’s rules (notably the Security Rule)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 to enforce the federal HIPAA laws and seek attorney’s fees and costs associated with pursuing federal civil actions. The HHS Office of Civil Rights (“OCR”) has increased its focus on compliance and continues to train state attorneys general for enforcement purposes. OCR has recently increased both its efforts to audit HIPAA compliance and its level of enforcement, with one recent penalty exceeding $5.0 million.</w:t>
      </w:r>
    </w:p>
    <w:p>
      <w:pPr>
        <w:spacing w:after="0" w:line="19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California recently enacted legislation – the California Consumer Privacy Act, or CCPA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We could be subject to enforcement action and litigation exposure if we fail to adhere to these data privacy and security laws.</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neither be successful in integrating the Biotest Assets into our business nor realize the strategic and financial benefits currently anticipated from the Biotest Transaction.</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Biotest Transaction involves the integration of two businesses that previously have operated independently with principal offices in two distinct locations. We continue to expend significant management attention and resources to integrate the two companies following completion of the Biotest Transaction. The failure to integrate successfully and to manage successfully the challenges presented by the integration process may result in the combined company’s failure to achieve some or all of the anticipated benefits of the Biotest Transaction. There is also uncertainty as to whether the combined business will be able to operate at a profitable level in the future given the relatively small size of the Biotest Assets and the competitive environment in which we operate.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difficulties that may be encountered in the integration process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using our cash and other assets efficiently to develop the business on a post-Biotest Transaction basis;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appropriately managing the liabilities of our Company on a post-Biotest Transaction basis;</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Biotest Transaction and the operations of our Company on a post-Biotest Transaction basis;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Biotest Transaction; and</w:t>
      </w:r>
    </w:p>
    <w:p>
      <w:pPr>
        <w:spacing w:after="0" w:line="252"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shortfalls in one or both of the businesses as a result of the diversion of the applicable management’s attention caused by completing the Biotest Transaction and integrating the business.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Delays in the integration process could adversely affect the combined company’s business, financial results, financial condition and stock price following the Biotest Transaction. Even if the combined company were able to integrate the business operations successfully, there can be no assurance that this integration will result in the realization of the full benefits of synergies, innovation and operational efficiencies that may be possible from this integration or that these benefits will be achieved within a reasonable period of time.</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Biotest Transaction exposes us to liabilities, a release of claims and competition that could have a material adverse effect on our business, financial condition, results of operations and stock price.</w:t>
      </w:r>
    </w:p>
    <w:p>
      <w:pPr>
        <w:spacing w:after="0" w:line="170"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As part of the consideration for the Biotest Transaction, we agreed to assume certain liabilities of BPC related to BTBU, which exposes us to liabilities that are not within our control and we cannot predict the extent to which these liabilities may arise in the future. Any liabilities that may arise could have a material adverse effect on our business, financial condition, results of operations and stock price.</w:t>
      </w:r>
    </w:p>
    <w:p>
      <w:pPr>
        <w:spacing w:after="0" w:line="16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Master Purchase and Sale Agreement, dated as of January 21, 2017 (the “Master Purchase Agreement”) contains indemnification undertakings by the parties thereto for certain losses, including, among other things, indemnification for any losses arising from breaches of its representations, warranties, covenants and agreements in the Master Purchase Agreement. In connection with the Share Transfer, Amendment and Release Agreement among us, BPC, Biotest AG, Biotest US Corporation and The Biotest Divestiture Trust (the “Biotest Trust”) (the “Biotest Transfer Agreement”), we granted a full release to Biotest from any and all past, present or future indemnification claims arising under or in connection with the Master Purchase Agreement. Significant indemnification claims by BPC or its affiliates or breaches by BPC or its affiliates of any indemnity obligations which would have been owed to us under the Master Purchase Agreement prior to the release granted in the Biotest Transfer Agreement could have a material adverse effect on our business, financial condition, results of operations and stock price.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the consideration for the Biotest Transaction, the parties also agreed to a mutual release, pursuant to which the parties agreed not to bring any suit, action or claim for any breach or default under the existing manufacturing and supply agreement or master services agreement prior to the closing of the Biotest Transaction. This release remains effective from and after the closing of the Biotest Transaction. Without this release, we would have otherwise been permitted to bring a claim against BPC related to the Warning Letter that could have possibly entitled us to remedies in the event that we are unable to resolve the Warning Letter. The inability to seek these remedies could have a material adverse effect on our business, financial condition, results of operations and stock price.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while the Master Purchase Agreement contains certain non-compete clauses, such clauses do not prohibit either the Biotest Guarantors (as defined therein) or their other affiliates from directly or indirectly (other than through BPC) competing with BTBU after the closing of the Biotest Transaction. Such competition could result in the loss of existing or new customers, price reductions, reduced operating margins and loss of market share, which could have a material adverse effect on our business, financial condition, results of operations and stock price.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due diligence investigation for the Biotest Transaction was inadequate and/or the representations, warranties and indemnification given to us by BPC were inadequate, then it could result in a material adverse effect on our business.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Even though we believe that we conducted a reasonable and customary due diligence investigation of BTBU and we received market representations, warranties and indemnities from Biotest and BPC, we cannot be sure that our due diligence investigation uncovered all material or non-material issues that may be present. There also can be no assurances that we received access to or had the ability to diligence certain information, as well as appropriate representations and or warranties, that it would be possible to uncover all material issues through customary due diligence, or that issues outside of our control will not later arise or that all material issues which are or could have been discovered would otherwise be covered by the representations and warranties of Biotest and BPC and therefore indemnifiable. In connection with the Biotest Transfer Agreement, we granted a full release to Biotest from any and all past, present or future indemnification claims arising under or in connection with the Master Purchase Agreement. If we failed to identify any important issues, or if it were not possible to uncover all material issues, any such material issue could result in a material adverse effect on our business, financial condition, results of operations and stock price.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Perceptive Credit Facility is subject to acceleration in specified circumstances, which may result in Perceptive taking possession and disposing of any collateral.</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February 11, 2019 (the “Perceptive Closing Date”), we entered into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our issuance of a promissory note in favor of Perceptive on the Perceptive Closing Date (the “Perceptive Tranche I Loan”), (ii) a term loan in the principal amount of $27.5 million evidenced by our of a promissory note in favor of Perceptive on May 3, 2019 (the “Perceptive Tranche II Loan”); and (iii) an additional commitment in the principal amount of up to $12.5 million (the “Perceptive Tranche III Loan,” and together with the Perceptive Tranche I Loan and the Perceptive Tranche II Loan, the “Perceptive Loans”) to be drawn-down at our sole option no later than March 31, 2020. The Perceptive Loans each have a maturity date of March 1, 2022, subject to acceleration pursuant to the Perceptive Credit Agreement, including upon an Event of Default (as defined in the Perceptive Credit Agreement). The Perceptive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Perceptive Loans of 4% per annum, the occurrence of an Event of Default could result in, among other things, the termination of commitments under the Perceptive Credit Facility, the declaration that all outstanding Loans are immediately due and payable in whole or in part, and Perceptive taking immediate possession of, and selling, any collateral securing the Perceptive Loans.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As we move forward in clinical development we are also uncovering novel aspects of our products and are drafting patents to cover our inventions. We rely on a combination of patent rights, trade secrets and nondisclosure and non-competition agreements to protect our proprietary intellectual property, and we will continue to do so. There can be no assurance that our patent, trade secret policies and practices or other agreements will adequately protect our intellectual property. Our issued patents may be challenged, found to be over-broad or otherwise invalidated in subsequent proceedings before courts or the U.S. Patent and Trademark Office.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46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and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If we are unable to manage our growth effectively, our business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We will need to hire additional qualified personnel with expertise in commercialization, sales, marketing, medical affairs, reimbursement, government regulation, formulation, quality control, manufacturing and finance and accounting. In particular, over the next 12-24 months, we expect to hire several new employees devoted to commercialization, sales, marketing, medical and scientific affairs, regulatory affairs, quality control, financial, general and operational management. We compete for qualified individuals with numerous biopharmaceutical companies, universities and other research institutions. Competition for such individuals is intense, and we cannot assure you that our search for such personnel will be successful. Attracting and retaining qualified personnel will be critical to our success and any failure to do so successfully may have a material adverse effect on us.</w:t>
      </w:r>
    </w:p>
    <w:p>
      <w:pPr>
        <w:spacing w:after="0" w:line="16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 Centers facility, and if we cannot maintain FDA approval for this facility or obtain FDA approval for additional facilities that we create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intend to maintain FDA approval of our ADMA Bio Centers collection facility in Kennesaw, GA for the collection of human blood plasma and we may seek other governmental and regulatory approvals for this facility. We also plan to grow through the building and licensing of additional ADMA Bio Centers facilities in various regions of the U.S. Collection facilities are subject to FDA and potentially other governmental and regulatory inspections and extensive regulation, including compliance with current cGMP, FDA and other government approvals, as applicable. Failure to comply with applicable governmental regulations or to receive applicable approvals for our future facilities may result in enforcement actions, such as adverse inspection reports, warning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materially adverse effect on our ability to manufacture our products or offer for sale plasma collected at the affected site(s).</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FDA had identified issues in the Warning Letter resulting from their prior inspections while the Boca Facility was under BPC’s operational control. We engaged a leading consulting firm with extensive experience in remediating compliance and inspection issues related to quality management systems that managed a robust team of subject matter experts in plasma-derived products and biologic drugs to assist us in addressing all identified CMC and cGMP issues and deficiencies. Although we have improved our compliance status at the Boca Facility, there are no assurances we will be able to maintain compliance with all FDA or other regulations. Our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87"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laws governing our conduct in the U.S. are enforceable on the federal and state levels by criminal, civil and administrative penalties. Violations of laws such as the Federal Food, Drug, and Cosmetic Act, the Social Security Act (including the Anti-Kickback Statute), the Public Health Service Act and the Federal False Claims Act, and any regulations promulgated under the authority of the preceding, may result in jail sentences, fines or exclusion from federal and state programs, as may be determined by Medicare, Medicaid and HHS and other regulatory authorities as well as by the courts. Similarly, the violation of applicable laws, rules and regulations of the State of Florida with respect to the manufacture of our products and product candidates may result in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78"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For example, under the Anti-Kickback Statute and similar state laws and regulations, the offer or payment of anything of value for patient referrals, or in return for purchasing, leasing, ordering or arranging for or recommending the purchase, lease, or ordering of any time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the Medicare and Medicaid programs. Arrangements with referral sources such as purchasers, group purchasing organizations, physicians and pharmacists must be structured with care to comply with applicable requirements. Legislators and regulators may seek to further restrict the scope of financial relationships that are considered appropriate. For example, HHS issued a proposed rule in February 2019, which aims to eliminate certain Anti-Kickback Statute safe harbor protection for drug rebates. Also, certain business practices, such as payments of consulting fees to healthcare providers, sponsorship of educational or research grants, charitable donations, interactions with healthcare providers that prescribe products for uses not approved by the FDA and financial support for continuing medical education programs, must be conducted within narrowly prescribed and controlled limits to avoid any possibility of wrongfully influencing healthcare providers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subject to this “Sunshine Act” and its implementing regulations to U.S.–licensed physicians and teaching hospitals, must be tracked and reported, and will be publicly disclosed. Such “applicable manufacturers” are also required to report certain ownership interests held by physicians and their immediate family members. In 2018, the Sunshine Act was extended to require tracking and reporting of payments and transfers of value to physician assistants, nurse practitioners, and other mid-level practitioners (with reporting requirements going into effect in 2022 for payments and transfers of value made in 2021). A number of states have similar laws in place. Additional and stricter prohibitions could be implemented by federal and state authorities. Where such practices have been found to be improper incentives to use such products, government investigations and assessments of penalties against manufacturers have resulted in substantial damages and fines. Many manufacturers have been required to enter into consent decrees or orders that prescribe allowable corporate conduct.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recently been brought against companies accused of promoting off-label uses of drugs, because such promotion induces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Anti-Kickback Statute that applies to Medicare and Medicaid, and other healthcare fraud provisions, leading to the possibility of greatly increased qui tam suits by relators for perceived violations. Violations or allegations of violations of the foregoing restrictions could materially and adversely affect our business.</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the Centers for Medicare &amp; Medicaid Services (“CMS”) for the purpose of calculating national reimbursement levels, certain federal prices and certain federal and state rebate obligations. Inaccurate or incomplete reporting of pricing information could result in liability under the False Claims Act, the federal Anti-Kickback Statute and various other laws, rules and regulations.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will need to establish systems for collecting and reporting this data accurately to CMS and institute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train our employees. Such a program may be expensive and may not provide assurance that we will avoid compliance issues.</w:t>
      </w:r>
    </w:p>
    <w:p>
      <w:pPr>
        <w:spacing w:after="0" w:line="17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are also required to comply with the applicable laws, rules, regulations and permit requirements of the various states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laws, rules, regulations and permits. Failure to appropriately comply with such state requirements could result in temporary or long-term cessation of our manufacturing operations, as well as fines and other sanctions. Any such penalties may have a material adverse effect on our business and results of operations.</w:t>
      </w:r>
    </w:p>
    <w:p>
      <w:pPr>
        <w:spacing w:after="0" w:line="192"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Both before and after the approval of our products, our products, our operations, our facilities, our suppliers and our contract research organizations are subject to extensive regulation by federal, state and local governmental authorities in the U.S. and other countries, with regulations differing from country to country. In the U.S., the FDA regulates, among other things, the pre-clinical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complete response letters,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 Any failure to receive the marketing approvals necessary to commercialize our product or product candidates could harm our business.</w:t>
      </w:r>
    </w:p>
    <w:p>
      <w:pPr>
        <w:spacing w:after="0" w:line="16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regulatory review and approval process of governmental authorities is lengthy, expensive and uncertain. For example, in December 2016, BPC, the owner of BIVIGAM prior to the Biotest Transaction in June 2017, temporarily suspended the commercial production of BIVIGAM in order to focus on the completion of planned improvements to the manufacturing process. We resumed production of BIVIGAM utilizing our now FDA-approved IVIG manufacturing process with two conformance lots in the fourth quarter of 2017 and a third conformance lot in the first quarter of 2018. During the first half of 2018, we qualified and filled the BIVIGAM conformance batches and the product is on stability. In June 2018, we filed a drug substance PAS with the FDA for BIVIGAM to include the ADMA improvements for BIVIGAM and to seek FDA authorization which would enable us to resume commercial scale manufacturing and re-launch and commercialize this product. On December 19, 2018, we received the BIVIGAM CRL for our PAS submission for BIVIGAM drug substance. The BIVIGAM CRL requested certain additional information and clarifications relating to CMC matters contained in our PAS submission for drug substance, including complete resolution of certain manufacturing related deviations, information pertaining to how certain in-process manufacturing samples are taken, as well as updates on certain stability data previously submitted. As the information we believed necessary to address and respond to the matters raised in the BIVIGAM CRL was readily available in our files, on January 7, 2019 we announced that our responses to the BIVIGAM CRL were submitted to the FDA for further review. Subsequent to the January 7, 2019 resubmission to the FDA, we received an information request for a limited number of questions. On May 9, 2019, we received FDA approval for our PAS for BIVIGAM.</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accept the payment of user fees, and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work-in-progress in the ordinary course of business due to the complex nature of plasma, our processes and our products, unanticipated events may lead to write-offs and other costs materially in excess of our expectations and the reserves we have established for these purposes. Such write-offs and other costs could cause material fluctuations in our results of operations.</w:t>
      </w:r>
    </w:p>
    <w:p>
      <w:pPr>
        <w:spacing w:after="0" w:line="18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Despite overlapping safeguards, including the screening of donors and other steps to remove or inactivate viruses and other infectious disease 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that a product’s manufacturing process is inadequate to inactivate or remove an infectious agent, our ability to manufacture and distribute that product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Kennesaw, GA plasma collection facility, an unsatisfactory inspection could prevent a new center from being licensed or risk the suspension or revocation of an existing license. We do not and will not have adequate plasma to manufacture our products. Therefore, we are reliant on the purchase of plasma from third parties to manufacture our products. We can give no assurances that appropriate plasma will be available to us on commercially reasonable terms, or at all, to manufacture our products. In order to maintain a plasma center’s license, its operations must continue to conform to cGMP and other regulatory requirements. In the event that we determine that plasma was not collected in compliance with cGMP,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 Centers plasma collection facility. This strategy is dependent upon our ability to maintain a cGMP compliant environment in our plasma facility and to expand production and attract donors to our facility. There is no assurance that the FDA will inspect and license any of our unlicensed plasma collection facilities which we may, in the future, construct,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facility to more efficient production levels may be affected by changes in the economic environment and population in selected regions where ADMA Bio Centers operates its current or future plasma facilities, by the entry of competitive plasma centers into regions where ADMA Bio Centers operates such centers, by misjudging the demographic potential of individual regions where ADMA Bio Centers expects to expand production and attract new donors, by unexpected facility related challenges, or by unexpected management challenges at selected plasma facilities held by us from time to time.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new biosimilar pathway established as part of healthcare reform may make it easier for competitors to market biosimilar products.</w:t>
      </w:r>
    </w:p>
    <w:p>
      <w:pPr>
        <w:spacing w:after="0" w:line="237"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The changes contemplated by the Healthcare Reform Law are subject to rule-making and implementation timelines that extend for several years, and this uncertainty limits our ability to forecast changes that may occur in the future. However, implementation has already begun with respect to certain significant cost-saving measures under the Healthcare Reform Law, for example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Effective January 1, 2010, the Healthcare Reform Law generally increased the size of the Medicaid rebates paid by manufacturers for single source and innovator multiple source (brand name) drug products from a minimum of 15.1% to a minimum of 23.1% of AMP, subject to certain exceptions. For non-innovator multiple source (generic) products, the rebate percentage is increased from a minimum of 11.0% to a minimum of 13.0% of AMP. In 2010, the Healthcare Reform Law also newly extended this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w:t>
      </w:r>
    </w:p>
    <w:p>
      <w:pPr>
        <w:spacing w:after="0" w:line="182"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 The Healthcare Reform Law established the Center for Medicare and Medicaid Innovation within CMS to test innovative payment and service delivery models to lower Medicare and Medicaid spending, potentially including prescription drug spending. Funding has been allocated to support the mission of the Center for Medicare and Medicaid Innovation through 2019.</w:t>
      </w:r>
    </w:p>
    <w:p>
      <w:pPr>
        <w:spacing w:after="0" w:line="16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Healthcare Reform Law also creates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equal to 50%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have been repeated attempts by Congress to repeal or change the Healthcare Reform Law. Further, on January 20, 2017, the new administration signed an Executive Order directing federal agencies with authorities and responsibilities under the ACA to waive, defer, grant exemptions from, or delay the implementation of any provision of the Healthcare Reform Law that would impose a fiscal or regulatory burden on states, individuals, healthcare providers, health insurers, or manufacturers of pharmaceuticals or medical devices. More recently, the U.S. District Court for the Northern District of Texas struck down the Healthcare Reform Law, deeming it unconstitutional given that Congress repealed the individual mandate in 2017. This decision has been stayed pending outcome of an appeal to the U.S. Fifth Circuit Court of Appeals. Although there is no immediate impact on the ACA, we will continue to evaluate the effect that the Healthcare Reform Law and its possible repeal and replacement, or potential total revocation by the Supreme Court of the United States, has on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may be unable to raise capital when needed, which would force us to delay, curtail or eliminate one or more of our research and development programs or commercialization efforts.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years ended December 31, 2019 and 2018, we had negative cash flows from operations of approximately $76.2 million and $62.7 million, respectively. 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agreements. We currently anticipate, based upon our projected revenue and expenditures, as well as the additional funds we are able to draw down under the Perceptive Credit Facility, that our current cash, cash equivalents and accounts receivable will be sufficient to fund our operations, as currently conducted, into the second quarter of 2021. In order to have sufficient cash to fund our operations thereafter, we will need to raise additional equity or debt financing before the end of the second quarter of 2021. This time frame may change based upon how quickly we are able to execute on our operational initiatives and the various financing options that may be available to us in 2021</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However, if the assumptions underlying our estimated expenses prove to be incorrect, we may have to raise additional capital sooner than we currently expect. Until such time, if ever, as we can generate a sufficient amount of product revenue to achieve profitability, we expect to continue to finance our operations through additional equity or debt financings or corporate collaboration and licensing arrangements. If we are unable to raise additional capital as needed, we will have to delay, curtail or eliminate our commercialization efforts or our product development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Perceptive Credit Facility provides for term loans of up to an aggregate principal amount of $85.0 million, of which we have drawn down $72.5 million, all of which remains outstanding. We became eligible, subject to certain conditions, to draw-down the remaining $12.5 million upon the FDA approval of the PAS on May 9, 2019, provided that such draw-down must occur no later than March 31, 2020. Borrowings under the Perceptive Credit Facility bear interest at a rate per annum equal to 7.5% plus the greater of (i) one-month LIBOR and (ii) 3.5%; provided, however, that upon, and during the continuance of, an Event of Default, the interest rate will automatically increase by an additional 400 basis points. We are required to make monthly payments of interest during the term of the Perceptive Credit Facility, with all principal and unpaid interest due at maturity. The Perceptive Credit Facility has a maturity date of March 1, 2022, subject to acceleration pursuant to the Perceptive Credit Agreement, including upon an Event of Default. All of our obligations under the Perceptive Credit Facility are secured by a first-priority lien and security interest in substantially all of our and our subsidiaries’ tangible and intangible assets, including intellectual property, and all of the equity interests in our subsidiaries.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In addition, we have $15.0 million in principal amount of indebtedness outstanding under an unsecured subordinated note issued by ADMA BioManufacturing to Biotest on June 6, 2017, which note bears interest at a rate of 6.0% per annum and matures on June 6, 2022. We are obligated to make semi-annual interest payments to Biotest, with all principal and unpaid interest due at maturity.</w:t>
      </w:r>
    </w:p>
    <w:p>
      <w:pPr>
        <w:spacing w:after="0" w:line="18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current cash, cash equivalents and accounts receivable will not be sufficient to repay all of our current outstanding debt obligations as they mature. If we are unable to obtain additional financing and are otherwise unable to become profitable and generate cash from operations in the amounts necessary to repay our outstanding debt obligations when due, our creditors would be able to accelerate all of the amounts due and, in the case of the Perceptive Credit Facility, seek to enforce their security interests, which could lead to our creditors taking immediate possession of and selling substantially all of our assets with no return provided to our stockholders.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cash and cash equivalents could be adversely affected if the financial institutions in which we hold our cash and cash equivalents fail.</w:t>
      </w: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have incurred substantial losses during our history. As of December 31, 2019, we had federal and state NOLs of $175.1 million and $116.2 million, respectively. These NOLs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We may experience ownership changes in the future as a result of subsequent changes in our stock ownership that we cannot predict or control that could result in further limitations being placed on our ability to utilize our federal NOLs.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Tax Cuts and Jobs Act (the “TCJA”) could adversely affect our business and financial condition.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TCJA, among other things, reduced the corporate tax rate from a top marginal rate of 35% to a flat rate of 21%, limited the tax deduction for interest expense to 30% of adjusted earnings (except for certain small businesses), limited the deduction for net operating losses generated after December 31, 2017 to 80% of current year taxable income and eliminated net operating loss carrybacks, provided immediate deductions for certain new investments instead of deductions for depreciation expense over time and modified or repealed many business deductions and credits. Federal net operating losses arising in taxable years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52" w:lineRule="exact"/>
        <w:rPr>
          <w:rFonts w:ascii="Arial" w:cs="Arial" w:eastAsia="Arial" w:hAnsi="Arial"/>
          <w:sz w:val="18"/>
          <w:szCs w:val="18"/>
          <w:color w:val="auto"/>
        </w:rPr>
      </w:pPr>
    </w:p>
    <w:p>
      <w:pPr>
        <w:ind w:left="660" w:right="3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leverage the anticipated benefits and synergies from the Biotest Transaction, including optimization of the combined businesses, operations and products and services, including the nature, strategy and focus of the combined company and the management and governance structure of the combined company;</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March 10, 2020, most of our 86,345,313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8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of February 29, 2020, Perceptive, our directors and executive officers and their affiliates beneficially owned approximately 27% of the outstanding shares of our Common Stock. Additionally, on November 14, 2018, the standstill provisions contained in that certain Stockholders Agreement, dated as of June 6, 2017, by and between us and BPC, as amended by the Biotest Transfer Agreement, which prohibited the Biotest Trust from, among other things, acquiring more than (i) 50%, less one share, of our issued and outstanding shares of capital stock on an as-converted basis, or (ii) 30% of the issued and outstanding shares of Common Stock, terminated and are of no further force and effect. This event could result in the Biotest Trust acquiring additional shares of our Common Stock or taking other actions with the goal of acquiring additional shares of our Common Stock.</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52"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Board of Directors (the “Board”) to institute a stockholder rights plan, also known as a poison pill, that would work to dilute our stock,</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43" w:lineRule="exact"/>
        <w:rPr>
          <w:sz w:val="20"/>
          <w:szCs w:val="20"/>
          <w:color w:val="auto"/>
        </w:rPr>
      </w:pPr>
    </w:p>
    <w:p>
      <w:pPr>
        <w:ind w:left="660" w:right="4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97"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Perceptive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our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 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increased costs now that we are no longer an “emerging growth company.”</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Effective January 1, 2019, we ceased to be an “emerging growth company” as defined by the Jumpstart Our Business Startups Act (the “JOBS Act”). The JOBS Act contains provisions that, among other things, reduce certain reporting requirements for qualifying public companies. As an “emerging growth company,” we took advantage of certain benefits afforded to “emerging growth companies” under Section 7(a)(2)(B) of the Securities Act, which included delaying the adoption of new or revised accounting standards applicable to public companies until such standards would otherwise apply to private companies. As an emerging growth company, we were also exempt from the requirement to have our independent registered public accounting firm provide an attestation report on our internal control over financial reporting pursuant to Section 404 of the Sarbanes-Oxley Act.</w:t>
      </w:r>
    </w:p>
    <w:p>
      <w:pPr>
        <w:spacing w:after="0" w:line="1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Consequently, we have, and will continue to, incur increased costs related to our compliance with Section 404 of the Sarbanes-Oxley Act. For example, in 2018, our Audit Committee retained the services of BDO, a Sarbanes-Oxley advisor, to assist with our internal controls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150,000,000 shares of Common Stock. As of December 31, 2019, there were 82,913,134 shares remaining available for issuance, after giving effect to 7,768,511 shares of our Common Stock that were subject to outstanding stock options, warrants or other convertible securities as of December 31, 2019 that may be issued by us without stockholder approval.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headquarters are located in approximately 4,200 square feet of space at 465 State Route 17, Ramsey, NJ. We currently operate under a shared services agreement with Areth, LLC (“Areth”) for the office, warehouse space and certain related services. This agreement expires on September 30, 2020 and provides for automatic one-year renewals unless ADMA gives written notice of termination to Areth 60 days prior to the end of the term. Areth is a company controlled by Dr. Jerrold B. Grossman, our Vice Chairman, and Adam S. Grossman, our President and Chief Executive Officer, and we pay Areth monthly fees for the use of such office space and for other information technology, general warehousing and administrative services. Rent under the shared services agreement is $10,000 per month.</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ADMA Bio Centers’ plasma collection facility is located in Kennesaw, GA. This facility has approximately 12,000 square feet of space, and total rent for this facility is currently approximately $23,000 per month. The Kennesaw, GA lease expires April 1, 2026. ADMA Bio Centers also leases approximately 2,500 square feet of office space in Roswell, GA. Monthly rent for this space is approximately $3,000, and the lease expires November 30, 2023.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As part of the Biotest Transaction, we acquired the Boca Facility, which consists of two buildings aggregating more than 120,000 square feet residing on approximately 14.6 acres of land in Boca Raton, FL. All of our plasma fractionation and drug product manufacturing are conducted at the Boca Facility, which also contains administrative office space for our ADMA BioManufacturing subsidiary and for our centralized corporate functions.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w:t>
      </w:r>
    </w:p>
    <w:p>
      <w:pPr>
        <w:spacing w:after="0" w:line="120"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Common Stock had been listed on the Nasdaq Capital Market (“Nasdaq”) under the symbol “ADMA” since November 10, 2014. As of October 22, 2019, our Common Stock has been listed on the Nasdaq Global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of December 31, 2019, there were nine record holders of our Common Stock, based upon information received from our transfer agent. However, this number does not include beneficial owners whose shares were held of record by nominees or broker dealers. As of February 1, 2020, we estimate that there are more than 6,000 beneficial owners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Perceptive precludes us from paying cash dividends without their consent. Therefore, we do not expect to pay cash dividends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year ended December 31, 2019, we had no sales of unregistered securities that have not been previously disclosed in a Current Report on Form 8-K or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securities during the three months ended December 31, 2019.</w:t>
      </w:r>
    </w:p>
    <w:p>
      <w:pPr>
        <w:spacing w:after="0" w:line="221" w:lineRule="exact"/>
        <w:rPr>
          <w:sz w:val="20"/>
          <w:szCs w:val="20"/>
          <w:color w:val="auto"/>
        </w:rPr>
      </w:pPr>
    </w:p>
    <w:p>
      <w:pPr>
        <w:jc w:val="center"/>
        <w:ind w:right="8840"/>
        <w:spacing w:after="0"/>
        <w:rPr>
          <w:sz w:val="20"/>
          <w:szCs w:val="20"/>
          <w:color w:val="auto"/>
        </w:rPr>
      </w:pPr>
      <w:r>
        <w:rPr>
          <w:rFonts w:ascii="Arial" w:cs="Arial" w:eastAsia="Arial" w:hAnsi="Arial"/>
          <w:sz w:val="16"/>
          <w:szCs w:val="16"/>
          <w:b w:val="1"/>
          <w:bCs w:val="1"/>
          <w:color w:val="auto"/>
        </w:rPr>
        <w:t>Item 6. Selected Financial Data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ADMA Biologics, Inc. (the “Company,” “ADMA,” “we,” “us” or “our”) is an end-to-end commercial biopharmaceutical and specialty immunoglobulin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currently have three products with U.S. Food and Drug Administration (the “FDA”) approval, all of which are currently marketed and commercially available: (i) BIVIGAM (Immune Globulin Intravenous, Human), an IVIG product indicated for the treatment of PI, also known as PIDD, and for which we received FDA approval on May 9, 2019 for the commercial re-launch of the product and commenced the commercial re-launch in August 2019; (ii) ASCENIV (Immune Globulin Intravenous, Human – slra 10% Liquid), previously referred to as RI-002,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S. pneumonia infection for an immunoglobulin manufactured to contain standardized antibodies to numerous serotypes of S. pneumonia. Our products and product candidates are intended to be used by physician specialists focused on caring for immune-compromised patients with or at risk for certain infectious diseases.</w:t>
      </w:r>
    </w:p>
    <w:p>
      <w:pPr>
        <w:spacing w:after="0" w:line="18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Through ADMA Bio Centers, we currently operate one FDA-approved source plasma collection facility in the U.S., which provides us with a portion of our blood plasma for the manufacture of our products and product candidates. We intend to open five to 10 additional plasma collection centers in the U.S. during the next three to five years. A typical plasma collection center, such as those operated by ADMA Bio Centers, can collect approximately 30,000 to 50,000 liters of source plasma annually, which may be sold for different prices depending upon the type of plasma, quantity of purchase and market conditions at the time of sale. Plasma collected from ADMA Bio Centers’ facilities that is not used to manufacture our products or product candidates is sold to third-party customers in the U.S. and in other locations outside the U.S. where we are approved under supply agreements or in the open “spot” market.</w:t>
      </w:r>
    </w:p>
    <w:p>
      <w:pPr>
        <w:spacing w:after="0" w:line="19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sell plasma-derived intermediate fractions to certain customers, which are generated as part of our FDA-approved manufacturing process for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services for certain historical clients.</w:t>
      </w:r>
    </w:p>
    <w:p>
      <w:pPr>
        <w:spacing w:after="0" w:line="18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an FDA-licensed plasma fractionation facility located in Boca Raton, FL (the “Boca Facility”) (the “Biotest Transaction”).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PI.BPC had originally received FDA approval for BIVIGAM on December 19, 2012, prior to our acquisition of BTBU, and product sales had commenced in the first quarter of 2013. On May 9, 2019, the FDA approved the Prior Approval Supplement (the “PAS”) for the use of our IVIG manufacturing process, thereby enabling us to re-launch and commercialize this product in the United States. We resumed production of BIVIGAM during the fourth quarter of 2017 after the closing of the Biotest Transaction and commercial production is ongoing, using our FDA-approved IVIG manufacturing process under U.S. Department of Health and Human Services (“HHS”) License No. 2019. The commercial re-launch and first commercial sales commenced in August of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200" w:firstLine="648"/>
        <w:spacing w:after="0" w:line="254" w:lineRule="auto"/>
        <w:rPr>
          <w:sz w:val="20"/>
          <w:szCs w:val="20"/>
          <w:color w:val="auto"/>
        </w:rPr>
      </w:pPr>
      <w:r>
        <w:rPr>
          <w:rFonts w:ascii="Arial" w:cs="Arial" w:eastAsia="Arial" w:hAnsi="Arial"/>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a HHS License No. 2019 using a process known as fractionation. As part of our proprietary manufacturing process for ASCENIV, we leverage our unique, patented plasma donor screening methodology and tailored plasma pooling design, which blends normal source plasma and plasma from donors tested to have high levels of neutralizing titers to RSV using our proprietary microneutralization assay. We are able to identify the high titer plasma that meets our internal specifications for ASCENIV with our patented testing assay. This type of high titer plasma is typically found in less than 10% of the total donor collection samples we test.</w:t>
      </w:r>
    </w:p>
    <w:p>
      <w:pPr>
        <w:spacing w:after="0" w:line="19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ASCENIV is approved for the treatment of PIDD, a class of inherited genetic disorders that causes a deficient or absent immune system in adults and adolescents (12 to 17 years of age). Our pivotal Phase 3 clinical trial in 59 PIDD patients met the primary endpoint of no Serious Bacterial Infections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We plan to work with the FDA and the immunology and infectious disease community to design a clinical trial to evaluate the use of ASCENIV in this patient population in the near future. Commercial sales of ASCENIV commenced in October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puts people at high risk of death from cirrhosis and liver cancer. Nabi-HB has a well-documented record of long-term safety and effectiveness since its initial market introduction. FDA approval for Nabi-HB was received on March 24, 1999. Biotest acquired Nabi-HB from Nabi Biopharmaceuticals in 2007. Production of Nabi-HB at the Boca Facility has continued under our leadership since the third quarter of 2017. In early 2018, we received authorization from the FDA for the release of our first commercial batch of Nabi-HB for commercial distribution in the U.S. and continue to manufacture under HHS License No. 2019.</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the realizable value of accounts receivable, valuation of inventory, assumptions used in the fair value of awards granted under our equity incentive plans and warrants issued in connection with the issuance of notes payable and the valuation allowance for our deferred tax assets.</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policies and their application are considered to be critical to understanding our business operations, financial condition and results of operations. For a detailed discussion on the application of these and our other accounting policies, see Note 2 to the Consolidated Financial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Revenues for the years ended December 31, 2019 and 2018 are comprised of (i) revenues from the sale of our three FDA-approved immunoglobulin products, (ii) product revenues from the sale of human plasma collected from our Plasma Collection Centers business segment, (iii) product revenues from the sale of intermediate fractions, (iv) contract manufacturing revenue from a contract assumed from BPC in the Biotest Transaction; and (v) license revenues attributable to the out-licensing of ASCENIV in December 2012 to Biotest to market and sell this product in Europe and selected countries in North Africa and the Middle East. Biotest has provided us with certain services and financial payments in accordance with the related Biotest license agreement and is obligated to pay us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9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we expect to receive in exchange. Revenue from the sale of immunoglobulin products is generally recognized when the product reaches the customer’s destination, and is recorded net of distributor fees, estimated rebates, price protection arrangements and customer incentives, including prompt pay discounts, wholesaler chargebacks and other wholesaler fees. These estimates are based on historical experience and certain other assumptions, and we believe that such estimates are reasonable. For revenues associated with contract manufacturing and sales of our intermediates, control transfers to the customer and the performance obligation is satisfied when the customer takes possession of the product from the Boca Facility or a third-party warehouse that is utilized by the Company.</w:t>
      </w:r>
    </w:p>
    <w:p>
      <w:pPr>
        <w:spacing w:after="0" w:line="166"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Product revenues from the sale of human plasma collected at our plasma collection centers are recognized at the time control of the product has been transferred to the customer, which generally occurs at the time of shipment. Product revenues are recognized at the time of delivery if we retain control of the product during shipment. Payments received from customers where the foregoing revenue recognition criteria have not been satisfied are recorded as deferred revenue, which is reflected as a liability in our consolidated balance sheets.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Costs of production for ASCENIV and BIVIGAM prior to their FDA approval dates of April 1, 2019 and May 9, 2019, respectively, were not capitalized into inventory but were instead expensed as incurred. In addition, expenses associated with remediating the issues at the Boca Facility that were identified by the FDA prior to the closing of the Biotest Transaction of approximately $0.2 million and $1.5 million for the years ended December 31, 2019 and 2018, respectively, were expensed as incurred and are reflected in cost of product revenue in the accompanying consolidated statements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All equity-based payments, including grants of stock options, are recognized at their estimated fair value at the grant date, and compensation expense is recognized on a straight-line basis over the grantee’s requisite vesting period. For the purpose of valuing stock options granted to our employees, directors and officers, we use the Black-Scholes option pricing model. We granted options to purchase an aggregate of 1,508,000 and 1,167,044 shares of Common Stock during the years ended December 31, 2019 and 2018, respectively. To determine the risk-free interest rate, we utilized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In accordance with Accounting Standards Update (“ASU”) No. 2016-09, </w:t>
      </w:r>
      <w:r>
        <w:rPr>
          <w:rFonts w:ascii="Arial" w:cs="Arial" w:eastAsia="Arial" w:hAnsi="Arial"/>
          <w:sz w:val="17"/>
          <w:szCs w:val="17"/>
          <w:i w:val="1"/>
          <w:iCs w:val="1"/>
          <w:color w:val="auto"/>
        </w:rPr>
        <w:t>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(Topic 718)</w:t>
      </w:r>
      <w:r>
        <w:rPr>
          <w:rFonts w:ascii="Arial" w:cs="Arial" w:eastAsia="Arial" w:hAnsi="Arial"/>
          <w:sz w:val="17"/>
          <w:szCs w:val="17"/>
          <w:color w:val="auto"/>
        </w:rPr>
        <w:t>, we have elected not to establish a forfeiture rate, as stock-based compensation expense related to forfeitures of unvested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is fully reversed at the time of forfeiture.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research and development (“R&amp;D”) costs consist of clinical research organization costs, costs related to clinical trials, post-marketing commitment studies for BIVIGAM, wages, benefits and stock-based compensation for employees directly related to research and development activities and, prior to April 1, 2019, assay development and testing, storage and transportation costs for high-titer plasma used in the manufacture of ASCENIV. All research and development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2019 and 2018, we determined that there was no impairment of our long-lived assets.</w:t>
      </w:r>
    </w:p>
    <w:p>
      <w:pPr>
        <w:spacing w:after="0" w:line="17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We have the option to perform a qualitative assessment of goodwill to determine whether it is more likely than not that the fair value of the reporting unit associated with the goodwill is less than its carrying amount, including goodwill and other intangible assets. If we conclude that this is the case, then we must perform a goodwill impairment test by comparing the fair value of the reporting unit to its carrying value. An impairment charge is recorded to the extent the reporting unit’s carrying value exceeds its fair value, with the impairment loss recognized not to exceed the total amount of goodwill allocated to that reporting unit. We did not recognize any impairment charges related to goodwill for the years ended December 31, 2019 and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July 2017, the Financial Accounting Standards Board (the “FASB”) issued Accounting Standards Update (“ASU”) No. 2017-11,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 (Topic 260), Distinguishing Liabilities from Equity (Topic 480), Derivatives and Hedging (Topic 815)</w:t>
      </w:r>
      <w:r>
        <w:rPr>
          <w:rFonts w:ascii="Arial" w:cs="Arial" w:eastAsia="Arial" w:hAnsi="Arial"/>
          <w:sz w:val="16"/>
          <w:szCs w:val="16"/>
          <w:color w:val="auto"/>
        </w:rPr>
        <w:t>” (“ASU 2017-11”). ASU 2017-11 changed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ASU 2017-11 became effective for us on January 1, 2019, and this update did not have a significant impact on our consolidated financial statements.</w:t>
      </w:r>
    </w:p>
    <w:p>
      <w:pPr>
        <w:spacing w:after="0" w:line="16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We adopted ASU 2016-02 on January 1, 2019 using the option to recognize the cumulative-effect adjustment, if any, as of the date of application, which was also January 1, 2019. As a result, there was no restatement of comparative periods. We recognized right-to-use assets of approximately $1.4 million and corresponding lease liabilities of approximately $1.6 million at the date of adoption. We also elected the “package of practical expedients,” which permits us to not reassess under the new standard our prior conclusions about lease identification, lease classification and initial direct costs. In addition, we elected the short-term lease recognition exemption for all or embedded leases that qualify.</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March 2016, April 2016 and December 2016, the FASB issued ASU No. 2016-08, Revenue From Contracts with Customers (ASC 606): Principal Versus Agent Considerations, ASU No. 2016-10, Revenue From Contracts with Customers (ASC 606): Identifying Performance Obligations and Licensing, and ASU No. 2016-20, Technical Corrections and Improvements to Topic 606, Revenue From Contracts with Customers, respectively, which further clarify the implementation guidance on principal versus agent considerations contained in ASU No. 2014-09. In May 2016, the FASB issued ASU 2016-12, Revenue from Contracts with Customers, narrow-scope improvements and practical expedients which provides clarification on assessing the collectability criterion, presentation of sales taxes, measurement date for non-cash consideration and completed contracts at transition. These standards became effective for us beginning in the first quarter of 2018.</w:t>
      </w:r>
    </w:p>
    <w:p>
      <w:pPr>
        <w:spacing w:after="0" w:line="17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We adopted the new revenue recognition standard and related updates effective January 1, 2018, using the modified retrospective method of adoption. Adoption of the new revenue recognition guidance did not have a material impact on our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December 31, 2018</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year ended December 31, 2019 as compared to the year ended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07"/>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191"/>
        </w:trPr>
        <w:tc>
          <w:tcPr>
            <w:tcW w:w="5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Increase</w:t>
            </w:r>
          </w:p>
        </w:tc>
      </w:tr>
      <w:tr>
        <w:trPr>
          <w:trHeight w:val="234"/>
        </w:trPr>
        <w:tc>
          <w:tcPr>
            <w:tcW w:w="58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7"/>
              </w:rPr>
              <w:t>(Decrease)</w:t>
            </w: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29,349,083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16,985,290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12,363,793</w:t>
            </w:r>
          </w:p>
        </w:tc>
      </w:tr>
      <w:tr>
        <w:trPr>
          <w:trHeight w:val="230"/>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Cost of product revenue (exclusive of amortization expense shown below)</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39,504,238</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42,194,635</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(2,690,397)</w:t>
            </w:r>
          </w:p>
        </w:tc>
      </w:tr>
      <w:tr>
        <w:trPr>
          <w:trHeight w:val="20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(10,155,155)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(25,209,345)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15,054,190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2,343,848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3,926,120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(1,582,272)</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2,169,629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7,805,619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(5,635,990)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844,938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844,938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25,910,757</w:t>
            </w:r>
          </w:p>
        </w:tc>
        <w:tc>
          <w:tcPr>
            <w:tcW w:w="2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22,502,922</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3,407,835</w:t>
            </w:r>
          </w:p>
        </w:tc>
      </w:tr>
      <w:tr>
        <w:trPr>
          <w:trHeight w:val="209"/>
        </w:trPr>
        <w:tc>
          <w:tcPr>
            <w:tcW w:w="5880" w:type="dxa"/>
            <w:vAlign w:val="bottom"/>
          </w:tcPr>
          <w:p>
            <w:pPr>
              <w:spacing w:after="0"/>
              <w:rPr>
                <w:sz w:val="20"/>
                <w:szCs w:val="20"/>
                <w:color w:val="auto"/>
              </w:rPr>
            </w:pPr>
            <w:r>
              <w:rPr>
                <w:rFonts w:ascii="Arial" w:cs="Arial" w:eastAsia="Arial" w:hAnsi="Arial"/>
                <w:sz w:val="18"/>
                <w:szCs w:val="18"/>
                <w:color w:val="auto"/>
              </w:rPr>
              <w:t>Loss from operations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(41,424,327)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(60,288,944)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18,864,617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(8,993,379)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(5,522,783)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(3,470,596)</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(9,962,495)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11,527,421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r>
      <w:tr>
        <w:trPr>
          <w:trHeight w:val="229"/>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5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573,463</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68,282</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505,181</w:t>
            </w:r>
          </w:p>
        </w:tc>
      </w:tr>
      <w:tr>
        <w:trPr>
          <w:trHeight w:val="223"/>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(48,279,317)</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(65,743,445)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17,464,128</w:t>
            </w:r>
          </w:p>
        </w:tc>
      </w:tr>
      <w:tr>
        <w:trPr>
          <w:trHeight w:val="20"/>
        </w:trPr>
        <w:tc>
          <w:tcPr>
            <w:tcW w:w="5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recorded total revenues of $29.3 million for the year ended December 31, 2019, as compared to $17.0 million for the year ended December 31, 2018. The increase in total revenue of $12.4 million is primarily due to increased revenue generated by our Boca Facility manufacturing operations in 2019 totaling $15.4 million, which includes sales of our immunoglobulin products, including ASCENIV and BIVIGAM, for which we received FDA approval in 2019, and the related intermediate fractions, as well as contract manufacturing revenue, partially offset by $3.0 million decrease in plasma center revenues due to the transfer of two of our plasma collection centers to BPC on January 1, 2019 as part of the purchase price for the Biotest Transaction. Immunoglobulin production revenues derived from contract manufacturing were generally related to an agreement we assumed from BPC as part of the Biotest Transaction. This contract expired at the end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225"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Cost of product revenue was $39.5 million for the year ended December 31, 2019, as compared to $42.2 million for the year ended December 31, 2018, a decrease of $2.7 million. The decrease is mainly attributable to the decrease in pre-approval production expenses for ASCENIV and BIVIGAM in 2019 in the amount of $5.2 million, partially offset by cost of product revenue related to contract manufacturing and the sale of intermediate byproducts in the amount of $2.7 million not present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R&amp;D expenses totaled $2.3 million for the year ended December 31, 2019, as compared to $3.9 million for the year ended December 31, 2018. As a result of the FDA approval of ASCENIV on April 1, 2019, we no longer charge the RSV assay and other testing, storage and transportation costs for high-titer plasma used in the manufacture of ASCENIV to R&amp;D expense, but instead reflect those costs as part of the cost of the raw material plasma. We expect R&amp;D expenses to increase in 2020 as we seek to leverage our existing patents to develop new therapies, as well as the existence of certain FDA commitments related to the approvals of ASCENIV and BIVIGAM in 2019.</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Plasma center operating expenses were $2.2 million for the year ended December 31, 2019, as compared to $7.8 million for the year ended December 31, 2018. Plasma center operating expenses consist of certain general and administrative plasma center costs, including rent, maintenance, utilities, compensation and benefits for center and administrative staff, advertising and promotion expenses and computer software fees related to donor collections. The decrease in plasma center operating expenses is attributable to the transfer of two of our plasma collection centers to BPC on January 1, 2019, as well as increased plasma collections at our existing plasma collection facility, which are recorded as inventory. We expect plasma operating expenses to increase in the next few years as we plan to build an additional five to 10 plasma collection centers over the next three to five years.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SG&amp;A was $25.9 million for the year ended December 31, 2019, an increase of $3.4 million as compared to the year ended December 31, 2018. The increase reflects professional services of $1.8 million in 2019 related to enhancements to our information technology and customer support infrastructure necessary to support our overall growth and commercialization plans, as well as $0.9 million of higher employee related expenses due to increased headcount, increased marketing expenses of $0.4 million resulting from new product launches and $0.3 million of increased insurance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for intangible assets acquired in the Biotest Transaction was $0.8 million for the years ended December 31, 2019 and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Our operating loss was $41.4 million for the year ended December 31, 2019, as compared to $60.3 million for the year ended December 31, 2018. The decrease was mainly due to the increase in revenues and to decreases in cost of product revenue and other operating expenses aggregating to $6.5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Interest expense was $9.0 million for the year ended December 31, 2019, as compared to $5.5 million for the year ended December 31, 2018. The increase reflects a higher average debt principal balance carried in 2019 as compared to 2018 due to the senior debt refinancing transaction in February 2019 and the amendment to our senior credit facility in May 2019 (see “Liquidity and Capital Resources”), which resulted in additional debt principal of $42.5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connection with the refinancing of our senior credit facility in 2019, we incurred a loss on the extinguishment debt for the retirement of our previously existing credit facility, consisting of a $6.5 million prepayment penalty, and the write-off of $3.5 million of unamortized debt discount related to the previous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Transfer of Plasma Center Assets</w:t>
      </w:r>
    </w:p>
    <w:p>
      <w:pPr>
        <w:spacing w:after="0" w:line="225"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As part of the purchase price for the Biotest Assets, we agreed to transfer two of our plasma collection centers to BPC effective January 1, 2019. We had estimated the combined fair value of the two facilities to be $12.6 million, and we recorded a liability in our financial statements for this amount as of the date of the Biotest Transaction. On January 1, 2019, the two plasma collection facilities were transferred to BPC and we recorded a gain on this transfer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Net loss was $48.3 million for the year ended December 31, 2019, as compared to $65.7 million for the year ended December 31, 2018. The reduction in net loss of $17.5 million was due to the decrease in operating loss and the gain on transfer of plasma center assets, partially offset by the loss on extinguishment of debt and the increased interest expense.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December 31, 2019, we had working capital of $71.8 million, including cash and cash equivalents of $26.8 million, and stockholders’ equity of $26.2 million, as compared to working capital of $34.9 million, including cash and cash equivalents of $22.8 million, and stockholders’ equity of $19.8 million as of December 31, 2018. We have had limited revenue from operations, incurred an accumulated deficit of $264.7 million since inception and had negative cash flows from operations of $76.2 million and $62.7 million for the years ended December 31, 2019 and 2018, respectively. We have funded our operations to date primarily from the sale of our equity and debt securities, acquisition proceeds from the Biotest Transaction and loans from our primary stockholders.</w:t>
      </w:r>
    </w:p>
    <w:p>
      <w:pPr>
        <w:spacing w:after="0" w:line="192"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We expect to continue to spend substantial amounts on procurement of raw material plasma and other raw materials necessary to scale up our manufacturing operations, commercial product launches, capacity expansion at the Boca Facility, building additional plasma collection facilities, product development, quality assurance, regulatory affairs and conducting clinical trials for our product candidates and purchasing clinical trial materials, some of which may be required by the FDA. We expect that we will not be able to generate a sufficient amount of product revenue to achieve profitability before 2021 and, as a result, we expect that we will need to finance our operations through additional equity or debt financings or corporate collaboration and licensing arrangements. Based upon our current projected revenue and expenditures, including capital expenditures and continued implementation of our commercialization and expansion activities, we currently believe that our cash, cash equivalents, projected revenue and accounts receivable, along with the proceeds received from the February 2020 public offering of our common stock discussed below and the additional $12.5 million we are able to access under the Perceptive Credit Facility, as defined below, will be sufficient to fund our operations, as currently conducted, into the second quarter of 2021. In order to have sufficient cash to fund our operations thereafter, we will need to raise additional capital before the end of the second quarter of 2021. These estimates and timeframe may change based upon the success of our commercial manufacturing ramp-up activities, the acceptability and reimbursement of BIVIGAM and ASCENIV by physicians, patients or payers, and the various financing options that may be available to us. Other than the $12.5 million commitment currently available under the Perceptive Credit Facility through March 31, 2020 as discussed below, we currently have no firm commitments for additional financing, and there can be no assurances that we will be able to secure additional financing on terms that are acceptable to us, or at</w:t>
      </w:r>
    </w:p>
    <w:p>
      <w:pPr>
        <w:spacing w:after="0" w:line="1"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all. Furthermore, if our assumptions underlying our estimated expenses and revenues are incorrect, we may have to raise additional capital sooner than currently anticipated.</w:t>
      </w:r>
    </w:p>
    <w:p>
      <w:pPr>
        <w:spacing w:after="0" w:line="18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long-term liquidity depends upon our ability to raise additional capital, fund capacity expansion and commercial programs and generate sufficient revenues from our products, several of which have only recently achieved commercial status, to cover our operating expenses and meet our obligations on a timely basis. Failure to secure any necessary financing in a timely manner and on commercially reasonable terms could have a material adverse effect on our business plan and financial performance and we could be forced to delay or discontinue our capacity expansion, commercialization, product development or clinical trial activities, delay or discontinue the approval efforts for any of our product candidates, or potentially cease operations. In addition, we could also be forced to reduce or forgo sales and marketing efforts and forgo attractive business opportunities. Due to numerous risks and uncertainties associated with FDA approvals related to the commercialization of our products, ongoing remediation, compliance requirements and capacity expansion efforts at the Boca Facility, we are unable to estimate with certainty the amounts of increased capital outlays and operating expenditures required to fund our commercialization and other development activities. Our current estimates may be subject to change as circumstances regarding our business requirements evolve.</w:t>
      </w:r>
    </w:p>
    <w:p>
      <w:pPr>
        <w:spacing w:after="0" w:line="18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We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our stockholders and, in such event, the market value of our Common Stock may decline. The incurrence of additional indebtedness would result in increased fixed obligations and could also result in covenants that would restrict our operations or other financing alternatives. In addition, we are exploring additional contract manufacturing arrangements and other business development opportunities, which may provide additional liquidity to us.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February 2020, we completed an underwritten public offering of 27,025,000 shares of our Common Stock and received net proceeds, after underwriting discounts and other expenses associated with the offering, of approximately $88.5 million. The proceeds from this offering are expected to be used (i) for the procurement of raw materials for the manufacturing of BIVIGAM and ASCENIV; (ii) to support the ongoing commercial sales of BIVIGAM and ASCENIV; (iii) to expand the manufacturing capacity of our Boca Facility and enhance our supply chain capabilities; (iv) to expand our plasma collection facility network; (v) for research and development and business development opportunities; and (vi) for general corporate purposes and other capital expenditures.</w:t>
      </w:r>
    </w:p>
    <w:p>
      <w:pPr>
        <w:spacing w:after="0" w:line="19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color w:val="auto"/>
        </w:rPr>
        <w:t>On May 21, 2019, we issued 12,937,500 shares of our Common Stock in an underwritten public offering for gross proceeds of $51.75 million, before deducting underwriting discounts and commissions and other offering expenses payable by us. The net proceeds of $48.4 million from the offering have been used (i) to support the commercial launch of ASCENIV, which commenced in October 2019, (ii) for the commercial re-launch of BIVIGAM,</w:t>
      </w:r>
    </w:p>
    <w:p>
      <w:pPr>
        <w:spacing w:after="0" w:line="2" w:lineRule="exact"/>
        <w:rPr>
          <w:sz w:val="20"/>
          <w:szCs w:val="20"/>
          <w:color w:val="auto"/>
        </w:rPr>
      </w:pPr>
    </w:p>
    <w:p>
      <w:pPr>
        <w:ind w:right="780" w:firstLine="8"/>
        <w:spacing w:after="0" w:line="290" w:lineRule="auto"/>
        <w:tabs>
          <w:tab w:leader="none" w:pos="3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expand the manufacturing capacity of the Boca Facility, (iv) for the procurement of raw materials for the manufacturing of ASCENIV and BIVIGAM, (v) to expand our plasma collection facility network; and (vi) for general corporate purposes and other capital expenditures.</w:t>
      </w:r>
    </w:p>
    <w:p>
      <w:pPr>
        <w:spacing w:after="0" w:line="16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February 11, 2019 (the “Perceptive Closing Date”), we and all of our subsidiaries entered into the Perceptive Credit Agreement with Perceptive. The Perceptive Credit Agreement provided for the Perceptive Credit Facility in a principal amount of up to $72.5 million, comprised of (i) the Perceptive Tranche I Loan in the principal amount of $45.0 million, and (ii) the Perceptive Tranche II Loan in the principal amount of up to $27.5 million, but no less than $10.0 million. The Perceptive Credit Facility has a maturity date of March 1, 2022 (the “Perceptive Maturity Date”), subject to acceleration pursuant to the Perceptive Credit Agreement, including upon an Event of Default (as defined in the Perceptive Credit Agreement).</w:t>
      </w:r>
    </w:p>
    <w:p>
      <w:pPr>
        <w:spacing w:after="0" w:line="176"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On the Perceptive Closing Date, we used $30.0 million of the Perceptive Tranche I Loan to terminate and pay in full all of the outstanding obligations under our previously existing credit agreement with Marathon Healthcare Finance Fund, L.P. (“Marathon”) (the “Marathon Credit Facility”) that we entered into in October 2017. We also used proceeds from the Perceptive Tranche I Loan to (i) pay a deferred facility fee to Marathon of $2.8 million, (ii) pay a prepayment penalty to Marathon of $6.5 million, (iii) pay outstanding accrued interest to Marathon of $0.7 million and (iv) pay certain fees and expenses incurred in connection with the Perceptive Credit Facility of approximately $1.5 million. In addition, on the Perceptive Closing Date, Marathon released to us the $4.0 million of cash held in a debt service reserve account, per the terms of the Marathon Credit Facility.</w:t>
      </w:r>
    </w:p>
    <w:p>
      <w:pPr>
        <w:spacing w:after="0" w:line="16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As consideration for the Perceptive Credit Agreement, we issued to Perceptive, on the Perceptive Closing Date, a warrant to purchase 1,360,000 shares of our Common Stock (the “Perceptive Warrant”). The Perceptive Warrant has an exercise price equal to $3.28 per share, which is equal to the trailing 10-day volume weighted average price (“VWAP”) of our Common Stock on the business day immediately prior to the Perceptive Closing Date multiplied by 1.15. We valued the Perceptive Warrant at $2.7 million as of the Perceptive Closing Date, and it has an expiration date of February 11, 2029.</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May 3, 2019, as a result of the FDA’s approval of ASCENIV, we accessed the additional $27.5 million available under the Perceptive Credit Facility through the issuance of a promissory note evidencing the Perceptive Tranche II Loan. The proceeds from the Perceptive Tranche II Loan were used to support the commercial launches of ASCENIV and BIVIGAM, including the procurement of raw material inventory, and for working capital and general corporate purposes.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Also on May 3, 2019, we and Perceptive entered into an amendment to the Perceptive Credit Agreement (the “Perceptive Amendment”) whereby Perceptive agreed to an additional commitment under the Perceptive Credit Facility in the principal amount of up to $12.5 million (the “Perceptive Tranche</w:t>
      </w:r>
    </w:p>
    <w:p>
      <w:pPr>
        <w:ind w:right="160" w:firstLine="8"/>
        <w:spacing w:after="0" w:line="268" w:lineRule="auto"/>
        <w:tabs>
          <w:tab w:leader="none" w:pos="22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Loan” and, together with the Initial Perceptive Loans, the “Perceptive Loans”). The Perceptive Tranche III Loan was subject to the satisfaction of certain conditions, including, but not limited to, FDA approval of the BIVIGAM PAS, which we received on May 9, 2019, and no Material Adverse Changes (as defined in the Perceptive Credit Agreement) having occurred since December 31, 2018; provided that the Perceptive Tranche III Loan would not be made later than March 31, 2020. The Perceptive Tranche III Loan has terms that are substantially identical to those of the Initial Perceptive Loans. The Perceptive Tranche III Loan required us to pay certain proceeds of the Perceptive Tranche II Loan to Perceptive on May 3, 2019 as a facility fee. In addition, we issued a warrant (the “Perceptive Tranche III Warrant” and, together with the Perceptive Warrant, the “Perceptive Warrants”) to purchase 250,000 shares of our Common Stock to Perceptive with an exercise price equal to $4.64 per share, which represents the trailing 10-day VWAP of our Common Stock as of May 2, 2019. The Perceptive Tranche III Warrant has an expiration date of May 3, 2029. The Perceptive Warrants were issued in reliance on an exemption from registration under Section 4(2) of the Securities Act.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jc w:val="both"/>
        <w:ind w:right="260" w:firstLine="8"/>
        <w:spacing w:after="0" w:line="277" w:lineRule="auto"/>
        <w:tabs>
          <w:tab w:leader="none" w:pos="2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3.5%; provided, however, that upon, and during the continuance of, an Event of Default, the interest rate will automatically increase by an additional 400 basis points. Under the terms of the Perceptive Credit Facility, we pay accrued interest to Perceptive on the last day of each month of approximately $0.7 million per month. The rate of interest in effect as of the Perceptive Closing Date and as of December 31, 2019 was 11.0%.</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Perceptive Maturity Date, we will pay Perceptive the entire outstanding principal amount underlying the Perceptive Loans and any accrued and unpaid interest thereon. Prior to the Perceptive Maturity Date, there are no scheduled principal payments on the Perceptive Loans. We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All of our obligations under the Perceptive Credit Agreement are secured by a first-priority lien and security interest in substantially all of our tangible and intangible assets, including intellectual property and all of the equity interests in our subsidiaries. The Perceptive Credit Agreement contains certain representations and warranties, affirmative covenants, negative covenants and conditions that are customarily required for similar financings. The negative covenants restrict or limit our ability to, among other things and subject to certain exceptions contained in the Perceptive Credit Agreement, incur new indebtedness; create liens on assets; engage in certain fundamental corporate changes, such as mergers or acquisitions, or changes to our business activities; make certain Investments or Restricted Payments (each as defined in the Perceptive Credit Agreement); change our fiscal year; pay dividends; repay other certain indebtedness; engage in certain affiliate transactions; or enter into, amend or terminate any other agreements that have the impact of restricting our ability to make loan repayments under the Perceptive Credit Agreement. In addition, we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December 31, 2019, we were in compliance with all of the covenants under the Perceptive Credit Facility.</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June 18, 2018, we completed an underwritten public offering of 9,623,430 shares of our Common Stock for gross proceeds of $46.0 million. We received net proceeds from this offering, after underwriters’ commissions and other offering expenses, of $42.9 million. The net proceeds were used (i) for continued remediation and ongoing improvement and enhancements at the Boca Facility, (ii) to submit the PAS for, and re-launch of, BIVIGAM, (iii) to resubmit the RI-002 BLA, (iv) for expenses associated with obtaining FDA approval of our Kennesaw, GA plasma collection facility; and (v) for general corporate purposes, including capital expenditures.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r>
      <w:tr>
        <w:trPr>
          <w:trHeight w:val="533"/>
        </w:trPr>
        <w:tc>
          <w:tcPr>
            <w:tcW w:w="810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6"/>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2018</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(76,193,504)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(62,678,682)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(3,811,838)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(2,095,600)</w:t>
            </w:r>
          </w:p>
        </w:tc>
      </w:tr>
      <w:tr>
        <w:trPr>
          <w:trHeight w:val="22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80,002,625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42,921,560</w:t>
            </w:r>
          </w:p>
        </w:tc>
      </w:tr>
      <w:tr>
        <w:trPr>
          <w:trHeight w:val="209"/>
        </w:trPr>
        <w:tc>
          <w:tcPr>
            <w:tcW w:w="81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(21,852,722)</w:t>
            </w:r>
          </w:p>
        </w:tc>
      </w:tr>
      <w:tr>
        <w:trPr>
          <w:trHeight w:val="216"/>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including restricted cash - beginning of year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26,754,852</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48,607,574</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including restricted cash - 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26,752,135</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26,754,852</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Cash used in operations for the year ended December 31, 2019 was $76.2 million, an increase of $13.5 million from the same period of a year ago, mainly due to increases in inventory in preparation for the initial commercial sales and the commercial launches of ASCENIV and BIVIGAM. The following table illustrates the primary components of our cash flows from operations: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(48,279,317)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(65,743,445)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5,588,584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6,753,203</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2,487,713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(34,650,132)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(5,987,988)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(540,509)</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4,080,553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386,504</w:t>
            </w: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(34,160)</w:t>
            </w: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(76,193,504)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(62,678,682)</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Net cash used in investing activities for the years ended December 31, 2019 and 2018 was $3.8 million and $2.1 million, respectively, consisting of capital expenditures at the Boca Facility. Although we have no specific material commitments for capital expenditures as of December 31, 2019, we expect our total capital expenditures will be between $10.0 million and $20.0 million for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Cash provided by financing activities during the year ended December 31, 2019 was $80.0 million, which is comprised of the net proceeds received from our May 2019 equity offering in the amount of $48.4 million and the $31.6 million of net proceeds received from the refinancing of our senior credit facility and the subsequent Perceptive Tranche II Loan. Net cash provided by financing activities for the year ended December 31, 2018 of $42.9 million reflects the net proceeds received from our June 2018 equity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Inflation or changing prices did not have a significant impact on our net sales, revenues or net loss for the years ended December 31, 2019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22"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type w:val="continuous"/>
        </w:sectPr>
      </w:pPr>
    </w:p>
    <w:bookmarkStart w:id="64" w:name="page65"/>
    <w:bookmarkEnd w:id="6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financial statements required to be filed pursuant to this Item 8 appear in a separate section of this Annual Report on Form 10-K, beginning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2019, our Chief Executive Officer and Chief Financial Officer concluded that, as of such date, our disclosure controls and procedures were effective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Management’s annual report on internal control over financial reporting (as defined in Rule 13a- 15(f) under the Exchange Act) is included with the financial statements reflected in Item 8 of this Annual Report on Form 10-K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CohnReznick LLP, our independent registered public accounting firm, which has audited the consolidated financial statements included in this Annual Report on Form 10-K, has also issued an attestation report on the effectiveness of our internal control over financial reporting as of December 31, 2019. Their report is included with the financial statements contained in Item 8 of this Annual Report on Form 10-K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2019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2020 annual meeting of stockholders, which we intend to file within 120 days of the end of our fiscal year ended December 31, 2019.</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required to be disclosed by this Item about our Board of Directors (the “Board”) is incorporated into this Annual Report on Form 10-K by reference from the section entitled “Proposal No. 1: Election of Directors” contained in our definitive proxy statement for our 2020 annual meeting of stockholders, which we intend to file within 120 days of the end of our fiscal year ended December 31, 2019.</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2020 annual meeting of stockholders, which we intend to file within 120 days of the end of our fiscal year ended December 31, 2019.</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required to be disclosed by this Item about our Board, the Audit Committee of our Board, our audit committee financial expert, our Code of Ethics and Business Conduct Standards, and other corporate governance matters is incorporated into this Annual Report on Form 10-K by reference from the section entitled “Corporate Governance” contained in our definitive proxy statement for our 2020 annual meeting of stockholders, which we intend to file within 120 days of the end of our fiscal year ended December 31, 2019.</w:t>
      </w:r>
    </w:p>
    <w:p>
      <w:pPr>
        <w:spacing w:after="0" w:line="18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text of our Code of Ethics and Business Conduct Standards, which applies to our directors and employees (including our principal executive officer, principal financial officer, principal accounting officer or controller and persons performing similar functions), is posted in the “Corporate Governance” section of the Investors section of our website, www.admabiologics.com. A copy of the Code of Ethics and Business Conduct Standards can be obtained free of charge on our website. We intend to disclose on our website any amendments to, or waivers from, our Code of Ethics and Business Conduct Standards that are required to be disclosed pursuant to the rules of the SEC and The Nasdaq Stock Market.</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presented on our website is not a part of this Annual Report on Form 10-K and the reference to our website is intended to be an inactive textual reference only.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2020 annual meeting of stockholders, which we intend to file within 120 days of the end of our fiscal year ended December 31,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2020 annual meeting of stockholders, which we intend to file within 120 days of the end of our fiscal year ended December 31,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2020 annual meeting of stockholders, which we intend to file within 120 days of the end of our fiscal year ended December 31,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information required to be disclosed by this Item is incorporated into this Annual Report on Form 10-K by reference from the section entitled “Audit and Other Fees” contained in our definitive proxy statement for our 2020 annual meeting of stockholders, which we intend to file within 120 days of the end of our fiscal year ended December 31, 2019.</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1600" w:type="dxa"/>
            <w:vAlign w:val="bottom"/>
            <w:gridSpan w:val="2"/>
          </w:tcPr>
          <w:p>
            <w:pPr>
              <w:jc w:val="center"/>
              <w:ind w:left="1130"/>
              <w:spacing w:after="0"/>
              <w:rPr>
                <w:sz w:val="20"/>
                <w:szCs w:val="20"/>
                <w:color w:val="auto"/>
              </w:rPr>
            </w:pPr>
            <w:r>
              <w:rPr>
                <w:rFonts w:ascii="Arial" w:cs="Arial" w:eastAsia="Arial" w:hAnsi="Arial"/>
                <w:sz w:val="18"/>
                <w:szCs w:val="18"/>
                <w:color w:val="auto"/>
                <w:w w:val="80"/>
              </w:rPr>
              <w:t>Page</w:t>
            </w:r>
          </w:p>
        </w:tc>
      </w:tr>
      <w:tr>
        <w:trPr>
          <w:trHeight w:val="209"/>
        </w:trPr>
        <w:tc>
          <w:tcPr>
            <w:tcW w:w="9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1580" w:type="dxa"/>
            <w:vAlign w:val="bottom"/>
            <w:tcBorders>
              <w:top w:val="single" w:sz="8" w:color="auto"/>
            </w:tcBorders>
            <w:shd w:val="clear" w:color="auto" w:fill="CCEEFF"/>
          </w:tcPr>
          <w:p>
            <w:pPr>
              <w:jc w:val="center"/>
              <w:ind w:left="1170"/>
              <w:spacing w:after="0"/>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8"/>
                <w:szCs w:val="18"/>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80" w:type="dxa"/>
            <w:vAlign w:val="bottom"/>
          </w:tcPr>
          <w:p>
            <w:pPr>
              <w:jc w:val="center"/>
              <w:ind w:left="1170"/>
              <w:spacing w:after="0"/>
              <w:rPr>
                <w:sz w:val="20"/>
                <w:szCs w:val="20"/>
                <w:color w:val="auto"/>
              </w:rPr>
            </w:pPr>
            <w:r>
              <w:rPr>
                <w:rFonts w:ascii="Arial" w:cs="Arial" w:eastAsia="Arial" w:hAnsi="Arial"/>
                <w:sz w:val="18"/>
                <w:szCs w:val="18"/>
                <w:color w:val="auto"/>
                <w:w w:val="88"/>
              </w:rPr>
              <w:t>F-3</w:t>
            </w:r>
          </w:p>
        </w:tc>
        <w:tc>
          <w:tcPr>
            <w:tcW w:w="2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58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8"/>
                <w:szCs w:val="18"/>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2019 and 2018</w:t>
            </w:r>
          </w:p>
        </w:tc>
        <w:tc>
          <w:tcPr>
            <w:tcW w:w="1580" w:type="dxa"/>
            <w:vAlign w:val="bottom"/>
          </w:tcPr>
          <w:p>
            <w:pPr>
              <w:jc w:val="center"/>
              <w:ind w:left="1170"/>
              <w:spacing w:after="0"/>
              <w:rPr>
                <w:sz w:val="20"/>
                <w:szCs w:val="20"/>
                <w:color w:val="auto"/>
              </w:rPr>
            </w:pPr>
            <w:r>
              <w:rPr>
                <w:rFonts w:ascii="Arial" w:cs="Arial" w:eastAsia="Arial" w:hAnsi="Arial"/>
                <w:sz w:val="18"/>
                <w:szCs w:val="18"/>
                <w:color w:val="auto"/>
                <w:w w:val="88"/>
              </w:rPr>
              <w:t>F-5</w:t>
            </w:r>
          </w:p>
        </w:tc>
        <w:tc>
          <w:tcPr>
            <w:tcW w:w="2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2019 and 2018</w:t>
            </w:r>
          </w:p>
        </w:tc>
        <w:tc>
          <w:tcPr>
            <w:tcW w:w="158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8"/>
              </w:rPr>
              <w:t>F-6</w:t>
            </w:r>
          </w:p>
        </w:tc>
        <w:tc>
          <w:tcPr>
            <w:tcW w:w="20" w:type="dxa"/>
            <w:vAlign w:val="bottom"/>
          </w:tcPr>
          <w:p>
            <w:pPr>
              <w:spacing w:after="0"/>
              <w:rPr>
                <w:sz w:val="18"/>
                <w:szCs w:val="18"/>
                <w:color w:val="auto"/>
              </w:rPr>
            </w:pPr>
          </w:p>
        </w:tc>
      </w:tr>
      <w:tr>
        <w:trPr>
          <w:trHeight w:val="216"/>
        </w:trPr>
        <w:tc>
          <w:tcPr>
            <w:tcW w:w="966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2019 and 2018</w:t>
            </w:r>
          </w:p>
        </w:tc>
        <w:tc>
          <w:tcPr>
            <w:tcW w:w="1580" w:type="dxa"/>
            <w:vAlign w:val="bottom"/>
          </w:tcPr>
          <w:p>
            <w:pPr>
              <w:jc w:val="center"/>
              <w:ind w:left="1170"/>
              <w:spacing w:after="0"/>
              <w:rPr>
                <w:sz w:val="20"/>
                <w:szCs w:val="20"/>
                <w:color w:val="auto"/>
              </w:rPr>
            </w:pPr>
            <w:r>
              <w:rPr>
                <w:rFonts w:ascii="Arial" w:cs="Arial" w:eastAsia="Arial" w:hAnsi="Arial"/>
                <w:sz w:val="18"/>
                <w:szCs w:val="18"/>
                <w:color w:val="auto"/>
                <w:w w:val="88"/>
              </w:rPr>
              <w:t>F-7</w:t>
            </w:r>
          </w:p>
        </w:tc>
        <w:tc>
          <w:tcPr>
            <w:tcW w:w="2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2019 and 2018</w:t>
            </w:r>
          </w:p>
        </w:tc>
        <w:tc>
          <w:tcPr>
            <w:tcW w:w="1580" w:type="dxa"/>
            <w:vAlign w:val="bottom"/>
            <w:shd w:val="clear" w:color="auto" w:fill="CCEEFF"/>
          </w:tcPr>
          <w:p>
            <w:pPr>
              <w:jc w:val="center"/>
              <w:ind w:left="1170"/>
              <w:spacing w:after="0"/>
              <w:rPr>
                <w:sz w:val="20"/>
                <w:szCs w:val="20"/>
                <w:color w:val="auto"/>
              </w:rPr>
            </w:pPr>
            <w:r>
              <w:rPr>
                <w:rFonts w:ascii="Arial" w:cs="Arial" w:eastAsia="Arial" w:hAnsi="Arial"/>
                <w:sz w:val="18"/>
                <w:szCs w:val="18"/>
                <w:color w:val="auto"/>
                <w:w w:val="88"/>
              </w:rPr>
              <w:t>F-8</w:t>
            </w:r>
          </w:p>
        </w:tc>
        <w:tc>
          <w:tcPr>
            <w:tcW w:w="20" w:type="dxa"/>
            <w:vAlign w:val="bottom"/>
          </w:tcPr>
          <w:p>
            <w:pPr>
              <w:spacing w:after="0"/>
              <w:rPr>
                <w:sz w:val="18"/>
                <w:szCs w:val="18"/>
                <w:color w:val="auto"/>
              </w:rPr>
            </w:pPr>
          </w:p>
        </w:tc>
      </w:tr>
      <w:tr>
        <w:trPr>
          <w:trHeight w:val="230"/>
        </w:trPr>
        <w:tc>
          <w:tcPr>
            <w:tcW w:w="966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580" w:type="dxa"/>
            <w:vAlign w:val="bottom"/>
          </w:tcPr>
          <w:p>
            <w:pPr>
              <w:jc w:val="center"/>
              <w:ind w:left="1170"/>
              <w:spacing w:after="0"/>
              <w:rPr>
                <w:sz w:val="20"/>
                <w:szCs w:val="20"/>
                <w:color w:val="auto"/>
              </w:rPr>
            </w:pPr>
            <w:r>
              <w:rPr>
                <w:rFonts w:ascii="Arial" w:cs="Arial" w:eastAsia="Arial" w:hAnsi="Arial"/>
                <w:sz w:val="18"/>
                <w:szCs w:val="18"/>
                <w:color w:val="auto"/>
                <w:w w:val="88"/>
              </w:rPr>
              <w:t>F-9</w:t>
            </w:r>
          </w:p>
        </w:tc>
        <w:tc>
          <w:tcPr>
            <w:tcW w:w="20" w:type="dxa"/>
            <w:vAlign w:val="bottom"/>
          </w:tcPr>
          <w:p>
            <w:pPr>
              <w:spacing w:after="0"/>
              <w:rPr>
                <w:sz w:val="20"/>
                <w:szCs w:val="20"/>
                <w:color w:val="auto"/>
              </w:rPr>
            </w:pPr>
          </w:p>
        </w:tc>
      </w:tr>
      <w:tr>
        <w:trPr>
          <w:trHeight w:val="445"/>
        </w:trPr>
        <w:tc>
          <w:tcPr>
            <w:tcW w:w="940" w:type="dxa"/>
            <w:vAlign w:val="bottom"/>
          </w:tcPr>
          <w:p>
            <w:pPr>
              <w:ind w:left="700"/>
              <w:spacing w:after="0"/>
              <w:rPr>
                <w:sz w:val="20"/>
                <w:szCs w:val="20"/>
                <w:color w:val="auto"/>
              </w:rPr>
            </w:pPr>
            <w:r>
              <w:rPr>
                <w:rFonts w:ascii="Arial" w:cs="Arial" w:eastAsia="Arial" w:hAnsi="Arial"/>
                <w:sz w:val="18"/>
                <w:szCs w:val="18"/>
                <w:color w:val="auto"/>
                <w:w w:val="99"/>
              </w:rPr>
              <w:t>(2)</w:t>
            </w:r>
          </w:p>
        </w:tc>
        <w:tc>
          <w:tcPr>
            <w:tcW w:w="8720" w:type="dxa"/>
            <w:vAlign w:val="bottom"/>
          </w:tcPr>
          <w:p>
            <w:pPr>
              <w:ind w:left="60"/>
              <w:spacing w:after="0"/>
              <w:rPr>
                <w:sz w:val="20"/>
                <w:szCs w:val="20"/>
                <w:color w:val="auto"/>
              </w:rPr>
            </w:pPr>
            <w:r>
              <w:rPr>
                <w:rFonts w:ascii="Arial" w:cs="Arial" w:eastAsia="Arial" w:hAnsi="Arial"/>
                <w:sz w:val="18"/>
                <w:szCs w:val="18"/>
                <w:color w:val="auto"/>
              </w:rPr>
              <w:t>Financial Statement Schedules.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8720" w:type="dxa"/>
            <w:vAlign w:val="bottom"/>
          </w:tcPr>
          <w:p>
            <w:pPr>
              <w:ind w:left="40"/>
              <w:spacing w:after="0"/>
              <w:rPr>
                <w:sz w:val="20"/>
                <w:szCs w:val="20"/>
                <w:color w:val="auto"/>
              </w:rPr>
            </w:pPr>
            <w:r>
              <w:rPr>
                <w:rFonts w:ascii="Arial" w:cs="Arial" w:eastAsia="Arial" w:hAnsi="Arial"/>
                <w:sz w:val="18"/>
                <w:szCs w:val="18"/>
                <w:color w:val="auto"/>
              </w:rPr>
              <w:t>Required information is included in the footnotes to the financial statements.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ind w:left="660"/>
              <w:spacing w:after="0"/>
              <w:rPr>
                <w:sz w:val="20"/>
                <w:szCs w:val="20"/>
                <w:color w:val="auto"/>
              </w:rPr>
            </w:pPr>
            <w:r>
              <w:rPr>
                <w:rFonts w:ascii="Arial" w:cs="Arial" w:eastAsia="Arial" w:hAnsi="Arial"/>
                <w:sz w:val="18"/>
                <w:szCs w:val="18"/>
                <w:color w:val="auto"/>
              </w:rPr>
              <w:t>(3)</w:t>
            </w:r>
          </w:p>
        </w:tc>
        <w:tc>
          <w:tcPr>
            <w:tcW w:w="8720" w:type="dxa"/>
            <w:vAlign w:val="bottom"/>
          </w:tcPr>
          <w:p>
            <w:pPr>
              <w:ind w:left="20"/>
              <w:spacing w:after="0"/>
              <w:rPr>
                <w:sz w:val="20"/>
                <w:szCs w:val="20"/>
                <w:color w:val="auto"/>
              </w:rPr>
            </w:pPr>
            <w:r>
              <w:rPr>
                <w:rFonts w:ascii="Arial" w:cs="Arial" w:eastAsia="Arial" w:hAnsi="Arial"/>
                <w:sz w:val="18"/>
                <w:szCs w:val="18"/>
                <w:color w:val="auto"/>
              </w:rPr>
              <w:t>Exhibits.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40" w:type="dxa"/>
            <w:vAlign w:val="bottom"/>
          </w:tcPr>
          <w:p>
            <w:pPr>
              <w:spacing w:after="0"/>
              <w:rPr>
                <w:sz w:val="24"/>
                <w:szCs w:val="24"/>
                <w:color w:val="auto"/>
              </w:rPr>
            </w:pPr>
          </w:p>
        </w:tc>
        <w:tc>
          <w:tcPr>
            <w:tcW w:w="8720" w:type="dxa"/>
            <w:vAlign w:val="bottom"/>
          </w:tcPr>
          <w:p>
            <w:pPr>
              <w:ind w:left="40"/>
              <w:spacing w:after="0"/>
              <w:rPr>
                <w:sz w:val="20"/>
                <w:szCs w:val="20"/>
                <w:color w:val="auto"/>
              </w:rPr>
            </w:pPr>
            <w:r>
              <w:rPr>
                <w:rFonts w:ascii="Arial" w:cs="Arial" w:eastAsia="Arial" w:hAnsi="Arial"/>
                <w:sz w:val="18"/>
                <w:szCs w:val="18"/>
                <w:color w:val="auto"/>
              </w:rPr>
              <w:t>See Exhibit Index immediately following the financial statements to this Annual Report on Form 10-K.</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20"/>
              <w:spacing w:after="0"/>
              <w:rPr>
                <w:sz w:val="20"/>
                <w:szCs w:val="20"/>
                <w:color w:val="auto"/>
              </w:rPr>
            </w:pPr>
            <w:r>
              <w:rPr>
                <w:rFonts w:ascii="Arial" w:cs="Arial" w:eastAsia="Arial" w:hAnsi="Arial"/>
                <w:sz w:val="18"/>
                <w:szCs w:val="18"/>
                <w:b w:val="1"/>
                <w:bCs w:val="1"/>
                <w:color w:val="auto"/>
              </w:rPr>
              <w:t>ADMA Biologics,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12, 2020</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3600" w:type="dxa"/>
            <w:vAlign w:val="bottom"/>
          </w:tcPr>
          <w:p>
            <w:pPr>
              <w:spacing w:after="0"/>
              <w:rPr>
                <w:sz w:val="16"/>
                <w:szCs w:val="16"/>
                <w:color w:val="auto"/>
              </w:rPr>
            </w:pPr>
          </w:p>
        </w:tc>
        <w:tc>
          <w:tcPr>
            <w:tcW w:w="260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r>
      <w:tr>
        <w:trPr>
          <w:trHeight w:val="230"/>
        </w:trPr>
        <w:tc>
          <w:tcPr>
            <w:tcW w:w="3600" w:type="dxa"/>
            <w:vAlign w:val="bottom"/>
          </w:tcPr>
          <w:p>
            <w:pPr>
              <w:spacing w:after="0"/>
              <w:rPr>
                <w:sz w:val="20"/>
                <w:szCs w:val="20"/>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2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w w:val="94"/>
              </w:rPr>
              <w:t>President and Chief Executive Officer (Principal</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Adam S. Grossman</w:t>
            </w:r>
          </w:p>
        </w:tc>
        <w:tc>
          <w:tcPr>
            <w:tcW w:w="2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Executive Officer) and Director</w:t>
            </w: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w w:val="99"/>
              </w:rPr>
              <w:t>Executive Vice President and Chief Financial</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195"/>
        </w:trPr>
        <w:tc>
          <w:tcPr>
            <w:tcW w:w="3620" w:type="dxa"/>
            <w:vAlign w:val="bottom"/>
          </w:tcPr>
          <w:p>
            <w:pPr>
              <w:spacing w:after="0" w:line="195" w:lineRule="exact"/>
              <w:rPr>
                <w:sz w:val="20"/>
                <w:szCs w:val="20"/>
                <w:color w:val="auto"/>
              </w:rPr>
            </w:pPr>
            <w:r>
              <w:rPr>
                <w:rFonts w:ascii="Arial" w:cs="Arial" w:eastAsia="Arial" w:hAnsi="Arial"/>
                <w:sz w:val="18"/>
                <w:szCs w:val="18"/>
                <w:color w:val="auto"/>
              </w:rPr>
              <w:t>Brian Lenz</w:t>
            </w:r>
          </w:p>
        </w:tc>
        <w:tc>
          <w:tcPr>
            <w:tcW w:w="22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4"/>
              </w:rPr>
              <w:t>Officer (Principal Financial Officer and Principal</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Accounting Officer)</w:t>
            </w: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Elms</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Chairman of the Board of Directors</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Steven A. Elms</w:t>
            </w:r>
          </w:p>
        </w:tc>
        <w:tc>
          <w:tcPr>
            <w:tcW w:w="2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Jerrold B. Grossman</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Vice Chairman of the Board of Directors</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Dr. Jerrold B. Grossman</w:t>
            </w:r>
          </w:p>
        </w:tc>
        <w:tc>
          <w:tcPr>
            <w:tcW w:w="2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Bryant E. Fong</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Bryant E. Fong</w:t>
            </w:r>
          </w:p>
        </w:tc>
        <w:tc>
          <w:tcPr>
            <w:tcW w:w="2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Dov A. Goldstein, M.D.</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Dov A. Goldstein, M.D.</w:t>
            </w:r>
          </w:p>
        </w:tc>
        <w:tc>
          <w:tcPr>
            <w:tcW w:w="2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P. Guiheen</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Lawrence P. Guiheen</w:t>
            </w:r>
          </w:p>
        </w:tc>
        <w:tc>
          <w:tcPr>
            <w:tcW w:w="2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I. Richman</w:t>
            </w:r>
          </w:p>
        </w:tc>
        <w:tc>
          <w:tcPr>
            <w:tcW w:w="220" w:type="dxa"/>
            <w:vAlign w:val="bottom"/>
          </w:tcPr>
          <w:p>
            <w:pPr>
              <w:spacing w:after="0"/>
              <w:rPr>
                <w:sz w:val="24"/>
                <w:szCs w:val="24"/>
                <w:color w:val="auto"/>
              </w:rPr>
            </w:pPr>
          </w:p>
        </w:tc>
        <w:tc>
          <w:tcPr>
            <w:tcW w:w="360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3600" w:type="dxa"/>
            <w:vAlign w:val="bottom"/>
            <w:vMerge w:val="restart"/>
          </w:tcPr>
          <w:p>
            <w:pPr>
              <w:ind w:left="1240"/>
              <w:spacing w:after="0"/>
              <w:rPr>
                <w:sz w:val="20"/>
                <w:szCs w:val="20"/>
                <w:color w:val="auto"/>
              </w:rPr>
            </w:pPr>
            <w:r>
              <w:rPr>
                <w:rFonts w:ascii="Arial" w:cs="Arial" w:eastAsia="Arial" w:hAnsi="Arial"/>
                <w:sz w:val="18"/>
                <w:szCs w:val="18"/>
                <w:color w:val="auto"/>
              </w:rPr>
              <w:t>March 12, 2020</w:t>
            </w:r>
          </w:p>
        </w:tc>
        <w:tc>
          <w:tcPr>
            <w:tcW w:w="0" w:type="dxa"/>
            <w:vAlign w:val="bottom"/>
          </w:tcPr>
          <w:p>
            <w:pPr>
              <w:spacing w:after="0"/>
              <w:rPr>
                <w:sz w:val="1"/>
                <w:szCs w:val="1"/>
                <w:color w:val="auto"/>
              </w:rPr>
            </w:pPr>
          </w:p>
        </w:tc>
      </w:tr>
      <w:tr>
        <w:trPr>
          <w:trHeight w:val="224"/>
        </w:trPr>
        <w:tc>
          <w:tcPr>
            <w:tcW w:w="3620" w:type="dxa"/>
            <w:vAlign w:val="bottom"/>
          </w:tcPr>
          <w:p>
            <w:pPr>
              <w:spacing w:after="0"/>
              <w:rPr>
                <w:sz w:val="20"/>
                <w:szCs w:val="20"/>
                <w:color w:val="auto"/>
              </w:rPr>
            </w:pPr>
            <w:r>
              <w:rPr>
                <w:rFonts w:ascii="Arial" w:cs="Arial" w:eastAsia="Arial" w:hAnsi="Arial"/>
                <w:sz w:val="18"/>
                <w:szCs w:val="18"/>
                <w:color w:val="auto"/>
              </w:rPr>
              <w:t>Eric I. Richman</w:t>
            </w:r>
          </w:p>
        </w:tc>
        <w:tc>
          <w:tcPr>
            <w:tcW w:w="22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140" w:type="dxa"/>
            <w:vAlign w:val="bottom"/>
            <w:gridSpan w:val="4"/>
          </w:tcPr>
          <w:p>
            <w:pPr>
              <w:ind w:left="1120"/>
              <w:spacing w:after="0"/>
              <w:rPr>
                <w:rFonts w:ascii="Arial" w:cs="Arial" w:eastAsia="Arial" w:hAnsi="Arial"/>
                <w:sz w:val="14"/>
                <w:szCs w:val="14"/>
                <w:i w:val="1"/>
                <w:iCs w:val="1"/>
                <w:color w:val="0000EE"/>
                <w:w w:val="90"/>
              </w:rPr>
            </w:pPr>
            <w:hyperlink w:anchor="page2">
              <w:r>
                <w:rPr>
                  <w:rFonts w:ascii="Arial" w:cs="Arial" w:eastAsia="Arial" w:hAnsi="Arial"/>
                  <w:sz w:val="14"/>
                  <w:szCs w:val="14"/>
                  <w:i w:val="1"/>
                  <w:iCs w:val="1"/>
                  <w:color w:val="0000EE"/>
                  <w:w w:val="90"/>
                </w:rPr>
                <w:t>Table of Contents</w:t>
              </w:r>
            </w:hyperlink>
          </w:p>
        </w:tc>
      </w:tr>
      <w:tr>
        <w:trPr>
          <w:trHeight w:val="560"/>
        </w:trPr>
        <w:tc>
          <w:tcPr>
            <w:tcW w:w="9120" w:type="dxa"/>
            <w:vAlign w:val="bottom"/>
          </w:tcPr>
          <w:p>
            <w:pPr>
              <w:jc w:val="center"/>
              <w:ind w:left="2030"/>
              <w:spacing w:after="0"/>
              <w:rPr>
                <w:sz w:val="20"/>
                <w:szCs w:val="20"/>
                <w:color w:val="auto"/>
              </w:rPr>
            </w:pPr>
            <w:r>
              <w:rPr>
                <w:rFonts w:ascii="Arial" w:cs="Arial" w:eastAsia="Arial" w:hAnsi="Arial"/>
                <w:sz w:val="18"/>
                <w:szCs w:val="18"/>
                <w:b w:val="1"/>
                <w:bCs w:val="1"/>
                <w:color w:val="auto"/>
              </w:rPr>
              <w:t>ADMA BIOLOGICS, INC. AND SUBSIDIARIES</w:t>
            </w:r>
          </w:p>
        </w:tc>
        <w:tc>
          <w:tcPr>
            <w:tcW w:w="1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20" w:type="dxa"/>
            <w:vAlign w:val="bottom"/>
          </w:tcPr>
          <w:p>
            <w:pPr>
              <w:jc w:val="center"/>
              <w:ind w:left="2030"/>
              <w:spacing w:after="0"/>
              <w:rPr>
                <w:sz w:val="20"/>
                <w:szCs w:val="20"/>
                <w:color w:val="auto"/>
              </w:rPr>
            </w:pPr>
            <w:r>
              <w:rPr>
                <w:rFonts w:ascii="Arial" w:cs="Arial" w:eastAsia="Arial" w:hAnsi="Arial"/>
                <w:sz w:val="18"/>
                <w:szCs w:val="18"/>
                <w:b w:val="1"/>
                <w:bCs w:val="1"/>
                <w:color w:val="auto"/>
              </w:rPr>
              <w:t>CONSOLIDATED FINANCIAL STATEMENTS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20" w:type="dxa"/>
            <w:vAlign w:val="bottom"/>
          </w:tcPr>
          <w:p>
            <w:pPr>
              <w:jc w:val="center"/>
              <w:ind w:left="2030"/>
              <w:spacing w:after="0"/>
              <w:rPr>
                <w:sz w:val="20"/>
                <w:szCs w:val="20"/>
                <w:color w:val="auto"/>
              </w:rPr>
            </w:pPr>
            <w:r>
              <w:rPr>
                <w:rFonts w:ascii="Arial" w:cs="Arial" w:eastAsia="Arial" w:hAnsi="Arial"/>
                <w:sz w:val="18"/>
                <w:szCs w:val="18"/>
                <w:b w:val="1"/>
                <w:bCs w:val="1"/>
                <w:color w:val="auto"/>
                <w:w w:val="98"/>
              </w:rPr>
              <w:t>TABLE OF CONTENTS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9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8"/>
                <w:szCs w:val="18"/>
                <w:color w:val="auto"/>
                <w:w w:val="80"/>
              </w:rPr>
              <w:t>Page</w:t>
            </w: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Management’s Annual Report on Internal Control Over Financial Reporting</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F-2</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F-3</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F-4</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Consolidated Balance Sheets as of December 31, 2019 and 2018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F-5</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2019 and 2018</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F-6</w:t>
            </w:r>
          </w:p>
        </w:tc>
        <w:tc>
          <w:tcPr>
            <w:tcW w:w="20" w:type="dxa"/>
            <w:vAlign w:val="bottom"/>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2019 and 2018</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F-7</w:t>
            </w:r>
          </w:p>
        </w:tc>
        <w:tc>
          <w:tcPr>
            <w:tcW w:w="2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2019 and 2018</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F-8</w:t>
            </w:r>
          </w:p>
        </w:tc>
        <w:tc>
          <w:tcPr>
            <w:tcW w:w="20" w:type="dxa"/>
            <w:vAlign w:val="bottom"/>
          </w:tcPr>
          <w:p>
            <w:pPr>
              <w:spacing w:after="0"/>
              <w:rPr>
                <w:sz w:val="18"/>
                <w:szCs w:val="18"/>
                <w:color w:val="auto"/>
              </w:rPr>
            </w:pPr>
          </w:p>
        </w:tc>
      </w:tr>
      <w:tr>
        <w:trPr>
          <w:trHeight w:val="230"/>
        </w:trPr>
        <w:tc>
          <w:tcPr>
            <w:tcW w:w="91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6"/>
              </w:rPr>
              <w:t>F-9</w:t>
            </w:r>
          </w:p>
        </w:tc>
        <w:tc>
          <w:tcPr>
            <w:tcW w:w="20" w:type="dxa"/>
            <w:vAlign w:val="bottom"/>
          </w:tcPr>
          <w:p>
            <w:pPr>
              <w:spacing w:after="0"/>
              <w:rPr>
                <w:sz w:val="20"/>
                <w:szCs w:val="20"/>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69" w:name="page70"/>
    <w:bookmarkEnd w:id="6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Management’s Annual Report on Internal Control Over Financial Reporting</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Management of ADMA Biologics, Inc. (the “Company”) is responsible for establishing and maintaining adequate internal control over financial reporting for the Company.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68" w:lineRule="exact"/>
        <w:rPr>
          <w:sz w:val="20"/>
          <w:szCs w:val="20"/>
          <w:color w:val="auto"/>
        </w:rPr>
      </w:pPr>
    </w:p>
    <w:p>
      <w:pPr>
        <w:ind w:right="20" w:firstLine="1008"/>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ind w:firstLine="1008"/>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and Chief Financial Officer, assessed the effectiveness of its internal control over financial reporting as of December 31, 2019.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2019 based on those criteria.</w:t>
      </w:r>
    </w:p>
    <w:p>
      <w:pPr>
        <w:spacing w:after="0" w:line="171" w:lineRule="exact"/>
        <w:rPr>
          <w:sz w:val="20"/>
          <w:szCs w:val="20"/>
          <w:color w:val="auto"/>
        </w:rPr>
      </w:pPr>
    </w:p>
    <w:p>
      <w:pPr>
        <w:ind w:firstLine="1008"/>
        <w:spacing w:after="0" w:line="263" w:lineRule="auto"/>
        <w:rPr>
          <w:sz w:val="20"/>
          <w:szCs w:val="20"/>
          <w:color w:val="auto"/>
        </w:rPr>
      </w:pPr>
      <w:r>
        <w:rPr>
          <w:rFonts w:ascii="Arial" w:cs="Arial" w:eastAsia="Arial" w:hAnsi="Arial"/>
          <w:sz w:val="18"/>
          <w:szCs w:val="18"/>
          <w:color w:val="auto"/>
        </w:rPr>
        <w:t>Our independent registered public accounting firm, which has audited the consolidated financial statements included in this Annual Report on Form 10-K, has also issued an audit report on the effectiveness of our internal control over financial reporting as of December 31, 2019. Their report appears on page F-3 of this Annual Report on Form 10-K.</w:t>
      </w:r>
    </w:p>
    <w:p>
      <w:pPr>
        <w:sectPr>
          <w:pgSz w:w="11900" w:h="16838" w:orient="portrait"/>
          <w:cols w:equalWidth="0" w:num="1">
            <w:col w:w="11240"/>
          </w:cols>
          <w:pgMar w:left="320" w:top="229"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Adam S. Grossman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Brian Lenz</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ectPr>
          <w:pgSz w:w="11900" w:h="16838" w:orient="portrait"/>
          <w:cols w:equalWidth="0" w:num="2">
            <w:col w:w="6680" w:space="720"/>
            <w:col w:w="3840"/>
          </w:cols>
          <w:pgMar w:left="320" w:top="229" w:right="339" w:bottom="1440" w:gutter="0" w:footer="0" w:header="0"/>
          <w:type w:val="continuous"/>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0" w:name="page71"/>
    <w:bookmarkEnd w:id="7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ADMA Biologics, Inc. and subsidiaries’ internal control over financial reporting as of December 31, 2019, based on criteria established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 (“COSO”). In our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opinion, ADMA Biologics, Inc. and subsidiaries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“PCAOB”), the consolidated balance sheets as of December 31, 2019 and 2018, and the related consolidated statements of operations, stockholders’ equity, and cash flows for the years then ended of the Company, and the related notes, and our report, dated March 12, 2020, expressed an unqualified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ADMA Biologics, Inc. and subsidiaries (the “Company”) as of December 31, 2019 and 2018, and the related consolidated statements of operations,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(COSO), and our report dated March 12, 2020,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Notes 2 and 12 to the consolidated financial statements, the Company has changed its method of accounting for leases as of January 1, 2019 due to the adoption of Accounting Standard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r>
      <w:tr>
        <w:trPr>
          <w:trHeight w:val="542"/>
        </w:trPr>
        <w:tc>
          <w:tcPr>
            <w:tcW w:w="7880" w:type="dxa"/>
            <w:vAlign w:val="bottom"/>
          </w:tcPr>
          <w:p>
            <w:pPr>
              <w:jc w:val="center"/>
              <w:ind w:left="3270"/>
              <w:spacing w:after="0"/>
              <w:rPr>
                <w:sz w:val="20"/>
                <w:szCs w:val="20"/>
                <w:color w:val="auto"/>
              </w:rPr>
            </w:pPr>
            <w:r>
              <w:rPr>
                <w:rFonts w:ascii="Arial" w:cs="Arial" w:eastAsia="Arial" w:hAnsi="Arial"/>
                <w:sz w:val="18"/>
                <w:szCs w:val="18"/>
                <w:b w:val="1"/>
                <w:bCs w:val="1"/>
                <w:color w:val="auto"/>
              </w:rPr>
              <w:t>ADMA BIOLOGICS, INC. AND SUBSIDIARIES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r>
      <w:tr>
        <w:trPr>
          <w:trHeight w:val="216"/>
        </w:trPr>
        <w:tc>
          <w:tcPr>
            <w:tcW w:w="7880" w:type="dxa"/>
            <w:vAlign w:val="bottom"/>
          </w:tcPr>
          <w:p>
            <w:pPr>
              <w:jc w:val="center"/>
              <w:ind w:left="32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7880" w:type="dxa"/>
            <w:vAlign w:val="bottom"/>
          </w:tcPr>
          <w:p>
            <w:pPr>
              <w:jc w:val="center"/>
              <w:ind w:left="3230"/>
              <w:spacing w:after="0"/>
              <w:rPr>
                <w:sz w:val="20"/>
                <w:szCs w:val="20"/>
                <w:color w:val="auto"/>
              </w:rPr>
            </w:pPr>
            <w:r>
              <w:rPr>
                <w:rFonts w:ascii="Arial" w:cs="Arial" w:eastAsia="Arial" w:hAnsi="Arial"/>
                <w:sz w:val="18"/>
                <w:szCs w:val="18"/>
                <w:b w:val="1"/>
                <w:bCs w:val="1"/>
                <w:color w:val="auto"/>
                <w:w w:val="90"/>
              </w:rPr>
              <w:t>December 31, 2019 and 2018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27"/>
        </w:trPr>
        <w:tc>
          <w:tcPr>
            <w:tcW w:w="7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26,752,135</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22,754,852</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3,469,919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1,392,441</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53,064,734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18,616,169</w:t>
            </w:r>
          </w:p>
        </w:tc>
      </w:tr>
      <w:tr>
        <w:trPr>
          <w:trHeight w:val="229"/>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2,533,593</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1,766,163</w:t>
            </w:r>
          </w:p>
        </w:tc>
      </w:tr>
      <w:tr>
        <w:trPr>
          <w:trHeight w:val="209"/>
        </w:trPr>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85,820,381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44,529,625</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31,741,317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30,115,730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3,159,474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4,004,412</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3,529,509</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Assets to be transferred under purchase agreement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1,153,508</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4,000,000</w:t>
            </w: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2,840,044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1,543,737</w:t>
            </w:r>
          </w:p>
        </w:tc>
      </w:tr>
      <w:tr>
        <w:trPr>
          <w:trHeight w:val="263"/>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127,090,725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r>
      <w:tr>
        <w:trPr>
          <w:trHeight w:val="197"/>
        </w:trPr>
        <w:tc>
          <w:tcPr>
            <w:tcW w:w="7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9,174,591</w:t>
            </w:r>
          </w:p>
        </w:tc>
        <w:tc>
          <w:tcPr>
            <w:tcW w:w="22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5,900,394</w:t>
            </w: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4,481,395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3,551,835</w:t>
            </w:r>
          </w:p>
        </w:tc>
      </w:tr>
      <w:tr>
        <w:trPr>
          <w:trHeight w:val="216"/>
        </w:trPr>
        <w:tc>
          <w:tcPr>
            <w:tcW w:w="7880" w:type="dxa"/>
            <w:vAlign w:val="bottom"/>
          </w:tcPr>
          <w:p>
            <w:pPr>
              <w:ind w:left="180"/>
              <w:spacing w:after="0"/>
              <w:rPr>
                <w:sz w:val="20"/>
                <w:szCs w:val="20"/>
                <w:color w:val="auto"/>
              </w:rPr>
            </w:pPr>
            <w:r>
              <w:rPr>
                <w:rFonts w:ascii="Arial" w:cs="Arial" w:eastAsia="Arial" w:hAnsi="Arial"/>
                <w:sz w:val="18"/>
                <w:szCs w:val="18"/>
                <w:color w:val="auto"/>
              </w:rPr>
              <w:t>Current portion of deferred revenue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142,834</w:t>
            </w:r>
          </w:p>
        </w:tc>
      </w:tr>
      <w:tr>
        <w:trPr>
          <w:trHeight w:val="230"/>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obligations</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229,073</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29,983</w:t>
            </w:r>
          </w:p>
        </w:tc>
      </w:tr>
      <w:tr>
        <w:trPr>
          <w:trHeight w:val="209"/>
        </w:trPr>
        <w:tc>
          <w:tcPr>
            <w:tcW w:w="78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14,027,893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9,625,046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Senior notes payable, net of discount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68,291,163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26,440,830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End of term liability, notes payable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2,760,000</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2,261,532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2,404,365</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Subordinated note payable, net of discount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14,908,053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14,874,184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Obligation to transfer assets under purchase agreement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12,621,844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Lease obligations, net of current portion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1,302,361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119,080</w:t>
            </w: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106,574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260,734</w:t>
            </w:r>
          </w:p>
        </w:tc>
      </w:tr>
      <w:tr>
        <w:trPr>
          <w:trHeight w:val="210"/>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100,897,576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69,106,083</w:t>
            </w:r>
          </w:p>
        </w:tc>
      </w:tr>
      <w:tr>
        <w:trPr>
          <w:trHeight w:val="210"/>
        </w:trPr>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10,000,000 shares authorized,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shares issued and outstanding</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2"/>
        </w:trPr>
        <w:tc>
          <w:tcPr>
            <w:tcW w:w="7880" w:type="dxa"/>
            <w:vAlign w:val="bottom"/>
          </w:tcPr>
          <w:p>
            <w:pPr>
              <w:spacing w:after="0" w:line="201" w:lineRule="exact"/>
              <w:rPr>
                <w:sz w:val="20"/>
                <w:szCs w:val="20"/>
                <w:color w:val="auto"/>
              </w:rPr>
            </w:pPr>
            <w:r>
              <w:rPr>
                <w:rFonts w:ascii="Arial" w:cs="Arial" w:eastAsia="Arial" w:hAnsi="Arial"/>
                <w:sz w:val="18"/>
                <w:szCs w:val="18"/>
                <w:color w:val="auto"/>
              </w:rPr>
              <w:t>Common Stock - voting, $0.0001 par value, 150,000,000 and 75,000,000 shares authorized,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7880" w:type="dxa"/>
            <w:vAlign w:val="bottom"/>
          </w:tcPr>
          <w:p>
            <w:pPr>
              <w:ind w:left="180"/>
              <w:spacing w:after="0"/>
              <w:rPr>
                <w:sz w:val="20"/>
                <w:szCs w:val="20"/>
                <w:color w:val="auto"/>
              </w:rPr>
            </w:pPr>
            <w:r>
              <w:rPr>
                <w:rFonts w:ascii="Arial" w:cs="Arial" w:eastAsia="Arial" w:hAnsi="Arial"/>
                <w:sz w:val="18"/>
                <w:szCs w:val="18"/>
                <w:color w:val="auto"/>
              </w:rPr>
              <w:t>59,318,355 and 46,353,068 shares issued and outstanding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5,932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4,635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290,903,772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236,203,041</w:t>
            </w:r>
          </w:p>
        </w:tc>
      </w:tr>
      <w:tr>
        <w:trPr>
          <w:trHeight w:val="229"/>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(264,716,555)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(216,437,238)</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26,193,149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19,770,438</w:t>
            </w: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127,090,725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88,876,521</w:t>
            </w:r>
          </w:p>
        </w:tc>
      </w:tr>
      <w:tr>
        <w:trPr>
          <w:trHeight w:val="20"/>
        </w:trPr>
        <w:tc>
          <w:tcPr>
            <w:tcW w:w="7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r>
      <w:tr>
        <w:trPr>
          <w:trHeight w:val="515"/>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ADMA BIOLOGICS, INC. AND SUBSIDIARIES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Years Ended December 31, 2019 and 2018</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8"/>
              </w:rPr>
              <w:t>Years Ended December 31,</w:t>
            </w:r>
          </w:p>
        </w:tc>
      </w:tr>
      <w:tr>
        <w:trPr>
          <w:trHeight w:val="223"/>
        </w:trPr>
        <w:tc>
          <w:tcPr>
            <w:tcW w:w="8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09"/>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29,206,249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16,842,456</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r>
      <w:tr>
        <w:trPr>
          <w:trHeight w:val="209"/>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29,349,083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16,985,290</w:t>
            </w:r>
          </w:p>
        </w:tc>
      </w:tr>
      <w:tr>
        <w:trPr>
          <w:trHeight w:val="209"/>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 revenue (exclusive of amortization expense shown below)</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39,504,238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42,194,635</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2,343,848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3,926,120</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Plasma center operating 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2,169,629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7,805,619</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844,938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844,938</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25,910,757</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22,502,922</w:t>
            </w:r>
          </w:p>
        </w:tc>
      </w:tr>
      <w:tr>
        <w:trPr>
          <w:trHeight w:val="209"/>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70,773,410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77,274,234</w:t>
            </w:r>
          </w:p>
        </w:tc>
      </w:tr>
      <w:tr>
        <w:trPr>
          <w:trHeight w:val="209"/>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(41,424,327)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(60,288,944)</w:t>
            </w:r>
          </w:p>
        </w:tc>
      </w:tr>
      <w:tr>
        <w:trPr>
          <w:trHeight w:val="209"/>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800,785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195,403</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(8,993,379)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(5,522,783)</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Gain on transfer of plasma center assets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(227,322)</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(127,121)</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Other expense, net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(6,854,990)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(5,454,501)</w:t>
            </w:r>
          </w:p>
        </w:tc>
      </w:tr>
      <w:tr>
        <w:trPr>
          <w:trHeight w:val="209"/>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83"/>
        </w:trPr>
        <w:tc>
          <w:tcPr>
            <w:tcW w:w="81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(48,279,317)</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(65,743,445)</w:t>
            </w:r>
          </w:p>
        </w:tc>
      </w:tr>
      <w:tr>
        <w:trPr>
          <w:trHeight w:val="196"/>
        </w:trPr>
        <w:tc>
          <w:tcPr>
            <w:tcW w:w="8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83"/>
        </w:trPr>
        <w:tc>
          <w:tcPr>
            <w:tcW w:w="8100" w:type="dxa"/>
            <w:vAlign w:val="bottom"/>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(0.89)</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197"/>
        </w:trPr>
        <w:tc>
          <w:tcPr>
            <w:tcW w:w="8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and Diluted</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54,348,136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45,188,899</w:t>
            </w: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spacing w:after="0"/>
              <w:rPr>
                <w:rFonts w:ascii="Arial" w:cs="Arial" w:eastAsia="Arial" w:hAnsi="Arial"/>
                <w:sz w:val="14"/>
                <w:szCs w:val="14"/>
                <w:i w:val="1"/>
                <w:iCs w:val="1"/>
                <w:color w:val="0000EE"/>
                <w:w w:val="97"/>
              </w:rPr>
            </w:pPr>
            <w:hyperlink w:anchor="page2">
              <w:r>
                <w:rPr>
                  <w:rFonts w:ascii="Arial" w:cs="Arial" w:eastAsia="Arial" w:hAnsi="Arial"/>
                  <w:sz w:val="14"/>
                  <w:szCs w:val="14"/>
                  <w:i w:val="1"/>
                  <w:iCs w:val="1"/>
                  <w:color w:val="0000EE"/>
                  <w:w w:val="97"/>
                </w:rPr>
                <w:t>Table of Contents</w:t>
              </w:r>
            </w:hyperlink>
          </w:p>
        </w:tc>
      </w:tr>
      <w:tr>
        <w:trPr>
          <w:trHeight w:val="515"/>
        </w:trPr>
        <w:tc>
          <w:tcPr>
            <w:tcW w:w="2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120" w:type="dxa"/>
            <w:vAlign w:val="bottom"/>
            <w:gridSpan w:val="12"/>
          </w:tcPr>
          <w:p>
            <w:pPr>
              <w:jc w:val="center"/>
              <w:ind w:right="1160"/>
              <w:spacing w:after="0"/>
              <w:rPr>
                <w:sz w:val="20"/>
                <w:szCs w:val="20"/>
                <w:color w:val="auto"/>
              </w:rPr>
            </w:pPr>
            <w:r>
              <w:rPr>
                <w:rFonts w:ascii="Arial" w:cs="Arial" w:eastAsia="Arial" w:hAnsi="Arial"/>
                <w:sz w:val="18"/>
                <w:szCs w:val="18"/>
                <w:b w:val="1"/>
                <w:bCs w:val="1"/>
                <w:color w:val="auto"/>
              </w:rPr>
              <w:t>ADMA BIOLOGICS, INC. AND SUBSIDIARIES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r>
      <w:tr>
        <w:trPr>
          <w:trHeight w:val="216"/>
        </w:trPr>
        <w:tc>
          <w:tcPr>
            <w:tcW w:w="9940" w:type="dxa"/>
            <w:vAlign w:val="bottom"/>
            <w:gridSpan w:val="15"/>
          </w:tcPr>
          <w:p>
            <w:pPr>
              <w:jc w:val="center"/>
              <w:ind w:left="1230"/>
              <w:spacing w:after="0"/>
              <w:rPr>
                <w:sz w:val="20"/>
                <w:szCs w:val="20"/>
                <w:color w:val="auto"/>
              </w:rPr>
            </w:pPr>
            <w:r>
              <w:rPr>
                <w:rFonts w:ascii="Arial" w:cs="Arial" w:eastAsia="Arial" w:hAnsi="Arial"/>
                <w:sz w:val="18"/>
                <w:szCs w:val="18"/>
                <w:b w:val="1"/>
                <w:bCs w:val="1"/>
                <w:color w:val="auto"/>
              </w:rPr>
              <w:t>CONSOLIDATED STATEMENTS OF CHANGES IN STOCKHOLDERS’ 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40" w:type="dxa"/>
            <w:vAlign w:val="bottom"/>
            <w:gridSpan w:val="8"/>
          </w:tcPr>
          <w:p>
            <w:pPr>
              <w:jc w:val="center"/>
              <w:ind w:right="80"/>
              <w:spacing w:after="0"/>
              <w:rPr>
                <w:sz w:val="20"/>
                <w:szCs w:val="20"/>
                <w:color w:val="auto"/>
              </w:rPr>
            </w:pPr>
            <w:r>
              <w:rPr>
                <w:rFonts w:ascii="Arial" w:cs="Arial" w:eastAsia="Arial" w:hAnsi="Arial"/>
                <w:sz w:val="18"/>
                <w:szCs w:val="18"/>
                <w:b w:val="1"/>
                <w:bCs w:val="1"/>
                <w:color w:val="auto"/>
                <w:w w:val="89"/>
              </w:rPr>
              <w:t>Years Ended December 31, 2019 and 2018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2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05"/>
        </w:trPr>
        <w:tc>
          <w:tcPr>
            <w:tcW w:w="2680" w:type="dxa"/>
            <w:vAlign w:val="bottom"/>
          </w:tcPr>
          <w:p>
            <w:pPr>
              <w:spacing w:after="0"/>
              <w:rPr>
                <w:sz w:val="17"/>
                <w:szCs w:val="17"/>
                <w:color w:val="auto"/>
              </w:rPr>
            </w:pPr>
          </w:p>
        </w:tc>
        <w:tc>
          <w:tcPr>
            <w:tcW w:w="1360" w:type="dxa"/>
            <w:vAlign w:val="bottom"/>
            <w:gridSpan w:val="4"/>
          </w:tcPr>
          <w:p>
            <w:pPr>
              <w:jc w:val="right"/>
              <w:spacing w:after="0" w:line="205" w:lineRule="exact"/>
              <w:rPr>
                <w:sz w:val="20"/>
                <w:szCs w:val="20"/>
                <w:color w:val="auto"/>
              </w:rPr>
            </w:pPr>
            <w:r>
              <w:rPr>
                <w:rFonts w:ascii="Arial" w:cs="Arial" w:eastAsia="Arial" w:hAnsi="Arial"/>
                <w:sz w:val="18"/>
                <w:szCs w:val="18"/>
                <w:b w:val="1"/>
                <w:bCs w:val="1"/>
                <w:color w:val="auto"/>
              </w:rPr>
              <w:t>Voting</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4"/>
          </w:tcPr>
          <w:p>
            <w:pPr>
              <w:jc w:val="right"/>
              <w:ind w:right="570"/>
              <w:spacing w:after="0" w:line="205" w:lineRule="exact"/>
              <w:rPr>
                <w:sz w:val="20"/>
                <w:szCs w:val="20"/>
                <w:color w:val="auto"/>
              </w:rPr>
            </w:pPr>
            <w:r>
              <w:rPr>
                <w:rFonts w:ascii="Arial" w:cs="Arial" w:eastAsia="Arial" w:hAnsi="Arial"/>
                <w:sz w:val="18"/>
                <w:szCs w:val="18"/>
                <w:b w:val="1"/>
                <w:bCs w:val="1"/>
                <w:color w:val="auto"/>
              </w:rPr>
              <w:t>Non-Voting</w:t>
            </w:r>
          </w:p>
        </w:tc>
        <w:tc>
          <w:tcPr>
            <w:tcW w:w="200" w:type="dxa"/>
            <w:vAlign w:val="bottom"/>
          </w:tcPr>
          <w:p>
            <w:pPr>
              <w:spacing w:after="0"/>
              <w:rPr>
                <w:sz w:val="17"/>
                <w:szCs w:val="17"/>
                <w:color w:val="auto"/>
              </w:rPr>
            </w:pPr>
          </w:p>
        </w:tc>
        <w:tc>
          <w:tcPr>
            <w:tcW w:w="132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3"/>
              </w:rPr>
              <w:t>Paid-in</w:t>
            </w:r>
          </w:p>
        </w:tc>
        <w:tc>
          <w:tcPr>
            <w:tcW w:w="1180" w:type="dxa"/>
            <w:vAlign w:val="bottom"/>
          </w:tcPr>
          <w:p>
            <w:pPr>
              <w:jc w:val="right"/>
              <w:spacing w:after="0" w:line="205" w:lineRule="exact"/>
              <w:rPr>
                <w:sz w:val="20"/>
                <w:szCs w:val="20"/>
                <w:color w:val="auto"/>
              </w:rPr>
            </w:pPr>
            <w:r>
              <w:rPr>
                <w:rFonts w:ascii="Arial" w:cs="Arial" w:eastAsia="Arial" w:hAnsi="Arial"/>
                <w:sz w:val="18"/>
                <w:szCs w:val="18"/>
                <w:b w:val="1"/>
                <w:bCs w:val="1"/>
                <w:color w:val="auto"/>
                <w:w w:val="95"/>
              </w:rPr>
              <w:t>Accumulated</w:t>
            </w:r>
          </w:p>
        </w:tc>
        <w:tc>
          <w:tcPr>
            <w:tcW w:w="200" w:type="dxa"/>
            <w:vAlign w:val="bottom"/>
          </w:tcPr>
          <w:p>
            <w:pPr>
              <w:spacing w:after="0"/>
              <w:rPr>
                <w:sz w:val="17"/>
                <w:szCs w:val="17"/>
                <w:color w:val="auto"/>
              </w:rPr>
            </w:pP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b w:val="1"/>
                <w:bCs w:val="1"/>
                <w:color w:val="auto"/>
                <w:w w:val="89"/>
              </w:rPr>
              <w:t>Stockholders'</w:t>
            </w:r>
          </w:p>
        </w:tc>
      </w:tr>
      <w:tr>
        <w:trPr>
          <w:trHeight w:val="234"/>
        </w:trPr>
        <w:tc>
          <w:tcPr>
            <w:tcW w:w="26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b w:val="1"/>
                <w:bCs w:val="1"/>
                <w:color w:val="auto"/>
              </w:rPr>
              <w:t>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00" w:type="dxa"/>
            <w:vAlign w:val="bottom"/>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36,725,499</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8,591,160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$ 191,022,018</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(150,693,793)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40,332,757</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2,223,288</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2,223,288</w:t>
            </w: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common stock, net of</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9,623,430</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962</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42,943,869</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42,944,831</w:t>
            </w: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Retirement of non-voting</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(8,591,160)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13,007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13,007</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(65,743,445)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(65,743,445)</w:t>
            </w:r>
          </w:p>
        </w:tc>
      </w:tr>
      <w:tr>
        <w:trPr>
          <w:trHeight w:val="209"/>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46,353,068</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236,203,041</w:t>
            </w:r>
          </w:p>
        </w:tc>
        <w:tc>
          <w:tcPr>
            <w:tcW w:w="2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(216,437,238)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19,770,438</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2,650,777</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2,650,777</w:t>
            </w:r>
          </w:p>
        </w:tc>
      </w:tr>
      <w:tr>
        <w:trPr>
          <w:trHeight w:val="202"/>
        </w:trPr>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issued in connection</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with note payable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3,579,115</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3,579,115</w:t>
            </w: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net of</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offering expenses</w:t>
            </w:r>
          </w:p>
        </w:tc>
        <w:tc>
          <w:tcPr>
            <w:tcW w:w="960" w:type="dxa"/>
            <w:vAlign w:val="bottom"/>
          </w:tcPr>
          <w:p>
            <w:pPr>
              <w:jc w:val="right"/>
              <w:spacing w:after="0"/>
              <w:rPr>
                <w:sz w:val="20"/>
                <w:szCs w:val="20"/>
                <w:color w:val="auto"/>
              </w:rPr>
            </w:pPr>
            <w:r>
              <w:rPr>
                <w:rFonts w:ascii="Arial" w:cs="Arial" w:eastAsia="Arial" w:hAnsi="Arial"/>
                <w:sz w:val="18"/>
                <w:szCs w:val="18"/>
                <w:color w:val="auto"/>
                <w:w w:val="99"/>
              </w:rPr>
              <w:t>12,937,500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48,395,794</w:t>
            </w: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48,397,088</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75,045</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75,048</w:t>
            </w:r>
          </w:p>
        </w:tc>
      </w:tr>
      <w:tr>
        <w:trPr>
          <w:trHeight w:val="229"/>
        </w:trPr>
        <w:tc>
          <w:tcPr>
            <w:tcW w:w="268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(48,279,317)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(48,279,317)</w:t>
            </w: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59,318,355</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290,903,772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(264,716,555)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26,193,149</w:t>
            </w:r>
          </w:p>
        </w:tc>
      </w:tr>
      <w:tr>
        <w:trPr>
          <w:trHeight w:val="20"/>
        </w:trPr>
        <w:tc>
          <w:tcPr>
            <w:tcW w:w="2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r>
      <w:tr>
        <w:trPr>
          <w:trHeight w:val="515"/>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ADMA BIOLOGICS, INC. AND SUBSIDIARIES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10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Years Ended December 31, 2019 and 2018</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5"/>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8"/>
                <w:szCs w:val="18"/>
                <w:b w:val="1"/>
                <w:bCs w:val="1"/>
                <w:color w:val="auto"/>
                <w:w w:val="98"/>
              </w:rPr>
              <w:t>Years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(48,279,317)</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(65,743,445)</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ind w:left="3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3,258,148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3,446,398</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Loss on disposal of fixed assets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207,071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122,190</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2,650,777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2,223,288</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Amortization of debt discount</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1,180,348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1,104,161</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Gain on transfer of plasma center assets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(11,527,421)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license 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(142,834)</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(2,077,478)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2,487,713</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(34,650,132)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(5,987,988)</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(540,509)</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Deposits and other assets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107,974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(208,594)</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3,274,200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(20,480)</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806,353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406,984</w:t>
            </w:r>
          </w:p>
        </w:tc>
      </w:tr>
      <w:tr>
        <w:trPr>
          <w:trHeight w:val="229"/>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current and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(190,514)</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174,434</w:t>
            </w:r>
          </w:p>
        </w:tc>
      </w:tr>
      <w:tr>
        <w:trPr>
          <w:trHeight w:val="210"/>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(76,193,504)</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(62,678,682)</w:t>
            </w:r>
          </w:p>
        </w:tc>
      </w:tr>
      <w:tr>
        <w:trPr>
          <w:trHeight w:val="209"/>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(3,811,838)</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(2,095,600)</w:t>
            </w:r>
          </w:p>
        </w:tc>
      </w:tr>
      <w:tr>
        <w:trPr>
          <w:trHeight w:val="210"/>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(3,811,838)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(2,095,600)</w:t>
            </w:r>
          </w:p>
        </w:tc>
      </w:tr>
      <w:tr>
        <w:trPr>
          <w:trHeight w:val="210"/>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Principal payments on notes payable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Payment of end of end of term fee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(2,760,000)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issuance of common stock, net of offering expenses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48,397,088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42,944,831</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Proceeds from the exercise of stock options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75,048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13,007</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debt refinancing fees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(6,499,867)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Proceeds from issuance of note payable</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72,500,000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of debt issuance costs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(1,679,661)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500"/>
              <w:spacing w:after="0"/>
              <w:rPr>
                <w:sz w:val="20"/>
                <w:szCs w:val="20"/>
                <w:color w:val="auto"/>
              </w:rPr>
            </w:pPr>
            <w:r>
              <w:rPr>
                <w:rFonts w:ascii="Arial" w:cs="Arial" w:eastAsia="Arial" w:hAnsi="Arial"/>
                <w:sz w:val="18"/>
                <w:szCs w:val="18"/>
                <w:color w:val="auto"/>
              </w:rPr>
              <w:t>Payments on finance lease obligations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(29,983)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(16,581)</w:t>
            </w:r>
          </w:p>
        </w:tc>
      </w:tr>
      <w:tr>
        <w:trPr>
          <w:trHeight w:val="230"/>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Payments of leasehold improvement loan</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(19,697)</w:t>
            </w:r>
          </w:p>
        </w:tc>
      </w:tr>
      <w:tr>
        <w:trPr>
          <w:trHeight w:val="210"/>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80,002,625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42,921,560</w:t>
            </w:r>
          </w:p>
        </w:tc>
      </w:tr>
      <w:tr>
        <w:trPr>
          <w:trHeight w:val="209"/>
        </w:trPr>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2" w:right="339" w:bottom="1440" w:gutter="0" w:footer="0" w:header="0"/>
        </w:sectPr>
      </w:pPr>
    </w:p>
    <w:p>
      <w:pPr>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1880"/>
        <w:spacing w:after="0" w:line="341" w:lineRule="auto"/>
        <w:rPr>
          <w:sz w:val="20"/>
          <w:szCs w:val="20"/>
          <w:color w:val="auto"/>
        </w:rPr>
      </w:pPr>
      <w:r>
        <w:rPr>
          <w:rFonts w:ascii="Arial" w:cs="Arial" w:eastAsia="Arial" w:hAnsi="Arial"/>
          <w:sz w:val="16"/>
          <w:szCs w:val="16"/>
          <w:b w:val="1"/>
          <w:bCs w:val="1"/>
          <w:color w:val="auto"/>
        </w:rPr>
        <w:t>Cash and cash equivalents, including restricted cash - beginning of year Cash and cash equivalents, including restricted cash -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(21,852,722)</w:t>
            </w:r>
          </w:p>
        </w:tc>
      </w:tr>
      <w:tr>
        <w:trPr>
          <w:trHeight w:val="230"/>
        </w:trPr>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26,754,852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48,607,574</w:t>
            </w:r>
          </w:p>
        </w:tc>
      </w:tr>
      <w:tr>
        <w:trPr>
          <w:trHeight w:val="223"/>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26,752,135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26,754,852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7380" w:space="720"/>
            <w:col w:w="3140"/>
          </w:cols>
          <w:pgMar w:left="320" w:top="222" w:right="339" w:bottom="1440" w:gutter="0" w:footer="0" w:header="0"/>
          <w:type w:val="continuous"/>
        </w:sect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type w:val="continuous"/>
        </w:sectPr>
      </w:pPr>
    </w:p>
    <w:bookmarkStart w:id="76" w:name="page77"/>
    <w:bookmarkEnd w:id="7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ADMA operates through its wholly-owned subsidiaries ADMA BioManufacturing, LLC (“ADMA BioManufacturing”) and ADMA Bio Centers Georgia Inc. (“ADMA Bio Centers”). ADMA BioManufacturing was formed in January 2017 to facilitate the acquisition of the Biotest Therapy Business Unit (“BTBU”) from Biotest Pharmaceuticals Corporation (“BPC” and, together with Biotest AG, “Biotest”) as more fully described below. BTBU had been the Company’s third-party manufacturer for its then-lead pipeline product candidate, ASCENIV, previously referred to as “RI-002.” ADMA Bio Centers is the Company’s source plasma collection business with a plasma collection facility located in the U.S., which holds an approved license with the U.S. Food and Drug Administration (the “FDA”). Effective January 1, 2019, in connection with the Biotest Transaction (as defined below), the Company transferred two of its FDA-approved plasma collection facilities to BPC.</w:t>
      </w:r>
    </w:p>
    <w:p>
      <w:pPr>
        <w:spacing w:after="0" w:line="177" w:lineRule="exact"/>
        <w:rPr>
          <w:sz w:val="20"/>
          <w:szCs w:val="20"/>
          <w:color w:val="auto"/>
        </w:rPr>
      </w:pPr>
    </w:p>
    <w:p>
      <w:pPr>
        <w:ind w:right="360" w:firstLine="648"/>
        <w:spacing w:after="0" w:line="270" w:lineRule="auto"/>
        <w:rPr>
          <w:sz w:val="20"/>
          <w:szCs w:val="20"/>
          <w:color w:val="auto"/>
        </w:rPr>
      </w:pPr>
      <w:r>
        <w:rPr>
          <w:rFonts w:ascii="Arial" w:cs="Arial" w:eastAsia="Arial" w:hAnsi="Arial"/>
          <w:sz w:val="17"/>
          <w:szCs w:val="17"/>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for the commercial re-launch of the product and commenced the commercial re-launch in August 2019; (ii) ASCENIV (Immune Globulin Intravenous, Human – slra 10% Liquid), previously referred to as RI-002,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On June 6, 2017, ADMA completed the acquisition of certain assets (the “Biotest Assets”) of BTBU, which included the FDA-licensed BIVIGAM and Nabi-HB immunoglobulin products, and an FDA-licensed plasma fractionation manufacturing facility located in Boca Raton, FL (the “Boca Facility”) (the “Biotest Transaction”). In addition to its commercially available immunoglobulin products, the Company provides contract manufacturing services for certain clients and generates revenues from the sale of intermediate by-products that result from the immunoglobulin production process. Immediately following the closing of the Biotest Transaction, the Biotest Assets were contributed into ADMA BioManufacturing.</w:t>
      </w:r>
    </w:p>
    <w:p>
      <w:pPr>
        <w:spacing w:after="0" w:line="1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As of December 31 2019, the Company had working capital of $71.8 million, including $26.8 million of cash and cash equivalents. Based upon the Company’s current projected revenue and expenditures, including capital expenditures and continued implementation of the Company’s commercialization and expansion activities, as well as certain other assumptions, the Company’s management currently believes that its cash, cash equivalents, projected revenue and accounts receivable, along with the net proceeds received from the February 2020 public offering of the Company’s common stock (see Note 17) and the additional $12.5 million it is able to access under its senior credit facility, will be sufficient to fund ADMA’s operations, as currently conducted, into the second quarter of 2021. In order to have sufficient cash to fund its operations thereafter, the Company expects it will need to raise additional capital before the end of the second quarter of 2021. These estimates may change based upon the success of the Company’s commercial manufacturing ramp-up activities, the acceptability of BIVIGAM and ASCENIV by physicians, patients or payers and the various financing options that may be available to the Company. Other than the $12.5 million commitment currently available under its senior credit facility (see Note 7), the Company currently has no firm commitments for additional financing, and there can be no assurance that the Company will be able to secure additional financing on terms that are acceptable to the Company, or at all. Furthermore, if the Company’s assumptions underlying its estimated expenses and revenues are incorrect, it may have to raise additional capital sooner than currently anticipated.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may decide to raise capital through public or private equity offerings or debt financings, or obtain a bank credit facility or enter into corporate collaboration and licensing arrangements. The sale of additional equity or debt securities, if convertible, could result in dilution to the Company’s existing stockholders and, in such event, the market value of its common stock may decline. The incurrence of additional indebtedness would result in increased fixed obligations and could also result in covenants that would restrict the Company’s operations or other financing alternatives. In addition, the Company is exploring additional contract manufacturing arrangements and other business development opportunities, which may provide additional liquidity to the Company.</w:t>
      </w:r>
    </w:p>
    <w:p>
      <w:pPr>
        <w:spacing w:after="0" w:line="192"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There can be no assurance that the Company’s approved products will be commercially viable, or that research and development,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protection of proprietary technology, and compliance with FDA and other governmental regulations and approval requirements.</w:t>
      </w:r>
    </w:p>
    <w:p>
      <w:pPr>
        <w:spacing w:after="0" w:line="15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8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During the years ended December 31, 2019 and 2018, comprehensive loss was equal to the net loss amounts presented for the respective periods in the accompanying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the realizable value of accounts receivable, valuation of inventory, assumptions used in the fair value of awards granted under the Company’s equity incentive plans and warrants issued in connection with the issuance of notes payable and the valuation allowance for the Company’s deferred tax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considers all highly-liquid instruments purchased with a maturity of three months or less to be cash equivalents.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regularly maintains cash and cash equivalents at third-party financial institutions in excess of the Federal Deposit Insurance Corporation insurance limit. Although the Company monitors the daily cash balances in the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cash</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Restricted cash at December 31, 2018 consists of cash held in a reserve account as required by the terms of the Company’s then-senior lending agreement (see Note 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Accounts receivable are reported at realizable value, net of allowances for contractual credits and doubtful accounts, which are recognized in the period the related revenue is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Due to previous uncertainties surrounding certain prior submissions made to the FDA, all costs related to the production of BIVIGAM and ASCENIV prior to their FDA approval dates of May 9, 2019 and April 1, 2019, respectively, have been charged to cost of product revenue in the accompanying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Assets comprising property and equipment (see Note 5)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December 31, 2019 and 2018 was $3.5 million, all of which is attributable to the Company’s ADMA BioManufacturing business segment. There were no changes to the carrying amount of goodwill during the years ended December 31, 2019 and 2018.</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The impairment loss recognized would not exceed the total amount of goodwill allocated to that reporting unit. The Company’s impairment analyses as of October 1, 2019 and 2018 did not result in any impairment charges related to goodwill for the years ended December 31, 2019 and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2019 and 2018, the Company determined that there was no impairment of its long-lived assets.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Revenues for the years ended December 31, 2019 and 2018 are comprised of (i) revenues from the sale of the Company’s immunoglobulin products, ASCENIV, BIVIGAM and Nabi-HB, (ii) product revenues from the sale of human plasma collected from the Company’s Plasma Collection Centers business segment, (iii) contract manufacturing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recognized over the term of the Biotest license. Deferred revenue is amortized into income for a period of approximately 22 years, the term of the Biotest license agreement.</w:t>
      </w:r>
    </w:p>
    <w:p>
      <w:pPr>
        <w:spacing w:after="0" w:line="16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9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 revenue</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Cost of product revenue includes expenses related to process development as well as scientific and technical operations when these operations are attributable to marketed products. When the activities of these operations are attributable to new products in development, the expenses are classified as research and development expenses. Expenses associated with remediating the issues at the Boca Facility that were identified by the FDA prior to the closing of the Biotest Transaction of approximately $0.2 million and $1.5 million for the years ended December 31, 2019 and 2018, respectively, are expensed as incurred and were reflected in cost of product revenue in the accompanying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Research and development expenses consist of clinical research organization costs, costs related to clinical trials, post-marketing commitment studies for BIVIGAM, wages, benefits and stock-based compensation for employees directly related to research and development activities and, prior to April 1, 2019, assay development and testing, storage and transportation costs for high-titer plasma used in the manufacture of ASCENIV. All research and development costs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marketing expenses</w:t>
      </w:r>
    </w:p>
    <w:p>
      <w:pPr>
        <w:spacing w:after="0" w:line="225"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Advertising and marketing expense includes cost for promotional materials and trade show expenses for the marketing of the Company’s products and services and are expensed as incurred. Advertising and marketing expenses were $1.0 million and $0.8 million for the years ended December 31, 2019 and 2018, respectively.</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over the associated vesting period of the award based on the grant date fair value of the award. Stock options granted under the Company’s equity incentive plans generally have a four-year vesting period and a term of 10 years. Pursuant to ASU No.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the Company has elected not to establish a forfeiture rate, as stock-based compensation expense related to forfeitures of unvested stock options is fully reversed at the time of forfeiture.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2015 and for previous periods as it relates to the Company’s net operating loss carryforwards.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Basic net loss per share is computed by dividing net loss attributable to common stockholders by the weighted average number of shares of common stock outstanding during the period. For purposes of computing basic and diluted loss per share, the non-voting class of common stock (see Note</w:t>
      </w:r>
    </w:p>
    <w:p>
      <w:pPr>
        <w:ind w:right="400" w:firstLine="8"/>
        <w:spacing w:after="0" w:line="260" w:lineRule="auto"/>
        <w:tabs>
          <w:tab w:leader="none" w:pos="1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was included in the common stock outstanding prior to its retirement in May 2018 as the characteristics of the non-voting class are substantially the same as the voting class of common stock.</w:t>
      </w:r>
    </w:p>
    <w:p>
      <w:pPr>
        <w:spacing w:after="0" w:line="18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Diluted net loss per share is calculated by dividing net loss attributable to common stockholders as adjusted for the effect of dilutive securities, if any, by the weighted average number of shares of common stock, including the non-voting class of common stock, and dilutive common stock outstanding during the period. 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2019 and 2018, the following securities were excluded from the calculation of diluted loss per common share because of their anti-dilutive effects: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1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7"/>
              </w:rPr>
              <w:t>For the Years Ended December 31,</w:t>
            </w:r>
          </w:p>
        </w:tc>
      </w:tr>
      <w:tr>
        <w:trPr>
          <w:trHeight w:val="223"/>
        </w:trPr>
        <w:tc>
          <w:tcPr>
            <w:tcW w:w="8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5,630,351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4,342,231</w:t>
            </w: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2,138,160</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528,160</w:t>
            </w:r>
          </w:p>
        </w:tc>
      </w:tr>
      <w:tr>
        <w:trPr>
          <w:trHeight w:val="223"/>
        </w:trPr>
        <w:tc>
          <w:tcPr>
            <w:tcW w:w="8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7,768,511</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4,870,391</w:t>
            </w:r>
          </w:p>
        </w:tc>
      </w:tr>
      <w:tr>
        <w:trPr>
          <w:trHeight w:val="20"/>
        </w:trPr>
        <w:tc>
          <w:tcPr>
            <w:tcW w:w="8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approximates fair value due to the variable interest rate on this debt. With respect to the subordinated note payable in the amount of $15.0 million as of December 31, 2019 and 2018 (see Note 7), that was issued to a then-principal stockholder of the Company and was issued concurrent with an acquisition transaction with such stockholder, the Company has concluded that an estimation of fair value for this note is not practicable.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 xml:space="preserve">In July 2017, the Financial Accounting Standards Board (the “FASB”) issued Accounting Standards Update (“ASU”) No. 2017-11, </w:t>
      </w:r>
      <w:r>
        <w:rPr>
          <w:rFonts w:ascii="Arial" w:cs="Arial" w:eastAsia="Arial" w:hAnsi="Arial"/>
          <w:sz w:val="16"/>
          <w:szCs w:val="16"/>
          <w:i w:val="1"/>
          <w:iCs w:val="1"/>
          <w:color w:val="auto"/>
        </w:rPr>
        <w:t>Earnings Per</w:t>
      </w:r>
      <w:r>
        <w:rPr>
          <w:rFonts w:ascii="Arial" w:cs="Arial" w:eastAsia="Arial" w:hAnsi="Arial"/>
          <w:sz w:val="16"/>
          <w:szCs w:val="16"/>
          <w:color w:val="auto"/>
        </w:rPr>
        <w:t xml:space="preserve"> </w:t>
      </w:r>
      <w:r>
        <w:rPr>
          <w:rFonts w:ascii="Arial" w:cs="Arial" w:eastAsia="Arial" w:hAnsi="Arial"/>
          <w:sz w:val="16"/>
          <w:szCs w:val="16"/>
          <w:i w:val="1"/>
          <w:iCs w:val="1"/>
          <w:color w:val="auto"/>
        </w:rPr>
        <w:t>Share (Topic 260), Distinguishing Liabilities from Equity (Topic 480), Derivatives and Hedging (Topic 815)</w:t>
      </w:r>
      <w:r>
        <w:rPr>
          <w:rFonts w:ascii="Arial" w:cs="Arial" w:eastAsia="Arial" w:hAnsi="Arial"/>
          <w:sz w:val="16"/>
          <w:szCs w:val="16"/>
          <w:color w:val="auto"/>
        </w:rPr>
        <w:t>” (“ASU 2017-11”). ASU 2017-11 changed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analysis of certain equity-linked financial instruments (or embedded features within such instruments)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would no longer be accounted for as a derivative liability at fair value as a result of the existence of a down round feature. For freestanding equity classified financial instruments, the amendments require entities that present earnings per share (“EPS”) in accordance with ASC 260 to recognize the effect of the down round feature when it is triggered. That effect is treated as a dividend and as a reduction of income available to common shareholders in basic EPS. In addition, convertible instruments with embedded conversion options that have down round features are now subject to the specialized guidance for contingent beneficial conversion features in ASC 470-20, “</w:t>
      </w:r>
      <w:r>
        <w:rPr>
          <w:rFonts w:ascii="Arial" w:cs="Arial" w:eastAsia="Arial" w:hAnsi="Arial"/>
          <w:sz w:val="16"/>
          <w:szCs w:val="16"/>
          <w:i w:val="1"/>
          <w:iCs w:val="1"/>
          <w:color w:val="auto"/>
        </w:rPr>
        <w:t>Debt—Debt with Conversion and Other Options.</w:t>
      </w:r>
      <w:r>
        <w:rPr>
          <w:rFonts w:ascii="Arial" w:cs="Arial" w:eastAsia="Arial" w:hAnsi="Arial"/>
          <w:sz w:val="16"/>
          <w:szCs w:val="16"/>
          <w:color w:val="auto"/>
        </w:rPr>
        <w:t>” ASU 2017-11 became effective for the Company on January 1, 2019, and this update did not have a significant impact on the Company’s consolidated financial statements.</w:t>
      </w:r>
    </w:p>
    <w:p>
      <w:pPr>
        <w:spacing w:after="0" w:line="16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In February 2016, the FASB issued ASU No. 2016-02, Leases (Topic 842) (“ASU 2016-02”), which requires lessees to recognize assets and liabilities for the rights and obligations created by most leases on their balance sheet. The guidance became effective for fiscal years beginning after December 15, 2018, including interim periods within those fiscal years. ASU 2016-02 requires modified retrospective adoption for all leases existing at, or entered into after, the date of initial application, with an option to use certain transition relief. The Company adopted ASU 2016-02 on January 1, 2019 using the option to recognize the cumulative-effect adjustment, if any, as of the date of application, which was also January 1, 2019. The Company recognized right-to-use assets of $1.4 million and corresponding lease liabilities of approximately $1.6 million at the date of adoption (see Note 12). The Company also elected the “package of practical expedients,” which permits the Company to not reassess under the new standard its prior conclusions about lease identification, lease classification and initial direct costs. In addition, the Company elected the short-term lease recognition exemption for all leases that qualify, including the agreement under which the Company occupies certain office space as discussed in Note 9.</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In May 2014, the FASB issued new guidance related to revenue recognition,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outlines a comprehensive revenue recognition model and supersedes most current revenue recognition guidance. The new guidance requires a company to recognize revenue upon transfer of goods or services to a customer at an amount that reflects the expected consideration to be received in exchange for those goods or services. ASC 606 defines a five-step approach for recognizing revenue, which may require a company to use more judgment and make more estimates than under the current guidance. The new guidance became effective in calendar year 2018. Two methods of adoption are permitted: (a) full retrospective adoption, meaning the standard is applied to all periods presented; or (b) modified retrospective adoption, meaning the cumulative effect of applying the new guidance is recognized at the date of initial application as an adjustment to the opening retained earnings balance.</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In March 2016, April 2016 and December 2016, the FASB issued ASU No. 2016-08,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t>
      </w:r>
      <w:r>
        <w:rPr>
          <w:rFonts w:ascii="Arial" w:cs="Arial" w:eastAsia="Arial" w:hAnsi="Arial"/>
          <w:sz w:val="17"/>
          <w:szCs w:val="17"/>
          <w:i w:val="1"/>
          <w:iCs w:val="1"/>
          <w:color w:val="auto"/>
        </w:rPr>
        <w:t>Principal Versus Agent Considerations</w:t>
      </w:r>
      <w:r>
        <w:rPr>
          <w:rFonts w:ascii="Arial" w:cs="Arial" w:eastAsia="Arial" w:hAnsi="Arial"/>
          <w:sz w:val="17"/>
          <w:szCs w:val="17"/>
          <w:color w:val="auto"/>
        </w:rPr>
        <w:t>, ASU No. 2016-10,</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(ASC 606): Identifying Performance Obligations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Licensing, and ASU No. 2016-20, Technical Corrections and Improvements to Topic 606, Revenue From Contracts with Customers, respectively, which further clarify the implementation guidance on principal versus agent considerations contained in ASU No. 2014-09. In May 2016, the FASB issued ASU 2016-12, Revenue from Contracts with Customers, narrow-scope improvements and practical expedients which provides clarification on assessing the collectability criterion, presentation of sales taxes, measurement date for non-cash consideration and completed contracts at transition. These standards became effective for the Company beginning in the first quarter of 2018.</w:t>
      </w:r>
    </w:p>
    <w:p>
      <w:pPr>
        <w:spacing w:after="0" w:line="177"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ADMA adopted the new revenue recognition standard and related updates effective January 1, 2018, using the modified retrospective method of adoption. Adoption of the new revenue recognition guidance did not have a material impact on the Company’s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 OF PLASMA CENTER ASSETS</w:t>
      </w:r>
    </w:p>
    <w:p>
      <w:pPr>
        <w:spacing w:after="0" w:line="229"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part of the purchase price for the Biotest Transaction (see Note 1), the Company transferred its Marietta, GA and Norcross, GA plasma collection centers to BPC effective January 1, 2019. The Company had estimated the combined fair value of the two facilities to be $12.6 million, and the Company recorded an obligation for this amount as of the date of the Biotest Transaction, which is reflected in non-current liabilities in the accompanying consolidated balance sheet as of December 31, 2018. On January 1, 2019, upon the transfer of the two plasma collection facilities to BPC, the Company recorded a gain in the amount of $11.5 million, which reflects the derecognition of the obligation to transfer ownership of the two facilities net of the carrying value of the assets associated with these facilities, primarily property and equipment and inventory, in the amount of $1.1 million.</w:t>
      </w:r>
    </w:p>
    <w:p>
      <w:pPr>
        <w:sectPr>
          <w:pgSz w:w="11900" w:h="16838" w:orient="portrait"/>
          <w:cols w:equalWidth="0" w:num="1">
            <w:col w:w="11240"/>
          </w:cols>
          <w:pgMar w:left="320" w:top="229" w:right="339" w:bottom="1440" w:gutter="0" w:footer="0" w:header="0"/>
        </w:sectPr>
      </w:pPr>
    </w:p>
    <w:p>
      <w:pPr>
        <w:spacing w:after="0" w:line="16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22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The following table provides the components of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411"/>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33,381,806</w:t>
            </w:r>
          </w:p>
        </w:tc>
        <w:tc>
          <w:tcPr>
            <w:tcW w:w="220" w:type="dxa"/>
            <w:vAlign w:val="bottom"/>
          </w:tcPr>
          <w:p>
            <w:pPr>
              <w:spacing w:after="0"/>
              <w:rPr>
                <w:sz w:val="24"/>
                <w:szCs w:val="2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14,019,668</w:t>
            </w:r>
          </w:p>
        </w:tc>
      </w:tr>
      <w:tr>
        <w:trPr>
          <w:trHeight w:val="229"/>
        </w:trPr>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14,455,665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5,227,263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4,596,501</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53,064,734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18,616,169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140"/>
          </w:cols>
          <w:pgMar w:left="320" w:top="229" w:right="339" w:bottom="1440" w:gutter="0" w:footer="0" w:header="0"/>
          <w:type w:val="continuous"/>
        </w:sectPr>
      </w:pPr>
    </w:p>
    <w:p>
      <w:pPr>
        <w:spacing w:after="0" w:line="2"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Inventories are stated at the lower of cost or net realizable value with cost being determined on the first-in, first-out method. Raw materials includes plasma and other materials used in the production of goods expected to be available for sale or which otherwise have alternative uses which provide a probable future benefit. All other activities and materials associated with the production of inventories used in research and development activities are expensed as incurred.</w:t>
      </w:r>
    </w:p>
    <w:p>
      <w:pPr>
        <w:spacing w:after="0" w:line="187"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 Finished goods inventory is comprised of immunoglobulin product inventory and related intermediates that are available for commercial sale, as well as plasma collected at the Company’s plasma collection center which is expected to be sold to third-party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5.  PROPERTY AND EQUIPMENT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76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at December 31, 2019 and 2018 is summarized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8,831,817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8,233,203</w:t>
            </w: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1,690,248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1,608,994</w:t>
            </w:r>
          </w:p>
        </w:tc>
      </w:tr>
      <w:tr>
        <w:trPr>
          <w:trHeight w:val="216"/>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582,088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1,163,552</w:t>
            </w: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4,285,915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845,538</w:t>
            </w:r>
          </w:p>
        </w:tc>
      </w:tr>
      <w:tr>
        <w:trPr>
          <w:trHeight w:val="216"/>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1,673,084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1,660,709</w:t>
            </w:r>
          </w:p>
        </w:tc>
      </w:tr>
      <w:tr>
        <w:trPr>
          <w:trHeight w:val="216"/>
        </w:trPr>
        <w:tc>
          <w:tcPr>
            <w:tcW w:w="8100" w:type="dxa"/>
            <w:vAlign w:val="bottom"/>
            <w:gridSpan w:val="3"/>
          </w:tcPr>
          <w:p>
            <w:pPr>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4,339,441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4,339,441</w:t>
            </w:r>
          </w:p>
        </w:tc>
      </w:tr>
      <w:tr>
        <w:trPr>
          <w:trHeight w:val="230"/>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16,063,680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15,685,325</w:t>
            </w:r>
          </w:p>
        </w:tc>
      </w:tr>
      <w:tr>
        <w:trPr>
          <w:trHeight w:val="210"/>
        </w:trPr>
        <w:tc>
          <w:tcPr>
            <w:tcW w:w="3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37,466,273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33,536,762</w:t>
            </w:r>
          </w:p>
        </w:tc>
      </w:tr>
      <w:tr>
        <w:trPr>
          <w:trHeight w:val="229"/>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(5,724,956)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(3,421,032)</w:t>
            </w:r>
          </w:p>
        </w:tc>
      </w:tr>
      <w:tr>
        <w:trPr>
          <w:trHeight w:val="223"/>
        </w:trPr>
        <w:tc>
          <w:tcPr>
            <w:tcW w:w="8100" w:type="dxa"/>
            <w:vAlign w:val="bottom"/>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31,741,317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30,115,730</w:t>
            </w:r>
          </w:p>
        </w:tc>
      </w:tr>
      <w:tr>
        <w:trPr>
          <w:trHeight w:val="20"/>
        </w:trPr>
        <w:tc>
          <w:tcPr>
            <w:tcW w:w="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Company recorded depreciation expense on property and equipment of $2.4 million and $2.6 million for the years ended December 31, 2019 and 2018, respectively, which includes $0.3 million of depreciation expense on the plasma assets to be transferred (see Note 3) for the year ended December 31, 2018.</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3" w:name="page84"/>
    <w:bookmarkEnd w:id="8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December 31, 2019 and 2018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3"/>
              </w:rPr>
              <w:t>December 31, 2019</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1"/>
              </w:rPr>
              <w:t>December 31, 2018</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05"/>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20"/>
              <w:spacing w:after="0" w:line="205" w:lineRule="exact"/>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Net</w:t>
            </w: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r>
      <w:tr>
        <w:trPr>
          <w:trHeight w:val="182"/>
        </w:trPr>
        <w:tc>
          <w:tcPr>
            <w:tcW w:w="3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Trademark and other intangible rights</w:t>
            </w: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related to Nabi-HB</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4,100,046</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1,513,112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2,586,934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4,100,046</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927,391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3,172,655</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0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907,421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334,881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572,540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205,250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702,171</w:t>
            </w: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1,076,557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1,076,557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1,076,557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946,971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129,586</w:t>
            </w:r>
          </w:p>
        </w:tc>
      </w:tr>
      <w:tr>
        <w:trPr>
          <w:trHeight w:val="223"/>
        </w:trPr>
        <w:tc>
          <w:tcPr>
            <w:tcW w:w="3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6,084,024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2,924,550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3,159,474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6,084,024</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2,079,612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4,004,412</w:t>
            </w:r>
          </w:p>
        </w:tc>
      </w:tr>
      <w:tr>
        <w:trPr>
          <w:trHeight w:val="20"/>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80" w:firstLine="648"/>
        <w:spacing w:after="0" w:line="311" w:lineRule="auto"/>
        <w:rPr>
          <w:sz w:val="20"/>
          <w:szCs w:val="20"/>
          <w:color w:val="auto"/>
        </w:rPr>
      </w:pPr>
      <w:r>
        <w:rPr>
          <w:rFonts w:ascii="Arial" w:cs="Arial" w:eastAsia="Arial" w:hAnsi="Arial"/>
          <w:sz w:val="16"/>
          <w:szCs w:val="16"/>
          <w:color w:val="auto"/>
        </w:rPr>
        <w:t>Under the previous contract manufacturing agreement between ADMA and BPC, intermediate by-products derived from the manufacture of ASCENIV were property of Biotest. As a result of the Biotest Transaction, ADMA obtained the right to these intermediate products, which are being amortized over a period of seven years. The intangible rights to Nabi-HB is also being amortized over a period of seven years.</w:t>
      </w:r>
    </w:p>
    <w:p>
      <w:pPr>
        <w:spacing w:after="0" w:line="149"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customer contract pertains to a contract manufacturing agreement with a third-party customer that the Company assumed upon the consummation of the Biotest Transaction. On December 22, 2017, Company and the customer entered into an amendment to this contract which reduced the number of batches the Company was committed to supply to the customer. The remaining required production volume was 13 batches over 2018 and 2019. The Company has fulfilled this obligation to the customer in its entirety as of December 31, 2019, the date of expiration of the contract, as amended.</w:t>
      </w:r>
    </w:p>
    <w:p>
      <w:pPr>
        <w:spacing w:after="0" w:line="15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Amortization expense related to the Company’s intangible assets for the years ended December 31, 2019 and 2018 was $0.8 million. Estimated aggregate future aggregate amortization expense for the next five years is expected to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715,352</w:t>
            </w: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298,064</w:t>
            </w:r>
          </w:p>
        </w:tc>
      </w:tr>
      <w:tr>
        <w:trPr>
          <w:trHeight w:val="392"/>
        </w:trPr>
        <w:tc>
          <w:tcPr>
            <w:tcW w:w="8100" w:type="dxa"/>
            <w:vAlign w:val="bottom"/>
            <w:gridSpan w:val="4"/>
          </w:tcPr>
          <w:p>
            <w:pPr>
              <w:spacing w:after="0"/>
              <w:rPr>
                <w:sz w:val="20"/>
                <w:szCs w:val="20"/>
                <w:color w:val="auto"/>
              </w:rPr>
            </w:pPr>
            <w:r>
              <w:rPr>
                <w:rFonts w:ascii="Arial" w:cs="Arial" w:eastAsia="Arial" w:hAnsi="Arial"/>
                <w:sz w:val="18"/>
                <w:szCs w:val="18"/>
                <w:b w:val="1"/>
                <w:bCs w:val="1"/>
                <w:color w:val="auto"/>
              </w:rPr>
              <w:t>7.  NOTES PAYABLE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Senior Notes Payable</w:t>
            </w:r>
          </w:p>
        </w:tc>
        <w:tc>
          <w:tcPr>
            <w:tcW w:w="65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7760" w:type="dxa"/>
            <w:vAlign w:val="bottom"/>
            <w:gridSpan w:val="3"/>
          </w:tcPr>
          <w:p>
            <w:pPr>
              <w:spacing w:after="0"/>
              <w:rPr>
                <w:sz w:val="20"/>
                <w:szCs w:val="20"/>
                <w:color w:val="auto"/>
              </w:rPr>
            </w:pPr>
            <w:r>
              <w:rPr>
                <w:rFonts w:ascii="Arial" w:cs="Arial" w:eastAsia="Arial" w:hAnsi="Arial"/>
                <w:sz w:val="18"/>
                <w:szCs w:val="18"/>
                <w:color w:val="auto"/>
              </w:rPr>
              <w:t>A summary of outstanding senior notes payable is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10"/>
        </w:trPr>
        <w:tc>
          <w:tcPr>
            <w:tcW w:w="81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72,500,000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30,000,000</w:t>
            </w:r>
          </w:p>
        </w:tc>
      </w:tr>
      <w:tr>
        <w:trPr>
          <w:trHeight w:val="216"/>
        </w:trPr>
        <w:tc>
          <w:tcPr>
            <w:tcW w:w="8100" w:type="dxa"/>
            <w:vAlign w:val="bottom"/>
            <w:gridSpan w:val="4"/>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81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(4,208,837)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(3,559,170)</w:t>
            </w:r>
          </w:p>
        </w:tc>
      </w:tr>
      <w:tr>
        <w:trPr>
          <w:trHeight w:val="223"/>
        </w:trPr>
        <w:tc>
          <w:tcPr>
            <w:tcW w:w="8100" w:type="dxa"/>
            <w:vAlign w:val="bottom"/>
            <w:gridSpan w:val="4"/>
          </w:tcPr>
          <w:p>
            <w:pPr>
              <w:spacing w:after="0"/>
              <w:rPr>
                <w:sz w:val="20"/>
                <w:szCs w:val="20"/>
                <w:color w:val="auto"/>
              </w:rPr>
            </w:pPr>
            <w:r>
              <w:rPr>
                <w:rFonts w:ascii="Arial" w:cs="Arial" w:eastAsia="Arial" w:hAnsi="Arial"/>
                <w:sz w:val="18"/>
                <w:szCs w:val="18"/>
                <w:color w:val="auto"/>
              </w:rPr>
              <w:t>Senior notes payable</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68,291,163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26,440,830</w:t>
            </w:r>
          </w:p>
        </w:tc>
      </w:tr>
      <w:tr>
        <w:trPr>
          <w:trHeight w:val="20"/>
        </w:trPr>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February 11, 2019 (the “Perceptive Closing Date”), the Company and all of its subsidiaries entered into a Credit Agreement and Guaranty (the “Perceptive Credit Agreement”) with Perceptive Credit Holdings II, LP, as the lender and administrative agent (“Perceptive”). The Perceptive Credit Agreement, as amended, provides for a senior secured term loan facility in a principal amount of up to $85.0 million (the “Perceptive Credit Facility”), comprised of (i) a term loan made on the Perceptive Closing Date in the principal amount of $45.0 million, as evidenced by the Company’s issuance of a promissory note (the “Perceptive Tranche I Note”) in favor of Perceptive on the Perceptive Closing Date (the “Perceptive Tranche I Loan”), (ii) a term loan in the principal amount of up to $27.5 million (the “Perceptive Tranche II Loan”) evidenced by the Company’s issuance of a promissory note (the “Perceptive Tranche II Note”) in favor of Perceptive on May 3, 2019; and (iii) a term loan in the principal amount of up to $12.5 million (the “Perceptive Tranche III Loan,” and together with the Perceptive Tranche I Loan and the Perceptive Tranche II Loan, the “Perceptive Loans”) to be drawn-down at the Company’s sole option no later than March 31, 2020. The Perceptive Tranche III Loan is the result of an amendment to the Perceptive Credit Agreement (the “Perceptive Amendment”) that the Company and Perceptive entered into on May 3, 2019, and the Perceptive Tranche III Loan became available to the Company upon the approval of BIVIGAM on May 9, 2019. The Perceptive Credit Facility has a maturity date of March 1, 2022 (the “Maturity Date”), subject to acceleration pursuant to the Perceptive Credit Agreement, including upon an Event of Default (as defined in the Perceptive Credit Agreement).</w:t>
      </w:r>
    </w:p>
    <w:p>
      <w:pPr>
        <w:sectPr>
          <w:pgSz w:w="11900" w:h="16838" w:orient="portrait"/>
          <w:cols w:equalWidth="0" w:num="1">
            <w:col w:w="11240"/>
          </w:cols>
          <w:pgMar w:left="320" w:top="229" w:right="339" w:bottom="1440"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4" w:name="page85"/>
    <w:bookmarkEnd w:id="8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On the Perceptive Closing Date, the Company used $30.0 million of the Perceptive Tranche I Loan to terminate and pay in full all of the outstanding obligations under its previously existing credit agreement with Marathon Healthcare Finance Fund, L.P. (“Marathon”) (the “Marathon Credit Facility”). The Company also used proceeds from the Perceptive Tranche I Loan to: (i) pay a deferred facility fee to Marathon in the amount of $2.8 million, (ii) pay a prepayment penalty to Marathon in the amount of $6.5 million, (iii) pay outstanding accrued interest to Marathon in the amount of $0.7 million, and (iv) pay certain fees and expenses incurred in connection with the Perceptive Credit Facility of approximately $1.5 million. In addition, Marathon released $4.0 million of cash to the Company that was held in a debt service reserve account per the terms of the Marathon Credit Facility, which was reflected as restricted cash in the accompanying consolidated balance sheet as of December 31, 2018. In connection with the Perceptive Amendment, the Company paid an additional facility fee to Perceptive in the amount of $0.1 million on May 3, 2019.</w:t>
      </w:r>
    </w:p>
    <w:p>
      <w:pPr>
        <w:spacing w:after="0" w:line="178"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As a result of the Company’s entering into the Perceptive Credit Agreement and terminating the Marathon Credit Facility, the Company recognized a loss on the extinguishment of debt in the amount of approximately $10.0 million, comprised of the $6.5 million prepayment penalty and the write-off of unamortized debt discount related to the Marathon Credit Facility in the amount of $3.5 million.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Borrowings under the Perceptive Credit Agreement bear interest at a rate per annum equal to 7.5% plus the greater of (i) one-month LIBOR and</w:t>
      </w:r>
    </w:p>
    <w:p>
      <w:pPr>
        <w:spacing w:after="0" w:line="46" w:lineRule="exact"/>
        <w:rPr>
          <w:sz w:val="20"/>
          <w:szCs w:val="20"/>
          <w:color w:val="auto"/>
        </w:rPr>
      </w:pPr>
    </w:p>
    <w:p>
      <w:pPr>
        <w:ind w:right="260" w:firstLine="8"/>
        <w:spacing w:after="0" w:line="255"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3.5%; provided, however, that upon, and during the continuance of, an Event of Default, the interest rate will automatically increase by an additional 400 basis points. Accrued interest is payable to Perceptive on the last day of each month during the term of the Perceptive Credit Facility. The rate of interest in effect as of the Perceptive Closing Date and at December 31, 2019 was 11.0%.</w:t>
      </w:r>
    </w:p>
    <w:p>
      <w:pPr>
        <w:spacing w:after="0" w:line="19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the Maturity Date, the Company will pay Perceptive the entire outstanding principal amount underlying the Perceptive Loans and any accrued and unpaid interest thereon. Prior to the Maturity Date, there are no scheduled principal payments on the Perceptive Loans. The Company may prepay outstanding principal on the Perceptive Loans at any time and from time to time upon three business days’ prior written notice, subject to the payment to Perceptive of, (A) any accrued but unpaid interest on the prepaid principal amount plus (B) a redemption premium amount equal to (i) 5.0% of the prepaid principal amount, if prepaid on or prior to the first anniversary of the Perceptive Closing Date, (ii) 4.0% of the prepaid principal amount, if prepaid after the first anniversary of the Perceptive Closing Date and on or prior to the second anniversary of the Perceptive Closing Date, or (iii) 3.0% of the prepaid principal amount, if prepaid after the second anniversary of the Perceptive Closing Date and on or prior to the third anniversary of the Perceptive Closing Date.</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All of the Company’s obligations under the Perceptive Credit Agreement are secured by a first-priority lien and security interest in substantially all of the Company’s tangible and intangible assets, including intellectual property and all of the equity interests in the Company’s subsidiaries. The Perceptive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Perceptive Credit Agreement, incur new indebtedness; create liens on assets; engage in certain fundamental corporate changes, such as mergers or acquisitions, or changes to the Company’s or subsidiaries’ business activities; make certain Investments or Restricted Payments (each as defined in the Perceptive Credit Agreement); change its fiscal year; pay dividends; repay other certain indebtedness; engage in certain affiliate transactions; or enter into, amend or terminate any other agreements that have the impact of restricting the Company’s ability to make loan repayments under the Perceptive Credit Agreement. In addition, the Company must (i) at all times prior to the Maturity Date maintain a minimum cash balance of $3.0 million; and (ii) as of the last day of each fiscal quarter commencing with the fiscal quarter ending June 30, 2019, report revenues for the trailing 12-month period that exceed the amounts set forth in the Perceptive Credit Agreement, which range from $7.0 million for the fiscal quarter ending June 30, 2019 to $55.0 million for the fiscal quarter ending December 31, 2021. At December 31, 2019, the Company was in compliance with all of the covenants contained in the Perceptive Credit Agreement.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consideration for the Perceptive Credit Agreement, the Company issued to Perceptive a warrant to purchase 1,360,000 shares of the Company’s common stock (the “Perceptive Warrant”) on the Perceptive Closing Date. The Perceptive Warrant has an exercise price equal to $3.28 per share, which was equal to the trailing 10-day volume weighted average price (“VWAP”) of the Company’s common stock on the business day immediately prior to the Perceptive Closing Date multiplied by 1.15. The Company valued the Perceptive Warrant at $2.7 million as of the Perceptive Closing Date and it has an expiration date of February 11, 2029. In connection with the Perceptive Amendment, the Company issued an additional warrant (the “Perceptive Tranche III Warrant” and, together with the Perceptive Warrant, the “Perceptive Warrants”) to purchase 250,000 shares of the Company’s common stock to Perceptive with an exercise price equal to $4.64 per share, which represents the trailing 10-day VWAP of the Company’s common stock as of May 2, 2019. The Perceptive Tranche III Warrant was valued by the Company at $0.9 million and has an expiration date of May 3, 2029. Perceptive has represented to the Company, among other things, that it is an “accredited investor” (as such term is defined in Rule 501(a) of Regulation D under the Securities Act) and the Company issued the Perceptive Warrants in reliance upon an exemption from registration contained in Section 4(2) under the Securities Act. The Perceptive Warrants and the shares of common stock issuable thereunder may not be offered, sold, pledged or otherwise transferred in the U.S. absent registration or an applicable exemption from the registration requirements under the Securities Act.</w:t>
      </w:r>
    </w:p>
    <w:p>
      <w:pPr>
        <w:spacing w:after="0" w:line="16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As a result of the fees paid to Perceptive and the value of the Perceptive Warrants, the Company recognized an aggregate discount on the Perceptive Tranche I Note and Perceptive Tranche II Note in the amount of $5.3 million. The Company records debt discount as a reduction to the face amount of the debt, and the debt discount is amortized as interest expense over the life of the debt using the interest method. Based on the fair value of the Perceptive Warrants and the aggregate amount of fees and expenses associated with obtaining the Perceptive Credit Facility, the effective interest rate on the Perceptive Loans as of May 3, 2019 was approximately 14.1%.</w:t>
      </w:r>
    </w:p>
    <w:p>
      <w:pPr>
        <w:spacing w:after="0" w:line="17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accompanying consolidated balance sheets and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980" w:type="dxa"/>
            <w:vAlign w:val="bottom"/>
            <w:tcBorders>
              <w:bottom w:val="single" w:sz="8" w:color="CCEEFF"/>
            </w:tcBorders>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09"/>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26,752,135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22,754,852</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cash included in long-term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Total cash, cash equivalents and restricted cash as shown in the consolidated statements of cash flows</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26,752,135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26,754,852</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8"/>
                <w:szCs w:val="18"/>
                <w:color w:val="auto"/>
                <w:w w:val="89"/>
              </w:rPr>
              <w:t>Subordinated Note Payable</w:t>
            </w:r>
          </w:p>
        </w:tc>
        <w:tc>
          <w:tcPr>
            <w:tcW w:w="6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980" w:type="dxa"/>
            <w:vAlign w:val="bottom"/>
            <w:tcBorders>
              <w:bottom w:val="single" w:sz="8" w:color="auto"/>
            </w:tcBorders>
            <w:vMerge w:val="continue"/>
          </w:tcPr>
          <w:p>
            <w:pPr>
              <w:spacing w:after="0"/>
              <w:rPr>
                <w:sz w:val="24"/>
                <w:szCs w:val="24"/>
                <w:color w:val="auto"/>
              </w:rPr>
            </w:pPr>
          </w:p>
        </w:tc>
        <w:tc>
          <w:tcPr>
            <w:tcW w:w="6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A summary of the outstanding subordinated note payable is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9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980" w:type="dxa"/>
            <w:vAlign w:val="bottom"/>
            <w:tcBorders>
              <w:bottom w:val="single" w:sz="8" w:color="CCEEFF"/>
            </w:tcBorders>
          </w:tcPr>
          <w:p>
            <w:pPr>
              <w:spacing w:after="0"/>
              <w:rPr>
                <w:sz w:val="20"/>
                <w:szCs w:val="20"/>
                <w:color w:val="auto"/>
              </w:rPr>
            </w:pPr>
          </w:p>
        </w:tc>
        <w:tc>
          <w:tcPr>
            <w:tcW w:w="61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December 31, 2019</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0"/>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 payable to Biotest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Debt discount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(91,947)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(125,816)</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Subordinated note payable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14,908,053</w:t>
            </w:r>
          </w:p>
        </w:tc>
        <w:tc>
          <w:tcPr>
            <w:tcW w:w="240" w:type="dxa"/>
            <w:vAlign w:val="bottom"/>
            <w:gridSpan w:val="2"/>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14,874,184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In connection with the acquisition of the Biotest Assets (see Note 1), ADMA BioManufacturing issued a subordinated note payable to BPC and in connection therewith received cash proceeds of $15.0 million. The note bears interest at a rate of 6.0% per annum and matures on June 6, 2022. The Company is obligated to make semi-annual interest payments, with all principal and unpaid interest due at maturity. The note is subordinate to all amounts outstanding under the Perceptive Credit Agreement. In the event of default, all principal and unpaid interest is due on demand. The subordinated note also contains several non-financial covenants with which the Company was in compliance as of December 31, 2019.</w:t>
      </w:r>
    </w:p>
    <w:p>
      <w:pPr>
        <w:spacing w:after="0" w:line="16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July 20, 2018, in connection with the U.S. Government required divestiture of all of BPC’s U.S. assets in connection with the sale of Biotest AG to CREAT Group Corporation, Biotest AG, BPC, ADMA BioManufacturing and the Company entered into an Assignment and Assumption Agreement whereby BPC transferred to Biotest AG all of its obligations, rights, title and interest in the subordinated note and the related loan agreements.</w:t>
      </w:r>
    </w:p>
    <w:p>
      <w:pPr>
        <w:spacing w:after="0" w:line="145"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December 31, 2019 and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As of December 31, 2019 and 2018, the Company was authorized to issue 150,000,000 and 75,000,000 shares, respectively, of its common stock, $0.0001 par value per share, and 59,318,355 and 46,353,068 shares of common stock were outstanding as of December 31, 2019 and 2018, respectively. On August 23, 2019, the Company’s stockholders approved an amendment to the Company’s Second Amended and Restated Certificate of Incorporation to increase the number of shares of common stock that the Company is authorized to issue from 75,000,000 to 150,000,000. After giving effect to shares reserved for the issuance of warrants and stock options, 82,913,134 shares of common stock were available for issuance as of December 31, 2019.</w:t>
      </w:r>
    </w:p>
    <w:p>
      <w:pPr>
        <w:spacing w:after="0" w:line="161" w:lineRule="exact"/>
        <w:rPr>
          <w:sz w:val="20"/>
          <w:szCs w:val="20"/>
          <w:color w:val="auto"/>
        </w:rPr>
      </w:pPr>
    </w:p>
    <w:p>
      <w:pPr>
        <w:ind w:right="540" w:firstLine="648"/>
        <w:spacing w:after="0" w:line="263" w:lineRule="auto"/>
        <w:rPr>
          <w:sz w:val="20"/>
          <w:szCs w:val="20"/>
          <w:color w:val="auto"/>
        </w:rPr>
      </w:pPr>
      <w:r>
        <w:rPr>
          <w:rFonts w:ascii="Arial" w:cs="Arial" w:eastAsia="Arial" w:hAnsi="Arial"/>
          <w:sz w:val="18"/>
          <w:szCs w:val="18"/>
          <w:color w:val="auto"/>
        </w:rPr>
        <w:t>On May 21, 2019, the Company issued 12,937,500 shares of its common stock in an underwritten public offering for gross proceeds of approximately $51.8 million. After deducting underwriters’ commissions and other expenses associated with the offering, the Company received net proceeds of $48.4 million.</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year ended December 31, 2019, the Company issued 27,787 shares of common stock in connection with the exercise of stock options that had been granted to employees.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June 2018, the Company completed an underwritten public offering of 9,623,430 shares of common stock for gross proceeds of $46.0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net proceeds from this offering, after underwriters’ commissions and other offering expenses, of $42.9 million.</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On May 14, 2018, the Company, ADMA BioManufacturing and ADMA Bio Centers entered into a Share Transfer, Amendment and Release Agreement with BPC, Biotest AG, Biotest US Corporation and The Biotest Divestiture Trust (the “Biotest Trust”) (the “Biotest Transfer Agreement”) whereby BPC transferred to the Company, for no cash consideration, 8,591,160 shares of the Company’s then-issued and outstanding non-voting common stock, $0.0001 par value per share (the “NV Biotest Shares”) that had been issued to Biotest as part of the purchase price for the Biotest Assets. Immediately upon transfer of the NV Biotest Shares to the Company, the shares were retired and are no longer available for issuance. The retired NV Biotest Shares comprised approximately 19% of the total outstanding common stock of the Company as of May 14, 2018, and approximately 67% of the total shares issued to BPC in the Biotest Transaction. In exchange for the transfer and retirement of the NV Biotest Shares, the Company (i) granted Biotest and its successors and assigns a release from all potential past, present and future indemnity claims arising under the Master Purchase and Sale Agreement, dated as of January 21, 2017, which governs the Biotest Transaction, and (ii) relinquished its rights to, under certain circumstances, repurchase the two FDA-approved plasma collection centers which were transferred to BPC on January 1, 2019. In addition, pursuant to the Biotest Transfer Agreement, BPC waived and terminated its rights to name a director and an observer to the Company’s Board of Directors (the “Board”).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the Perceptive Closing Date, the Company issued the Perceptive Warrant, whereby Perceptive may purchase an aggregate of 1,360,000 shares of common stock at an exercise price of $3.28 per share. The Perceptive Warrant became exercisable on the Perceptive Closing Date, and was valued at $2.7 million. The Perceptive Warrant was valued using the Black-Scholes option-pricing model assuming an expected term of 10 years, a volatility of 61.2%, a dividend yield of 0% and a risk-free interest rate of 2.65%.</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May 3, 2019, the Company issued the Perceptive Tranche III Warrant, whereby Perceptive may purchase an aggregate of 250,000 shares of common stock at an exercise price of $4.64 per share. The Perceptive Tranche III was exercisable on the date of issuance and was valued at $0.9 million. The Perceptive Tranche III Warrant was valued using the Black-Scholes option-pricing model assuming an expected term of 10 years, a volatility of 62.3%, a dividend yield of 0% and a risk-free interest rate of 2.54%. At December 31, 2019, the Company had outstanding warrants to purchase an aggregate of 2,138,160 shares of common stock, with a weighted average exercise price of $3.81 per share and expiration dates ranging between June 2022 and May 2029.</w:t>
      </w:r>
    </w:p>
    <w:p>
      <w:pPr>
        <w:spacing w:after="0" w:line="19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No warrants were issued during the year ended December 31, 2018. At December 31, 2018, the Company had outstanding warrants to purchase an aggregate of 528,160 shares of common stock, with a weighted average exercise price of $4.76 per share and with expiration dates ranging between June 2022 and October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From time to time the Company grants stock options or other equity-based awards under the Company’s 2007 Employee Stock Option Plan (the “2007 Plan”) and the Amended and Restated 2014 Omnibus Incentive Compensation Plan (the “2014 Plan”).</w:t>
      </w:r>
    </w:p>
    <w:p>
      <w:pPr>
        <w:spacing w:after="0" w:line="170"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 2014 Plan, as amended, was approved by the Board on March 15, 2017 and by the Company’s stockholders on May 25, 2017. Currently, the maximum number of shares reserved for grant under the 2014 Plan is: (a) 2,334,940 shares, less any shares available as of such date for issuance under the 2007 Plan;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2019, an aggregate of 1,931,709 shares were available for issuance under the 2007 Plan and the 2014 Plan. In accordance with the foregoing, on January 1, 2020 the aggregate number of shares available for issuance increased to 4,304,443.</w:t>
      </w:r>
    </w:p>
    <w:p>
      <w:pPr>
        <w:spacing w:after="0" w:line="17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During the years ended December 31, 2019 and 2018, the Company recorded stock-based compensation expense to employees of $2.7 million and $2.2 million, respectively. The fair value of employee options granted was determined on the date of grant using the Black-Scholes model. The Black-Scholes option valuation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expected term of the Company’s awards.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For the years ended December 31, 2019 and 2018, the expected stock price volatility for the Company’s stock options was calculated by examining the historical volatility of the Company’s common stock since the stock became publicly traded in the fourth quarter of 2013.</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grant date fair values of stock options awarded during the years ended December 31, 2019 and 2018 were determined using the Black-Scholes option-pricing model with the following assumptions: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30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Years Ended</w:t>
            </w:r>
          </w:p>
        </w:tc>
      </w:tr>
      <w:tr>
        <w:trPr>
          <w:trHeight w:val="191"/>
        </w:trPr>
        <w:tc>
          <w:tcPr>
            <w:tcW w:w="5940" w:type="dxa"/>
            <w:vAlign w:val="bottom"/>
          </w:tcPr>
          <w:p>
            <w:pPr>
              <w:spacing w:after="0"/>
              <w:rPr>
                <w:sz w:val="16"/>
                <w:szCs w:val="16"/>
                <w:color w:val="auto"/>
              </w:rPr>
            </w:pPr>
          </w:p>
        </w:tc>
        <w:tc>
          <w:tcPr>
            <w:tcW w:w="16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December 31,</w:t>
            </w:r>
          </w:p>
        </w:tc>
        <w:tc>
          <w:tcPr>
            <w:tcW w:w="14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34"/>
        </w:trPr>
        <w:tc>
          <w:tcPr>
            <w:tcW w:w="59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 years</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 years</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Volatility</w:t>
            </w:r>
          </w:p>
        </w:tc>
        <w:tc>
          <w:tcPr>
            <w:tcW w:w="1440" w:type="dxa"/>
            <w:vAlign w:val="bottom"/>
          </w:tcPr>
          <w:p>
            <w:pPr>
              <w:jc w:val="right"/>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54-57%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right"/>
              <w:spacing w:after="0"/>
              <w:rPr>
                <w:sz w:val="20"/>
                <w:szCs w:val="20"/>
                <w:color w:val="auto"/>
              </w:rPr>
            </w:pPr>
            <w:r>
              <w:rPr>
                <w:rFonts w:ascii="Arial" w:cs="Arial" w:eastAsia="Arial" w:hAnsi="Arial"/>
                <w:sz w:val="18"/>
                <w:szCs w:val="18"/>
                <w:color w:val="auto"/>
              </w:rPr>
              <w:t>1.36-2.92%</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2.40-3.11%</w:t>
            </w:r>
          </w:p>
        </w:tc>
      </w:tr>
    </w:tbl>
    <w:p>
      <w:pPr>
        <w:spacing w:after="0" w:line="18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2007 Plan and 2014 Plan provide for the Board or a Committee of the Board (the “Committee”) to grant awards to optionees and to determine the exercise price, vesting term, expiration date and all other terms and conditions of the awards, including acceleration of the vesting of an award at any time. All options granted under the 2007 Plan and 2014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The following table summarizes information about stock options outstanding as of December 31, 2019 and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Weighted Average</w:t>
            </w:r>
          </w:p>
        </w:tc>
      </w:tr>
      <w:tr>
        <w:trPr>
          <w:trHeight w:val="234"/>
        </w:trPr>
        <w:tc>
          <w:tcPr>
            <w:tcW w:w="8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Exercise Price</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2017</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3,276,043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(60,854)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1,167,044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r>
      <w:tr>
        <w:trPr>
          <w:trHeight w:val="210"/>
        </w:trPr>
        <w:tc>
          <w:tcPr>
            <w:tcW w:w="8100" w:type="dxa"/>
            <w:vAlign w:val="bottom"/>
          </w:tcPr>
          <w:p>
            <w:pPr>
              <w:spacing w:after="0"/>
              <w:rPr>
                <w:sz w:val="20"/>
                <w:szCs w:val="20"/>
                <w:color w:val="auto"/>
              </w:rPr>
            </w:pPr>
            <w:r>
              <w:rPr>
                <w:rFonts w:ascii="Arial" w:cs="Arial" w:eastAsia="Arial" w:hAnsi="Arial"/>
                <w:sz w:val="18"/>
                <w:szCs w:val="18"/>
                <w:color w:val="auto"/>
              </w:rPr>
              <w:t>Options outstanding, vested and expected to vest at December 31, 2018</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4,342,231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(169,993)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Expired</w:t>
            </w:r>
          </w:p>
        </w:tc>
        <w:tc>
          <w:tcPr>
            <w:tcW w:w="1480" w:type="dxa"/>
            <w:vAlign w:val="bottom"/>
          </w:tcPr>
          <w:p>
            <w:pPr>
              <w:jc w:val="right"/>
              <w:spacing w:after="0"/>
              <w:rPr>
                <w:sz w:val="20"/>
                <w:szCs w:val="20"/>
                <w:color w:val="auto"/>
              </w:rPr>
            </w:pPr>
            <w:r>
              <w:rPr>
                <w:rFonts w:ascii="Arial" w:cs="Arial" w:eastAsia="Arial" w:hAnsi="Arial"/>
                <w:sz w:val="18"/>
                <w:szCs w:val="18"/>
                <w:color w:val="auto"/>
              </w:rPr>
              <w:t>(19,983)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1,508,000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(29,904)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23"/>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vested and expected to vest at December 31, 2019</w:t>
            </w:r>
          </w:p>
        </w:tc>
        <w:tc>
          <w:tcPr>
            <w:tcW w:w="1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5,630,351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r>
      <w:tr>
        <w:trPr>
          <w:trHeight w:val="20"/>
        </w:trPr>
        <w:tc>
          <w:tcPr>
            <w:tcW w:w="8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8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3"/>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3,250,593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weighted average remaining contractual term of stock options outstanding and expected to vest at December 31, 2019 is 7.1 years. The weighted average remaining contractual term of stock options exercisable at December 31, 2019 is 6.1 years. The following table summarizes additional information regarding outstanding and exercisable options under the stock option plans at December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Stock Options Outstanding</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b w:val="1"/>
                <w:bCs w:val="1"/>
                <w:color w:val="auto"/>
                <w:w w:val="88"/>
              </w:rPr>
              <w:t>Stock Options Exercisable</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140"/>
              <w:spacing w:after="0" w:line="195" w:lineRule="exact"/>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6"/>
              </w:rPr>
              <w:t>Weighted</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restart"/>
          </w:tcPr>
          <w:p>
            <w:pPr>
              <w:jc w:val="center"/>
              <w:ind w:right="30"/>
              <w:spacing w:after="0"/>
              <w:rPr>
                <w:sz w:val="20"/>
                <w:szCs w:val="20"/>
                <w:color w:val="auto"/>
              </w:rPr>
            </w:pPr>
            <w:r>
              <w:rPr>
                <w:rFonts w:ascii="Arial" w:cs="Arial" w:eastAsia="Arial" w:hAnsi="Arial"/>
                <w:sz w:val="18"/>
                <w:szCs w:val="18"/>
                <w:color w:val="auto"/>
                <w:w w:val="90"/>
              </w:rPr>
              <w:t>Range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Aggregate</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Remaining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203"/>
        </w:trPr>
        <w:tc>
          <w:tcPr>
            <w:tcW w:w="1380" w:type="dxa"/>
            <w:vAlign w:val="bottom"/>
            <w:gridSpan w:val="2"/>
            <w:vMerge w:val="continue"/>
          </w:tcPr>
          <w:p>
            <w:pPr>
              <w:spacing w:after="0"/>
              <w:rPr>
                <w:sz w:val="17"/>
                <w:szCs w:val="17"/>
                <w:color w:val="auto"/>
              </w:rPr>
            </w:pPr>
          </w:p>
        </w:tc>
        <w:tc>
          <w:tcPr>
            <w:tcW w:w="12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7"/>
                <w:szCs w:val="17"/>
                <w:color w:val="auto"/>
              </w:rPr>
            </w:pPr>
          </w:p>
        </w:tc>
        <w:tc>
          <w:tcPr>
            <w:tcW w:w="138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7"/>
                <w:szCs w:val="17"/>
                <w:color w:val="auto"/>
              </w:rPr>
            </w:pPr>
          </w:p>
        </w:tc>
        <w:tc>
          <w:tcPr>
            <w:tcW w:w="1180" w:type="dxa"/>
            <w:vAlign w:val="bottom"/>
            <w:gridSpan w:val="2"/>
          </w:tcPr>
          <w:p>
            <w:pPr>
              <w:jc w:val="center"/>
              <w:ind w:right="320"/>
              <w:spacing w:after="0" w:line="202" w:lineRule="exact"/>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7"/>
                <w:szCs w:val="17"/>
                <w:color w:val="auto"/>
              </w:rPr>
            </w:pPr>
          </w:p>
        </w:tc>
        <w:tc>
          <w:tcPr>
            <w:tcW w:w="122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6"/>
              </w:rPr>
              <w:t>Intrinsic</w:t>
            </w:r>
          </w:p>
        </w:tc>
        <w:tc>
          <w:tcPr>
            <w:tcW w:w="12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1"/>
              </w:rPr>
              <w:t>Contractual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line="202" w:lineRule="exact"/>
              <w:rPr>
                <w:sz w:val="20"/>
                <w:szCs w:val="20"/>
                <w:color w:val="auto"/>
              </w:rPr>
            </w:pPr>
            <w:r>
              <w:rPr>
                <w:rFonts w:ascii="Arial" w:cs="Arial" w:eastAsia="Arial" w:hAnsi="Arial"/>
                <w:sz w:val="18"/>
                <w:szCs w:val="18"/>
                <w:color w:val="auto"/>
                <w:w w:val="89"/>
              </w:rPr>
              <w:t>Exercise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44"/>
        </w:trPr>
        <w:tc>
          <w:tcPr>
            <w:tcW w:w="138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Exercise Prices</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Outstanding</w:t>
            </w:r>
          </w:p>
        </w:tc>
        <w:tc>
          <w:tcPr>
            <w:tcW w:w="160" w:type="dxa"/>
            <w:vAlign w:val="bottom"/>
          </w:tcPr>
          <w:p>
            <w:pPr>
              <w:spacing w:after="0"/>
              <w:rPr>
                <w:sz w:val="21"/>
                <w:szCs w:val="21"/>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Life (Years)</w:t>
            </w:r>
          </w:p>
        </w:tc>
        <w:tc>
          <w:tcPr>
            <w:tcW w:w="18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16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Life (Years)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0"/>
        </w:trPr>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$1.34</w:t>
            </w:r>
          </w:p>
        </w:tc>
        <w:tc>
          <w:tcPr>
            <w:tcW w:w="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$2.06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13,387</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12,921</w:t>
            </w:r>
          </w:p>
        </w:tc>
        <w:tc>
          <w:tcPr>
            <w:tcW w:w="0" w:type="dxa"/>
            <w:vAlign w:val="bottom"/>
          </w:tcPr>
          <w:p>
            <w:pPr>
              <w:spacing w:after="0"/>
              <w:rPr>
                <w:sz w:val="1"/>
                <w:szCs w:val="1"/>
                <w:color w:val="auto"/>
              </w:rPr>
            </w:pP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w w:val="88"/>
              </w:rPr>
              <w:t>$2.62</w:t>
            </w:r>
          </w:p>
        </w:tc>
        <w:tc>
          <w:tcPr>
            <w:tcW w:w="940" w:type="dxa"/>
            <w:vAlign w:val="bottom"/>
          </w:tcPr>
          <w:p>
            <w:pPr>
              <w:ind w:left="20"/>
              <w:spacing w:after="0"/>
              <w:rPr>
                <w:sz w:val="20"/>
                <w:szCs w:val="20"/>
                <w:color w:val="auto"/>
              </w:rPr>
            </w:pPr>
            <w:r>
              <w:rPr>
                <w:rFonts w:ascii="Arial" w:cs="Arial" w:eastAsia="Arial" w:hAnsi="Arial"/>
                <w:sz w:val="18"/>
                <w:szCs w:val="18"/>
                <w:color w:val="auto"/>
              </w:rPr>
              <w:t>- $3.98</w:t>
            </w:r>
          </w:p>
        </w:tc>
        <w:tc>
          <w:tcPr>
            <w:tcW w:w="1240" w:type="dxa"/>
            <w:vAlign w:val="bottom"/>
          </w:tcPr>
          <w:p>
            <w:pPr>
              <w:jc w:val="right"/>
              <w:spacing w:after="0"/>
              <w:rPr>
                <w:sz w:val="20"/>
                <w:szCs w:val="20"/>
                <w:color w:val="auto"/>
              </w:rPr>
            </w:pPr>
            <w:r>
              <w:rPr>
                <w:rFonts w:ascii="Arial" w:cs="Arial" w:eastAsia="Arial" w:hAnsi="Arial"/>
                <w:sz w:val="18"/>
                <w:szCs w:val="18"/>
                <w:color w:val="auto"/>
              </w:rPr>
              <w:t>3,827,577</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1,603,478</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1,678,942</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540,127</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$4.03</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$6.26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564,503</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360,048</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8"/>
              </w:rPr>
              <w:t>$6.28</w:t>
            </w:r>
          </w:p>
        </w:tc>
        <w:tc>
          <w:tcPr>
            <w:tcW w:w="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$10.80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1,233,103</w:t>
            </w:r>
          </w:p>
        </w:tc>
        <w:tc>
          <w:tcPr>
            <w:tcW w:w="140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1,206,675</w:t>
            </w: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8.32</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5,630,351</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1,616,865</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3,250,593</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553,048</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Contents</w:t>
              </w:r>
            </w:hyperlink>
          </w:p>
        </w:tc>
      </w:tr>
      <w:tr>
        <w:trPr>
          <w:trHeight w:val="515"/>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ADMA BIOLOGICS,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r>
      <w:tr>
        <w:trPr>
          <w:trHeight w:val="216"/>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rPr>
              <w:t>NOTES TO CONSOLIDATED FINANCIAL STATEMENTS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5"/>
              </w:rPr>
              <w:t>DECEMBER 31, 2019 AND 2018</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8100" w:type="dxa"/>
            <w:vAlign w:val="bottom"/>
          </w:tcPr>
          <w:p>
            <w:pPr>
              <w:ind w:left="660"/>
              <w:spacing w:after="0"/>
              <w:rPr>
                <w:sz w:val="20"/>
                <w:szCs w:val="20"/>
                <w:color w:val="auto"/>
              </w:rPr>
            </w:pPr>
            <w:r>
              <w:rPr>
                <w:rFonts w:ascii="Arial" w:cs="Arial" w:eastAsia="Arial" w:hAnsi="Arial"/>
                <w:sz w:val="18"/>
                <w:szCs w:val="18"/>
                <w:color w:val="auto"/>
                <w:w w:val="90"/>
              </w:rPr>
              <w:t>Stock-based compensation expense for the years ended December 31, 2019 and 2018 was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6"/>
        </w:trPr>
        <w:tc>
          <w:tcPr>
            <w:tcW w:w="8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2018</w:t>
            </w: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360,569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292,736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51,340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34,797</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2,047,025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1,739,037</w:t>
            </w:r>
          </w:p>
        </w:tc>
      </w:tr>
      <w:tr>
        <w:trPr>
          <w:trHeight w:val="22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 revenue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191,843</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156,718</w:t>
            </w:r>
          </w:p>
        </w:tc>
      </w:tr>
      <w:tr>
        <w:trPr>
          <w:trHeight w:val="223"/>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2,650,777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2,223,288</w:t>
            </w: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As of December 31, 2019, the total unrecognized compensation expense related to unvested options was $4.4 million, which is expected to be recognized over a weighted-average period of 2.4 years. The Company’s outstanding and exercisable options had an aggregate intrinsic value of approximately $0.6 million as of December 31, 2019.</w:t>
      </w:r>
    </w:p>
    <w:p>
      <w:pPr>
        <w:spacing w:after="0" w:line="18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leases an office building and equipment from Areth, LLC (“Areth”) pursuant to an agreement for services effective as of January 1, 2016, as amended from time to time. Effective October 1, 2017, monthly rent on this facility was reduced to $10,000. On September 27, 2018, the agreement was amended to extend the term of the agreement through September 30, 2019. On November 7, 2019, an additional amendment was entered into between Areth and the Company to extend the term of this agreement through September 30, 2020, and to provide for automatic one-year renewals unless ADMA gives written notice of termination to Areth 60 days prior to the end of the term. Rent expense for the years ended December 31, 2019 and 2018 amounted to $120,000. Areth is a company controlled by Dr. Jerrold B. Grossman, the Vice Chairman of the Company’s Board of Directors, and Adam S. Grossman, the Company’s President and Chief Executive Officer. The Company also reimburses Areth for office and building related (common area) expenses, equipment and certain other operational expenses, which were not material to the consolidated financial statements for the years ended December 31, 2019 and 2018.</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Note 7 for a discussion of the Company’s credit facility and related transactions with Perceptive, a holder of more than 10% of the Company’s common stock.</w:t>
      </w:r>
    </w:p>
    <w:p>
      <w:pPr>
        <w:spacing w:after="0" w:line="16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Legal Matters</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Vendor and Licensor Commitments</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Unless terminated earlier, the 2011 Plasma Purchase Agreement expires in June 2027, after which it may be renewed for two additional five-year periods if agreed to by the parties. As part of the closing of the Biotest Transaction, the parties amended the 2011 Plasma Purchase Agreement to extend the initial term through the ten year anniversary of the closing date of the Biotest Transaction.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may purchase RSV plasma from Grifols from the two plasma collection centers that were transferred to BPC on January 1, 2019 (see Note 3) at a price equal to cost plus five percent (5%) (without any additional increase due to inflation).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90" w:name="page91"/>
    <w:bookmarkEnd w:id="90"/>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agrees that, for calendar years 2020 and 2021, it shall supply no less than a high double digit percentage of ADMA BioManufacturing’s requested NSP amounts, provided that such requested normal source plasma amounts are within an agreed range, at a price per liter to be mutually determined. Furthermore, pursuant to the amendment to the 2017 Plasma Purchase Agreement, in the event BPC fails to supply ADMA BioManufacturing with at least a high double digit percentage of ADMA BioManufacturing’s requested normal source plasma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Post-marketing commitments</w:t>
      </w:r>
    </w:p>
    <w:p>
      <w:pPr>
        <w:spacing w:after="0" w:line="225" w:lineRule="exact"/>
        <w:rPr>
          <w:sz w:val="20"/>
          <w:szCs w:val="20"/>
          <w:color w:val="auto"/>
        </w:rPr>
      </w:pPr>
    </w:p>
    <w:p>
      <w:pPr>
        <w:ind w:right="240" w:firstLine="648"/>
        <w:spacing w:after="0" w:line="293" w:lineRule="auto"/>
        <w:rPr>
          <w:sz w:val="20"/>
          <w:szCs w:val="20"/>
          <w:color w:val="auto"/>
        </w:rPr>
      </w:pPr>
      <w:r>
        <w:rPr>
          <w:rFonts w:ascii="Arial" w:cs="Arial" w:eastAsia="Arial" w:hAnsi="Arial"/>
          <w:sz w:val="16"/>
          <w:szCs w:val="16"/>
          <w:color w:val="auto"/>
        </w:rPr>
        <w:t>In connection with the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These studies are still pending completion, as such ADMA has assumed the remaining obligations, and the costs of the studies will be expensed as incurred as research and development expenses. The Company currently expects both studies to be completed by the end of 2021. However, the timing of the completion of these studies is dependent upon the availability of BIVIGAM and the completion of the planned manufacturing process improvements.</w:t>
      </w:r>
    </w:p>
    <w:p>
      <w:pPr>
        <w:spacing w:after="0" w:line="1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connection with the FDA’s approval of ASCENIV on April 1, 2019, the Company is required to perform a pediatric study to evaluate the safety and efficacy of ASCENIV in children and adolescents. This study is required to be completed by June of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contracts</w:t>
      </w:r>
    </w:p>
    <w:p>
      <w:pPr>
        <w:spacing w:after="0" w:line="225" w:lineRule="exact"/>
        <w:rPr>
          <w:sz w:val="20"/>
          <w:szCs w:val="20"/>
          <w:color w:val="auto"/>
        </w:rPr>
      </w:pPr>
    </w:p>
    <w:p>
      <w:pPr>
        <w:jc w:val="both"/>
        <w:ind w:right="440" w:firstLine="648"/>
        <w:spacing w:after="0" w:line="342" w:lineRule="auto"/>
        <w:rPr>
          <w:sz w:val="20"/>
          <w:szCs w:val="20"/>
          <w:color w:val="auto"/>
        </w:rPr>
      </w:pPr>
      <w:r>
        <w:rPr>
          <w:rFonts w:ascii="Arial" w:cs="Arial" w:eastAsia="Arial" w:hAnsi="Arial"/>
          <w:sz w:val="16"/>
          <w:szCs w:val="16"/>
          <w:color w:val="auto"/>
        </w:rPr>
        <w:t>The Company has entered into employment agreements with its executive management team consisting of its President and Chief Executive Officer, its Executive Vice President, Chief Medical Officer and Chief Scientific Officer and its Executive Vice President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1" w:name="page92"/>
    <w:bookmarkEnd w:id="91"/>
    <w:p>
      <w:pPr>
        <w:ind w:left="10240"/>
        <w:spacing w:after="0"/>
        <w:rPr>
          <w:rFonts w:ascii="Arial" w:cs="Arial" w:eastAsia="Arial" w:hAnsi="Arial"/>
          <w:sz w:val="12"/>
          <w:szCs w:val="12"/>
          <w:i w:val="1"/>
          <w:iCs w:val="1"/>
          <w:u w:val="single" w:color="auto"/>
          <w:color w:val="0000EE"/>
        </w:rPr>
      </w:pPr>
      <w:hyperlink w:anchor="page2">
        <w:r>
          <w:rPr>
            <w:rFonts w:ascii="Arial" w:cs="Arial" w:eastAsia="Arial" w:hAnsi="Arial"/>
            <w:sz w:val="12"/>
            <w:szCs w:val="12"/>
            <w:i w:val="1"/>
            <w:iCs w:val="1"/>
            <w:u w:val="single" w:color="auto"/>
            <w:color w:val="0000EE"/>
          </w:rPr>
          <w:t>Table of Contents</w:t>
        </w:r>
      </w:hyperlink>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commitments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2019. The Company does not anticipate recognizing any significant losses relating to these arrangements.</w:t>
      </w:r>
    </w:p>
    <w:p>
      <w:pPr>
        <w:spacing w:after="0" w:line="18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income taxes at the U.S. Federal statutory rate to the benefit for income taxes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Benefit at U.S. federal statutory rate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(10,138,657)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(13,806,124)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State taxes - deferred</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(2,010,517)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(1,443,538)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11,790,031</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(1,015,582)</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(115,086)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(223,735)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Decrease in federal net operating loss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12,090,203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Decrease in federal research and development credits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4,294,344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474,229</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104,432</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660"/>
              <w:spacing w:after="0"/>
              <w:rPr>
                <w:sz w:val="20"/>
                <w:szCs w:val="20"/>
                <w:color w:val="auto"/>
              </w:rPr>
            </w:pPr>
            <w:r>
              <w:rPr>
                <w:rFonts w:ascii="Arial" w:cs="Arial" w:eastAsia="Arial" w:hAnsi="Arial"/>
                <w:sz w:val="18"/>
                <w:szCs w:val="18"/>
                <w:color w:val="auto"/>
              </w:rPr>
              <w:t>A summary of the Company’s deferred tax assets is as follows: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net operating loss carryforwards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42,496,374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26,080,351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Federal and state research credits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630,516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525,248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limitation carryforwards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1,159,422</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Transaction costs</w:t>
            </w: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1,174,733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1,147,581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603,535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624,610</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2,433,142</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6,011,057</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deferred tax 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47,338,300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35,548,269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valuation allowance for deferred tax assets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(47,338,300)</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(35,548,269)</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2019, the Company had federal and state (post-apportioned basis) net operating losses (“NOLs”) of $175.1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$116.2 million, respectively, as well as federal research and development tax credit carryforwards of approximately $0.6 million. Approximately $115.8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and $71.8 million of the foregoing federal and state NOLs, respectively, will expire at various dates from 2027 through 2037, if not limited 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triggering events prior to such time. Under the provisions of the Internal Revenue Code, changes in ownership of the Company, in certain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would limit the amount of federal NOLs that can be utilized annually in the future to offset taxable income. In particular, Section 382 of the Internal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Revenue Code imposes limitations on an entity’s ability to use NOLs upon certain changes in ownership. If the Company is limited in its ability to use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NOLs in future years in which it has taxable income, then the Company will pay more taxes than if it were otherwise able to fully utilize its NOLs.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may experience ownership changes in the future as a result of subsequent shifts in ownership of the Company’s capital stock that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cannot predict or control that could result in further limitations being placed on the Company’s ability to utilize its federal NOLs. As of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 the Company performed a preliminary analysis of limitations imposed by Section 382 of the Internal Revenue Code and as a result has written off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$57.6 million of federal NOLs, $4.3 million of federal research and development tax credits, and $10.9 million of state NOLs that are limited by historical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ownership changes. As a result, there was a $16.9 million reduction to the Company’s deferred tax assets. However, as discussed below,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maintains a full valuation allowance against its deferred tax assets. Therefore, the $16.9 million reduction to the Company’s deferred tax assets is offset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corresponding $16.9 million reduction to the Company’s valuation allowance for its net deferred tax assets, resulting in no net impact to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provision.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2019 and 2018, and does not anticipate a significant change in unrecognized tax benefits during the next 12 months.</w:t>
      </w:r>
    </w:p>
    <w:p>
      <w:pPr>
        <w:spacing w:after="0" w:line="17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leases certain properties and equipment for its ADMA Bio Centers subsidiary and certain equipment for its ADMA BioManufacturing subsidiary, which leases provide the right to use the underlying assets and require lease payments through the respective lease terms which expire at various dates through 2026. The Company’s lease agreements do not contain any material residual value guarantees or material restrictive covenants.</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date of application of ASU 2016-02, or the lease commencement date. For the lease liabilities recognized upon the application of ASU 2016-02, the Company used a discount rate of 13% to determine the present value of its lease obligations. The Company’s operating lease expense is recognized on a straight-line basis over the lease term and is reflected in Plasma center operating expenses and Selling, general and administrative expenses. Aggregate rent expense and cash paid for the Company’s operating leases for the years ended December 31, 2019 and 2018 was $0.6 million and $1.1 million, respectively.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connection with the adoption of ASU 2016-02 on January 1, 2019 (see Note 2), the Company recognized right to use assets of $1.4 million and lease liabilities of approximately $1.6 million. The right-to-use assets are reflected in Deposits and other assets in the accompanying consolidated balance sheet as of December 31, 2019. Including a finance lease the Company entered into in June 2018, the Company has aggregate lease liabilities of $1.5 million as of December 31, 2019, which are comprised primarily of the lease for the Company’s plasma collection center in Kennesaw, GA and an administrative office lease in Roswell, GA related to the Company’s ADMA Bio Centers subsidiary. The Company’s operating leases have a weighted average remaining term of 5.9 years. Scheduled payments under the Company’s lease obligations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rPr>
              <w:t>Year ended December 31, 2020</w:t>
            </w: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407,792</w:t>
            </w:r>
          </w:p>
        </w:tc>
      </w:tr>
      <w:tr>
        <w:trPr>
          <w:trHeight w:val="216"/>
        </w:trPr>
        <w:tc>
          <w:tcPr>
            <w:tcW w:w="9460" w:type="dxa"/>
            <w:vAlign w:val="bottom"/>
          </w:tcPr>
          <w:p>
            <w:pPr>
              <w:jc w:val="right"/>
              <w:ind w:right="541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385,887</w:t>
            </w:r>
          </w:p>
        </w:tc>
      </w:tr>
      <w:tr>
        <w:trPr>
          <w:trHeight w:val="216"/>
        </w:trPr>
        <w:tc>
          <w:tcPr>
            <w:tcW w:w="94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382,287</w:t>
            </w:r>
          </w:p>
        </w:tc>
      </w:tr>
      <w:tr>
        <w:trPr>
          <w:trHeight w:val="216"/>
        </w:trPr>
        <w:tc>
          <w:tcPr>
            <w:tcW w:w="9460" w:type="dxa"/>
            <w:vAlign w:val="bottom"/>
          </w:tcPr>
          <w:p>
            <w:pPr>
              <w:jc w:val="right"/>
              <w:ind w:right="541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360,197</w:t>
            </w:r>
          </w:p>
        </w:tc>
      </w:tr>
      <w:tr>
        <w:trPr>
          <w:trHeight w:val="216"/>
        </w:trPr>
        <w:tc>
          <w:tcPr>
            <w:tcW w:w="94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313,015</w:t>
            </w:r>
          </w:p>
        </w:tc>
      </w:tr>
      <w:tr>
        <w:trPr>
          <w:trHeight w:val="230"/>
        </w:trPr>
        <w:tc>
          <w:tcPr>
            <w:tcW w:w="9460" w:type="dxa"/>
            <w:vAlign w:val="bottom"/>
            <w:tcBorders>
              <w:bottom w:val="single" w:sz="8" w:color="CCEEFF"/>
            </w:tcBorders>
          </w:tcPr>
          <w:p>
            <w:pPr>
              <w:jc w:val="right"/>
              <w:ind w:right="541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293,897</w:t>
            </w:r>
          </w:p>
        </w:tc>
      </w:tr>
      <w:tr>
        <w:trPr>
          <w:trHeight w:val="209"/>
        </w:trPr>
        <w:tc>
          <w:tcPr>
            <w:tcW w:w="94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rPr>
              <w:t>Total payments</w:t>
            </w: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2,143,075</w:t>
            </w:r>
          </w:p>
        </w:tc>
      </w:tr>
      <w:tr>
        <w:trPr>
          <w:trHeight w:val="216"/>
        </w:trPr>
        <w:tc>
          <w:tcPr>
            <w:tcW w:w="9460" w:type="dxa"/>
            <w:vAlign w:val="bottom"/>
          </w:tcPr>
          <w:p>
            <w:pPr>
              <w:jc w:val="right"/>
              <w:ind w:right="5410"/>
              <w:spacing w:after="0"/>
              <w:rPr>
                <w:sz w:val="20"/>
                <w:szCs w:val="20"/>
                <w:color w:val="auto"/>
              </w:rPr>
            </w:pPr>
            <w:r>
              <w:rPr>
                <w:rFonts w:ascii="Arial" w:cs="Arial" w:eastAsia="Arial" w:hAnsi="Arial"/>
                <w:sz w:val="18"/>
                <w:szCs w:val="18"/>
                <w:color w:val="auto"/>
              </w:rPr>
              <w:t>Less: imputed interest</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(611,641)</w:t>
            </w:r>
          </w:p>
        </w:tc>
      </w:tr>
      <w:tr>
        <w:trPr>
          <w:trHeight w:val="230"/>
        </w:trPr>
        <w:tc>
          <w:tcPr>
            <w:tcW w:w="9460" w:type="dxa"/>
            <w:vAlign w:val="bottom"/>
            <w:shd w:val="clear" w:color="auto" w:fill="CCEEFF"/>
          </w:tcPr>
          <w:p>
            <w:pPr>
              <w:jc w:val="right"/>
              <w:ind w:right="5410"/>
              <w:spacing w:after="0"/>
              <w:rPr>
                <w:sz w:val="20"/>
                <w:szCs w:val="20"/>
                <w:color w:val="auto"/>
              </w:rPr>
            </w:pPr>
            <w:r>
              <w:rPr>
                <w:rFonts w:ascii="Arial" w:cs="Arial" w:eastAsia="Arial" w:hAnsi="Arial"/>
                <w:sz w:val="18"/>
                <w:szCs w:val="18"/>
                <w:color w:val="auto"/>
              </w:rPr>
              <w:t>Current portion</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(229,073)</w:t>
            </w:r>
          </w:p>
        </w:tc>
      </w:tr>
      <w:tr>
        <w:trPr>
          <w:trHeight w:val="223"/>
        </w:trPr>
        <w:tc>
          <w:tcPr>
            <w:tcW w:w="9460" w:type="dxa"/>
            <w:vAlign w:val="bottom"/>
          </w:tcPr>
          <w:p>
            <w:pPr>
              <w:jc w:val="right"/>
              <w:ind w:right="5410"/>
              <w:spacing w:after="0"/>
              <w:rPr>
                <w:sz w:val="20"/>
                <w:szCs w:val="20"/>
                <w:color w:val="auto"/>
              </w:rPr>
            </w:pPr>
            <w:r>
              <w:rPr>
                <w:rFonts w:ascii="Arial" w:cs="Arial" w:eastAsia="Arial" w:hAnsi="Arial"/>
                <w:sz w:val="18"/>
                <w:szCs w:val="18"/>
                <w:color w:val="auto"/>
              </w:rPr>
              <w:t>Balance at December 31, 2019</w:t>
            </w: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1,302,361</w:t>
            </w:r>
          </w:p>
        </w:tc>
      </w:tr>
      <w:tr>
        <w:trPr>
          <w:trHeight w:val="20"/>
        </w:trPr>
        <w:tc>
          <w:tcPr>
            <w:tcW w:w="9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During the year ended December 31, 2019, the Company entered into two new property leases where the Company intends to construct new plasma collection facilities. As of December 31, 2019, the Company had not taken possession of the leased property pertaining to either lease. The lease commencement date is February 1, 2020 for the first lease and the lease commencement date has not been determined for the second lease. With the exception of an advance deposit and an initial months’ rent for each lease totaling approximately $41,000, no payments were made under these leases during the year ended December 31, 2019. The initial term of the first lease is for 130 months, with monthly rental payments varying between approximately $9,000 and $11,000, including common area maintenance charges. The initial term of the second lease is for 128 months with monthly rental payments varying between $11,000 and $14,000, including common area maintenance charges.</w:t>
      </w:r>
    </w:p>
    <w:p>
      <w:pPr>
        <w:spacing w:after="0" w:line="17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is engaged in the manufacture, marketing and development of specialty plasma-derived biologics. The Company’s ADMA BioManufacturing segment reflects the Company’s immune globulin manufacturing and development operations in Florida, acquired on June 6, 2017. The Plasma Collection Centers segment consists of one FDA-licensed source plasma collection facility for the year ended December 31, 2019, and three FDA-licensed source plasma collection facilities for the year ended December 31, 2018 (see Note 3).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70"/>
              <w:spacing w:after="0" w:line="191" w:lineRule="exact"/>
              <w:rPr>
                <w:sz w:val="20"/>
                <w:szCs w:val="20"/>
                <w:color w:val="auto"/>
              </w:rPr>
            </w:pPr>
            <w:r>
              <w:rPr>
                <w:rFonts w:ascii="Arial" w:cs="Arial" w:eastAsia="Arial" w:hAnsi="Arial"/>
                <w:sz w:val="18"/>
                <w:szCs w:val="18"/>
                <w:b w:val="1"/>
                <w:bCs w:val="1"/>
                <w:color w:val="auto"/>
              </w:rPr>
              <w:t>ADMA</w:t>
            </w: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BioManufacturing</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Centers</w:t>
            </w:r>
          </w:p>
        </w:tc>
        <w:tc>
          <w:tcPr>
            <w:tcW w:w="20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r>
      <w:tr>
        <w:trPr>
          <w:trHeight w:val="209"/>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22,176,699</w:t>
            </w: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7,029,550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29,349,083</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33,306,858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6,197,380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39,504,238</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(29,360,522)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(1,337,459)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(10,726,346)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(41,424,327)</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(1,091,993)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(7,341,444)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(8,419,916)</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Gain on transfer of plasma center assets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11,527,421</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(9,962,495)</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(30,452,515)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10,203,483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(28,030,285)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(48,279,317)</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3,772,742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3,811,838</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2,789,498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455,412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3,258,148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100,461,050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3,967,860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22,661,815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127,090,725</w:t>
            </w:r>
          </w:p>
        </w:tc>
      </w:tr>
      <w:tr>
        <w:trPr>
          <w:trHeight w:val="432"/>
        </w:trPr>
        <w:tc>
          <w:tcPr>
            <w:tcW w:w="36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 Ended December 31, 2018</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1"/>
        </w:trPr>
        <w:tc>
          <w:tcPr>
            <w:tcW w:w="3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rPr>
              <w:t>ADMA</w:t>
            </w:r>
          </w:p>
        </w:tc>
        <w:tc>
          <w:tcPr>
            <w:tcW w:w="220" w:type="dxa"/>
            <w:vAlign w:val="bottom"/>
          </w:tcPr>
          <w:p>
            <w:pPr>
              <w:spacing w:after="0"/>
              <w:rPr>
                <w:sz w:val="16"/>
                <w:szCs w:val="16"/>
                <w:color w:val="auto"/>
              </w:rPr>
            </w:pPr>
          </w:p>
        </w:tc>
        <w:tc>
          <w:tcPr>
            <w:tcW w:w="17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Plasma Collection</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3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BioManufacturing</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89"/>
              </w:rPr>
              <w:t>Centers</w:t>
            </w:r>
          </w:p>
        </w:tc>
        <w:tc>
          <w:tcPr>
            <w:tcW w:w="200" w:type="dxa"/>
            <w:vAlign w:val="bottom"/>
          </w:tcPr>
          <w:p>
            <w:pPr>
              <w:spacing w:after="0"/>
              <w:rPr>
                <w:sz w:val="20"/>
                <w:szCs w:val="20"/>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r>
      <w:tr>
        <w:trPr>
          <w:trHeight w:val="210"/>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6,797,548</w:t>
            </w:r>
          </w:p>
        </w:tc>
        <w:tc>
          <w:tcPr>
            <w:tcW w:w="6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10,044,908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142,834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16,985,290</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35,485,273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6,709,362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42,194,635</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(45,633,715)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(10,185,156)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(60,288,944)</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(1,077,624)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(4,375,910)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(5,454,501)</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(46,711,339)</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(4,471,040)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(14,561,066)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(65,743,445)</w:t>
            </w:r>
          </w:p>
        </w:tc>
      </w:tr>
      <w:tr>
        <w:trPr>
          <w:trHeight w:val="216"/>
        </w:trPr>
        <w:tc>
          <w:tcPr>
            <w:tcW w:w="3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1,580,684</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514,916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2,095,600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2,608,776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814,768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3,446,398</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57,818,051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5,443,032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25,615,438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88,876,521</w:t>
            </w:r>
          </w:p>
        </w:tc>
      </w:tr>
    </w:tbl>
    <w:p>
      <w:pPr>
        <w:spacing w:after="0" w:line="19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EMPLOYEE BENEFITS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Company sponsors a 401(k) savings plan. Under the plan, employees may make contributions which are eligible for a Company discretionary percentage contribution as defined in the plan and determined by the Board of Directors. The Company recognized $0.7 million of related compensation expense for the years ended December 31, 2019 and 2018.</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Arial" w:cs="Arial" w:eastAsia="Arial" w:hAnsi="Arial"/>
                <w:sz w:val="18"/>
                <w:szCs w:val="18"/>
                <w:b w:val="1"/>
                <w:bCs w:val="1"/>
                <w:color w:val="auto"/>
              </w:rPr>
              <w:t>15. SUPPLEMENTAL DISCLOSURE OF CASH FLOW INFORMATION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tcPr>
          <w:p>
            <w:pPr>
              <w:spacing w:after="0"/>
              <w:rPr>
                <w:sz w:val="24"/>
                <w:szCs w:val="24"/>
                <w:color w:val="auto"/>
              </w:rPr>
            </w:pPr>
          </w:p>
        </w:tc>
        <w:tc>
          <w:tcPr>
            <w:tcW w:w="7760" w:type="dxa"/>
            <w:vAlign w:val="bottom"/>
            <w:gridSpan w:val="2"/>
          </w:tcPr>
          <w:p>
            <w:pPr>
              <w:ind w:left="320"/>
              <w:spacing w:after="0"/>
              <w:rPr>
                <w:sz w:val="20"/>
                <w:szCs w:val="20"/>
                <w:color w:val="auto"/>
              </w:rPr>
            </w:pPr>
            <w:r>
              <w:rPr>
                <w:rFonts w:ascii="Arial" w:cs="Arial" w:eastAsia="Arial" w:hAnsi="Arial"/>
                <w:sz w:val="18"/>
                <w:szCs w:val="18"/>
                <w:color w:val="auto"/>
                <w:w w:val="93"/>
              </w:rPr>
              <w:t>Supplemental cash flow information for the years ended December 31, 2019 and 2018 is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40" w:type="dxa"/>
            <w:vAlign w:val="bottom"/>
            <w:tcBorders>
              <w:bottom w:val="single" w:sz="8" w:color="CCEEFF"/>
            </w:tcBorders>
          </w:tcPr>
          <w:p>
            <w:pPr>
              <w:spacing w:after="0"/>
              <w:rPr>
                <w:sz w:val="24"/>
                <w:szCs w:val="24"/>
                <w:color w:val="auto"/>
              </w:rPr>
            </w:pPr>
          </w:p>
        </w:tc>
        <w:tc>
          <w:tcPr>
            <w:tcW w:w="54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0"/>
        </w:trPr>
        <w:tc>
          <w:tcPr>
            <w:tcW w:w="8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100" w:type="dxa"/>
            <w:vAlign w:val="bottom"/>
            <w:gridSpan w:val="3"/>
          </w:tcPr>
          <w:p>
            <w:pPr>
              <w:ind w:left="1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8,112,231</w:t>
            </w:r>
          </w:p>
        </w:tc>
        <w:tc>
          <w:tcPr>
            <w:tcW w:w="22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4,399,972</w:t>
            </w:r>
          </w:p>
        </w:tc>
        <w:tc>
          <w:tcPr>
            <w:tcW w:w="0" w:type="dxa"/>
            <w:vAlign w:val="bottom"/>
          </w:tcPr>
          <w:p>
            <w:pPr>
              <w:spacing w:after="0"/>
              <w:rPr>
                <w:sz w:val="1"/>
                <w:szCs w:val="1"/>
                <w:color w:val="auto"/>
              </w:rPr>
            </w:pPr>
          </w:p>
        </w:tc>
      </w:tr>
      <w:tr>
        <w:trPr>
          <w:trHeight w:val="197"/>
        </w:trPr>
        <w:tc>
          <w:tcPr>
            <w:tcW w:w="81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100" w:type="dxa"/>
            <w:vAlign w:val="bottom"/>
            <w:gridSpan w:val="3"/>
          </w:tcPr>
          <w:p>
            <w:pPr>
              <w:ind w:left="18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514,904</w:t>
            </w:r>
          </w:p>
        </w:tc>
        <w:tc>
          <w:tcPr>
            <w:tcW w:w="220" w:type="dxa"/>
            <w:vAlign w:val="bottom"/>
          </w:tcPr>
          <w:p>
            <w:pPr>
              <w:spacing w:after="0"/>
              <w:rPr>
                <w:sz w:val="24"/>
                <w:szCs w:val="24"/>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238,790</w:t>
            </w:r>
          </w:p>
        </w:tc>
        <w:tc>
          <w:tcPr>
            <w:tcW w:w="0" w:type="dxa"/>
            <w:vAlign w:val="bottom"/>
          </w:tcPr>
          <w:p>
            <w:pPr>
              <w:spacing w:after="0"/>
              <w:rPr>
                <w:sz w:val="1"/>
                <w:szCs w:val="1"/>
                <w:color w:val="auto"/>
              </w:rPr>
            </w:pPr>
          </w:p>
        </w:tc>
      </w:tr>
      <w:tr>
        <w:trPr>
          <w:trHeight w:val="197"/>
        </w:trPr>
        <w:tc>
          <w:tcPr>
            <w:tcW w:w="8100" w:type="dxa"/>
            <w:vAlign w:val="bottom"/>
            <w:tcBorders>
              <w:top w:val="single" w:sz="8" w:color="CCEEFF"/>
              <w:bottom w:val="single" w:sz="8" w:color="CCEEFF"/>
            </w:tcBorders>
            <w:gridSpan w:val="3"/>
            <w:shd w:val="clear" w:color="auto" w:fill="CCEEFF"/>
          </w:tcPr>
          <w:p>
            <w:pPr>
              <w:ind w:left="180"/>
              <w:spacing w:after="0" w:line="190" w:lineRule="exact"/>
              <w:rPr>
                <w:sz w:val="20"/>
                <w:szCs w:val="20"/>
                <w:color w:val="auto"/>
              </w:rPr>
            </w:pPr>
            <w:r>
              <w:rPr>
                <w:rFonts w:ascii="Arial" w:cs="Arial" w:eastAsia="Arial" w:hAnsi="Arial"/>
                <w:sz w:val="18"/>
                <w:szCs w:val="18"/>
                <w:color w:val="auto"/>
              </w:rPr>
              <w:t>Equipment acquired through capital lease</w:t>
            </w: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165,644</w:t>
            </w:r>
          </w:p>
        </w:tc>
        <w:tc>
          <w:tcPr>
            <w:tcW w:w="0" w:type="dxa"/>
            <w:vAlign w:val="bottom"/>
          </w:tcPr>
          <w:p>
            <w:pPr>
              <w:spacing w:after="0"/>
              <w:rPr>
                <w:sz w:val="1"/>
                <w:szCs w:val="1"/>
                <w:color w:val="auto"/>
              </w:rPr>
            </w:pPr>
          </w:p>
        </w:tc>
      </w:tr>
      <w:tr>
        <w:trPr>
          <w:trHeight w:val="20"/>
        </w:trPr>
        <w:tc>
          <w:tcPr>
            <w:tcW w:w="8100" w:type="dxa"/>
            <w:vAlign w:val="bottom"/>
            <w:gridSpan w:val="3"/>
            <w:vMerge w:val="restart"/>
          </w:tcPr>
          <w:p>
            <w:pPr>
              <w:ind w:left="180"/>
              <w:spacing w:after="0"/>
              <w:rPr>
                <w:sz w:val="20"/>
                <w:szCs w:val="20"/>
                <w:color w:val="auto"/>
              </w:rPr>
            </w:pPr>
            <w:r>
              <w:rPr>
                <w:rFonts w:ascii="Arial" w:cs="Arial" w:eastAsia="Arial" w:hAnsi="Arial"/>
                <w:sz w:val="18"/>
                <w:szCs w:val="18"/>
                <w:color w:val="auto"/>
              </w:rPr>
              <w:t>Warrants issued in connection with notes payable</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gridSpan w:val="3"/>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3,579,115</w:t>
            </w: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b w:val="1"/>
          <w:bCs w:val="1"/>
          <w:u w:val="single" w:color="auto"/>
          <w:color w:val="auto"/>
        </w:rPr>
        <w:t>CONCENTRATIONS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and cash equivalents and accounts receivable. At December 31, 2019, two customers accounted for 89% of the Company’s total accounts receivable. At December 31, 2018, three customers accounted for approximately 95% of the Company’s consolidated accounts receivable.</w:t>
      </w:r>
    </w:p>
    <w:p>
      <w:pPr>
        <w:spacing w:after="0" w:line="18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For the year ended December 31, 2019, three customers totaled 70% of the Company’s consolidated revenues. For the year ended December 31, 2018, BPC represented 56% of the Company’s consolidated revenues, and two other customers totaled 31% of the Company’s consolidated revenues.</w:t>
      </w:r>
    </w:p>
    <w:p>
      <w:pPr>
        <w:spacing w:after="0" w:line="124"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Company purchases substantially all of its raw material plasma from Grifols. For the year ended December 31, 2019, plasma purchases from Grifols totaled approximately $28.6 million, representing approximately 82% of the Company’s total inventory purchases. For the year ended December 31, 2018, plasma purchases from BPC totaled $7.8 million, or approximately 71% of the Company’s total inventory purchases.</w:t>
      </w:r>
    </w:p>
    <w:p>
      <w:pPr>
        <w:spacing w:after="0" w:line="14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Issuance of Common Stock</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February 11, 2020, the Company completed an underwritten public offering of 23,500,000 shares of its common stock for gross proceeds of $82.3 million. On February 21, 2020, the Company sold an additional 3,525,000 shares pursuant to the underwriters’ exercise of their option to purchase additional shares of the Company’s common stock for additional gross proceeds of $12.3 million. The Company received net proceeds, after underwriting discounts and other expenses associated with the offering, of approximately $88.5 million.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71120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120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426085</wp:posOffset>
            </wp:positionV>
            <wp:extent cx="71120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Contents</w:t>
        </w:r>
      </w:hyperlink>
    </w:p>
    <w:p>
      <w:pPr>
        <w:spacing w:after="0" w:line="31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28332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43" w:lineRule="exact"/>
        <w:rPr>
          <w:sz w:val="20"/>
          <w:szCs w:val="20"/>
          <w:color w:val="auto"/>
        </w:rPr>
      </w:pPr>
    </w:p>
    <w:p>
      <w:pPr>
        <w:ind w:right="260"/>
        <w:spacing w:after="0" w:line="286" w:lineRule="auto"/>
        <w:rPr>
          <w:rFonts w:ascii="Arial" w:cs="Arial" w:eastAsia="Arial" w:hAnsi="Arial"/>
          <w:sz w:val="17"/>
          <w:szCs w:val="17"/>
          <w:u w:val="single" w:color="auto"/>
          <w:color w:val="0000EE"/>
        </w:rPr>
      </w:pPr>
      <w:hyperlink r:id="rId125">
        <w:r>
          <w:rPr>
            <w:rFonts w:ascii="Arial" w:cs="Arial" w:eastAsia="Arial" w:hAnsi="Arial"/>
            <w:sz w:val="17"/>
            <w:szCs w:val="17"/>
            <w:u w:val="single" w:color="auto"/>
            <w:color w:val="0000EE"/>
          </w:rPr>
          <w:t>Master Purchase and Sale Agreement, dated as of January 21, 2017, by and among Biotest Pharmaceuticals Corporation, ADMA</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BioManufacturing, LLC, ADMA Biologics, Inc., Biotest AG and Biotest US Corporation (incorporated herein by reference to Exhibit</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2.1 to the Company’s Current Report on Form 8-K, filed with the SEC on January 23, 2017).</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-22225</wp:posOffset>
            </wp:positionV>
            <wp:extent cx="628332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520"/>
        <w:spacing w:after="0" w:line="277" w:lineRule="auto"/>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Second Amended and Restated Certificate of Incorporation of the Company (incorporated herein by reference to Exhibit 3.1 to the</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Company’s Current Report on Form 8-K, filed with the SEC on August 23,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340"/>
        <w:spacing w:after="0" w:line="277" w:lineRule="auto"/>
        <w:rPr>
          <w:rFonts w:ascii="Arial" w:cs="Arial" w:eastAsia="Arial" w:hAnsi="Arial"/>
          <w:sz w:val="18"/>
          <w:szCs w:val="18"/>
          <w:u w:val="single" w:color="auto"/>
          <w:color w:val="0000EE"/>
        </w:rPr>
      </w:pPr>
      <w:hyperlink r:id="rId129">
        <w:r>
          <w:rPr>
            <w:rFonts w:ascii="Arial" w:cs="Arial" w:eastAsia="Arial" w:hAnsi="Arial"/>
            <w:sz w:val="18"/>
            <w:szCs w:val="18"/>
            <w:u w:val="single" w:color="auto"/>
            <w:color w:val="0000EE"/>
          </w:rPr>
          <w:t>Amended and Restated Bylaws (incorporated herein by reference to Exhibit 3.1 to the Company’s Current Report on Form 8-K, filed</w:t>
        </w:r>
      </w:hyperlink>
      <w:r>
        <w:rPr>
          <w:rFonts w:ascii="Arial" w:cs="Arial" w:eastAsia="Arial" w:hAnsi="Arial"/>
          <w:sz w:val="18"/>
          <w:szCs w:val="18"/>
          <w:u w:val="single" w:color="auto"/>
          <w:color w:val="0000EE"/>
        </w:rPr>
        <w:t xml:space="preserve"> </w:t>
      </w:r>
      <w:hyperlink r:id="rId129">
        <w:r>
          <w:rPr>
            <w:rFonts w:ascii="Arial" w:cs="Arial" w:eastAsia="Arial" w:hAnsi="Arial"/>
            <w:sz w:val="18"/>
            <w:szCs w:val="18"/>
            <w:u w:val="single" w:color="auto"/>
            <w:color w:val="0000EE"/>
          </w:rPr>
          <w:t>with the SEC on October 7,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280"/>
        <w:spacing w:after="0" w:line="277" w:lineRule="auto"/>
        <w:rPr>
          <w:rFonts w:ascii="Arial" w:cs="Arial" w:eastAsia="Arial" w:hAnsi="Arial"/>
          <w:sz w:val="18"/>
          <w:szCs w:val="18"/>
          <w:u w:val="single" w:color="auto"/>
          <w:color w:val="0000EE"/>
        </w:rPr>
      </w:pPr>
      <w:hyperlink r:id="rId131">
        <w:r>
          <w:rPr>
            <w:rFonts w:ascii="Arial" w:cs="Arial" w:eastAsia="Arial" w:hAnsi="Arial"/>
            <w:sz w:val="18"/>
            <w:szCs w:val="18"/>
            <w:u w:val="single" w:color="auto"/>
            <w:color w:val="0000EE"/>
          </w:rPr>
          <w:t>Specimen Common Stock Certificate (incorporated herein by reference to Exhibit 4.1 to Amendment No. 1 to the Company’s Current</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Report on Form 8-K/A, filed with the SEC on March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jc w:val="both"/>
        <w:ind w:right="420"/>
        <w:spacing w:after="0" w:line="316" w:lineRule="auto"/>
        <w:rPr>
          <w:rFonts w:ascii="Arial" w:cs="Arial" w:eastAsia="Arial" w:hAnsi="Arial"/>
          <w:sz w:val="16"/>
          <w:szCs w:val="16"/>
          <w:u w:val="single" w:color="auto"/>
          <w:color w:val="0000EE"/>
        </w:rPr>
      </w:pPr>
      <w:hyperlink r:id="rId133">
        <w:r>
          <w:rPr>
            <w:rFonts w:ascii="Arial" w:cs="Arial" w:eastAsia="Arial" w:hAnsi="Arial"/>
            <w:sz w:val="16"/>
            <w:szCs w:val="16"/>
            <w:u w:val="single" w:color="auto"/>
            <w:color w:val="0000EE"/>
          </w:rPr>
          <w:t>Warrant Agreement, dated December 21, 2012, issued by the Company to Hercules Technology Growth Capital, Inc. (incorporated</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herein by reference to Exhibit 4.3 to the Company’s Registration Statement on Form S-1, filed with the SEC on February 11,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62833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180"/>
        <w:spacing w:after="0" w:line="277" w:lineRule="auto"/>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Form of Warrant Agreement, dated May 13, 2016, issued by the Company to Oxford Finance LLC (incorporated herein by reference to</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Exhibit 4.6 to the Company’s Quarterly Report on Form 10-Q, filed with the SEC on May 13,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300"/>
        <w:spacing w:after="0" w:line="316" w:lineRule="auto"/>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Warrant to Purchase Stock, dated October 10, 2017, issued by the Company to Marathon Healthcare Finance Fund, L.P. (incorporated</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herein by reference to Exhibit 4.2 to the Company’s Current Report on Form 8-K, filed with the SEC on October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62833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240"/>
        <w:spacing w:after="0" w:line="298" w:lineRule="auto"/>
        <w:rPr>
          <w:rFonts w:ascii="Arial" w:cs="Arial" w:eastAsia="Arial" w:hAnsi="Arial"/>
          <w:sz w:val="17"/>
          <w:szCs w:val="17"/>
          <w:u w:val="single" w:color="auto"/>
          <w:color w:val="0000EE"/>
        </w:rPr>
      </w:pPr>
      <w:hyperlink r:id="rId139">
        <w:r>
          <w:rPr>
            <w:rFonts w:ascii="Arial" w:cs="Arial" w:eastAsia="Arial" w:hAnsi="Arial"/>
            <w:sz w:val="17"/>
            <w:szCs w:val="17"/>
            <w:u w:val="single" w:color="auto"/>
            <w:color w:val="0000EE"/>
          </w:rPr>
          <w:t>Warrant to Purchase Stock, dated February 11, 2019, issued by the Company to Perceptive Credit Holdings II, LP (incorporated herein</w:t>
        </w:r>
      </w:hyperlink>
      <w:r>
        <w:rPr>
          <w:rFonts w:ascii="Arial" w:cs="Arial" w:eastAsia="Arial" w:hAnsi="Arial"/>
          <w:sz w:val="17"/>
          <w:szCs w:val="17"/>
          <w:u w:val="single" w:color="auto"/>
          <w:color w:val="0000EE"/>
        </w:rPr>
        <w:t xml:space="preserve"> </w:t>
      </w:r>
      <w:hyperlink r:id="rId139">
        <w:r>
          <w:rPr>
            <w:rFonts w:ascii="Arial" w:cs="Arial" w:eastAsia="Arial" w:hAnsi="Arial"/>
            <w:sz w:val="17"/>
            <w:szCs w:val="17"/>
            <w:u w:val="single" w:color="auto"/>
            <w:color w:val="0000EE"/>
          </w:rPr>
          <w:t>by reference to Exhibit 4.2 to the Company’s Current Report on Form 8-K, filed with the SEC on February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628332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100"/>
        <w:spacing w:after="0" w:line="277" w:lineRule="auto"/>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Note, dated February 11, 2019, issued by the Company to Perceptive Credit Holdings II, LP (incorporated herein by reference to Exhibit</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4.1 to the Company’s Current Report on Form 8-K, filed with the SEC on February 12,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Description of Capital Stock of ADMA Biologics,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28332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43" w:lineRule="exact"/>
        <w:rPr>
          <w:sz w:val="20"/>
          <w:szCs w:val="20"/>
          <w:color w:val="auto"/>
        </w:rPr>
      </w:pPr>
    </w:p>
    <w:p>
      <w:pPr>
        <w:ind w:right="140"/>
        <w:spacing w:after="0" w:line="277" w:lineRule="auto"/>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2007 Employee Stock Option Plan, as amended by Amendment No. 3 (incorporated herein by reference to Exhibit A to the Information</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Statement on Schedule 14C, filed with the SEC on October 29,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80"/>
        <w:spacing w:after="0" w:line="277"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Amended and Restated ADMA Biologics, Inc. 2014 Omnibus Incentive Compensation Plan (incorporated herein by reference to Exhibit</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10.1 to the Company’s Registration Statement on Form S-8, filed with the SEC on August 18,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200"/>
        <w:spacing w:after="0" w:line="263" w:lineRule="auto"/>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Amended and Restated Employment Agreement, dated January 29, 2019, by and between ADMA Biologics, Inc. and Adam Grossman</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(incorporated herein by reference to Exhibit 10.1 to the Company’s Current Report on Form 8-K, filed with the SEC on January 29,</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440"/>
        <w:spacing w:after="0" w:line="263" w:lineRule="auto"/>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Amended and Restated Employment Agreement, dated January 29, 2019, by and between ADMA Biologics, Inc. and Brian Lenz</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(incorporated herein by reference to Exhibit 10.3 to the Company’s Current Report on Form 8-K, filed with the SEC on January 29,</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jc w:val="both"/>
        <w:ind w:right="400"/>
        <w:spacing w:after="0" w:line="263" w:lineRule="auto"/>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Amended and Restated Employment Agreement, dated January 29, 2019, by and between ADMA Biologics, Inc. and James Mond,</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M.D., Ph.D. (incorporated herein by reference to Exhibit 10.2 to the Company’s Current Report on Form 8-K, filed with the SEC on</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January 29,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100"/>
        <w:spacing w:after="0" w:line="259" w:lineRule="auto"/>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Plasma Purchase Agreement, dated as of November 17, 2011, by and between Biotest Pharmaceuticals Corporation and ADMA</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Biologics, Inc., as amended by First Amendment to Plasma Purchase Agreement, dated as of December 1, 2011, by and between Biotest</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Pharmaceuticals Corporation and ADMA Biologics, Inc. (incorporated herein by reference to Exhibit 10.9 to Amendment No. 3 to the</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Company’s Current Report on Form 8-K/A, filed with the SEC on June 22, 2012).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-8890</wp:posOffset>
            </wp:positionV>
            <wp:extent cx="62833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6283325" cy="1714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247650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840" w:space="440"/>
            <w:col w:w="9920"/>
          </w:cols>
          <w:pgMar w:left="360" w:top="229"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225425</wp:posOffset>
            </wp:positionH>
            <wp:positionV relativeFrom="page">
              <wp:posOffset>260350</wp:posOffset>
            </wp:positionV>
            <wp:extent cx="71120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1200" cy="17145"/>
                    </a:xfrm>
                    <a:prstGeom prst="rect">
                      <a:avLst/>
                    </a:prstGeom>
                    <a:noFill/>
                  </pic:spPr>
                </pic:pic>
              </a:graphicData>
            </a:graphic>
          </wp:anchor>
        </w:drawing>
        <w:t>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303530</wp:posOffset>
            </wp:positionV>
            <wp:extent cx="71120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303530</wp:posOffset>
            </wp:positionV>
            <wp:extent cx="71120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303530</wp:posOffset>
            </wp:positionV>
            <wp:extent cx="71120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10.8.1+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303530</wp:posOffset>
            </wp:positionV>
            <wp:extent cx="71120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288925</wp:posOffset>
            </wp:positionV>
            <wp:extent cx="71120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spacing w:after="0" w:line="263" w:lineRule="auto"/>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Second Amendment to Plasma Purchase Agreement, dated as of December 18, 2015, by and between Biotest Pharmaceuticals</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Corporation and ADMA Biologics, Inc. (incorporated herein by reference to Exhibit 10.3.1 to the Company’s Annual Report on Form</w:t>
        </w:r>
      </w:hyperlink>
      <w:r>
        <w:rPr>
          <w:rFonts w:ascii="Arial" w:cs="Arial" w:eastAsia="Arial" w:hAnsi="Arial"/>
          <w:sz w:val="18"/>
          <w:szCs w:val="18"/>
          <w:u w:val="single" w:color="auto"/>
          <w:color w:val="0000EE"/>
        </w:rPr>
        <w:t xml:space="preserve"> </w:t>
      </w:r>
      <w:hyperlink r:id="rId172">
        <w:r>
          <w:rPr>
            <w:rFonts w:ascii="Arial" w:cs="Arial" w:eastAsia="Arial" w:hAnsi="Arial"/>
            <w:sz w:val="18"/>
            <w:szCs w:val="18"/>
            <w:u w:val="single" w:color="auto"/>
            <w:color w:val="0000EE"/>
          </w:rPr>
          <w:t>10-K, filed with the SEC on March 23,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-439420</wp:posOffset>
            </wp:positionV>
            <wp:extent cx="62833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628332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jc w:val="both"/>
        <w:ind w:right="80"/>
        <w:spacing w:after="0" w:line="263" w:lineRule="auto"/>
        <w:rPr>
          <w:rFonts w:ascii="Arial" w:cs="Arial" w:eastAsia="Arial" w:hAnsi="Arial"/>
          <w:sz w:val="18"/>
          <w:szCs w:val="18"/>
          <w:u w:val="single" w:color="auto"/>
          <w:color w:val="0000EE"/>
        </w:rPr>
      </w:pPr>
      <w:hyperlink r:id="rId175">
        <w:r>
          <w:rPr>
            <w:rFonts w:ascii="Arial" w:cs="Arial" w:eastAsia="Arial" w:hAnsi="Arial"/>
            <w:sz w:val="18"/>
            <w:szCs w:val="18"/>
            <w:u w:val="single" w:color="auto"/>
            <w:color w:val="0000EE"/>
          </w:rPr>
          <w:t>Third Amendment to Plasma Purchase Agreement, dated as of April 8, 2016, by and between Biotest Pharmaceuticals Corporation and</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ADMA Biologics, Inc. (incorporated herein by reference to Exhibit 10.3.2 to the Company’s Quarterly Report on Form 10-Q, filed with</w:t>
        </w:r>
      </w:hyperlink>
      <w:r>
        <w:rPr>
          <w:rFonts w:ascii="Arial" w:cs="Arial" w:eastAsia="Arial" w:hAnsi="Arial"/>
          <w:sz w:val="18"/>
          <w:szCs w:val="18"/>
          <w:u w:val="single" w:color="auto"/>
          <w:color w:val="0000EE"/>
        </w:rPr>
        <w:t xml:space="preserve"> </w:t>
      </w:r>
      <w:hyperlink r:id="rId175">
        <w:r>
          <w:rPr>
            <w:rFonts w:ascii="Arial" w:cs="Arial" w:eastAsia="Arial" w:hAnsi="Arial"/>
            <w:sz w:val="18"/>
            <w:szCs w:val="18"/>
            <w:u w:val="single" w:color="auto"/>
            <w:color w:val="0000EE"/>
          </w:rPr>
          <w:t>the SEC on May 13,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jc w:val="both"/>
        <w:ind w:right="140"/>
        <w:spacing w:after="0" w:line="263" w:lineRule="auto"/>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Fourth Amendment to Plasma Purchase Agreement, dated as of June 6, 2017, by and between Biotest Pharmaceuticals Corporation and</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ADMA Biologics, Inc. (incorporated herein by reference to Exhibit 10.9 to the Company’s Quarterly Report on Form 10-Q, filed with</w:t>
        </w:r>
      </w:hyperlink>
      <w:r>
        <w:rPr>
          <w:rFonts w:ascii="Arial" w:cs="Arial" w:eastAsia="Arial" w:hAnsi="Arial"/>
          <w:sz w:val="18"/>
          <w:szCs w:val="18"/>
          <w:u w:val="single" w:color="auto"/>
          <w:color w:val="0000EE"/>
        </w:rPr>
        <w:t xml:space="preserve"> </w:t>
      </w:r>
      <w:hyperlink r:id="rId177">
        <w:r>
          <w:rPr>
            <w:rFonts w:ascii="Arial" w:cs="Arial" w:eastAsia="Arial" w:hAnsi="Arial"/>
            <w:sz w:val="18"/>
            <w:szCs w:val="18"/>
            <w:u w:val="single" w:color="auto"/>
            <w:color w:val="0000EE"/>
          </w:rPr>
          <w:t>the SEC on 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spacing w:after="0" w:line="286" w:lineRule="auto"/>
        <w:rPr>
          <w:rFonts w:ascii="Arial" w:cs="Arial" w:eastAsia="Arial" w:hAnsi="Arial"/>
          <w:sz w:val="17"/>
          <w:szCs w:val="17"/>
          <w:u w:val="single" w:color="auto"/>
          <w:color w:val="0000EE"/>
        </w:rPr>
      </w:pPr>
      <w:hyperlink r:id="rId179">
        <w:r>
          <w:rPr>
            <w:rFonts w:ascii="Arial" w:cs="Arial" w:eastAsia="Arial" w:hAnsi="Arial"/>
            <w:sz w:val="17"/>
            <w:szCs w:val="17"/>
            <w:u w:val="single" w:color="auto"/>
            <w:color w:val="0000EE"/>
          </w:rPr>
          <w:t>Fifth Amendment to Plasma Purchase Agreement, dated as of January 1, 2019, by and between Grifols Worldwide Operations Limited</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(as successor-in-interest to Biotest Pharmaceuticals Corporation) and ADMA Biologics, Inc. (incorporated herein by reference to Exhibit</w:t>
        </w:r>
      </w:hyperlink>
      <w:r>
        <w:rPr>
          <w:rFonts w:ascii="Arial" w:cs="Arial" w:eastAsia="Arial" w:hAnsi="Arial"/>
          <w:sz w:val="17"/>
          <w:szCs w:val="17"/>
          <w:u w:val="single" w:color="auto"/>
          <w:color w:val="0000EE"/>
        </w:rPr>
        <w:t xml:space="preserve"> </w:t>
      </w:r>
      <w:hyperlink r:id="rId179">
        <w:r>
          <w:rPr>
            <w:rFonts w:ascii="Arial" w:cs="Arial" w:eastAsia="Arial" w:hAnsi="Arial"/>
            <w:sz w:val="17"/>
            <w:szCs w:val="17"/>
            <w:u w:val="single" w:color="auto"/>
            <w:color w:val="0000EE"/>
          </w:rPr>
          <w:t>10.1 to the Company’s Current Report on Form 8-K, filed with the SEC on January 2, 2019).</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-22225</wp:posOffset>
            </wp:positionV>
            <wp:extent cx="628332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140"/>
        <w:spacing w:after="0" w:line="263"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Plasma Supply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Corporation (incorporated herein by reference to Exhibit 10.5 to the Company’s Quarterly Report on Form 10-Q, filed with the SEC on</w:t>
        </w:r>
      </w:hyperlink>
      <w:r>
        <w:rPr>
          <w:rFonts w:ascii="Arial" w:cs="Arial" w:eastAsia="Arial" w:hAnsi="Arial"/>
          <w:sz w:val="18"/>
          <w:szCs w:val="18"/>
          <w:u w:val="single" w:color="auto"/>
          <w:color w:val="0000EE"/>
        </w:rPr>
        <w:t xml:space="preserve"> </w:t>
      </w:r>
      <w:hyperlink r:id="rId181">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jc w:val="both"/>
        <w:ind w:right="240"/>
        <w:spacing w:after="0" w:line="263" w:lineRule="auto"/>
        <w:rPr>
          <w:rFonts w:ascii="Arial" w:cs="Arial" w:eastAsia="Arial" w:hAnsi="Arial"/>
          <w:sz w:val="18"/>
          <w:szCs w:val="18"/>
          <w:u w:val="single" w:color="auto"/>
          <w:color w:val="0000EE"/>
        </w:rPr>
      </w:pPr>
      <w:hyperlink r:id="rId183">
        <w:r>
          <w:rPr>
            <w:rFonts w:ascii="Arial" w:cs="Arial" w:eastAsia="Arial" w:hAnsi="Arial"/>
            <w:sz w:val="18"/>
            <w:szCs w:val="18"/>
            <w:u w:val="single" w:color="auto"/>
            <w:color w:val="0000EE"/>
          </w:rPr>
          <w:t>Amendment #1 to the Plasma Supply Agreement, dated as of July 19, 2018, by and between Biotest Pharmaceuticals Corporation and</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ADMA BioManufacturing, LLC (incorporated herein by reference to Exhibit 10.2 to the Company’s Quarterly Report on Form 10-Q,</w:t>
        </w:r>
      </w:hyperlink>
      <w:r>
        <w:rPr>
          <w:rFonts w:ascii="Arial" w:cs="Arial" w:eastAsia="Arial" w:hAnsi="Arial"/>
          <w:sz w:val="18"/>
          <w:szCs w:val="18"/>
          <w:u w:val="single" w:color="auto"/>
          <w:color w:val="0000EE"/>
        </w:rPr>
        <w:t xml:space="preserve"> </w:t>
      </w:r>
      <w:hyperlink r:id="rId183">
        <w:r>
          <w:rPr>
            <w:rFonts w:ascii="Arial" w:cs="Arial" w:eastAsia="Arial" w:hAnsi="Arial"/>
            <w:sz w:val="18"/>
            <w:szCs w:val="18"/>
            <w:u w:val="single" w:color="auto"/>
            <w:color w:val="0000EE"/>
          </w:rPr>
          <w:t>filed with the SEC on 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140"/>
        <w:spacing w:after="0" w:line="263" w:lineRule="auto"/>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Plasma Purchase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Corporation (incorporated herein by reference to Exhibit 10.6 to the Company’s Quarterly Report on Form 10-Q, filed with the SEC on</w:t>
        </w:r>
      </w:hyperlink>
      <w:r>
        <w:rPr>
          <w:rFonts w:ascii="Arial" w:cs="Arial" w:eastAsia="Arial" w:hAnsi="Arial"/>
          <w:sz w:val="18"/>
          <w:szCs w:val="18"/>
          <w:u w:val="single" w:color="auto"/>
          <w:color w:val="0000EE"/>
        </w:rPr>
        <w:t xml:space="preserve"> </w:t>
      </w:r>
      <w:hyperlink r:id="rId185">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spacing w:after="0" w:line="263" w:lineRule="auto"/>
        <w:rPr>
          <w:rFonts w:ascii="Arial" w:cs="Arial" w:eastAsia="Arial" w:hAnsi="Arial"/>
          <w:sz w:val="18"/>
          <w:szCs w:val="18"/>
          <w:u w:val="single" w:color="auto"/>
          <w:color w:val="0000EE"/>
        </w:rPr>
      </w:pPr>
      <w:hyperlink r:id="rId187">
        <w:r>
          <w:rPr>
            <w:rFonts w:ascii="Arial" w:cs="Arial" w:eastAsia="Arial" w:hAnsi="Arial"/>
            <w:sz w:val="18"/>
            <w:szCs w:val="18"/>
            <w:u w:val="single" w:color="auto"/>
            <w:color w:val="0000EE"/>
          </w:rPr>
          <w:t>Amendment to Plasma Purchase Agreement, dated as of July 19, 2018, by and between Biotest Pharmaceuticals Corporation and ADMA</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BioManufacturing, LLC (incorporated herein by reference to Exhibit 10.3 to the Company’s Quarterly Report on Form 10-Q, filed with</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the SEC on August 10,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40"/>
        <w:spacing w:after="0" w:line="263"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Amended and Restated Agreement for Services, effective as of January 1, 2016, as amended, by and between ADMA Biologics, LLC</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and Areth LLC (incorporated herein by reference to Exhibit 10.18 to the Company’s Quarterly Report on Form 10-Q, filed with the SEC</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on August 12,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160"/>
        <w:spacing w:after="0" w:line="263"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Lease, effective as of February 17, 2017, by and between Home Center Properties, LLC and ADMA Bio Centers Georgia Inc.</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(incorporated herein by reference to Exhibit 10.22 to the Company’s Annual Report on Form 10-K, filed with the SEC on February 24,</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80"/>
        <w:spacing w:after="0" w:line="263" w:lineRule="auto"/>
        <w:rPr>
          <w:rFonts w:ascii="Arial" w:cs="Arial" w:eastAsia="Arial" w:hAnsi="Arial"/>
          <w:sz w:val="18"/>
          <w:szCs w:val="18"/>
          <w:u w:val="single" w:color="auto"/>
          <w:color w:val="0000EE"/>
        </w:rPr>
      </w:pPr>
      <w:hyperlink r:id="rId193">
        <w:r>
          <w:rPr>
            <w:rFonts w:ascii="Arial" w:cs="Arial" w:eastAsia="Arial" w:hAnsi="Arial"/>
            <w:sz w:val="18"/>
            <w:szCs w:val="18"/>
            <w:u w:val="single" w:color="auto"/>
            <w:color w:val="0000EE"/>
          </w:rPr>
          <w:t>Purchase Agreement, dated as of June 6, 2017, by and among the Company, Biotest Pharmaceuticals Corporation and ADMA Bio</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Centers Georgia, Inc. (incorporated herein by reference to Exhibit 10.7 to the Company’s Quarterly Report on Form 10-Q, filed with the</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SEC on 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4">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240"/>
        <w:spacing w:after="0" w:line="263" w:lineRule="auto"/>
        <w:rPr>
          <w:rFonts w:ascii="Arial" w:cs="Arial" w:eastAsia="Arial" w:hAnsi="Arial"/>
          <w:sz w:val="18"/>
          <w:szCs w:val="18"/>
          <w:u w:val="single" w:color="auto"/>
          <w:color w:val="0000EE"/>
        </w:rPr>
      </w:pPr>
      <w:hyperlink r:id="rId195">
        <w:r>
          <w:rPr>
            <w:rFonts w:ascii="Arial" w:cs="Arial" w:eastAsia="Arial" w:hAnsi="Arial"/>
            <w:sz w:val="18"/>
            <w:szCs w:val="18"/>
            <w:u w:val="single" w:color="auto"/>
            <w:color w:val="0000EE"/>
          </w:rPr>
          <w:t>Agreement to Transfer Land, dated as of July 20, 2018, by and among Biotest Real Estate Corp., Biotest AG, Biotest Pharmaceuticals</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Corporation, ADMA BioManufacturing, LLC and the Company (incorporated herein by reference to Exhibit 10.2 to the Company’s</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Current Report on Form 8-K, filed with the SEC on July 24,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EE"/>
        </w:rPr>
      </w:pPr>
    </w:p>
    <w:p>
      <w:pPr>
        <w:ind w:right="120"/>
        <w:spacing w:after="0" w:line="277" w:lineRule="auto"/>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Form of Indemnification Agreement (incorporated herein by reference to Exhibit 10.12 to the Company’s Current Report on Form 8-K,</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filed with the SEC on February 13,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263" w:lineRule="auto"/>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Subordinated Loan Agreement, dated as of June 6, 2017, by and among the Company, ADMA BioManufacturing, LLC and Biotest</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Pharmaceuticals Corporation (incorporated herein by reference to Exhibit 10.1 to the Company’s Current Report on Form 8-K, filed with</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the SEC on June 12,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6283325" cy="1714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245745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60" w:space="720"/>
            <w:col w:w="9880"/>
          </w:cols>
          <w:pgMar w:left="360" w:top="422" w:right="3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3"/>
        </w:trPr>
        <w:tc>
          <w:tcPr>
            <w:tcW w:w="1120" w:type="dxa"/>
            <w:vAlign w:val="bottom"/>
            <w:tcBorders>
              <w:top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w w:val="84"/>
              </w:rPr>
              <w:t>10.15</w:t>
            </w:r>
          </w:p>
        </w:tc>
        <w:tc>
          <w:tcPr>
            <w:tcW w:w="160" w:type="dxa"/>
            <w:vAlign w:val="bottom"/>
          </w:tcPr>
          <w:p>
            <w:pPr>
              <w:spacing w:after="0"/>
              <w:rPr>
                <w:sz w:val="17"/>
                <w:szCs w:val="17"/>
                <w:color w:val="auto"/>
              </w:rPr>
            </w:pPr>
          </w:p>
        </w:tc>
        <w:tc>
          <w:tcPr>
            <w:tcW w:w="9740" w:type="dxa"/>
            <w:vAlign w:val="bottom"/>
            <w:tcBorders>
              <w:top w:val="single" w:sz="8" w:color="auto"/>
              <w:bottom w:val="single" w:sz="8" w:color="0000EE"/>
            </w:tcBorders>
            <w:gridSpan w:val="7"/>
          </w:tcPr>
          <w:p>
            <w:pPr>
              <w:spacing w:after="0" w:line="202"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Assignment and Assumption Agreement (ADMA Loan), dated as of July 20, 2018, by and among Biotest AG, Biotest Pharmaceuticals</w:t>
              </w:r>
            </w:hyperlink>
          </w:p>
        </w:tc>
        <w:tc>
          <w:tcPr>
            <w:tcW w:w="160" w:type="dxa"/>
            <w:vAlign w:val="bottom"/>
            <w:tcBorders>
              <w:top w:val="single" w:sz="8" w:color="auto"/>
            </w:tcBorders>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EE"/>
                <w:w w:val="96"/>
              </w:rPr>
            </w:pPr>
            <w:hyperlink r:id="rId202">
              <w:r>
                <w:rPr>
                  <w:rFonts w:ascii="Arial" w:cs="Arial" w:eastAsia="Arial" w:hAnsi="Arial"/>
                  <w:sz w:val="18"/>
                  <w:szCs w:val="18"/>
                  <w:color w:val="0000EE"/>
                  <w:w w:val="96"/>
                </w:rPr>
                <w:t>Corporation, ADMA BioManufacturing, LLC and the Company (incorporated herein by reference to Exhibit 10.1 to the Company’s</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5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Current Report on Form 8-K, filed with the SEC on July 24, 2018).</w:t>
              </w:r>
            </w:hyperlink>
          </w:p>
        </w:tc>
        <w:tc>
          <w:tcPr>
            <w:tcW w:w="400" w:type="dxa"/>
            <w:vAlign w:val="bottom"/>
            <w:gridSpan w:val="4"/>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40" w:type="dxa"/>
            <w:vAlign w:val="bottom"/>
            <w:tcBorders>
              <w:top w:val="single" w:sz="8" w:color="0000EE"/>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1120" w:type="dxa"/>
            <w:vAlign w:val="bottom"/>
          </w:tcPr>
          <w:p>
            <w:pPr>
              <w:jc w:val="right"/>
              <w:ind w:right="630"/>
              <w:spacing w:after="0" w:line="202" w:lineRule="exact"/>
              <w:rPr>
                <w:sz w:val="20"/>
                <w:szCs w:val="20"/>
                <w:color w:val="auto"/>
              </w:rPr>
            </w:pPr>
            <w:r>
              <w:rPr>
                <w:rFonts w:ascii="Arial" w:cs="Arial" w:eastAsia="Arial" w:hAnsi="Arial"/>
                <w:sz w:val="18"/>
                <w:szCs w:val="18"/>
                <w:color w:val="auto"/>
                <w:w w:val="84"/>
              </w:rPr>
              <w:t>10.16</w:t>
            </w:r>
          </w:p>
        </w:tc>
        <w:tc>
          <w:tcPr>
            <w:tcW w:w="160" w:type="dxa"/>
            <w:vAlign w:val="bottom"/>
          </w:tcPr>
          <w:p>
            <w:pPr>
              <w:spacing w:after="0"/>
              <w:rPr>
                <w:sz w:val="17"/>
                <w:szCs w:val="17"/>
                <w:color w:val="auto"/>
              </w:rPr>
            </w:pPr>
          </w:p>
        </w:tc>
        <w:tc>
          <w:tcPr>
            <w:tcW w:w="9880" w:type="dxa"/>
            <w:vAlign w:val="bottom"/>
            <w:tcBorders>
              <w:bottom w:val="single" w:sz="8" w:color="0000EE"/>
            </w:tcBorders>
            <w:gridSpan w:val="8"/>
          </w:tcPr>
          <w:p>
            <w:pPr>
              <w:spacing w:after="0" w:line="202"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Credit Agreement and Guaranty, dated as of February 11, 2019, by and among the Company, ADMA Plasma Biologics, Inc., ADMA Bio</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EE"/>
                <w:w w:val="97"/>
              </w:rPr>
            </w:pPr>
            <w:hyperlink r:id="rId203">
              <w:r>
                <w:rPr>
                  <w:rFonts w:ascii="Arial" w:cs="Arial" w:eastAsia="Arial" w:hAnsi="Arial"/>
                  <w:sz w:val="18"/>
                  <w:szCs w:val="18"/>
                  <w:color w:val="0000EE"/>
                  <w:w w:val="97"/>
                </w:rPr>
                <w:t>Centers Georgia Inc., ADMA BioManufacturing, LLC, and Perceptive Credit Holdings II, LP. (incorporated herein by reference to</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Exhibit 10.1 to the Company’s Current Report on Form 8-K, filed with the SEC on February 12, 2019).</w:t>
              </w:r>
            </w:hyperlink>
          </w:p>
        </w:tc>
        <w:tc>
          <w:tcPr>
            <w:tcW w:w="500" w:type="dxa"/>
            <w:vAlign w:val="bottom"/>
            <w:gridSpan w:val="5"/>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40" w:type="dxa"/>
            <w:vAlign w:val="bottom"/>
            <w:tcBorders>
              <w:top w:val="single" w:sz="8" w:color="0000EE"/>
              <w:bottom w:val="single" w:sz="8" w:color="auto"/>
            </w:tcBorders>
          </w:tcPr>
          <w:p>
            <w:pPr>
              <w:spacing w:after="0"/>
              <w:rPr>
                <w:sz w:val="2"/>
                <w:szCs w:val="2"/>
                <w:color w:val="auto"/>
              </w:rPr>
            </w:pPr>
          </w:p>
        </w:tc>
        <w:tc>
          <w:tcPr>
            <w:tcW w:w="1660" w:type="dxa"/>
            <w:vAlign w:val="bottom"/>
            <w:tcBorders>
              <w:top w:val="single" w:sz="8" w:color="0000EE"/>
              <w:bottom w:val="single" w:sz="8" w:color="auto"/>
            </w:tcBorders>
          </w:tcPr>
          <w:p>
            <w:pPr>
              <w:spacing w:after="0"/>
              <w:rPr>
                <w:sz w:val="2"/>
                <w:szCs w:val="2"/>
                <w:color w:val="auto"/>
              </w:rPr>
            </w:pPr>
          </w:p>
        </w:tc>
        <w:tc>
          <w:tcPr>
            <w:tcW w:w="940" w:type="dxa"/>
            <w:vAlign w:val="bottom"/>
            <w:tcBorders>
              <w:top w:val="single" w:sz="8" w:color="0000EE"/>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1120" w:type="dxa"/>
            <w:vAlign w:val="bottom"/>
          </w:tcPr>
          <w:p>
            <w:pPr>
              <w:jc w:val="right"/>
              <w:ind w:right="630"/>
              <w:spacing w:after="0" w:line="202" w:lineRule="exact"/>
              <w:rPr>
                <w:sz w:val="20"/>
                <w:szCs w:val="20"/>
                <w:color w:val="auto"/>
              </w:rPr>
            </w:pPr>
            <w:r>
              <w:rPr>
                <w:rFonts w:ascii="Arial" w:cs="Arial" w:eastAsia="Arial" w:hAnsi="Arial"/>
                <w:sz w:val="18"/>
                <w:szCs w:val="18"/>
                <w:color w:val="auto"/>
                <w:w w:val="84"/>
              </w:rPr>
              <w:t>10.17</w:t>
            </w:r>
          </w:p>
        </w:tc>
        <w:tc>
          <w:tcPr>
            <w:tcW w:w="16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EE"/>
                <w:w w:val="94"/>
              </w:rPr>
            </w:pPr>
            <w:hyperlink r:id="rId204">
              <w:r>
                <w:rPr>
                  <w:rFonts w:ascii="Arial" w:cs="Arial" w:eastAsia="Arial" w:hAnsi="Arial"/>
                  <w:sz w:val="18"/>
                  <w:szCs w:val="18"/>
                  <w:color w:val="0000EE"/>
                  <w:w w:val="94"/>
                </w:rPr>
                <w:t>Security Agreement, dated as of February 11, 2019, by and among the Company, ADMA Plasma Biologics, Inc., ADMA Bio Centers</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00" w:type="dxa"/>
            <w:vAlign w:val="bottom"/>
            <w:gridSpan w:val="2"/>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EE"/>
                <w:w w:val="94"/>
              </w:rPr>
            </w:pPr>
            <w:hyperlink r:id="rId204">
              <w:r>
                <w:rPr>
                  <w:rFonts w:ascii="Arial" w:cs="Arial" w:eastAsia="Arial" w:hAnsi="Arial"/>
                  <w:sz w:val="18"/>
                  <w:szCs w:val="18"/>
                  <w:color w:val="0000EE"/>
                  <w:w w:val="94"/>
                </w:rPr>
                <w:t>Georgia Inc., ADMA BioManufacturing, LLC, and Perceptive Credit Holdings II, LP. (incorporated herein by reference to Exhibit 10.2</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to the Company’s Current Report on Form 8-K, filed with the SEC on February 12, 2019).</w:t>
              </w:r>
            </w:hyperlink>
          </w:p>
        </w:tc>
        <w:tc>
          <w:tcPr>
            <w:tcW w:w="160" w:type="dxa"/>
            <w:vAlign w:val="bottom"/>
            <w:gridSpan w:val="2"/>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40" w:type="dxa"/>
            <w:vAlign w:val="bottom"/>
            <w:tcBorders>
              <w:top w:val="single" w:sz="8" w:color="0000EE"/>
              <w:bottom w:val="single" w:sz="8" w:color="auto"/>
            </w:tcBorders>
          </w:tcPr>
          <w:p>
            <w:pPr>
              <w:spacing w:after="0"/>
              <w:rPr>
                <w:sz w:val="2"/>
                <w:szCs w:val="2"/>
                <w:color w:val="auto"/>
              </w:rPr>
            </w:pPr>
          </w:p>
        </w:tc>
        <w:tc>
          <w:tcPr>
            <w:tcW w:w="1660" w:type="dxa"/>
            <w:vAlign w:val="bottom"/>
            <w:tcBorders>
              <w:top w:val="single" w:sz="8" w:color="0000EE"/>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180"/>
          </w:cols>
          <w:pgMar w:left="360" w:top="389" w:right="359" w:bottom="1440" w:gutter="0" w:footer="0" w:header="0"/>
        </w:sectPr>
      </w:pPr>
    </w:p>
    <w:p>
      <w:pPr>
        <w:spacing w:after="0"/>
        <w:rPr>
          <w:sz w:val="20"/>
          <w:szCs w:val="20"/>
          <w:color w:val="auto"/>
        </w:rPr>
      </w:pPr>
      <w:r>
        <w:rPr>
          <w:rFonts w:ascii="Arial" w:cs="Arial" w:eastAsia="Arial" w:hAnsi="Arial"/>
          <w:sz w:val="17"/>
          <w:szCs w:val="17"/>
          <w:color w:val="auto"/>
        </w:rPr>
        <w:t>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71120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10.18.1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71120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1120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316" w:lineRule="auto"/>
        <w:rPr>
          <w:rFonts w:ascii="Arial" w:cs="Arial" w:eastAsia="Arial" w:hAnsi="Arial"/>
          <w:sz w:val="16"/>
          <w:szCs w:val="16"/>
          <w:u w:val="single" w:color="auto"/>
          <w:color w:val="0000EE"/>
        </w:rPr>
      </w:pPr>
      <w:hyperlink r:id="rId208">
        <w:r>
          <w:rPr>
            <w:rFonts w:ascii="Arial" w:cs="Arial" w:eastAsia="Arial" w:hAnsi="Arial"/>
            <w:sz w:val="16"/>
            <w:szCs w:val="16"/>
            <w:u w:val="single" w:color="auto"/>
            <w:color w:val="0000EE"/>
          </w:rPr>
          <w:t>License Agreement, effective as of December 31, 2012, by and between ADMA Biologics, Inc. and Biotest AG (incorporated herein by</w:t>
        </w:r>
      </w:hyperlink>
      <w:r>
        <w:rPr>
          <w:rFonts w:ascii="Arial" w:cs="Arial" w:eastAsia="Arial" w:hAnsi="Arial"/>
          <w:sz w:val="16"/>
          <w:szCs w:val="16"/>
          <w:u w:val="single" w:color="auto"/>
          <w:color w:val="0000EE"/>
        </w:rPr>
        <w:t xml:space="preserve"> </w:t>
      </w:r>
      <w:hyperlink r:id="rId208">
        <w:r>
          <w:rPr>
            <w:rFonts w:ascii="Arial" w:cs="Arial" w:eastAsia="Arial" w:hAnsi="Arial"/>
            <w:sz w:val="16"/>
            <w:szCs w:val="16"/>
            <w:u w:val="single" w:color="auto"/>
            <w:color w:val="0000EE"/>
          </w:rPr>
          <w:t>reference to Exhibit 10.21 to the Company’s Registration Statement on Form S-1, filed with the SEC on February 11,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62833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40"/>
        <w:spacing w:after="0" w:line="298" w:lineRule="auto"/>
        <w:rPr>
          <w:rFonts w:ascii="Arial" w:cs="Arial" w:eastAsia="Arial" w:hAnsi="Arial"/>
          <w:sz w:val="17"/>
          <w:szCs w:val="17"/>
          <w:u w:val="single" w:color="auto"/>
          <w:color w:val="0000EE"/>
        </w:rPr>
      </w:pPr>
      <w:hyperlink r:id="rId210">
        <w:r>
          <w:rPr>
            <w:rFonts w:ascii="Arial" w:cs="Arial" w:eastAsia="Arial" w:hAnsi="Arial"/>
            <w:sz w:val="17"/>
            <w:szCs w:val="17"/>
            <w:u w:val="single" w:color="auto"/>
            <w:color w:val="0000EE"/>
          </w:rPr>
          <w:t>First Amendment to License Agreement, dated as of June 6, 2017, by and between the Company and Biotest AG (incorporated herein by</w:t>
        </w:r>
      </w:hyperlink>
      <w:r>
        <w:rPr>
          <w:rFonts w:ascii="Arial" w:cs="Arial" w:eastAsia="Arial" w:hAnsi="Arial"/>
          <w:sz w:val="17"/>
          <w:szCs w:val="17"/>
          <w:u w:val="single" w:color="auto"/>
          <w:color w:val="0000EE"/>
        </w:rPr>
        <w:t xml:space="preserve"> </w:t>
      </w:r>
      <w:hyperlink r:id="rId210">
        <w:r>
          <w:rPr>
            <w:rFonts w:ascii="Arial" w:cs="Arial" w:eastAsia="Arial" w:hAnsi="Arial"/>
            <w:sz w:val="17"/>
            <w:szCs w:val="17"/>
            <w:u w:val="single" w:color="auto"/>
            <w:color w:val="0000EE"/>
          </w:rPr>
          <w:t>reference to Exhibit 10.8 to the Company’s Quarterly Report on Form 10-Q, filed with the SEC on August 11,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628332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60"/>
        <w:spacing w:after="0" w:line="263" w:lineRule="auto"/>
        <w:rPr>
          <w:rFonts w:ascii="Arial" w:cs="Arial" w:eastAsia="Arial" w:hAnsi="Arial"/>
          <w:sz w:val="18"/>
          <w:szCs w:val="18"/>
          <w:u w:val="single" w:color="auto"/>
          <w:color w:val="0000EE"/>
        </w:rPr>
      </w:pPr>
      <w:hyperlink r:id="rId212">
        <w:r>
          <w:rPr>
            <w:rFonts w:ascii="Arial" w:cs="Arial" w:eastAsia="Arial" w:hAnsi="Arial"/>
            <w:sz w:val="18"/>
            <w:szCs w:val="18"/>
            <w:u w:val="single" w:color="auto"/>
            <w:color w:val="0000EE"/>
          </w:rPr>
          <w:t>Manufacturing Agreement, dated as of September 30, 2011, by and between ADMA BioManufacturing, LLC (as successor-in-interest to</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Biotest Pharmaceuticals Corporation) and Sanofi Pasteur S.A. (incorporated herein by reference to Exhibit 10.24 to the Company’s</w:t>
        </w:r>
      </w:hyperlink>
      <w:r>
        <w:rPr>
          <w:rFonts w:ascii="Arial" w:cs="Arial" w:eastAsia="Arial" w:hAnsi="Arial"/>
          <w:sz w:val="18"/>
          <w:szCs w:val="18"/>
          <w:u w:val="single" w:color="auto"/>
          <w:color w:val="0000EE"/>
        </w:rPr>
        <w:t xml:space="preserve"> </w:t>
      </w:r>
      <w:hyperlink r:id="rId212">
        <w:r>
          <w:rPr>
            <w:rFonts w:ascii="Arial" w:cs="Arial" w:eastAsia="Arial" w:hAnsi="Arial"/>
            <w:sz w:val="18"/>
            <w:szCs w:val="18"/>
            <w:u w:val="single" w:color="auto"/>
            <w:color w:val="0000EE"/>
          </w:rPr>
          <w:t>Annual Report on Form 10-K, filed with the SEC on March 29,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4" w:lineRule="exact"/>
        <w:rPr>
          <w:rFonts w:ascii="Arial" w:cs="Arial" w:eastAsia="Arial" w:hAnsi="Arial"/>
          <w:sz w:val="18"/>
          <w:szCs w:val="18"/>
          <w:u w:val="single" w:color="auto"/>
          <w:color w:val="0000EE"/>
        </w:rPr>
      </w:pPr>
    </w:p>
    <w:p>
      <w:pPr>
        <w:sectPr>
          <w:pgSz w:w="11900" w:h="16838" w:orient="portrait"/>
          <w:cols w:equalWidth="0" w:num="2">
            <w:col w:w="560" w:space="720"/>
            <w:col w:w="9900"/>
          </w:cols>
          <w:pgMar w:left="360" w:top="389"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jc w:val="right"/>
              <w:ind w:right="390"/>
              <w:spacing w:after="0"/>
              <w:rPr>
                <w:sz w:val="20"/>
                <w:szCs w:val="20"/>
                <w:color w:val="auto"/>
              </w:rPr>
            </w:pPr>
            <w:r>
              <w:rPr>
                <w:rFonts w:ascii="Arial" w:cs="Arial" w:eastAsia="Arial" w:hAnsi="Arial"/>
                <w:sz w:val="18"/>
                <w:szCs w:val="18"/>
                <w:color w:val="auto"/>
                <w:w w:val="87"/>
              </w:rPr>
              <w:t>10.19.1+</w:t>
            </w:r>
          </w:p>
        </w:tc>
        <w:tc>
          <w:tcPr>
            <w:tcW w:w="160" w:type="dxa"/>
            <w:vAlign w:val="bottom"/>
          </w:tcPr>
          <w:p>
            <w:pPr>
              <w:spacing w:after="0"/>
              <w:rPr>
                <w:sz w:val="17"/>
                <w:szCs w:val="17"/>
                <w:color w:val="auto"/>
              </w:rPr>
            </w:pPr>
          </w:p>
        </w:tc>
        <w:tc>
          <w:tcPr>
            <w:tcW w:w="9900" w:type="dxa"/>
            <w:vAlign w:val="bottom"/>
            <w:gridSpan w:val="7"/>
          </w:tcPr>
          <w:p>
            <w:pPr>
              <w:spacing w:after="0"/>
              <w:rPr>
                <w:rFonts w:ascii="Arial" w:cs="Arial" w:eastAsia="Arial" w:hAnsi="Arial"/>
                <w:sz w:val="18"/>
                <w:szCs w:val="18"/>
                <w:color w:val="0000EE"/>
                <w:w w:val="94"/>
              </w:rPr>
            </w:pPr>
            <w:hyperlink r:id="rId214">
              <w:r>
                <w:rPr>
                  <w:rFonts w:ascii="Arial" w:cs="Arial" w:eastAsia="Arial" w:hAnsi="Arial"/>
                  <w:sz w:val="18"/>
                  <w:szCs w:val="18"/>
                  <w:color w:val="0000EE"/>
                  <w:w w:val="94"/>
                </w:rPr>
                <w:t>Amendment #2 to the Manufacturing Agreement, effective as of August 1, 2016, by and between ADMA BioManufacturing, LLC (as</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14">
              <w:r>
                <w:rPr>
                  <w:rFonts w:ascii="Arial" w:cs="Arial" w:eastAsia="Arial" w:hAnsi="Arial"/>
                  <w:sz w:val="18"/>
                  <w:szCs w:val="18"/>
                  <w:color w:val="0000EE"/>
                  <w:w w:val="90"/>
                </w:rPr>
                <w:t>successor-in-interest to Biotest Pharmaceuticals Corporation) and Sanofi Pasteur S.A. (incorporated herein by reference to Exhibit</w:t>
              </w:r>
            </w:hyperlink>
          </w:p>
        </w:tc>
        <w:tc>
          <w:tcPr>
            <w:tcW w:w="260" w:type="dxa"/>
            <w:vAlign w:val="bottom"/>
            <w:tcBorders>
              <w:top w:val="single" w:sz="8" w:color="0000EE"/>
            </w:tcBorders>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7"/>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10.</w:t>
              </w:r>
              <w:r>
                <w:rPr>
                  <w:rFonts w:ascii="Arial" w:cs="Arial" w:eastAsia="Arial" w:hAnsi="Arial"/>
                  <w:sz w:val="18"/>
                  <w:szCs w:val="18"/>
                  <w:u w:val="single" w:color="auto"/>
                  <w:color w:val="0000EE"/>
                </w:rPr>
                <w:t>24.1</w:t>
              </w:r>
              <w:r>
                <w:rPr>
                  <w:rFonts w:ascii="Arial" w:cs="Arial" w:eastAsia="Arial" w:hAnsi="Arial"/>
                  <w:sz w:val="18"/>
                  <w:szCs w:val="18"/>
                  <w:color w:val="0000EE"/>
                </w:rPr>
                <w:t xml:space="preserve"> to the Company’s Annual Report on Form 10-K, filed with the SEC on March 29, 2018).</w:t>
              </w:r>
            </w:hyperlink>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Borders>
              <w:top w:val="single" w:sz="8" w:color="0000EE"/>
              <w:bottom w:val="single" w:sz="8" w:color="auto"/>
            </w:tcBorders>
          </w:tcPr>
          <w:p>
            <w:pPr>
              <w:spacing w:after="0"/>
              <w:rPr>
                <w:sz w:val="2"/>
                <w:szCs w:val="2"/>
                <w:color w:val="auto"/>
              </w:rPr>
            </w:pPr>
          </w:p>
        </w:tc>
        <w:tc>
          <w:tcPr>
            <w:tcW w:w="4860" w:type="dxa"/>
            <w:vAlign w:val="bottom"/>
            <w:tcBorders>
              <w:top w:val="single" w:sz="8" w:color="0000EE"/>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03"/>
        </w:trPr>
        <w:tc>
          <w:tcPr>
            <w:tcW w:w="112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87"/>
              </w:rPr>
              <w:t>10.19.2+</w:t>
            </w:r>
          </w:p>
        </w:tc>
        <w:tc>
          <w:tcPr>
            <w:tcW w:w="160" w:type="dxa"/>
            <w:vAlign w:val="bottom"/>
          </w:tcPr>
          <w:p>
            <w:pPr>
              <w:spacing w:after="0"/>
              <w:rPr>
                <w:sz w:val="17"/>
                <w:szCs w:val="17"/>
                <w:color w:val="auto"/>
              </w:rPr>
            </w:pPr>
          </w:p>
        </w:tc>
        <w:tc>
          <w:tcPr>
            <w:tcW w:w="9900" w:type="dxa"/>
            <w:vAlign w:val="bottom"/>
            <w:gridSpan w:val="7"/>
          </w:tcPr>
          <w:p>
            <w:pPr>
              <w:spacing w:after="0" w:line="202" w:lineRule="exact"/>
              <w:rPr>
                <w:rFonts w:ascii="Arial" w:cs="Arial" w:eastAsia="Arial" w:hAnsi="Arial"/>
                <w:sz w:val="18"/>
                <w:szCs w:val="18"/>
                <w:color w:val="0000EE"/>
                <w:w w:val="94"/>
              </w:rPr>
            </w:pPr>
            <w:hyperlink r:id="rId215">
              <w:r>
                <w:rPr>
                  <w:rFonts w:ascii="Arial" w:cs="Arial" w:eastAsia="Arial" w:hAnsi="Arial"/>
                  <w:sz w:val="18"/>
                  <w:szCs w:val="18"/>
                  <w:color w:val="0000EE"/>
                  <w:w w:val="94"/>
                </w:rPr>
                <w:t>Amendment #3 to the Manufacturing Agreement, effective as of December 21, 2017, by and between ADMA BioManufacturing, LLC</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758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7"/>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and Sanofi Pasteur S.A. (incorporated herein by reference to Exhibit 10.24.2 to the Company’s Annual Report on Form 10-K, filed with</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the SEC on March 29, 2018).</w:t>
              </w:r>
            </w:hyperlink>
          </w:p>
        </w:tc>
        <w:tc>
          <w:tcPr>
            <w:tcW w:w="120" w:type="dxa"/>
            <w:vAlign w:val="bottom"/>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Borders>
              <w:top w:val="single" w:sz="8" w:color="0000EE"/>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180"/>
          </w:cols>
          <w:pgMar w:left="360" w:top="389" w:right="359" w:bottom="1440" w:gutter="0" w:footer="0" w:header="0"/>
          <w:type w:val="continuous"/>
        </w:sectPr>
      </w:pPr>
    </w:p>
    <w:p>
      <w:pPr>
        <w:spacing w:after="0"/>
        <w:rPr>
          <w:sz w:val="20"/>
          <w:szCs w:val="20"/>
          <w:color w:val="auto"/>
        </w:rPr>
      </w:pPr>
      <w:r>
        <w:rPr>
          <w:rFonts w:ascii="Arial" w:cs="Arial" w:eastAsia="Arial" w:hAnsi="Arial"/>
          <w:sz w:val="18"/>
          <w:szCs w:val="18"/>
          <w:color w:val="auto"/>
        </w:rPr>
        <w:t>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71120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303530</wp:posOffset>
            </wp:positionV>
            <wp:extent cx="71120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16" w:lineRule="auto"/>
        <w:rPr>
          <w:rFonts w:ascii="Arial" w:cs="Arial" w:eastAsia="Arial" w:hAnsi="Arial"/>
          <w:sz w:val="16"/>
          <w:szCs w:val="16"/>
          <w:u w:val="single" w:color="auto"/>
          <w:color w:val="0000EE"/>
        </w:rPr>
      </w:pPr>
      <w:hyperlink r:id="rId218">
        <w:r>
          <w:rPr>
            <w:rFonts w:ascii="Arial" w:cs="Arial" w:eastAsia="Arial" w:hAnsi="Arial"/>
            <w:sz w:val="16"/>
            <w:szCs w:val="16"/>
            <w:u w:val="single" w:color="auto"/>
            <w:color w:val="0000EE"/>
          </w:rPr>
          <w:t>Stockholders Agreement, dated as of June 6, 2017, by and between the Company and Biotest Pharmaceuticals Corporation (incorporated</w:t>
        </w:r>
      </w:hyperlink>
      <w:r>
        <w:rPr>
          <w:rFonts w:ascii="Arial" w:cs="Arial" w:eastAsia="Arial" w:hAnsi="Arial"/>
          <w:sz w:val="16"/>
          <w:szCs w:val="16"/>
          <w:u w:val="single" w:color="auto"/>
          <w:color w:val="0000EE"/>
        </w:rPr>
        <w:t xml:space="preserve"> </w:t>
      </w:r>
      <w:hyperlink r:id="rId218">
        <w:r>
          <w:rPr>
            <w:rFonts w:ascii="Arial" w:cs="Arial" w:eastAsia="Arial" w:hAnsi="Arial"/>
            <w:sz w:val="16"/>
            <w:szCs w:val="16"/>
            <w:u w:val="single" w:color="auto"/>
            <w:color w:val="0000EE"/>
          </w:rPr>
          <w:t>herein by reference to Exhibit 10.2 to the Company’s Current Report on Form 8-K, filed with the SEC on June 12,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62833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jc w:val="both"/>
        <w:ind w:right="140"/>
        <w:spacing w:after="0" w:line="263" w:lineRule="auto"/>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Transition Services Agreement, dated as of June 6, 2017, by and between ADMA BioManufacturing, LLC and Biotest Pharmaceuticals</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Corporation (incorporated herein by reference to Exhibit 10.4 to the Company’s Quarterly Report on Form 10-Q, filed with the SEC on</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August 11, 2017).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-10795</wp:posOffset>
            </wp:positionV>
            <wp:extent cx="62833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4" w:lineRule="exact"/>
        <w:rPr>
          <w:rFonts w:ascii="Arial" w:cs="Arial" w:eastAsia="Arial" w:hAnsi="Arial"/>
          <w:sz w:val="18"/>
          <w:szCs w:val="18"/>
          <w:u w:val="single" w:color="auto"/>
          <w:color w:val="0000EE"/>
        </w:rPr>
      </w:pPr>
    </w:p>
    <w:p>
      <w:pPr>
        <w:sectPr>
          <w:pgSz w:w="11900" w:h="16838" w:orient="portrait"/>
          <w:cols w:equalWidth="0" w:num="2">
            <w:col w:w="560" w:space="720"/>
            <w:col w:w="9900"/>
          </w:cols>
          <w:pgMar w:left="360" w:top="389" w:right="35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18"/>
                <w:szCs w:val="18"/>
                <w:color w:val="auto"/>
              </w:rPr>
            </w:pPr>
          </w:p>
        </w:tc>
        <w:tc>
          <w:tcPr>
            <w:tcW w:w="9540" w:type="dxa"/>
            <w:vAlign w:val="bottom"/>
            <w:tcBorders>
              <w:bottom w:val="single" w:sz="8" w:color="0000EE"/>
            </w:tcBorders>
            <w:gridSpan w:val="3"/>
          </w:tcPr>
          <w:p>
            <w:pPr>
              <w:spacing w:after="0"/>
              <w:rPr>
                <w:rFonts w:ascii="Arial" w:cs="Arial" w:eastAsia="Arial" w:hAnsi="Arial"/>
                <w:sz w:val="18"/>
                <w:szCs w:val="18"/>
                <w:color w:val="0000EE"/>
                <w:w w:val="89"/>
              </w:rPr>
            </w:pPr>
            <w:hyperlink r:id="rId222">
              <w:r>
                <w:rPr>
                  <w:rFonts w:ascii="Arial" w:cs="Arial" w:eastAsia="Arial" w:hAnsi="Arial"/>
                  <w:sz w:val="18"/>
                  <w:szCs w:val="18"/>
                  <w:color w:val="0000EE"/>
                  <w:w w:val="89"/>
                </w:rPr>
                <w:t>Transition Services Agreement, dated as of January 1, 2019, by and between the Company and Biotest Pharmaceuticals Corporation</w:t>
              </w:r>
            </w:hyperlink>
          </w:p>
        </w:tc>
        <w:tc>
          <w:tcPr>
            <w:tcW w:w="360" w:type="dxa"/>
            <w:vAlign w:val="bottom"/>
            <w:gridSpan w:val="5"/>
          </w:tcPr>
          <w:p>
            <w:pPr>
              <w:spacing w:after="0"/>
              <w:rPr>
                <w:sz w:val="18"/>
                <w:szCs w:val="18"/>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EE"/>
                <w:w w:val="95"/>
              </w:rPr>
            </w:pPr>
            <w:hyperlink r:id="rId222">
              <w:r>
                <w:rPr>
                  <w:rFonts w:ascii="Arial" w:cs="Arial" w:eastAsia="Arial" w:hAnsi="Arial"/>
                  <w:sz w:val="18"/>
                  <w:szCs w:val="18"/>
                  <w:color w:val="0000EE"/>
                  <w:w w:val="95"/>
                </w:rPr>
                <w:t>(incorporated herein by reference to Exhibit 10.22 to the Company’s Annual Report on Form 10-K, filed with the SEC on March 13,</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60" w:type="dxa"/>
            <w:vAlign w:val="bottom"/>
            <w:gridSpan w:val="3"/>
          </w:tcPr>
          <w:p>
            <w:pPr>
              <w:ind w:left="160"/>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2019).</w:t>
              </w:r>
            </w:hyperlink>
          </w:p>
        </w:tc>
        <w:tc>
          <w:tcPr>
            <w:tcW w:w="8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10.23</w:t>
            </w:r>
          </w:p>
        </w:tc>
        <w:tc>
          <w:tcPr>
            <w:tcW w:w="160" w:type="dxa"/>
            <w:vAlign w:val="bottom"/>
          </w:tcPr>
          <w:p>
            <w:pPr>
              <w:spacing w:after="0"/>
              <w:rPr>
                <w:sz w:val="17"/>
                <w:szCs w:val="17"/>
                <w:color w:val="auto"/>
              </w:rPr>
            </w:pPr>
          </w:p>
        </w:tc>
        <w:tc>
          <w:tcPr>
            <w:tcW w:w="9900" w:type="dxa"/>
            <w:vAlign w:val="bottom"/>
            <w:gridSpan w:val="8"/>
          </w:tcPr>
          <w:p>
            <w:pPr>
              <w:spacing w:after="0" w:line="202" w:lineRule="exact"/>
              <w:rPr>
                <w:rFonts w:ascii="Arial" w:cs="Arial" w:eastAsia="Arial" w:hAnsi="Arial"/>
                <w:sz w:val="18"/>
                <w:szCs w:val="18"/>
                <w:color w:val="0000EE"/>
                <w:w w:val="90"/>
              </w:rPr>
            </w:pPr>
            <w:hyperlink r:id="rId223">
              <w:r>
                <w:rPr>
                  <w:rFonts w:ascii="Arial" w:cs="Arial" w:eastAsia="Arial" w:hAnsi="Arial"/>
                  <w:sz w:val="18"/>
                  <w:szCs w:val="18"/>
                  <w:color w:val="0000EE"/>
                  <w:w w:val="90"/>
                </w:rPr>
                <w:t>Share Transfer, Amendment and Release Agreement, dated as of May 14, 2018, by and among the Company, ADMA BioManufacturing,</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60" w:type="dxa"/>
            <w:vAlign w:val="bottom"/>
            <w:tcBorders>
              <w:top w:val="single" w:sz="8" w:color="0000EE"/>
            </w:tcBorders>
            <w:gridSpan w:val="7"/>
          </w:tcPr>
          <w:p>
            <w:pPr>
              <w:spacing w:after="0" w:line="196" w:lineRule="exact"/>
              <w:rPr>
                <w:rFonts w:ascii="Arial" w:cs="Arial" w:eastAsia="Arial" w:hAnsi="Arial"/>
                <w:sz w:val="18"/>
                <w:szCs w:val="18"/>
                <w:color w:val="0000EE"/>
                <w:w w:val="93"/>
              </w:rPr>
            </w:pPr>
            <w:hyperlink r:id="rId223">
              <w:r>
                <w:rPr>
                  <w:rFonts w:ascii="Arial" w:cs="Arial" w:eastAsia="Arial" w:hAnsi="Arial"/>
                  <w:sz w:val="18"/>
                  <w:szCs w:val="18"/>
                  <w:color w:val="0000EE"/>
                  <w:w w:val="93"/>
                </w:rPr>
                <w:t>LLC, ADMA Bio Centers Georgia Inc., Biotest Pharmaceuticals Corporation, Biotest AG, The Biotest Divestiture Trust and Biotest US</w:t>
              </w:r>
            </w:hyperlink>
          </w:p>
        </w:tc>
        <w:tc>
          <w:tcPr>
            <w:tcW w:w="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80" w:type="dxa"/>
            <w:vAlign w:val="bottom"/>
            <w:tcBorders>
              <w:top w:val="single" w:sz="8" w:color="0000EE"/>
            </w:tcBorders>
            <w:gridSpan w:val="6"/>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Corporation (incorporated herein by reference to Exhibit 10.1 to the Company’s Quarterly Report on Form 10-Q, filed with the SEC on</w:t>
              </w:r>
            </w:hyperlink>
          </w:p>
        </w:tc>
        <w:tc>
          <w:tcPr>
            <w:tcW w:w="12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August 10, 2018).</w:t>
              </w:r>
            </w:hyperlink>
          </w:p>
        </w:tc>
        <w:tc>
          <w:tcPr>
            <w:tcW w:w="160" w:type="dxa"/>
            <w:vAlign w:val="bottom"/>
            <w:gridSpan w:val="3"/>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840" w:type="dxa"/>
            <w:vAlign w:val="bottom"/>
            <w:tcBorders>
              <w:top w:val="single" w:sz="8" w:color="0000EE"/>
              <w:bottom w:val="single" w:sz="8" w:color="auto"/>
            </w:tcBorders>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10.24++</w:t>
            </w:r>
          </w:p>
        </w:tc>
        <w:tc>
          <w:tcPr>
            <w:tcW w:w="160" w:type="dxa"/>
            <w:vAlign w:val="bottom"/>
          </w:tcPr>
          <w:p>
            <w:pPr>
              <w:spacing w:after="0"/>
              <w:rPr>
                <w:sz w:val="17"/>
                <w:szCs w:val="17"/>
                <w:color w:val="auto"/>
              </w:rPr>
            </w:pPr>
          </w:p>
        </w:tc>
        <w:tc>
          <w:tcPr>
            <w:tcW w:w="9900" w:type="dxa"/>
            <w:vAlign w:val="bottom"/>
            <w:gridSpan w:val="8"/>
          </w:tcPr>
          <w:p>
            <w:pPr>
              <w:spacing w:after="0" w:line="202" w:lineRule="exact"/>
              <w:rPr>
                <w:rFonts w:ascii="Arial" w:cs="Arial" w:eastAsia="Arial" w:hAnsi="Arial"/>
                <w:sz w:val="18"/>
                <w:szCs w:val="18"/>
                <w:color w:val="0000EE"/>
                <w:w w:val="94"/>
              </w:rPr>
            </w:pPr>
            <w:hyperlink r:id="rId224">
              <w:r>
                <w:rPr>
                  <w:rFonts w:ascii="Arial" w:cs="Arial" w:eastAsia="Arial" w:hAnsi="Arial"/>
                  <w:sz w:val="18"/>
                  <w:szCs w:val="18"/>
                  <w:color w:val="0000EE"/>
                  <w:w w:val="94"/>
                </w:rPr>
                <w:t>Amendment #1 to Transition Services Agreement, dated as of August 29, 2019, by and between ADMA BioManufacturing, LLC and</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0" w:type="dxa"/>
            <w:vAlign w:val="bottom"/>
            <w:gridSpan w:val="4"/>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00" w:type="dxa"/>
            <w:vAlign w:val="bottom"/>
            <w:gridSpan w:val="8"/>
          </w:tcPr>
          <w:p>
            <w:pPr>
              <w:spacing w:after="0" w:line="196" w:lineRule="exact"/>
              <w:rPr>
                <w:rFonts w:ascii="Arial" w:cs="Arial" w:eastAsia="Arial" w:hAnsi="Arial"/>
                <w:sz w:val="18"/>
                <w:szCs w:val="18"/>
                <w:color w:val="0000EE"/>
                <w:w w:val="91"/>
              </w:rPr>
            </w:pPr>
            <w:hyperlink r:id="rId224">
              <w:r>
                <w:rPr>
                  <w:rFonts w:ascii="Arial" w:cs="Arial" w:eastAsia="Arial" w:hAnsi="Arial"/>
                  <w:sz w:val="18"/>
                  <w:szCs w:val="18"/>
                  <w:color w:val="0000EE"/>
                  <w:w w:val="91"/>
                </w:rPr>
                <w:t>Biotest Pharmaceuticals Corporation (incorporated by reference from Exhibit 10.1 to Current Report on Form 8-K, filed on September 5,</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82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460" w:type="dxa"/>
            <w:vAlign w:val="bottom"/>
            <w:gridSpan w:val="3"/>
          </w:tcPr>
          <w:p>
            <w:pPr>
              <w:ind w:left="160"/>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2019).</w:t>
              </w:r>
            </w:hyperlink>
          </w:p>
        </w:tc>
        <w:tc>
          <w:tcPr>
            <w:tcW w:w="8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top w:val="single" w:sz="8" w:color="0000EE"/>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180"/>
          </w:cols>
          <w:pgMar w:left="360" w:top="389" w:right="359" w:bottom="1440" w:gutter="0" w:footer="0" w:header="0"/>
          <w:type w:val="continuous"/>
        </w:sectPr>
      </w:pPr>
    </w:p>
    <w:p>
      <w:pPr>
        <w:spacing w:after="0"/>
        <w:rPr>
          <w:sz w:val="20"/>
          <w:szCs w:val="20"/>
          <w:color w:val="auto"/>
        </w:rPr>
      </w:pPr>
      <w:r>
        <w:rPr>
          <w:rFonts w:ascii="Arial" w:cs="Arial" w:eastAsia="Arial" w:hAnsi="Arial"/>
          <w:sz w:val="16"/>
          <w:szCs w:val="16"/>
          <w:color w:val="auto"/>
        </w:rPr>
        <w:t>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71120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5">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10.26*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166370</wp:posOffset>
            </wp:positionV>
            <wp:extent cx="71120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60"/>
        <w:spacing w:after="0" w:line="277" w:lineRule="auto"/>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Amendment 1 to the Amended and Restated Agreement for Services, effective as of September 25, 2017, by and between ADMA</w:t>
        </w:r>
      </w:hyperlink>
      <w:r>
        <w:rPr>
          <w:rFonts w:ascii="Arial" w:cs="Arial" w:eastAsia="Arial" w:hAnsi="Arial"/>
          <w:sz w:val="18"/>
          <w:szCs w:val="18"/>
          <w:u w:val="single" w:color="auto"/>
          <w:color w:val="0000EE"/>
        </w:rPr>
        <w:t xml:space="preserve"> </w:t>
      </w:r>
      <w:hyperlink w:anchor="page103">
        <w:r>
          <w:rPr>
            <w:rFonts w:ascii="Arial" w:cs="Arial" w:eastAsia="Arial" w:hAnsi="Arial"/>
            <w:sz w:val="18"/>
            <w:szCs w:val="18"/>
            <w:u w:val="single" w:color="auto"/>
            <w:color w:val="0000EE"/>
          </w:rPr>
          <w:t>Biologics, LLC and Areth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7">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560"/>
        <w:spacing w:after="0" w:line="277" w:lineRule="auto"/>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Amendment 2 to the Amended and Restated Agreement for Services, effective as of September 27, 2018, by and between ADMA</w:t>
        </w:r>
      </w:hyperlink>
      <w:r>
        <w:rPr>
          <w:rFonts w:ascii="Arial" w:cs="Arial" w:eastAsia="Arial" w:hAnsi="Arial"/>
          <w:sz w:val="18"/>
          <w:szCs w:val="18"/>
          <w:u w:val="single" w:color="auto"/>
          <w:color w:val="0000EE"/>
        </w:rPr>
        <w:t xml:space="preserve"> </w:t>
      </w:r>
      <w:hyperlink w:anchor="page105">
        <w:r>
          <w:rPr>
            <w:rFonts w:ascii="Arial" w:cs="Arial" w:eastAsia="Arial" w:hAnsi="Arial"/>
            <w:sz w:val="18"/>
            <w:szCs w:val="18"/>
            <w:u w:val="single" w:color="auto"/>
            <w:color w:val="0000EE"/>
          </w:rPr>
          <w:t>Biologics, LLC and Areth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8">
                      <a:extLst>
                        <a:ext uri="{28A0092B-C50C-407E-A947-70E740481C1C}"/>
                      </a:extLst>
                    </a:blip>
                    <a:srcRect/>
                    <a:stretch>
                      <a:fillRect/>
                    </a:stretch>
                  </pic:blipFill>
                  <pic:spPr bwMode="auto">
                    <a:xfrm>
                      <a:off x="0" y="0"/>
                      <a:ext cx="6283325" cy="17145"/>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237490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60" w:space="720"/>
            <w:col w:w="9900"/>
          </w:cols>
          <w:pgMar w:left="360" w:top="389" w:right="359" w:bottom="1440" w:gutter="0" w:footer="0" w:header="0"/>
          <w:type w:val="continuous"/>
        </w:sectPr>
      </w:pPr>
    </w:p>
    <w:bookmarkStart w:id="99" w:name="page100"/>
    <w:bookmarkEnd w:id="99"/>
    <w:tbl>
      <w:tblPr>
        <w:tblLayout w:type="fixed"/>
        <w:tblInd w:w="40" w:type="dxa"/>
        <w:tblCellMar>
          <w:top w:w="0" w:type="dxa"/>
          <w:left w:w="0" w:type="dxa"/>
          <w:bottom w:w="0" w:type="dxa"/>
          <w:right w:w="0" w:type="dxa"/>
        </w:tblCellMar>
      </w:tblPr>
      <w:tr>
        <w:trPr>
          <w:trHeight w:val="203"/>
        </w:trPr>
        <w:tc>
          <w:tcPr>
            <w:tcW w:w="1120" w:type="dxa"/>
            <w:vAlign w:val="bottom"/>
            <w:tcBorders>
              <w:top w:val="single" w:sz="8" w:color="auto"/>
            </w:tcBorders>
          </w:tcPr>
          <w:p>
            <w:pPr>
              <w:jc w:val="right"/>
              <w:ind w:right="550"/>
              <w:spacing w:after="0" w:line="202" w:lineRule="exact"/>
              <w:rPr>
                <w:sz w:val="20"/>
                <w:szCs w:val="20"/>
                <w:color w:val="auto"/>
              </w:rPr>
            </w:pPr>
            <w:r>
              <w:rPr>
                <w:rFonts w:ascii="Arial" w:cs="Arial" w:eastAsia="Arial" w:hAnsi="Arial"/>
                <w:sz w:val="18"/>
                <w:szCs w:val="18"/>
                <w:color w:val="auto"/>
                <w:w w:val="88"/>
              </w:rPr>
              <w:t>10.27*</w:t>
            </w:r>
          </w:p>
        </w:tc>
        <w:tc>
          <w:tcPr>
            <w:tcW w:w="160" w:type="dxa"/>
            <w:vAlign w:val="bottom"/>
          </w:tcPr>
          <w:p>
            <w:pPr>
              <w:spacing w:after="0"/>
              <w:rPr>
                <w:sz w:val="17"/>
                <w:szCs w:val="17"/>
                <w:color w:val="auto"/>
              </w:rPr>
            </w:pPr>
          </w:p>
        </w:tc>
        <w:tc>
          <w:tcPr>
            <w:tcW w:w="9900" w:type="dxa"/>
            <w:vAlign w:val="bottom"/>
            <w:tcBorders>
              <w:top w:val="single" w:sz="8" w:color="auto"/>
            </w:tcBorders>
            <w:gridSpan w:val="3"/>
          </w:tcPr>
          <w:p>
            <w:pPr>
              <w:spacing w:after="0" w:line="202"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Amendment 3 to the Amended and Restated Agreement for Services, effective as of November 7, 2019, by and between ADMA</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Biologics, LLC and Areth LLC.</w:t>
              </w:r>
            </w:hyperlink>
          </w:p>
        </w:tc>
        <w:tc>
          <w:tcPr>
            <w:tcW w:w="660" w:type="dxa"/>
            <w:vAlign w:val="bottom"/>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00" w:type="dxa"/>
            <w:vAlign w:val="bottom"/>
            <w:tcBorders>
              <w:top w:val="single" w:sz="8" w:color="0000EE"/>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20"/>
          </w:cols>
          <w:pgMar w:left="320" w:top="389" w:right="359" w:bottom="1440" w:gutter="0" w:footer="0" w:header="0"/>
        </w:sectPr>
      </w:pPr>
    </w:p>
    <w:p>
      <w:pPr>
        <w:ind w:left="40"/>
        <w:spacing w:after="0"/>
        <w:rPr>
          <w:sz w:val="20"/>
          <w:szCs w:val="20"/>
          <w:color w:val="auto"/>
        </w:rPr>
      </w:pPr>
      <w:r>
        <w:rPr>
          <w:rFonts w:ascii="Arial" w:cs="Arial" w:eastAsia="Arial" w:hAnsi="Arial"/>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1120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0">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1120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1">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1120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2">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Subsidiaries of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2833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3">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43" w:lineRule="exact"/>
        <w:rPr>
          <w:sz w:val="20"/>
          <w:szCs w:val="20"/>
          <w:color w:val="auto"/>
        </w:rPr>
      </w:pPr>
    </w:p>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Consent of CohnReznick LLP.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28332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4">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43" w:lineRule="exact"/>
        <w:rPr>
          <w:sz w:val="20"/>
          <w:szCs w:val="20"/>
          <w:color w:val="auto"/>
        </w:rPr>
      </w:pPr>
    </w:p>
    <w:p>
      <w:pPr>
        <w:ind w:right="600"/>
        <w:spacing w:after="0" w:line="277" w:lineRule="auto"/>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Certification of Principal Executive Officer pursuant to Rules 13a-14(a) and 15d-14(a), as adopted pursuant to Section 302 of the</w:t>
        </w:r>
      </w:hyperlink>
      <w:r>
        <w:rPr>
          <w:rFonts w:ascii="Arial" w:cs="Arial" w:eastAsia="Arial" w:hAnsi="Arial"/>
          <w:sz w:val="18"/>
          <w:szCs w:val="18"/>
          <w:u w:val="single" w:color="auto"/>
          <w:color w:val="0000EE"/>
        </w:rPr>
        <w:t xml:space="preserve"> </w:t>
      </w:r>
      <w:hyperlink w:anchor="page113">
        <w:r>
          <w:rPr>
            <w:rFonts w:ascii="Arial" w:cs="Arial" w:eastAsia="Arial" w:hAnsi="Arial"/>
            <w:sz w:val="18"/>
            <w:szCs w:val="18"/>
            <w:u w:val="single" w:color="auto"/>
            <w:color w:val="0000EE"/>
          </w:rPr>
          <w:t>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5">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0" w:space="720"/>
            <w:col w:w="9900"/>
          </w:cols>
          <w:pgMar w:left="320" w:top="389" w:right="359" w:bottom="1440" w:gutter="0" w:footer="0" w:header="0"/>
          <w:type w:val="continuous"/>
        </w:sectPr>
      </w:pPr>
    </w:p>
    <w:tbl>
      <w:tblPr>
        <w:tblLayout w:type="fixed"/>
        <w:tblInd w:w="40" w:type="dxa"/>
        <w:tblCellMar>
          <w:top w:w="0" w:type="dxa"/>
          <w:left w:w="0" w:type="dxa"/>
          <w:bottom w:w="0" w:type="dxa"/>
          <w:right w:w="0" w:type="dxa"/>
        </w:tblCellMar>
      </w:tblPr>
      <w:tr>
        <w:trPr>
          <w:trHeight w:val="198"/>
        </w:trPr>
        <w:tc>
          <w:tcPr>
            <w:tcW w:w="1120" w:type="dxa"/>
            <w:vAlign w:val="bottom"/>
          </w:tcPr>
          <w:p>
            <w:pPr>
              <w:jc w:val="right"/>
              <w:ind w:right="630"/>
              <w:spacing w:after="0" w:line="198" w:lineRule="exact"/>
              <w:rPr>
                <w:sz w:val="20"/>
                <w:szCs w:val="20"/>
                <w:color w:val="auto"/>
              </w:rPr>
            </w:pPr>
            <w:r>
              <w:rPr>
                <w:rFonts w:ascii="Arial" w:cs="Arial" w:eastAsia="Arial" w:hAnsi="Arial"/>
                <w:sz w:val="18"/>
                <w:szCs w:val="18"/>
                <w:color w:val="auto"/>
                <w:w w:val="90"/>
              </w:rPr>
              <w:t>31.2*</w:t>
            </w:r>
          </w:p>
        </w:tc>
        <w:tc>
          <w:tcPr>
            <w:tcW w:w="160" w:type="dxa"/>
            <w:vAlign w:val="bottom"/>
          </w:tcPr>
          <w:p>
            <w:pPr>
              <w:spacing w:after="0"/>
              <w:rPr>
                <w:sz w:val="17"/>
                <w:szCs w:val="17"/>
                <w:color w:val="auto"/>
              </w:rPr>
            </w:pPr>
          </w:p>
        </w:tc>
        <w:tc>
          <w:tcPr>
            <w:tcW w:w="9900" w:type="dxa"/>
            <w:vAlign w:val="bottom"/>
            <w:gridSpan w:val="3"/>
          </w:tcPr>
          <w:p>
            <w:pPr>
              <w:spacing w:after="0" w:line="198"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Certification of Principal Financial Officer pursuant to Rules 13a-14(a) and 15d-14(a), as adopted pursuant to Section 302 of the</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Sarbanes-Oxley Act of 2002.</w:t>
              </w:r>
            </w:hyperlink>
          </w:p>
        </w:tc>
        <w:tc>
          <w:tcPr>
            <w:tcW w:w="660" w:type="dxa"/>
            <w:vAlign w:val="bottom"/>
          </w:tcPr>
          <w:p>
            <w:pPr>
              <w:spacing w:after="0"/>
              <w:rPr>
                <w:sz w:val="17"/>
                <w:szCs w:val="17"/>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00" w:type="dxa"/>
            <w:vAlign w:val="bottom"/>
            <w:tcBorders>
              <w:top w:val="single" w:sz="8" w:color="0000EE"/>
              <w:bottom w:val="single" w:sz="8" w:color="auto"/>
            </w:tcBorders>
          </w:tcPr>
          <w:p>
            <w:pPr>
              <w:spacing w:after="0"/>
              <w:rPr>
                <w:sz w:val="2"/>
                <w:szCs w:val="2"/>
                <w:color w:val="auto"/>
              </w:rPr>
            </w:pPr>
          </w:p>
        </w:tc>
        <w:tc>
          <w:tcPr>
            <w:tcW w:w="7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20"/>
          </w:cols>
          <w:pgMar w:left="320" w:top="389" w:right="3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1120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159385</wp:posOffset>
            </wp:positionV>
            <wp:extent cx="71120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563245</wp:posOffset>
            </wp:positionV>
            <wp:extent cx="71120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20"/>
        <w:spacing w:after="0" w:line="277" w:lineRule="auto"/>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Certification of Principal Executive Officer pursuant to 18 U.S.C Section 1350, as adopted pursuant to Section 906 of the Sarbanes-</w:t>
        </w:r>
      </w:hyperlink>
      <w:hyperlink w:anchor="page115">
        <w:r>
          <w:rPr>
            <w:rFonts w:ascii="Arial" w:cs="Arial" w:eastAsia="Arial" w:hAnsi="Arial"/>
            <w:sz w:val="18"/>
            <w:szCs w:val="18"/>
            <w:u w:val="single" w:color="auto"/>
            <w:color w:val="0000EE"/>
          </w:rPr>
          <w:t>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20"/>
        <w:spacing w:after="0" w:line="277" w:lineRule="auto"/>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Certification of Principal Financial Officer pursuant to 18 U.S.C Section 1350, as adopted pursuant to Section 906 of the Sarbanes-Oxley</w:t>
        </w:r>
      </w:hyperlink>
      <w:r>
        <w:rPr>
          <w:rFonts w:ascii="Arial" w:cs="Arial" w:eastAsia="Arial" w:hAnsi="Arial"/>
          <w:sz w:val="18"/>
          <w:szCs w:val="18"/>
          <w:u w:val="single" w:color="auto"/>
          <w:color w:val="0000EE"/>
        </w:rPr>
        <w:t xml:space="preserve"> </w:t>
      </w:r>
      <w:hyperlink w:anchor="page116">
        <w:r>
          <w:rPr>
            <w:rFonts w:ascii="Arial" w:cs="Arial" w:eastAsia="Arial" w:hAnsi="Arial"/>
            <w:sz w:val="18"/>
            <w:szCs w:val="18"/>
            <w:u w:val="single" w:color="auto"/>
            <w:color w:val="0000EE"/>
          </w:rPr>
          <w:t>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28332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ind w:right="100"/>
        <w:spacing w:after="0" w:line="275" w:lineRule="auto"/>
        <w:rPr>
          <w:sz w:val="20"/>
          <w:szCs w:val="20"/>
          <w:color w:val="auto"/>
        </w:rPr>
      </w:pPr>
      <w:r>
        <w:rPr>
          <w:rFonts w:ascii="Arial" w:cs="Arial" w:eastAsia="Arial" w:hAnsi="Arial"/>
          <w:sz w:val="17"/>
          <w:szCs w:val="17"/>
          <w:color w:val="auto"/>
        </w:rPr>
        <w:t>The following materials from ADMA Biologics, Inc. Form 10-K for the year ended December 31, 2019, formatted in Extensible Business Reporting Language (XBRL): (i) Consolidated Balance Sheets at December 31, 2019 and December 31, 2018, (ii) Consolidated Statements of Operations for the years ended December 31, 2019 and 2018 (iii) Consolidated Statements of Changes in Stockholders’ Equity for the years ended December 31, 2019 and 2018, (iv) Consolidated Statements of Cash Flows for the years ended December 31, 2019 and 2018;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62833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6283325" cy="1714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600" w:space="720"/>
            <w:col w:w="9900"/>
          </w:cols>
          <w:pgMar w:left="320" w:top="389" w:right="359" w:bottom="1440" w:gutter="0" w:footer="0" w:header="0"/>
          <w:type w:val="continuous"/>
        </w:sectPr>
      </w:pPr>
    </w:p>
    <w:p>
      <w:pPr>
        <w:ind w:right="60" w:firstLine="53"/>
        <w:spacing w:after="0" w:line="277" w:lineRule="auto"/>
        <w:tabs>
          <w:tab w:leader="none" w:pos="19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ind w:right="2380" w:firstLine="8"/>
        <w:spacing w:after="0" w:line="500" w:lineRule="auto"/>
        <w:tabs>
          <w:tab w:leader="none" w:pos="2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and the schedules thereto have been omitted pursuant to Item 601(b)(10)(iv) of Regulation S-K.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ectPr>
          <w:pgSz w:w="11900" w:h="16838" w:orient="portrait"/>
          <w:cols w:equalWidth="0" w:num="1">
            <w:col w:w="11220"/>
          </w:cols>
          <w:pgMar w:left="320" w:top="389" w:right="359" w:bottom="1440" w:gutter="0" w:footer="0" w:header="0"/>
          <w:type w:val="continuous"/>
        </w:sectPr>
      </w:pPr>
    </w:p>
    <w:bookmarkStart w:id="100" w:name="page101"/>
    <w:bookmarkEnd w:id="100"/>
    <w:p>
      <w:pPr>
        <w:ind w:left="10240"/>
        <w:spacing w:after="0"/>
        <w:rPr>
          <w:sz w:val="20"/>
          <w:szCs w:val="20"/>
          <w:color w:val="auto"/>
        </w:rPr>
      </w:pPr>
      <w:r>
        <w:rPr>
          <w:rFonts w:ascii="Arial" w:cs="Arial" w:eastAsia="Arial" w:hAnsi="Arial"/>
          <w:sz w:val="19"/>
          <w:szCs w:val="19"/>
          <w:b w:val="1"/>
          <w:bCs w:val="1"/>
          <w:color w:val="auto"/>
        </w:rPr>
        <w:t>Exhibit 4.7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December 31, 2019, ADMA Biologics, Inc. (the “Corporation,” “we,” or “our”) had one class of securities registered under Section 12 of the Securities Exchange Act of 1934, as amended (the “Exchange Act”): our common stock, $0.0001 par value per share (the “Common Stock”).</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authorized to issue 160,000,000 shares of capital stock, divided into two classes consisting of (i) 150,000,000 shares of Common Stock, and (ii) 10,000,000 shares of preferred stock, $0.0001 par value per share (“Preferred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description of our Common Stock is a summary, does not purport to be complete and is subject to the provisions of our Second Amended and Restated Certificate of Incorporation (the “Certificate of Incorporation”) and our Amended and Restated Bylaws (the “Bylaws”). For the complete terms of our Common Stock, please refer to our Certificate of Incorporation and our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Common Stock is not redeemable, and has no subscription or conversion rights. The Common Stock does not have any sinking fund provisions.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 of Common Stock do not have cumulative or preemptive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Holders of Common Stock are entitled to one vote per share on all matters on which stockholders are generally entitled to vote. Holders of a majority of the outstanding shares of Common Stock constitute a quorum at a meeting of stockholders for the transaction of any business. Directors are elected by a plurality of the votes of the shares present in person or represented by proxy at the meeting and entitled to vote on the election of directors. Any other action is authorized by a majority of the votes cast, except where the Delaware General Corporation Law (“DGCL”) prescribes a different percentage of votes or a different exercise of voting power.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Holders of our Common Stock are entitled to receive ratably such dividends, if any, as may be declared by our Board of Directors out of funds legally available therefor, subject to any preferential dividend rights for our outstanding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upon Dissolution, Liquidation or Winding Up</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Upon a liquidation, dissolution or windup of the Company, subject to the rights, if any, of holders of any outstanding series of Preferred Stock that may be issued, holders of Common Stock shall be entitled to receive the assets of the Company available for distribution to its stockholders ratably in proportion to the number of shares of Common Stock held by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is subject to the provisions of Section 203 of the DGCL. Section 203 prohibits publicly held Delaware corporations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and other transactions resulting in a financial benefit to the interested stockholder. Subject to certain exceptions, an “interested stockholder” is a person who, together with affiliates and associates, owns, or within three years did own, 15% or more of the corporation’s voting stock. These provisions could have the effect of delaying, deferring or preventing a change of control of the Company or reducing the price that certain investors might be willing to pay in the future for shares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Staggered Board; Removal of Directors; Certificate of Incorporation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Certificate of Incorporation divides the Company’s Board into three classes with staggered three-year terms. Only one class of directors will be elected at each annual meeting of the Company’s stockholders, with the other classes continuing for the remainder of their respective three year terms. Except as the DGCL may otherwise require, any newly created directorships or vacancies on the Board may be filled only by the Board, but subject to the rights of holders of any series of Preferred Stock.</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Certificate of Incorporation provides that (i) all stockholder actions must be effected at a duly called meeting of the stockholders and (ii) stockholders may not adopt actions by written consent without a meeting.</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combination of these provisions will make it more difficult for the Company’s existing stockholders to replace the Board as well as for another party to obtain control of the Company by replacing members of the Board. Since the Board has the power to retain and discharge the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any attempt to effect a change of control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connection with our acquisition of certain assets of Biotest Pharmaceuticals Corporation (“BPC”) in 2017 (the “Biotest Transaction”), we entered into a registration rights agreement with BPC pursuant to which BPC, or its transferee, or its affiliate(s) have, among other things, certain registration rights under the Securities Act of 1933, as amended, with respect to its shares of our Common Stock, subject to certain transfer restrictions. In July 2018, BPC agreed to transfer its remaining shares of Common Stock to The Biotest Divestiture Trust (the “Biotest Trust”). In connection with the transfer of shares, the Biotest Trust has agreed to be bound by all obligations of, and will have all of the remaining rights of BPC under the aforementioned registration rights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Continental Stock Transfer &amp; Trust Company, 1 State Street 30th Floor, New York, New York, serves as the transfer agent and registrar for the Company’s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Stock Market under the symbol “ADMA.”</w:t>
      </w:r>
    </w:p>
    <w:p>
      <w:pPr>
        <w:sectPr>
          <w:pgSz w:w="11900" w:h="16838" w:orient="portrait"/>
          <w:cols w:equalWidth="0" w:num="1">
            <w:col w:w="11220"/>
          </w:cols>
          <w:pgMar w:left="320" w:top="337" w:right="35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10.25</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I TO THE AMENDED AND RESTATED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SERVICES BETWEEN ADMA BIOLOGICS, INC. AND ARETH LLC</w:t>
      </w:r>
    </w:p>
    <w:p>
      <w:pPr>
        <w:spacing w:after="0" w:line="214" w:lineRule="exact"/>
        <w:rPr>
          <w:sz w:val="20"/>
          <w:szCs w:val="20"/>
          <w:color w:val="auto"/>
        </w:rPr>
      </w:pPr>
    </w:p>
    <w:p>
      <w:pPr>
        <w:jc w:val="both"/>
        <w:ind w:right="80" w:firstLine="648"/>
        <w:spacing w:after="0" w:line="235" w:lineRule="auto"/>
        <w:rPr>
          <w:sz w:val="20"/>
          <w:szCs w:val="20"/>
          <w:color w:val="auto"/>
        </w:rPr>
      </w:pPr>
      <w:r>
        <w:rPr>
          <w:rFonts w:ascii="Arial" w:cs="Arial" w:eastAsia="Arial" w:hAnsi="Arial"/>
          <w:sz w:val="17"/>
          <w:szCs w:val="17"/>
          <w:color w:val="auto"/>
        </w:rPr>
        <w:t>This Amendment, made as of the 25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September, 2017 (“Effective Date”) by and ADMA BIOLOGICS, a Delaware Corporation located at 465 Route 17 South, Ramsey, NJ 07446 (“</w:t>
      </w:r>
      <w:r>
        <w:rPr>
          <w:rFonts w:ascii="Arial" w:cs="Arial" w:eastAsia="Arial" w:hAnsi="Arial"/>
          <w:sz w:val="17"/>
          <w:szCs w:val="17"/>
          <w:b w:val="1"/>
          <w:bCs w:val="1"/>
          <w:color w:val="auto"/>
        </w:rPr>
        <w:t>ADMA</w:t>
      </w:r>
      <w:r>
        <w:rPr>
          <w:rFonts w:ascii="Arial" w:cs="Arial" w:eastAsia="Arial" w:hAnsi="Arial"/>
          <w:sz w:val="17"/>
          <w:szCs w:val="17"/>
          <w:color w:val="auto"/>
        </w:rPr>
        <w:t>”) and ARETH LLC, a New Jersey limited liability corporation with its principal place of business at 465 Route 17 South, Ramsey, NJ 07446 (“</w:t>
      </w:r>
      <w:r>
        <w:rPr>
          <w:rFonts w:ascii="Arial" w:cs="Arial" w:eastAsia="Arial" w:hAnsi="Arial"/>
          <w:sz w:val="17"/>
          <w:szCs w:val="17"/>
          <w:b w:val="1"/>
          <w:bCs w:val="1"/>
          <w:color w:val="auto"/>
        </w:rPr>
        <w:t>ARETH</w:t>
      </w:r>
      <w:r>
        <w:rPr>
          <w:rFonts w:ascii="Arial" w:cs="Arial" w:eastAsia="Arial" w:hAnsi="Arial"/>
          <w:sz w:val="17"/>
          <w:szCs w:val="17"/>
          <w:color w:val="auto"/>
        </w:rPr>
        <w:t>”), ADMA and ARETH may be collectively referred to herein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an Amended and Restated Agreement for Services with an effective date of January 1, 2016;</w:t>
      </w:r>
    </w:p>
    <w:p>
      <w:pPr>
        <w:spacing w:after="0" w:line="225" w:lineRule="exact"/>
        <w:rPr>
          <w:sz w:val="20"/>
          <w:szCs w:val="20"/>
          <w:color w:val="auto"/>
        </w:rPr>
      </w:pPr>
    </w:p>
    <w:p>
      <w:pPr>
        <w:jc w:val="both"/>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intend to amend the Amended and Restated Agreement for Services in the manner stated herein effective the</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25, 2017;</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the mutual covenants and agreements herein contained,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is hereby acknowledged, the Parties hereto agree to amend the Amended and Restated Agreement for Services as follows:</w:t>
      </w:r>
    </w:p>
    <w:p>
      <w:pPr>
        <w:spacing w:after="0" w:line="180"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 1 of Exhibit A — Compensation Rates shall be deleted in its entirety and replaced with the following language: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“Rent (base) includes — All furniture, desks, offices, cubicles, conference room use (existing space), lunch room/ kitchen, warehouse use, parking</w:t>
      </w:r>
    </w:p>
    <w:p>
      <w:pPr>
        <w:spacing w:after="0" w:line="4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12,000 sq. ft. effective October 1, 2017 through September 30, 2018 at a rate of $10.00 per square foot.</w:t>
      </w:r>
    </w:p>
    <w:p>
      <w:pPr>
        <w:spacing w:after="0" w:line="210" w:lineRule="exact"/>
        <w:rPr>
          <w:rFonts w:ascii="Arial" w:cs="Arial" w:eastAsia="Arial" w:hAnsi="Arial"/>
          <w:sz w:val="18"/>
          <w:szCs w:val="18"/>
          <w:color w:val="auto"/>
        </w:rPr>
      </w:pPr>
    </w:p>
    <w:p>
      <w:pPr>
        <w:ind w:left="660" w:right="1960" w:hanging="652"/>
        <w:spacing w:after="0" w:line="50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Provision 3 of Exhibit A - Compensation Rates shall be deleted in its entirety and replaced with the following language: “All additional expenses incurred by the building tenants such as, but not limited to:</w:t>
      </w:r>
    </w:p>
    <w:p>
      <w:pPr>
        <w:spacing w:after="0" w:line="1"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45"/>
        </w:numPr>
        <w:rPr>
          <w:rFonts w:ascii="Arial" w:cs="Arial" w:eastAsia="Arial" w:hAnsi="Arial"/>
          <w:sz w:val="18"/>
          <w:szCs w:val="18"/>
          <w:color w:val="auto"/>
        </w:rPr>
      </w:pPr>
      <w:r>
        <w:rPr>
          <w:rFonts w:ascii="Arial" w:cs="Arial" w:eastAsia="Arial" w:hAnsi="Arial"/>
          <w:sz w:val="18"/>
          <w:szCs w:val="18"/>
          <w:color w:val="auto"/>
        </w:rPr>
        <w:t>Office repair and maintenance, snow removal, landscaping, HVAC repair, etc. will be charged to ADMA at a rate equal to the amount of space utilized in the building.</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Effective October 1, 2017 through September 30, 2018 the rate is 30 %</w:t>
      </w:r>
    </w:p>
    <w:p>
      <w:pPr>
        <w:spacing w:after="0" w:line="225" w:lineRule="exact"/>
        <w:rPr>
          <w:rFonts w:ascii="Arial" w:cs="Arial" w:eastAsia="Arial" w:hAnsi="Arial"/>
          <w:sz w:val="18"/>
          <w:szCs w:val="18"/>
          <w:color w:val="auto"/>
        </w:rPr>
      </w:pPr>
    </w:p>
    <w:p>
      <w:pPr>
        <w:ind w:left="1960"/>
        <w:spacing w:after="0" w:line="308" w:lineRule="auto"/>
        <w:rPr>
          <w:rFonts w:ascii="Arial" w:cs="Arial" w:eastAsia="Arial" w:hAnsi="Arial"/>
          <w:sz w:val="18"/>
          <w:szCs w:val="18"/>
          <w:color w:val="auto"/>
        </w:rPr>
      </w:pPr>
      <w:r>
        <w:rPr>
          <w:rFonts w:ascii="Arial" w:cs="Arial" w:eastAsia="Arial" w:hAnsi="Arial"/>
          <w:sz w:val="17"/>
          <w:szCs w:val="17"/>
          <w:color w:val="auto"/>
        </w:rPr>
        <w:t>Effective October 1, 2017 through September 30, 2018 rent will be calculated at 12,000 sq. ft. unless the actual amount of space increases, at ADMA’s option. [12,000 * $10 per square foot = $12,000/12 months = $10,000 per month]</w:t>
      </w:r>
    </w:p>
    <w:p>
      <w:pPr>
        <w:spacing w:after="0" w:line="146"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The Compensation Rates will be re-evaluated and re-negotiated no later than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ind w:right="80" w:firstLine="648"/>
        <w:spacing w:after="0" w:line="277" w:lineRule="auto"/>
        <w:rPr>
          <w:sz w:val="20"/>
          <w:szCs w:val="20"/>
          <w:color w:val="auto"/>
        </w:rPr>
      </w:pPr>
      <w:r>
        <w:rPr>
          <w:rFonts w:ascii="Arial" w:cs="Arial" w:eastAsia="Arial" w:hAnsi="Arial"/>
          <w:sz w:val="18"/>
          <w:szCs w:val="18"/>
          <w:color w:val="auto"/>
        </w:rPr>
        <w:t>Except as hereby modified, the Amended and Restated Agreement for Services shall remain in full force and effect and is hereby expressly approved, ratified, and confirmed.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to be effective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ARETH LLC</w:t>
            </w:r>
            <w:r>
              <w:rPr>
                <w:rFonts w:ascii="Arial" w:cs="Arial" w:eastAsia="Arial" w:hAnsi="Arial"/>
                <w:sz w:val="18"/>
                <w:szCs w:val="18"/>
                <w:color w:val="auto"/>
              </w:rPr>
              <w:t>:</w:t>
            </w:r>
          </w:p>
        </w:tc>
        <w:tc>
          <w:tcPr>
            <w:tcW w:w="5600" w:type="dxa"/>
            <w:vAlign w:val="bottom"/>
            <w:gridSpan w:val="2"/>
          </w:tcPr>
          <w:p>
            <w:pPr>
              <w:ind w:left="560"/>
              <w:spacing w:after="0"/>
              <w:rPr>
                <w:sz w:val="20"/>
                <w:szCs w:val="20"/>
                <w:color w:val="auto"/>
              </w:rPr>
            </w:pPr>
            <w:r>
              <w:rPr>
                <w:rFonts w:ascii="Arial" w:cs="Arial" w:eastAsia="Arial" w:hAnsi="Arial"/>
                <w:sz w:val="18"/>
                <w:szCs w:val="18"/>
                <w:b w:val="1"/>
                <w:bCs w:val="1"/>
                <w:color w:val="auto"/>
              </w:rPr>
              <w:t>ADMA BIOLOGICS</w:t>
            </w:r>
            <w:r>
              <w:rPr>
                <w:rFonts w:ascii="Arial" w:cs="Arial" w:eastAsia="Arial" w:hAnsi="Arial"/>
                <w:sz w:val="18"/>
                <w:szCs w:val="18"/>
                <w:color w:val="auto"/>
              </w:rPr>
              <w:t>:</w:t>
            </w:r>
          </w:p>
        </w:tc>
        <w:tc>
          <w:tcPr>
            <w:tcW w:w="5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Jerrold Grossman</w:t>
            </w:r>
          </w:p>
        </w:tc>
        <w:tc>
          <w:tcPr>
            <w:tcW w:w="1120" w:type="dxa"/>
            <w:vAlign w:val="bottom"/>
          </w:tcPr>
          <w:p>
            <w:pPr>
              <w:ind w:left="56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c>
          <w:tcPr>
            <w:tcW w:w="560" w:type="dxa"/>
            <w:vAlign w:val="bottom"/>
          </w:tcPr>
          <w:p>
            <w:pPr>
              <w:spacing w:after="0"/>
              <w:rPr>
                <w:sz w:val="24"/>
                <w:szCs w:val="24"/>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Manager</w:t>
            </w:r>
          </w:p>
        </w:tc>
        <w:tc>
          <w:tcPr>
            <w:tcW w:w="1120" w:type="dxa"/>
            <w:vAlign w:val="bottom"/>
          </w:tcPr>
          <w:p>
            <w:pPr>
              <w:ind w:left="560"/>
              <w:spacing w:after="0"/>
              <w:rPr>
                <w:sz w:val="20"/>
                <w:szCs w:val="20"/>
                <w:color w:val="auto"/>
              </w:rPr>
            </w:pPr>
            <w:r>
              <w:rPr>
                <w:rFonts w:ascii="Arial" w:cs="Arial" w:eastAsia="Arial" w:hAnsi="Arial"/>
                <w:sz w:val="18"/>
                <w:szCs w:val="18"/>
                <w:color w:val="auto"/>
              </w:rPr>
              <w:t>Title:</w:t>
            </w:r>
          </w:p>
        </w:tc>
        <w:tc>
          <w:tcPr>
            <w:tcW w:w="4480" w:type="dxa"/>
            <w:vAlign w:val="bottom"/>
          </w:tcPr>
          <w:p>
            <w:pPr>
              <w:spacing w:after="0"/>
              <w:rPr>
                <w:sz w:val="20"/>
                <w:szCs w:val="20"/>
                <w:color w:val="auto"/>
              </w:rPr>
            </w:pPr>
            <w:r>
              <w:rPr>
                <w:rFonts w:ascii="Arial" w:cs="Arial" w:eastAsia="Arial" w:hAnsi="Arial"/>
                <w:sz w:val="18"/>
                <w:szCs w:val="18"/>
                <w:color w:val="auto"/>
              </w:rPr>
              <w:t>President and CEO</w:t>
            </w:r>
          </w:p>
        </w:tc>
        <w:tc>
          <w:tcPr>
            <w:tcW w:w="560" w:type="dxa"/>
            <w:vAlign w:val="bottom"/>
          </w:tcPr>
          <w:p>
            <w:pPr>
              <w:spacing w:after="0"/>
              <w:rPr>
                <w:sz w:val="19"/>
                <w:szCs w:val="19"/>
                <w:color w:val="auto"/>
              </w:rPr>
            </w:pPr>
          </w:p>
        </w:tc>
      </w:tr>
      <w:tr>
        <w:trPr>
          <w:trHeight w:val="425"/>
        </w:trPr>
        <w:tc>
          <w:tcPr>
            <w:tcW w:w="5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w:t>
            </w:r>
          </w:p>
        </w:tc>
        <w:tc>
          <w:tcPr>
            <w:tcW w:w="44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10.26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2 TO THE AMENDED AND RESTATED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SERVICES BETWEEN ADMA BIOLOGICS</w:t>
      </w:r>
      <w:r>
        <w:rPr>
          <w:rFonts w:ascii="Arial" w:cs="Arial" w:eastAsia="Arial" w:hAnsi="Arial"/>
          <w:sz w:val="18"/>
          <w:szCs w:val="18"/>
          <w:color w:val="auto"/>
        </w:rPr>
        <w:t>,</w:t>
      </w:r>
      <w:r>
        <w:rPr>
          <w:rFonts w:ascii="Arial" w:cs="Arial" w:eastAsia="Arial" w:hAnsi="Arial"/>
          <w:sz w:val="18"/>
          <w:szCs w:val="18"/>
          <w:b w:val="1"/>
          <w:bCs w:val="1"/>
          <w:color w:val="auto"/>
        </w:rPr>
        <w:t xml:space="preserve"> INC. AND ARETH LLC</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This Amendment 2 (“</w:t>
      </w:r>
      <w:r>
        <w:rPr>
          <w:rFonts w:ascii="Arial" w:cs="Arial" w:eastAsia="Arial" w:hAnsi="Arial"/>
          <w:sz w:val="18"/>
          <w:szCs w:val="18"/>
          <w:b w:val="1"/>
          <w:bCs w:val="1"/>
          <w:color w:val="auto"/>
        </w:rPr>
        <w:t>Amendment 2</w:t>
      </w:r>
      <w:r>
        <w:rPr>
          <w:rFonts w:ascii="Arial" w:cs="Arial" w:eastAsia="Arial" w:hAnsi="Arial"/>
          <w:sz w:val="18"/>
          <w:szCs w:val="18"/>
          <w:color w:val="auto"/>
        </w:rPr>
        <w:t xml:space="preserve">”) to the Amended and Restated Agreement for Services between </w:t>
      </w:r>
      <w:r>
        <w:rPr>
          <w:rFonts w:ascii="Arial" w:cs="Arial" w:eastAsia="Arial" w:hAnsi="Arial"/>
          <w:sz w:val="18"/>
          <w:szCs w:val="18"/>
          <w:b w:val="1"/>
          <w:bCs w:val="1"/>
          <w:color w:val="auto"/>
        </w:rPr>
        <w:t>ADMA Biologics</w:t>
      </w:r>
      <w:r>
        <w:rPr>
          <w:rFonts w:ascii="Arial" w:cs="Arial" w:eastAsia="Arial" w:hAnsi="Arial"/>
          <w:sz w:val="18"/>
          <w:szCs w:val="18"/>
          <w:color w:val="auto"/>
        </w:rPr>
        <w:t xml:space="preserve">, </w:t>
      </w:r>
      <w:r>
        <w:rPr>
          <w:rFonts w:ascii="Arial" w:cs="Arial" w:eastAsia="Arial" w:hAnsi="Arial"/>
          <w:sz w:val="18"/>
          <w:szCs w:val="18"/>
          <w:b w:val="1"/>
          <w:bCs w:val="1"/>
          <w:color w:val="auto"/>
        </w:rPr>
        <w:t>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ADMA</w:t>
      </w:r>
      <w:r>
        <w:rPr>
          <w:rFonts w:ascii="Arial" w:cs="Arial" w:eastAsia="Arial" w:hAnsi="Arial"/>
          <w:sz w:val="18"/>
          <w:szCs w:val="18"/>
          <w:color w:val="auto"/>
        </w:rPr>
        <w:t>”), and Areth LLC, a New Jersey limited liability company (“</w:t>
      </w:r>
      <w:r>
        <w:rPr>
          <w:rFonts w:ascii="Arial" w:cs="Arial" w:eastAsia="Arial" w:hAnsi="Arial"/>
          <w:sz w:val="18"/>
          <w:szCs w:val="18"/>
          <w:b w:val="1"/>
          <w:bCs w:val="1"/>
          <w:color w:val="auto"/>
        </w:rPr>
        <w:t>Areth</w:t>
      </w:r>
      <w:r>
        <w:rPr>
          <w:rFonts w:ascii="Arial" w:cs="Arial" w:eastAsia="Arial" w:hAnsi="Arial"/>
          <w:sz w:val="18"/>
          <w:szCs w:val="18"/>
          <w:color w:val="auto"/>
        </w:rPr>
        <w:t>”), is effective as of September 27, 2018. ADMA and Areth are also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jc w:val="both"/>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an Amended and Restated Agreement for Services with an effective date of January 1, 2016, as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25, 2017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further amend the Agreement to amend the Agreement in the manner stated herein.</w:t>
      </w:r>
    </w:p>
    <w:p>
      <w:pPr>
        <w:spacing w:after="0" w:line="225"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7"/>
          <w:szCs w:val="17"/>
          <w:b w:val="1"/>
          <w:bCs w:val="1"/>
          <w:color w:val="auto"/>
        </w:rPr>
        <w:t>NOW</w:t>
      </w:r>
      <w:r>
        <w:rPr>
          <w:rFonts w:ascii="Arial" w:cs="Arial" w:eastAsia="Arial" w:hAnsi="Arial"/>
          <w:sz w:val="17"/>
          <w:szCs w:val="17"/>
          <w:color w:val="auto"/>
        </w:rPr>
        <w:t>,</w:t>
      </w:r>
      <w:r>
        <w:rPr>
          <w:rFonts w:ascii="Arial" w:cs="Arial" w:eastAsia="Arial" w:hAnsi="Arial"/>
          <w:sz w:val="17"/>
          <w:szCs w:val="17"/>
          <w:b w:val="1"/>
          <w:bCs w:val="1"/>
          <w:color w:val="auto"/>
        </w:rPr>
        <w:t xml:space="preserve"> THEREFORE</w:t>
      </w:r>
      <w:r>
        <w:rPr>
          <w:rFonts w:ascii="Arial" w:cs="Arial" w:eastAsia="Arial" w:hAnsi="Arial"/>
          <w:sz w:val="17"/>
          <w:szCs w:val="17"/>
          <w:color w:val="auto"/>
        </w:rPr>
        <w:t>, in consideration of the foregoing and the mutual covenants and agreements herein contained,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is hereby acknowledged, the Parties hereto agree to amend the Agreement as follows:</w:t>
      </w:r>
    </w:p>
    <w:p>
      <w:pPr>
        <w:spacing w:after="0" w:line="144"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 1 of Exhibit A — Compensation Rates shall be deleted in its entirety and replaced with the following language:</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“Rent (base) includes — All furniture, desks, offices, cubicles, conference room use (existing space), lunch room/kitchen, warehouse use, parking</w:t>
      </w:r>
    </w:p>
    <w:p>
      <w:pPr>
        <w:spacing w:after="0" w:line="4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12,000 sq. ft. effective October 1, 2018 through September 30, 2019 at a rate of $10.00 per square foot.</w:t>
      </w:r>
    </w:p>
    <w:p>
      <w:pPr>
        <w:spacing w:after="0" w:line="210" w:lineRule="exact"/>
        <w:rPr>
          <w:rFonts w:ascii="Arial" w:cs="Arial" w:eastAsia="Arial" w:hAnsi="Arial"/>
          <w:sz w:val="18"/>
          <w:szCs w:val="18"/>
          <w:color w:val="auto"/>
        </w:rPr>
      </w:pPr>
    </w:p>
    <w:p>
      <w:pPr>
        <w:ind w:left="660" w:right="1840" w:hanging="652"/>
        <w:spacing w:after="0" w:line="50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Provision 3 of Exhibit A — Compensation Rates shall be deleted in its entirety and replaced with the following language: “All additional expenses incurred by the building tenants such as, but not limited to:</w:t>
      </w:r>
    </w:p>
    <w:p>
      <w:pPr>
        <w:spacing w:after="0" w:line="1"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Office repair and maintenance, snow removal, landscaping, HVAC repair, etc. will be charged to ADMA at a rate equal to the amount of space utilized in the building.</w:t>
      </w:r>
    </w:p>
    <w:p>
      <w:pPr>
        <w:spacing w:after="0" w:line="170"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Effective October 1, 2018 through September 30, 2019, the rate is 30%.</w:t>
      </w:r>
    </w:p>
    <w:p>
      <w:pPr>
        <w:spacing w:after="0" w:line="225" w:lineRule="exact"/>
        <w:rPr>
          <w:rFonts w:ascii="Arial" w:cs="Arial" w:eastAsia="Arial" w:hAnsi="Arial"/>
          <w:sz w:val="18"/>
          <w:szCs w:val="18"/>
          <w:color w:val="auto"/>
        </w:rPr>
      </w:pPr>
    </w:p>
    <w:p>
      <w:pPr>
        <w:ind w:left="1960"/>
        <w:spacing w:after="0" w:line="308" w:lineRule="auto"/>
        <w:rPr>
          <w:rFonts w:ascii="Arial" w:cs="Arial" w:eastAsia="Arial" w:hAnsi="Arial"/>
          <w:sz w:val="18"/>
          <w:szCs w:val="18"/>
          <w:color w:val="auto"/>
        </w:rPr>
      </w:pPr>
      <w:r>
        <w:rPr>
          <w:rFonts w:ascii="Arial" w:cs="Arial" w:eastAsia="Arial" w:hAnsi="Arial"/>
          <w:sz w:val="17"/>
          <w:szCs w:val="17"/>
          <w:color w:val="auto"/>
        </w:rPr>
        <w:t>Effective October 1, 2018 through September 30, 2019, rent will be calculated at 12,000 sq. ft. unless the actual amount of space increases, at ADMA’s option. [12,000 * $10 per square foot = $12,000/12 months = $10,000 per month]</w:t>
      </w:r>
    </w:p>
    <w:p>
      <w:pPr>
        <w:spacing w:after="0" w:line="146"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The Compensation Rates will be re-evaluated and re-negotiated no later than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Except as expressly provided herein, all terms and conditions set forth in the Agreement remain unchanged and continue in full force and effect.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Amendment 2 and the Agreement embody the entire agreement and understanding between the Parties hereto with respect to the subject matter hereof and supersede all prior agreements and understandings relating to the subject matter hereof.</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2 may be executed in any number of counterparts, each of which shall be deemed an original but all of which together shall constitute one and the same single document, and any such counterpart containing an electronically scanned or facsimile signature will have the same effect as original manual signatures.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hereby have caused this Amendment 2 to the Agreement to be executed, and the persons signing below</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that they are duly authorized to sign for and on behalf of their respective Parties.</w:t>
      </w:r>
    </w:p>
    <w:p>
      <w:pPr>
        <w:sectPr>
          <w:pgSz w:w="11900" w:h="16838" w:orient="portrait"/>
          <w:cols w:equalWidth="0" w:num="1">
            <w:col w:w="11180"/>
          </w:cols>
          <w:pgMar w:left="320" w:top="337" w:right="39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EVP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Areth LLC</w:t>
      </w:r>
    </w:p>
    <w:p>
      <w:pPr>
        <w:spacing w:after="0" w:line="229"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Adam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29210</wp:posOffset>
            </wp:positionV>
            <wp:extent cx="2846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Adam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14605</wp:posOffset>
            </wp:positionV>
            <wp:extent cx="28460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14605</wp:posOffset>
            </wp:positionV>
            <wp:extent cx="28460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18,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14605</wp:posOffset>
            </wp:positionV>
            <wp:extent cx="28460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600"/>
          </w:cols>
          <w:pgMar w:left="320" w:top="337" w:right="39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10.27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3 TO THE AMENDED AND RESTATED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SERVICES BETWEEN ADMA BIOLOGICS, INC. AND ARETH LLC</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Amendment 3 (“</w:t>
      </w:r>
      <w:r>
        <w:rPr>
          <w:rFonts w:ascii="Arial" w:cs="Arial" w:eastAsia="Arial" w:hAnsi="Arial"/>
          <w:sz w:val="18"/>
          <w:szCs w:val="18"/>
          <w:b w:val="1"/>
          <w:bCs w:val="1"/>
          <w:color w:val="auto"/>
        </w:rPr>
        <w:t>Amendment 3</w:t>
      </w:r>
      <w:r>
        <w:rPr>
          <w:rFonts w:ascii="Arial" w:cs="Arial" w:eastAsia="Arial" w:hAnsi="Arial"/>
          <w:sz w:val="18"/>
          <w:szCs w:val="18"/>
          <w:color w:val="auto"/>
        </w:rPr>
        <w:t>”) to the Amended and Restated Agreement for Services between ADMA Biologics, Inc., a Delaware corporation (“</w:t>
      </w:r>
      <w:r>
        <w:rPr>
          <w:rFonts w:ascii="Arial" w:cs="Arial" w:eastAsia="Arial" w:hAnsi="Arial"/>
          <w:sz w:val="18"/>
          <w:szCs w:val="18"/>
          <w:b w:val="1"/>
          <w:bCs w:val="1"/>
          <w:color w:val="auto"/>
        </w:rPr>
        <w:t>ADMA</w:t>
      </w:r>
      <w:r>
        <w:rPr>
          <w:rFonts w:ascii="Arial" w:cs="Arial" w:eastAsia="Arial" w:hAnsi="Arial"/>
          <w:sz w:val="18"/>
          <w:szCs w:val="18"/>
          <w:color w:val="auto"/>
        </w:rPr>
        <w:t>”), and Areth LLC, a New Jersey limited liability company (“</w:t>
      </w:r>
      <w:r>
        <w:rPr>
          <w:rFonts w:ascii="Arial" w:cs="Arial" w:eastAsia="Arial" w:hAnsi="Arial"/>
          <w:sz w:val="18"/>
          <w:szCs w:val="18"/>
          <w:b w:val="1"/>
          <w:bCs w:val="1"/>
          <w:color w:val="auto"/>
        </w:rPr>
        <w:t>ARETH</w:t>
      </w:r>
      <w:r>
        <w:rPr>
          <w:rFonts w:ascii="Arial" w:cs="Arial" w:eastAsia="Arial" w:hAnsi="Arial"/>
          <w:sz w:val="18"/>
          <w:szCs w:val="18"/>
          <w:color w:val="auto"/>
        </w:rPr>
        <w:t>”), is effective as of November 7, 2019. ADMA and ARETH are also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an Amended and Restated Agreement for Services with an effective date of January 1, 2016, as amended on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25, 2017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further amend the Agreement in the manner stated herein.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foregoing and the mutual covenants and agreements herein contained, and for other good and</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consideration, the receipt and sufficiency of which is hereby acknowledged, the Parties hereto agree to amend the Agreement as follows:</w:t>
      </w:r>
    </w:p>
    <w:p>
      <w:pPr>
        <w:spacing w:after="0" w:line="144"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 1 of Exhibit A — Compensation Rates shall be deleted in its entirety and replaced with the following language:</w:t>
      </w:r>
    </w:p>
    <w:p>
      <w:pPr>
        <w:spacing w:after="0" w:line="225" w:lineRule="exact"/>
        <w:rPr>
          <w:rFonts w:ascii="Arial" w:cs="Arial" w:eastAsia="Arial" w:hAnsi="Arial"/>
          <w:sz w:val="18"/>
          <w:szCs w:val="18"/>
          <w:color w:val="auto"/>
        </w:rPr>
      </w:pPr>
    </w:p>
    <w:p>
      <w:pPr>
        <w:ind w:left="1300" w:right="20"/>
        <w:spacing w:after="0" w:line="308" w:lineRule="auto"/>
        <w:rPr>
          <w:rFonts w:ascii="Arial" w:cs="Arial" w:eastAsia="Arial" w:hAnsi="Arial"/>
          <w:sz w:val="18"/>
          <w:szCs w:val="18"/>
          <w:color w:val="auto"/>
        </w:rPr>
      </w:pPr>
      <w:r>
        <w:rPr>
          <w:rFonts w:ascii="Arial" w:cs="Arial" w:eastAsia="Arial" w:hAnsi="Arial"/>
          <w:sz w:val="17"/>
          <w:szCs w:val="17"/>
          <w:color w:val="auto"/>
        </w:rPr>
        <w:t>“Rent (base) includes — All furniture, desks, offices, cubicles, conference room use (existing space), lunch room/kitchen, warehouse use, parking — 12,000 sq. ft. effective October 1, 2019 through September 30, 2020 at a rate of $10.00 per square foot.</w:t>
      </w:r>
    </w:p>
    <w:p>
      <w:pPr>
        <w:spacing w:after="0" w:line="146" w:lineRule="exact"/>
        <w:rPr>
          <w:rFonts w:ascii="Arial" w:cs="Arial" w:eastAsia="Arial" w:hAnsi="Arial"/>
          <w:sz w:val="18"/>
          <w:szCs w:val="18"/>
          <w:color w:val="auto"/>
        </w:rPr>
      </w:pPr>
    </w:p>
    <w:p>
      <w:pPr>
        <w:ind w:left="1300" w:right="1180" w:hanging="644"/>
        <w:spacing w:after="0" w:line="500"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Provision 3 of Exhibit A — Compensation Rates shall be deleted in its entirety and replaced with the following language: “All additional expenses incurred by the building tenants such as, but not limited to:</w:t>
      </w:r>
    </w:p>
    <w:p>
      <w:pPr>
        <w:spacing w:after="0" w:line="1" w:lineRule="exact"/>
        <w:rPr>
          <w:rFonts w:ascii="Arial" w:cs="Arial" w:eastAsia="Arial" w:hAnsi="Arial"/>
          <w:sz w:val="18"/>
          <w:szCs w:val="18"/>
          <w:color w:val="auto"/>
        </w:rPr>
      </w:pPr>
    </w:p>
    <w:p>
      <w:pPr>
        <w:ind w:left="1620" w:right="580" w:hanging="316"/>
        <w:spacing w:after="0" w:line="277" w:lineRule="auto"/>
        <w:tabs>
          <w:tab w:leader="none" w:pos="1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Office repair and maintenance, snow removal, landscaping, HVAC repair, etc. will be charged to ADMA at a rate equal to the amount of space utilized in the building.</w:t>
      </w:r>
    </w:p>
    <w:p>
      <w:pPr>
        <w:spacing w:after="0" w:line="17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Effective October 1, 2019 through September 30, 2020, the rate is 30%.</w:t>
      </w:r>
    </w:p>
    <w:p>
      <w:pPr>
        <w:spacing w:after="0" w:line="225"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8"/>
          <w:szCs w:val="18"/>
          <w:color w:val="auto"/>
        </w:rPr>
        <w:t>Effective October 1, 2019 through September 30, 2020, rent will be calculated at 12,000 sq. ft. unless the actual amount of space increases, at ADMA’s option. [12,000 * $10 per square foot = $120,000/12 months = $10,000 per month]</w:t>
      </w:r>
    </w:p>
    <w:p>
      <w:pPr>
        <w:spacing w:after="0" w:line="170"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Compensation Rates will be re-evaluated and re-negotiated no later than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8" w:name="page109"/>
    <w:bookmarkEnd w:id="108"/>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Renewal — The following paragraph shall be inserted as a new Article XXV into the Agreement:</w:t>
      </w:r>
    </w:p>
    <w:p>
      <w:pPr>
        <w:spacing w:after="0" w:line="221" w:lineRule="exact"/>
        <w:rPr>
          <w:rFonts w:ascii="Arial" w:cs="Arial" w:eastAsia="Arial" w:hAnsi="Arial"/>
          <w:sz w:val="18"/>
          <w:szCs w:val="18"/>
          <w:color w:val="auto"/>
        </w:rPr>
      </w:pPr>
    </w:p>
    <w:p>
      <w:pPr>
        <w:jc w:val="both"/>
        <w:ind w:left="1300"/>
        <w:spacing w:after="0" w:line="258" w:lineRule="auto"/>
        <w:rPr>
          <w:rFonts w:ascii="Arial" w:cs="Arial" w:eastAsia="Arial" w:hAnsi="Arial"/>
          <w:sz w:val="18"/>
          <w:szCs w:val="18"/>
          <w:color w:val="auto"/>
        </w:rPr>
      </w:pPr>
      <w:r>
        <w:rPr>
          <w:rFonts w:ascii="Arial" w:cs="Arial" w:eastAsia="Arial" w:hAnsi="Arial"/>
          <w:sz w:val="18"/>
          <w:szCs w:val="18"/>
          <w:color w:val="auto"/>
        </w:rPr>
        <w:t>“The term for this Agreement shall commence on October 1, 2019 and shall end on September 30, 2020 (the “</w:t>
      </w:r>
      <w:r>
        <w:rPr>
          <w:rFonts w:ascii="Arial" w:cs="Arial" w:eastAsia="Arial" w:hAnsi="Arial"/>
          <w:sz w:val="18"/>
          <w:szCs w:val="18"/>
          <w:b w:val="1"/>
          <w:bCs w:val="1"/>
          <w:color w:val="auto"/>
        </w:rPr>
        <w:t>Term</w:t>
      </w:r>
      <w:r>
        <w:rPr>
          <w:rFonts w:ascii="Arial" w:cs="Arial" w:eastAsia="Arial" w:hAnsi="Arial"/>
          <w:sz w:val="18"/>
          <w:szCs w:val="18"/>
          <w:color w:val="auto"/>
        </w:rPr>
        <w:t>”). ARETH shall provide Services for the duration of the Term. The Term of this Agreement shall automatically renew for one (1) year (the “</w:t>
      </w:r>
      <w:r>
        <w:rPr>
          <w:rFonts w:ascii="Arial" w:cs="Arial" w:eastAsia="Arial" w:hAnsi="Arial"/>
          <w:sz w:val="18"/>
          <w:szCs w:val="18"/>
          <w:b w:val="1"/>
          <w:bCs w:val="1"/>
          <w:color w:val="auto"/>
        </w:rPr>
        <w:t>Renewal</w:t>
      </w:r>
      <w:r>
        <w:rPr>
          <w:rFonts w:ascii="Arial" w:cs="Arial" w:eastAsia="Arial" w:hAnsi="Arial"/>
          <w:sz w:val="18"/>
          <w:szCs w:val="18"/>
          <w:color w:val="auto"/>
        </w:rPr>
        <w:t xml:space="preserve"> </w:t>
      </w:r>
      <w:r>
        <w:rPr>
          <w:rFonts w:ascii="Arial" w:cs="Arial" w:eastAsia="Arial" w:hAnsi="Arial"/>
          <w:sz w:val="18"/>
          <w:szCs w:val="18"/>
          <w:b w:val="1"/>
          <w:bCs w:val="1"/>
          <w:color w:val="auto"/>
        </w:rPr>
        <w:t>Term</w:t>
      </w:r>
      <w:r>
        <w:rPr>
          <w:rFonts w:ascii="Arial" w:cs="Arial" w:eastAsia="Arial" w:hAnsi="Arial"/>
          <w:sz w:val="18"/>
          <w:szCs w:val="18"/>
          <w:color w:val="auto"/>
        </w:rPr>
        <w:t>”), unless ADMA gives notice of termination in writing to ARETH upon sixty (60) days’ written notice prior to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or prior to the end of the Renewal Term, as applicable. All terms and conditions of this Lease shall continue to apply during the Renewal Term.”</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Except as expressly provided herein, all terms and conditions set forth in the Agreement remain unchanged and continue in full force and effect.</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This Amendment 3 and the Agreement embody the entire agreement and understanding between the Parties hereto with respect to the subject matter hereof and supersede all prior agreements and understandings relating to the subject matter hereof.</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Amendment 3 may be executed in any number of counterparts, each of which shall be deemed an original but all of which together shall constitute one and the same single document, and any such counterpart containing an electronically scanned or facsimile signature will have the same effect as original manual signatures.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9" w:name="page110"/>
    <w:bookmarkEnd w:id="109"/>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hereby have caused this Amendment 3 to the Agreement to be executed, and the persons signing below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are duly authorized to sign for and on behalf of their respective Parties.</w:t>
      </w:r>
    </w:p>
    <w:p>
      <w:pPr>
        <w:sectPr>
          <w:pgSz w:w="11900" w:h="16838" w:orient="portrait"/>
          <w:cols w:equalWidth="0" w:num="1">
            <w:col w:w="10960"/>
          </w:cols>
          <w:pgMar w:left="320" w:top="337" w:right="619" w:bottom="1440" w:gutter="0" w:footer="0" w:header="0"/>
        </w:sectPr>
      </w:pP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Adam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29210</wp:posOffset>
            </wp:positionV>
            <wp:extent cx="2854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Name: Adam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854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Areth LLC</w:t>
      </w:r>
    </w:p>
    <w:p>
      <w:pPr>
        <w:spacing w:after="0" w:line="229"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Jerrold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29210</wp:posOffset>
            </wp:positionV>
            <wp:extent cx="28460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Name: Jerrold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14605</wp:posOffset>
            </wp:positionV>
            <wp:extent cx="28460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14605</wp:posOffset>
            </wp:positionV>
            <wp:extent cx="28460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14605</wp:posOffset>
            </wp:positionV>
            <wp:extent cx="28460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60" w:space="720"/>
            <w:col w:w="5380"/>
          </w:cols>
          <w:pgMar w:left="320" w:top="337" w:right="619" w:bottom="1440" w:gutter="0" w:footer="0" w:header="0"/>
          <w:type w:val="continuous"/>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7620" w:type="dxa"/>
            <w:vAlign w:val="bottom"/>
            <w:gridSpan w:val="6"/>
          </w:tcPr>
          <w:p>
            <w:pPr>
              <w:jc w:val="center"/>
              <w:ind w:right="3620"/>
              <w:spacing w:after="0"/>
              <w:rPr>
                <w:sz w:val="20"/>
                <w:szCs w:val="20"/>
                <w:color w:val="auto"/>
              </w:rPr>
            </w:pPr>
            <w:r>
              <w:rPr>
                <w:rFonts w:ascii="Arial" w:cs="Arial" w:eastAsia="Arial" w:hAnsi="Arial"/>
                <w:sz w:val="18"/>
                <w:szCs w:val="18"/>
                <w:b w:val="1"/>
                <w:bCs w:val="1"/>
                <w:color w:val="auto"/>
                <w:w w:val="93"/>
              </w:rPr>
              <w:t>ADMA Bio Centers Georgia Inc.</w:t>
            </w:r>
          </w:p>
        </w:tc>
      </w:tr>
      <w:tr>
        <w:trPr>
          <w:trHeight w:val="237"/>
        </w:trPr>
        <w:tc>
          <w:tcPr>
            <w:tcW w:w="3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3"/>
          </w:tcPr>
          <w:p>
            <w:pPr>
              <w:ind w:left="1260"/>
              <w:spacing w:after="0"/>
              <w:rPr>
                <w:sz w:val="20"/>
                <w:szCs w:val="20"/>
                <w:color w:val="auto"/>
              </w:rPr>
            </w:pPr>
            <w:r>
              <w:rPr>
                <w:rFonts w:ascii="Arial" w:cs="Arial" w:eastAsia="Arial" w:hAnsi="Arial"/>
                <w:sz w:val="18"/>
                <w:szCs w:val="18"/>
                <w:color w:val="auto"/>
              </w:rPr>
              <w:t>ADMA Bio Centers Georgia Inc.</w:t>
            </w:r>
          </w:p>
        </w:tc>
      </w:tr>
      <w:tr>
        <w:trPr>
          <w:trHeight w:val="404"/>
        </w:trPr>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gridSpan w:val="3"/>
          </w:tcPr>
          <w:p>
            <w:pPr>
              <w:jc w:val="center"/>
              <w:ind w:right="4480"/>
              <w:spacing w:after="0"/>
              <w:rPr>
                <w:sz w:val="20"/>
                <w:szCs w:val="20"/>
                <w:color w:val="auto"/>
              </w:rPr>
            </w:pPr>
            <w:r>
              <w:rPr>
                <w:rFonts w:ascii="Arial" w:cs="Arial" w:eastAsia="Arial" w:hAnsi="Arial"/>
                <w:sz w:val="18"/>
                <w:szCs w:val="18"/>
                <w:b w:val="1"/>
                <w:bCs w:val="1"/>
                <w:color w:val="auto"/>
                <w:w w:val="91"/>
              </w:rPr>
              <w:t>ADMA Plasma Biologics, Inc.</w:t>
            </w:r>
          </w:p>
        </w:tc>
      </w:tr>
      <w:tr>
        <w:trPr>
          <w:trHeight w:val="237"/>
        </w:trPr>
        <w:tc>
          <w:tcPr>
            <w:tcW w:w="3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3"/>
          </w:tcPr>
          <w:p>
            <w:pPr>
              <w:ind w:left="1260"/>
              <w:spacing w:after="0"/>
              <w:rPr>
                <w:sz w:val="20"/>
                <w:szCs w:val="20"/>
                <w:color w:val="auto"/>
              </w:rPr>
            </w:pPr>
            <w:r>
              <w:rPr>
                <w:rFonts w:ascii="Arial" w:cs="Arial" w:eastAsia="Arial" w:hAnsi="Arial"/>
                <w:sz w:val="18"/>
                <w:szCs w:val="18"/>
                <w:color w:val="auto"/>
              </w:rPr>
              <w:t>ADMA Plasma Biologics, Inc.</w:t>
            </w:r>
          </w:p>
        </w:tc>
      </w:tr>
      <w:tr>
        <w:trPr>
          <w:trHeight w:val="404"/>
        </w:trPr>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60" w:type="dxa"/>
            <w:vAlign w:val="bottom"/>
            <w:gridSpan w:val="4"/>
          </w:tcPr>
          <w:p>
            <w:pPr>
              <w:jc w:val="center"/>
              <w:ind w:right="4360"/>
              <w:spacing w:after="0"/>
              <w:rPr>
                <w:sz w:val="20"/>
                <w:szCs w:val="20"/>
                <w:color w:val="auto"/>
              </w:rPr>
            </w:pPr>
            <w:r>
              <w:rPr>
                <w:rFonts w:ascii="Arial" w:cs="Arial" w:eastAsia="Arial" w:hAnsi="Arial"/>
                <w:sz w:val="18"/>
                <w:szCs w:val="18"/>
                <w:b w:val="1"/>
                <w:bCs w:val="1"/>
                <w:color w:val="auto"/>
                <w:w w:val="97"/>
              </w:rPr>
              <w:t>ADMA BioManufacturing, LLC</w:t>
            </w:r>
          </w:p>
        </w:tc>
      </w:tr>
      <w:tr>
        <w:trPr>
          <w:trHeight w:val="236"/>
        </w:trPr>
        <w:tc>
          <w:tcPr>
            <w:tcW w:w="3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360" w:type="dxa"/>
            <w:vAlign w:val="bottom"/>
          </w:tcPr>
          <w:p>
            <w:pPr>
              <w:spacing w:after="0"/>
              <w:rPr>
                <w:sz w:val="20"/>
                <w:szCs w:val="20"/>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76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Delaware</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Name under which business conducted:</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3"/>
          </w:tcPr>
          <w:p>
            <w:pPr>
              <w:ind w:left="1260"/>
              <w:spacing w:after="0"/>
              <w:rPr>
                <w:sz w:val="20"/>
                <w:szCs w:val="20"/>
                <w:color w:val="auto"/>
              </w:rPr>
            </w:pPr>
            <w:r>
              <w:rPr>
                <w:rFonts w:ascii="Arial" w:cs="Arial" w:eastAsia="Arial" w:hAnsi="Arial"/>
                <w:sz w:val="18"/>
                <w:szCs w:val="18"/>
                <w:color w:val="auto"/>
              </w:rPr>
              <w:t>ADMA BioManufacturing, LLC</w:t>
            </w:r>
          </w:p>
        </w:tc>
      </w:tr>
    </w:tbl>
    <w:p>
      <w:pPr>
        <w:sectPr>
          <w:pgSz w:w="11900" w:h="16838" w:orient="portrait"/>
          <w:cols w:equalWidth="0" w:num="1">
            <w:col w:w="11240"/>
          </w:cols>
          <w:pgMar w:left="320" w:top="364"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statements on Form S-8 (File Nos. 333-229921, 333-224492, 333-220058, 333-204590 and 333-193635) and Form S-3 (File Nos. 333-234107 and 333-225048) of our report, dated March 12, 2020 with respect to the consolidated financial statements of ADMA Biologics, Inc. and subsidiaries as of December 31, 2019 and 2018 and for the years then ended and our report dated March 12, 2020 with respect to the effectiveness of internal control over financial reporting of ADMA Biologics, Inc. and subsidiaries as of December 31, 2019, included in this Annual Report on Form 10-K of ADMA Biologics, Inc. for the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ectPr>
          <w:pgSz w:w="11900" w:h="16838" w:orient="portrait"/>
          <w:cols w:equalWidth="0" w:num="1">
            <w:col w:w="11240"/>
          </w:cols>
          <w:pgMar w:left="320" w:top="368"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OF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Adam S. Grossman, certify that:</w:t>
      </w:r>
    </w:p>
    <w:p>
      <w:pPr>
        <w:spacing w:after="0" w:line="225"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2019;</w:t>
      </w:r>
    </w:p>
    <w:p>
      <w:pPr>
        <w:spacing w:after="0" w:line="252" w:lineRule="exact"/>
        <w:rPr>
          <w:rFonts w:ascii="Arial" w:cs="Arial" w:eastAsia="Arial" w:hAnsi="Arial"/>
          <w:sz w:val="18"/>
          <w:szCs w:val="18"/>
          <w:color w:val="auto"/>
        </w:rPr>
      </w:pPr>
    </w:p>
    <w:p>
      <w:pPr>
        <w:jc w:val="both"/>
        <w:ind w:left="500" w:right="280" w:hanging="330"/>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330"/>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330"/>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322"/>
        <w:spacing w:after="0" w:line="263"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322"/>
        <w:spacing w:after="0" w:line="263"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322"/>
        <w:spacing w:after="0" w:line="342" w:lineRule="auto"/>
        <w:tabs>
          <w:tab w:leader="none" w:pos="11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322"/>
        <w:spacing w:after="0" w:line="263"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330"/>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right="620" w:hanging="322"/>
        <w:spacing w:after="0" w:line="342" w:lineRule="auto"/>
        <w:tabs>
          <w:tab w:leader="none" w:pos="11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00" w:hanging="322"/>
        <w:spacing w:after="0" w:line="277" w:lineRule="auto"/>
        <w:tabs>
          <w:tab w:leader="none" w:pos="11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March 12,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680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16"/>
        </w:trPr>
        <w:tc>
          <w:tcPr>
            <w:tcW w:w="68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6800" w:type="dxa"/>
            <w:vAlign w:val="bottom"/>
          </w:tcPr>
          <w:p>
            <w:pPr>
              <w:spacing w:after="0"/>
              <w:rPr>
                <w:sz w:val="20"/>
                <w:szCs w:val="20"/>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68"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Lenz, certify that:</w:t>
      </w:r>
    </w:p>
    <w:p>
      <w:pPr>
        <w:spacing w:after="0" w:line="225"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2019;</w:t>
      </w:r>
    </w:p>
    <w:p>
      <w:pPr>
        <w:spacing w:after="0" w:line="252" w:lineRule="exact"/>
        <w:rPr>
          <w:rFonts w:ascii="Arial" w:cs="Arial" w:eastAsia="Arial" w:hAnsi="Arial"/>
          <w:sz w:val="18"/>
          <w:szCs w:val="18"/>
          <w:color w:val="auto"/>
        </w:rPr>
      </w:pPr>
    </w:p>
    <w:p>
      <w:pPr>
        <w:jc w:val="both"/>
        <w:ind w:left="500" w:right="280" w:hanging="330"/>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330"/>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330"/>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322"/>
        <w:spacing w:after="0" w:line="263"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22"/>
        <w:spacing w:after="0" w:line="263"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22"/>
        <w:spacing w:after="0" w:line="342" w:lineRule="auto"/>
        <w:tabs>
          <w:tab w:leader="none" w:pos="11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22"/>
        <w:spacing w:after="0" w:line="263"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330"/>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right="620" w:hanging="322"/>
        <w:spacing w:after="0" w:line="342" w:lineRule="auto"/>
        <w:tabs>
          <w:tab w:leader="none" w:pos="11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00" w:hanging="322"/>
        <w:spacing w:after="0" w:line="277" w:lineRule="auto"/>
        <w:tabs>
          <w:tab w:leader="none" w:pos="11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March 12,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680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Brian Lenz</w:t>
            </w:r>
          </w:p>
        </w:tc>
      </w:tr>
      <w:tr>
        <w:trPr>
          <w:trHeight w:val="216"/>
        </w:trPr>
        <w:tc>
          <w:tcPr>
            <w:tcW w:w="68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5"/>
              </w:rPr>
              <w:t>Title:  Executive Vice President and Chief Financial Officer</w:t>
            </w:r>
          </w:p>
        </w:tc>
      </w:tr>
      <w:tr>
        <w:trPr>
          <w:trHeight w:val="230"/>
        </w:trPr>
        <w:tc>
          <w:tcPr>
            <w:tcW w:w="6800" w:type="dxa"/>
            <w:vAlign w:val="bottom"/>
          </w:tcPr>
          <w:p>
            <w:pPr>
              <w:spacing w:after="0"/>
              <w:rPr>
                <w:sz w:val="20"/>
                <w:szCs w:val="20"/>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68"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 connection with the annual report of ADMA Biologics, Inc., a Delaware corporation (the “Company”), on Form 10-K for the year ended December 31, 2019,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March 12,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195"/>
        </w:trPr>
        <w:tc>
          <w:tcPr>
            <w:tcW w:w="680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Adam S. Grossman</w:t>
            </w:r>
          </w:p>
        </w:tc>
      </w:tr>
      <w:tr>
        <w:trPr>
          <w:trHeight w:val="216"/>
        </w:trPr>
        <w:tc>
          <w:tcPr>
            <w:tcW w:w="68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and Chief Executive Officer (Principal</w:t>
            </w:r>
          </w:p>
        </w:tc>
      </w:tr>
      <w:tr>
        <w:trPr>
          <w:trHeight w:val="230"/>
        </w:trPr>
        <w:tc>
          <w:tcPr>
            <w:tcW w:w="6800" w:type="dxa"/>
            <w:vAlign w:val="bottom"/>
          </w:tcPr>
          <w:p>
            <w:pPr>
              <w:spacing w:after="0"/>
              <w:rPr>
                <w:sz w:val="20"/>
                <w:szCs w:val="20"/>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Executive Officer)</w:t>
            </w:r>
          </w:p>
        </w:tc>
      </w:tr>
    </w:tbl>
    <w:p>
      <w:pPr>
        <w:sectPr>
          <w:pgSz w:w="11900" w:h="16838" w:orient="portrait"/>
          <w:cols w:equalWidth="0" w:num="1">
            <w:col w:w="11240"/>
          </w:cols>
          <w:pgMar w:left="320" w:top="36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annual report of ADMA Biologics, Inc., a Delaware corporation (the “Company”), on Form 10-K for the year ended December 31, 2019,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spacing w:after="0" w:line="187"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March 12, 2020</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Lenz</w:t>
            </w:r>
          </w:p>
        </w:tc>
      </w:tr>
      <w:tr>
        <w:trPr>
          <w:trHeight w:val="195"/>
        </w:trPr>
        <w:tc>
          <w:tcPr>
            <w:tcW w:w="680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Brian Lenz</w:t>
            </w:r>
          </w:p>
        </w:tc>
      </w:tr>
      <w:tr>
        <w:trPr>
          <w:trHeight w:val="216"/>
        </w:trPr>
        <w:tc>
          <w:tcPr>
            <w:tcW w:w="68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5"/>
              </w:rPr>
              <w:t>Title:  Executive Vice President and Chief Financial Officer</w:t>
            </w:r>
          </w:p>
        </w:tc>
      </w:tr>
      <w:tr>
        <w:trPr>
          <w:trHeight w:val="230"/>
        </w:trPr>
        <w:tc>
          <w:tcPr>
            <w:tcW w:w="6800" w:type="dxa"/>
            <w:vAlign w:val="bottom"/>
          </w:tcPr>
          <w:p>
            <w:pPr>
              <w:spacing w:after="0"/>
              <w:rPr>
                <w:sz w:val="20"/>
                <w:szCs w:val="20"/>
                <w:color w:val="auto"/>
              </w:rPr>
            </w:pPr>
          </w:p>
        </w:tc>
        <w:tc>
          <w:tcPr>
            <w:tcW w:w="4440" w:type="dxa"/>
            <w:vAlign w:val="bottom"/>
          </w:tcPr>
          <w:p>
            <w:pPr>
              <w:ind w:left="5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lowerRoman"/>
      <w:start w:val="3"/>
    </w:lvl>
  </w:abstractNum>
  <w:abstractNum w:abstractNumId="24">
    <w:nsid w:val="2463B9EA"/>
    <w:multiLevelType w:val="hybridMultilevel"/>
    <w:lvl w:ilvl="0">
      <w:lvlJc w:val="left"/>
      <w:lvlText w:val="%1"/>
      <w:numFmt w:val="upperLetter"/>
      <w:start w:val="61"/>
    </w:lvl>
  </w:abstractNum>
  <w:abstractNum w:abstractNumId="25">
    <w:nsid w:val="5E884ADC"/>
    <w:multiLevelType w:val="hybridMultilevel"/>
    <w:lvl w:ilvl="0">
      <w:lvlJc w:val="left"/>
      <w:lvlText w:val="(%1)"/>
      <w:numFmt w:val="lowerRoman"/>
      <w:start w:val="2"/>
    </w:lvl>
  </w:abstractNum>
  <w:abstractNum w:abstractNumId="26">
    <w:nsid w:val="51EAD36B"/>
    <w:multiLevelType w:val="hybridMultilevel"/>
    <w:lvl w:ilvl="0">
      <w:lvlJc w:val="left"/>
      <w:lvlText w:val="(%1)"/>
      <w:numFmt w:val="lowerLetter"/>
      <w:start w:val="1"/>
    </w:lvl>
    <w:lvl w:ilvl="1">
      <w:lvlJc w:val="left"/>
      <w:lvlText w:val="(%2)"/>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2"/>
    </w:lvl>
  </w:abstractNum>
  <w:abstractNum w:abstractNumId="29">
    <w:nsid w:val="153EA438"/>
    <w:multiLevelType w:val="hybridMultilevel"/>
    <w:lvl w:ilvl="0">
      <w:lvlJc w:val="left"/>
      <w:lvlText w:val="%1)"/>
      <w:numFmt w:val="decimal"/>
      <w:start w:val="8"/>
    </w:lvl>
  </w:abstractNum>
  <w:abstractNum w:abstractNumId="30">
    <w:nsid w:val="3855585C"/>
    <w:multiLevelType w:val="hybridMultilevel"/>
    <w:lvl w:ilvl="0">
      <w:lvlJc w:val="left"/>
      <w:lvlText w:val="%1."/>
      <w:numFmt w:val="decimal"/>
      <w:start w:val="3"/>
    </w:lvl>
  </w:abstractNum>
  <w:abstractNum w:abstractNumId="31">
    <w:nsid w:val="70A64E2A"/>
    <w:multiLevelType w:val="hybridMultilevel"/>
    <w:lvl w:ilvl="0">
      <w:lvlJc w:val="left"/>
      <w:lvlText w:val="%1."/>
      <w:numFmt w:val="decimal"/>
      <w:start w:val="4"/>
    </w:lvl>
  </w:abstractNum>
  <w:abstractNum w:abstractNumId="32">
    <w:nsid w:val="6A2342EC"/>
    <w:multiLevelType w:val="hybridMultilevel"/>
    <w:lvl w:ilvl="0">
      <w:lvlJc w:val="left"/>
      <w:lvlText w:val="%1."/>
      <w:numFmt w:val="decimal"/>
      <w:start w:val="6"/>
    </w:lvl>
  </w:abstractNum>
  <w:abstractNum w:abstractNumId="33">
    <w:nsid w:val="2A487CB0"/>
    <w:multiLevelType w:val="hybridMultilevel"/>
    <w:lvl w:ilvl="0">
      <w:lvlJc w:val="left"/>
      <w:lvlText w:val="(%1)"/>
      <w:numFmt w:val="lowerRoman"/>
      <w:start w:val="2"/>
    </w:lvl>
  </w:abstractNum>
  <w:abstractNum w:abstractNumId="34">
    <w:nsid w:val="1D4ED43B"/>
    <w:multiLevelType w:val="hybridMultilevel"/>
    <w:lvl w:ilvl="0">
      <w:lvlJc w:val="left"/>
      <w:lvlText w:val="%1."/>
      <w:numFmt w:val="decimal"/>
      <w:start w:val="8"/>
    </w:lvl>
  </w:abstractNum>
  <w:abstractNum w:abstractNumId="35">
    <w:nsid w:val="725A06FB"/>
    <w:multiLevelType w:val="hybridMultilevel"/>
    <w:lvl w:ilvl="0">
      <w:lvlJc w:val="left"/>
      <w:lvlText w:val="%1."/>
      <w:numFmt w:val="decimal"/>
      <w:start w:val="9"/>
    </w:lvl>
  </w:abstractNum>
  <w:abstractNum w:abstractNumId="36">
    <w:nsid w:val="2CD89A32"/>
    <w:multiLevelType w:val="hybridMultilevel"/>
    <w:lvl w:ilvl="0">
      <w:lvlJc w:val="left"/>
      <w:lvlText w:val="%1."/>
      <w:numFmt w:val="decimal"/>
      <w:start w:val="10"/>
    </w:lvl>
  </w:abstractNum>
  <w:abstractNum w:abstractNumId="37">
    <w:nsid w:val="57E4CCAF"/>
    <w:multiLevelType w:val="hybridMultilevel"/>
    <w:lvl w:ilvl="0">
      <w:lvlJc w:val="left"/>
      <w:lvlText w:val="%1."/>
      <w:numFmt w:val="decimal"/>
      <w:start w:val="11"/>
    </w:lvl>
  </w:abstractNum>
  <w:abstractNum w:abstractNumId="38">
    <w:nsid w:val="7A6D8D3C"/>
    <w:multiLevelType w:val="hybridMultilevel"/>
    <w:lvl w:ilvl="0">
      <w:lvlJc w:val="left"/>
      <w:lvlText w:val="%1."/>
      <w:numFmt w:val="decimal"/>
      <w:start w:val="12"/>
    </w:lvl>
  </w:abstractNum>
  <w:abstractNum w:abstractNumId="39">
    <w:nsid w:val="4B588F54"/>
    <w:multiLevelType w:val="hybridMultilevel"/>
    <w:lvl w:ilvl="0">
      <w:lvlJc w:val="left"/>
      <w:lvlText w:val="%1."/>
      <w:numFmt w:val="decimal"/>
      <w:start w:val="13"/>
    </w:lvl>
  </w:abstractNum>
  <w:abstractNum w:abstractNumId="40">
    <w:nsid w:val="542289EC"/>
    <w:multiLevelType w:val="hybridMultilevel"/>
    <w:lvl w:ilvl="0">
      <w:lvlJc w:val="left"/>
      <w:lvlText w:val="%1."/>
      <w:numFmt w:val="decimal"/>
      <w:start w:val="14"/>
    </w:lvl>
  </w:abstractNum>
  <w:abstractNum w:abstractNumId="41">
    <w:nsid w:val="6DE91B18"/>
    <w:multiLevelType w:val="hybridMultilevel"/>
    <w:lvl w:ilvl="0">
      <w:lvlJc w:val="left"/>
      <w:lvlText w:val="%1."/>
      <w:numFmt w:val="decimal"/>
      <w:start w:val="17"/>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emdash "/>
      <w:numFmt w:val="bullet"/>
      <w:start w:val="1"/>
    </w:lvl>
    <w:lvl w:ilvl="2">
      <w:lvlJc w:val="left"/>
      <w:lvlText w:val="·"/>
      <w:numFmt w:val="bullet"/>
      <w:start w:val="1"/>
    </w:lvl>
  </w:abstractNum>
  <w:abstractNum w:abstractNumId="45">
    <w:nsid w:val="684A481A"/>
    <w:multiLevelType w:val="hybridMultilevel"/>
    <w:lvl w:ilvl="0">
      <w:lvlJc w:val="left"/>
      <w:lvlText w:val="%1."/>
      <w:numFmt w:val="decimal"/>
      <w:start w:val="1"/>
    </w:lvl>
    <w:lvl w:ilvl="1">
      <w:lvlJc w:val="left"/>
      <w:lvlText w:val="\emdash "/>
      <w:numFmt w:val="bullet"/>
      <w:start w:val="1"/>
    </w:lvl>
    <w:lvl w:ilvl="2">
      <w:lvlJc w:val="left"/>
      <w:lvlText w:val="·"/>
      <w:numFmt w:val="bullet"/>
      <w:start w:val="1"/>
    </w:lvl>
  </w:abstractNum>
  <w:abstractNum w:abstractNumId="46">
    <w:nsid w:val="579478FE"/>
    <w:multiLevelType w:val="hybridMultilevel"/>
    <w:lvl w:ilvl="0">
      <w:lvlJc w:val="left"/>
      <w:lvlText w:val="%1."/>
      <w:numFmt w:val="decimal"/>
      <w:start w:val="1"/>
    </w:lvl>
    <w:lvl w:ilvl="1">
      <w:lvlJc w:val="left"/>
      <w:lvlText w:val="·"/>
      <w:numFmt w:val="bullet"/>
      <w:start w:val="1"/>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6" Type="http://schemas.openxmlformats.org/officeDocument/2006/relationships/image" Target="media/image118.png"/><Relationship Id="rId128" Type="http://schemas.openxmlformats.org/officeDocument/2006/relationships/image" Target="media/image119.png"/><Relationship Id="rId130" Type="http://schemas.openxmlformats.org/officeDocument/2006/relationships/image" Target="media/image120.png"/><Relationship Id="rId132" Type="http://schemas.openxmlformats.org/officeDocument/2006/relationships/image" Target="media/image121.png"/><Relationship Id="rId134" Type="http://schemas.openxmlformats.org/officeDocument/2006/relationships/image" Target="media/image122.png"/><Relationship Id="rId136" Type="http://schemas.openxmlformats.org/officeDocument/2006/relationships/image" Target="media/image123.png"/><Relationship Id="rId138" Type="http://schemas.openxmlformats.org/officeDocument/2006/relationships/image" Target="media/image124.png"/><Relationship Id="rId140"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5" Type="http://schemas.openxmlformats.org/officeDocument/2006/relationships/image" Target="media/image128.png"/><Relationship Id="rId147" Type="http://schemas.openxmlformats.org/officeDocument/2006/relationships/image" Target="media/image129.png"/><Relationship Id="rId149" Type="http://schemas.openxmlformats.org/officeDocument/2006/relationships/image" Target="media/image130.png"/><Relationship Id="rId151" Type="http://schemas.openxmlformats.org/officeDocument/2006/relationships/image" Target="media/image131.png"/><Relationship Id="rId153"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6" Type="http://schemas.openxmlformats.org/officeDocument/2006/relationships/image" Target="media/image152.png"/><Relationship Id="rId178" Type="http://schemas.openxmlformats.org/officeDocument/2006/relationships/image" Target="media/image153.png"/><Relationship Id="rId180" Type="http://schemas.openxmlformats.org/officeDocument/2006/relationships/image" Target="media/image154.png"/><Relationship Id="rId182" Type="http://schemas.openxmlformats.org/officeDocument/2006/relationships/image" Target="media/image155.png"/><Relationship Id="rId184" Type="http://schemas.openxmlformats.org/officeDocument/2006/relationships/image" Target="media/image156.png"/><Relationship Id="rId186" Type="http://schemas.openxmlformats.org/officeDocument/2006/relationships/image" Target="media/image157.png"/><Relationship Id="rId188" Type="http://schemas.openxmlformats.org/officeDocument/2006/relationships/image" Target="media/image158.png"/><Relationship Id="rId190" Type="http://schemas.openxmlformats.org/officeDocument/2006/relationships/image" Target="media/image159.png"/><Relationship Id="rId192" Type="http://schemas.openxmlformats.org/officeDocument/2006/relationships/image" Target="media/image160.png"/><Relationship Id="rId194" Type="http://schemas.openxmlformats.org/officeDocument/2006/relationships/image" Target="media/image161.png"/><Relationship Id="rId196" Type="http://schemas.openxmlformats.org/officeDocument/2006/relationships/image" Target="media/image162.png"/><Relationship Id="rId198"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9" Type="http://schemas.openxmlformats.org/officeDocument/2006/relationships/image" Target="media/image169.png"/><Relationship Id="rId211" Type="http://schemas.openxmlformats.org/officeDocument/2006/relationships/image" Target="media/image170.png"/><Relationship Id="rId213"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9" Type="http://schemas.openxmlformats.org/officeDocument/2006/relationships/image" Target="media/image174.png"/><Relationship Id="rId221" Type="http://schemas.openxmlformats.org/officeDocument/2006/relationships/image" Target="media/image175.png"/><Relationship Id="rId225" Type="http://schemas.openxmlformats.org/officeDocument/2006/relationships/image" Target="media/image176.png"/><Relationship Id="rId226" Type="http://schemas.openxmlformats.org/officeDocument/2006/relationships/image" Target="media/image177.png"/><Relationship Id="rId227" Type="http://schemas.openxmlformats.org/officeDocument/2006/relationships/image" Target="media/image178.png"/><Relationship Id="rId228" Type="http://schemas.openxmlformats.org/officeDocument/2006/relationships/image" Target="media/image179.png"/><Relationship Id="rId229" Type="http://schemas.openxmlformats.org/officeDocument/2006/relationships/image" Target="media/image180.png"/><Relationship Id="rId230" Type="http://schemas.openxmlformats.org/officeDocument/2006/relationships/image" Target="media/image181.png"/><Relationship Id="rId231" Type="http://schemas.openxmlformats.org/officeDocument/2006/relationships/image" Target="media/image182.png"/><Relationship Id="rId232" Type="http://schemas.openxmlformats.org/officeDocument/2006/relationships/image" Target="media/image183.png"/><Relationship Id="rId233" Type="http://schemas.openxmlformats.org/officeDocument/2006/relationships/image" Target="media/image184.png"/><Relationship Id="rId234" Type="http://schemas.openxmlformats.org/officeDocument/2006/relationships/image" Target="media/image185.png"/><Relationship Id="rId235"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125" Type="http://schemas.openxmlformats.org/officeDocument/2006/relationships/hyperlink" Target="http://www.sec.gov/Archives/edgar/data/1368514/000119380517000054/e615690_ex2-1.htm" TargetMode="External"/><Relationship Id="rId127" Type="http://schemas.openxmlformats.org/officeDocument/2006/relationships/hyperlink" Target="http://www.sec.gov/Archives/edgar/data/1368514/000119380517001080/e616248_ex3-1.htm" TargetMode="External"/><Relationship Id="rId129" Type="http://schemas.openxmlformats.org/officeDocument/2006/relationships/hyperlink" Target="http://www.sec.gov/Archives/edgar/data/1368514/000119380516004084/e615468_ex3-1.htm" TargetMode="External"/><Relationship Id="rId131" Type="http://schemas.openxmlformats.org/officeDocument/2006/relationships/hyperlink" Target="http://www.sec.gov/Archives/edgar/data/1368514/000119380512000555/e609522_ex4-1.htm" TargetMode="External"/><Relationship Id="rId133" Type="http://schemas.openxmlformats.org/officeDocument/2006/relationships/hyperlink" Target="http://www.sec.gov/Archives/edgar/data/1368514/000119380513000287/e610467_ex4-3.htm" TargetMode="External"/><Relationship Id="rId135" Type="http://schemas.openxmlformats.org/officeDocument/2006/relationships/hyperlink" Target="http://www.sec.gov/Archives/edgar/data/1368514/000119380516003247/e615009_ex4-6.htm" TargetMode="External"/><Relationship Id="rId137" Type="http://schemas.openxmlformats.org/officeDocument/2006/relationships/hyperlink" Target="http://www.sec.gov/Archives/edgar/data/1368514/000119380517003270/e617372_ex4-2.htm" TargetMode="External"/><Relationship Id="rId139" Type="http://schemas.openxmlformats.org/officeDocument/2006/relationships/hyperlink" Target="http://www.sec.gov/Archives/edgar/data/1368514/000119380519000160/e618213_ex4-2.htm" TargetMode="External"/><Relationship Id="rId141" Type="http://schemas.openxmlformats.org/officeDocument/2006/relationships/hyperlink" Target="http://www.sec.gov/Archives/edgar/data/1368514/000119380519000160/e618213_ex4-1.htm" TargetMode="External"/><Relationship Id="rId144" Type="http://schemas.openxmlformats.org/officeDocument/2006/relationships/hyperlink" Target="http://www.sec.gov/Archives/edgar/data/1368514/000119380512001750/e610168_def14c-adma.htm" TargetMode="External"/><Relationship Id="rId146" Type="http://schemas.openxmlformats.org/officeDocument/2006/relationships/hyperlink" Target="http://www.sec.gov/Archives/edgar/data/1368514/000119380517001506/e616485_ex10-1.htm" TargetMode="External"/><Relationship Id="rId148" Type="http://schemas.openxmlformats.org/officeDocument/2006/relationships/hyperlink" Target="http://www.sec.gov/Archives/edgar/data/1368514/000119380519000098/e618169_ex10-1.htm" TargetMode="External"/><Relationship Id="rId150" Type="http://schemas.openxmlformats.org/officeDocument/2006/relationships/hyperlink" Target="http://www.sec.gov/Archives/edgar/data/1368514/000119380519000098/e618169_ex10-3.htm" TargetMode="External"/><Relationship Id="rId152" Type="http://schemas.openxmlformats.org/officeDocument/2006/relationships/hyperlink" Target="http://www.sec.gov/Archives/edgar/data/1368514/000119380519000098/e618169_ex10-2.htm" TargetMode="External"/><Relationship Id="rId154" Type="http://schemas.openxmlformats.org/officeDocument/2006/relationships/hyperlink" Target="http://www.sec.gov/Archives/edgar/data/1368514/000119380512001076/e609784_ex10-9.htm" TargetMode="External"/><Relationship Id="rId172" Type="http://schemas.openxmlformats.org/officeDocument/2006/relationships/hyperlink" Target="http://www.sec.gov/Archives/edgar/data/1368514/000119380516002889/e614766_ex10-31.htm" TargetMode="External"/><Relationship Id="rId175" Type="http://schemas.openxmlformats.org/officeDocument/2006/relationships/hyperlink" Target="http://www.sec.gov/Archives/edgar/data/1368514/000119380516003247/e615009_ex10-32.htm" TargetMode="External"/><Relationship Id="rId177" Type="http://schemas.openxmlformats.org/officeDocument/2006/relationships/hyperlink" Target="http://www.sec.gov/Archives/edgar/data/1368514/000119380517001446/e616455_ex10-9.htm" TargetMode="External"/><Relationship Id="rId179" Type="http://schemas.openxmlformats.org/officeDocument/2006/relationships/hyperlink" Target="http://www.sec.gov/Archives/edgar/data/1368514/000119380519000012/e618132_ex10-1.htm" TargetMode="External"/><Relationship Id="rId181" Type="http://schemas.openxmlformats.org/officeDocument/2006/relationships/hyperlink" Target="http://www.sec.gov/Archives/edgar/data/1368514/000119380517001446/e616455_ex10-5.htm" TargetMode="External"/><Relationship Id="rId183" Type="http://schemas.openxmlformats.org/officeDocument/2006/relationships/hyperlink" Target="http://www.sec.gov/Archives/edgar/data/1368514/000119380518001059/e618214_ex10-2.htm" TargetMode="External"/><Relationship Id="rId185" Type="http://schemas.openxmlformats.org/officeDocument/2006/relationships/hyperlink" Target="http://www.sec.gov/Archives/edgar/data/1368514/000119380517001446/e616455_ex10-6.htm" TargetMode="External"/><Relationship Id="rId187" Type="http://schemas.openxmlformats.org/officeDocument/2006/relationships/hyperlink" Target="http://www.sec.gov/Archives/edgar/data/1368514/000119380518001059/e618214_ex10-3.htm" TargetMode="External"/><Relationship Id="rId189" Type="http://schemas.openxmlformats.org/officeDocument/2006/relationships/hyperlink" Target="http://www.sec.gov/Archives/edgar/data/1368514/000119380516003725/e615266_ex10-18.htm" TargetMode="External"/><Relationship Id="rId191" Type="http://schemas.openxmlformats.org/officeDocument/2006/relationships/hyperlink" Target="http://www.sec.gov/Archives/edgar/data/1368514/000119380517000330/e615811_ex10-22.htm" TargetMode="External"/><Relationship Id="rId193" Type="http://schemas.openxmlformats.org/officeDocument/2006/relationships/hyperlink" Target="http://www.sec.gov/Archives/edgar/data/1368514/000119380517001446/e616455_ex10-7.htm" TargetMode="External"/><Relationship Id="rId195" Type="http://schemas.openxmlformats.org/officeDocument/2006/relationships/hyperlink" Target="http://www.sec.gov/Archives/edgar/data/1368514/000119380518001014/e618190_ex10-2.htm" TargetMode="External"/><Relationship Id="rId197" Type="http://schemas.openxmlformats.org/officeDocument/2006/relationships/hyperlink" Target="http://www.sec.gov/Archives/edgar/data/1368514/000119380512000196/e609275_ex10-12.htm" TargetMode="External"/><Relationship Id="rId199" Type="http://schemas.openxmlformats.org/officeDocument/2006/relationships/hyperlink" Target="http://www.sec.gov/Archives/edgar/data/1368514/000119380517001080/e616248_ex10-1.htm" TargetMode="External"/><Relationship Id="rId202" Type="http://schemas.openxmlformats.org/officeDocument/2006/relationships/hyperlink" Target="http://www.sec.gov/Archives/edgar/data/1368514/000119380518001014/e618190_ex10-1.htm" TargetMode="External"/><Relationship Id="rId203" Type="http://schemas.openxmlformats.org/officeDocument/2006/relationships/hyperlink" Target="http://www.sec.gov/Archives/edgar/data/1368514/000119380519000160/e618213_ex10-1.htm" TargetMode="External"/><Relationship Id="rId204" Type="http://schemas.openxmlformats.org/officeDocument/2006/relationships/hyperlink" Target="http://www.sec.gov/Archives/edgar/data/1368514/000119380519000160/e618213_ex10-2.htm" TargetMode="External"/><Relationship Id="rId208" Type="http://schemas.openxmlformats.org/officeDocument/2006/relationships/hyperlink" Target="http://www.sec.gov/Archives/edgar/data/1368514/000119380513000287/e610467_ex10-21.htm" TargetMode="External"/><Relationship Id="rId210" Type="http://schemas.openxmlformats.org/officeDocument/2006/relationships/hyperlink" Target="http://www.sec.gov/Archives/edgar/data/1368514/000119380517001446/e616455_ex10-8.htm" TargetMode="External"/><Relationship Id="rId212" Type="http://schemas.openxmlformats.org/officeDocument/2006/relationships/hyperlink" Target="http://www.sec.gov/Archives/edgar/data/1368514/000119380518000470/e617768_ex10-24.htm" TargetMode="External"/><Relationship Id="rId214" Type="http://schemas.openxmlformats.org/officeDocument/2006/relationships/hyperlink" Target="http://www.sec.gov/Archives/edgar/data/1368514/000119380518000470/e617768_ex10-241.htm" TargetMode="External"/><Relationship Id="rId215" Type="http://schemas.openxmlformats.org/officeDocument/2006/relationships/hyperlink" Target="http://www.sec.gov/Archives/edgar/data/1368514/000119380518000470/e617768_ex10-242.htm" TargetMode="External"/><Relationship Id="rId218" Type="http://schemas.openxmlformats.org/officeDocument/2006/relationships/hyperlink" Target="http://www.sec.gov/Archives/edgar/data/1368514/000119380517001080/e616248_ex10-2.htm" TargetMode="External"/><Relationship Id="rId220" Type="http://schemas.openxmlformats.org/officeDocument/2006/relationships/hyperlink" Target="http://www.sec.gov/Archives/edgar/data/1368514/000119380517001446/e616455_ex10-4.htm" TargetMode="External"/><Relationship Id="rId222" Type="http://schemas.openxmlformats.org/officeDocument/2006/relationships/hyperlink" Target="http://www.sec.gov/Archives/edgar/data/1368514/000119380519000281/e618283_ex10-22.htm" TargetMode="External"/><Relationship Id="rId223" Type="http://schemas.openxmlformats.org/officeDocument/2006/relationships/hyperlink" Target="http://www.sec.gov/Archives/edgar/data/1368514/000119380518001059/e618214_ex10-1.htm" TargetMode="External"/><Relationship Id="rId224" Type="http://schemas.openxmlformats.org/officeDocument/2006/relationships/hyperlink" Target="http://www.sec.gov/Archives/edgar/data/1368514/000119380519000798/e618638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2020-03-13T05:13:40Z</dcterms:created>
  <dcterms:modified xsi:type="dcterms:W3CDTF">2020-03-13T05:13:40Z</dcterms:modified>
</cp:coreProperties>
</file>