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Grossman Adam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ADMA BIOLOGICS,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 STATE ROUTE 17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ADMA BIOLOGICS,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ADMA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200" w:space="615"/>
            <w:col w:w="3345"/>
          </w:cols>
          <w:pgMar w:left="460" w:top="219" w:right="359" w:bottom="8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RAMSEY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07446</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02/26/2026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54,858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15.18</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2,204,728</w:t>
            </w:r>
            <w:r>
              <w:rPr>
                <w:rFonts w:ascii="Times New Roman" w:cs="Times New Roman" w:eastAsia="Times New Roman" w:hAnsi="Times New Roman"/>
                <w:sz w:val="11"/>
                <w:szCs w:val="11"/>
                <w:color w:val="008000"/>
                <w:w w:val="83"/>
              </w:rPr>
              <w:t>(2)(3)(4)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1,143,426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580,957</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mandatory tax withholding requirements upon vesting of restricted stock units ("RSUs"). This is not an open market sale of securities.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282,529 unvested RSUs granted on February 9, 2026, vesting quarterly on each annual anniversary of the date of grant over four years, subject to the Reporting Person's continued service as of the applicable vesting date and that will be settled into common stock upon vesting; (ii) 189,017 unvested RSUs out of 252,022 RSUs granted on February 19, 2025, vesting quarterly on each annual anniversary of the date of grant over four years, subject to the Reporting Person's continued service as of the applicable vesting date and that will be settled into common stock upon vesting;</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(iii) 278,864 unvested RSUs out of 557,728 RSUs granted on February 26, 2024, vesting quarterly on each annual anniversary of the date of grant over four years, subject to the Reporting Person's continued service as of the applicable vesting date and that will be settled into common stock upon vesting; (iv) 286,848 unvested RSUs out of 573,695 RSUs granted on March 6, 2023 that will vest quarterly on each annual anniversary of the date of grant, over four years, subject to the Reporting Person's continued service as of the applicable vesting date and that will be settled into common stock upon vesting;</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(v) 75,000 unvested RSUs out of 300,000 RSUs granted on March 7, 2022 that will vest quarterly on each annual anniversary of the date of grant, over four years, subject to the Reporting Person's continued service as of the applicable vesting date and that will be settled into common stock upon vesting; and (vi) 1,092,470 shares of common stock owned by the Reporting Person, which reflects prior purchases and the prior net settlement upon vesting of previously granted RSUs after the withholding of shares to cover applicable taxes.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Areth, LLC ("Areth"). The Reporting Person is a control person of Areth.</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Hariden, LLC ("Hariden"). The Reporting Person is the managing member of Hariden.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Adam S. Grossman,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5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Michael A. Goldstein as</w:t>
      </w:r>
      <w:r>
        <w:rPr>
          <w:sz w:val="20"/>
          <w:szCs w:val="20"/>
          <w:color w:val="auto"/>
        </w:rPr>
        <w:tab/>
      </w: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2517"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2026-03-02T20:02:27Z</dcterms:created>
  <dcterms:modified xsi:type="dcterms:W3CDTF">2026-03-02T20:02:27Z</dcterms:modified>
</cp:coreProperties>
</file>