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ef20070429_10q.htm"/>
      <w:bookmarkStart w:id="1" w:name="ksef20070429_10q"/>
      <w:bookmarkStart w:id="2" w:name="ef20070429_10q.htm"/>
      <w:bookmarkStart w:id="3" w:name="ksef20070429_10q"/>
      <w:bookmarkEnd w:id="2"/>
      <w:bookmarkEnd w:id="3"/>
    </w:p>
    <w:p>
      <w:pPr>
        <w:pStyle w:val="TextBody"/>
        <w:bidi w:val="0"/>
        <w:spacing w:before="0" w:after="0"/>
        <w:jc w:val="center"/>
        <w:rPr>
          <w:rFonts w:ascii="Times New Roman" w:hAnsi="Times New Roman"/>
          <w:sz w:val="28"/>
        </w:rPr>
      </w:pPr>
      <w:r>
        <w:rPr>
          <w:rFonts w:ascii="Times New Roman" w:hAnsi="Times New Roman"/>
          <w:b/>
          <w:sz w:val="28"/>
        </w:rPr>
        <w:t>UNITED STATES</w:t>
      </w:r>
      <w:r>
        <w:rPr>
          <w:rFonts w:ascii="Times New Roman" w:hAnsi="Times New Roman"/>
          <w:sz w:val="28"/>
        </w:rPr>
        <w:t xml:space="preserve"> </w:t>
      </w:r>
    </w:p>
    <w:p>
      <w:pPr>
        <w:pStyle w:val="TextBody"/>
        <w:bidi w:val="0"/>
        <w:spacing w:before="0" w:after="0"/>
        <w:jc w:val="center"/>
        <w:rPr>
          <w:rFonts w:ascii="Times New Roman" w:hAnsi="Times New Roman"/>
          <w:sz w:val="28"/>
        </w:rPr>
      </w:pPr>
      <w:r>
        <w:rPr>
          <w:rFonts w:ascii="Times New Roman" w:hAnsi="Times New Roman"/>
          <w:b/>
          <w:sz w:val="28"/>
        </w:rPr>
        <w:t>SECURITIES AND EXCHANGE COMMISSION</w:t>
      </w:r>
      <w:r>
        <w:rPr>
          <w:rFonts w:ascii="Times New Roman" w:hAnsi="Times New Roman"/>
          <w:sz w:val="28"/>
        </w:rPr>
        <w:t xml:space="preserve"> </w:t>
      </w:r>
    </w:p>
    <w:p>
      <w:pPr>
        <w:pStyle w:val="TextBody"/>
        <w:bidi w:val="0"/>
        <w:spacing w:before="0" w:after="0"/>
        <w:jc w:val="center"/>
        <w:rPr>
          <w:rFonts w:ascii="Times New Roman" w:hAnsi="Times New Roman"/>
          <w:sz w:val="24"/>
        </w:rPr>
      </w:pPr>
      <w:r>
        <w:rPr>
          <w:rFonts w:ascii="Times New Roman" w:hAnsi="Times New Roman"/>
          <w:b/>
          <w:sz w:val="24"/>
        </w:rPr>
        <w:t>WASHINGTON, D.C. 20549</w:t>
      </w:r>
      <w:r>
        <w:rPr>
          <w:rFonts w:ascii="Times New Roman" w:hAnsi="Times New Roman"/>
          <w:sz w:val="24"/>
        </w:rPr>
        <w:t xml:space="preserve"> </w:t>
      </w:r>
    </w:p>
    <w:p>
      <w:pPr>
        <w:pStyle w:val="TextBody"/>
        <w:bidi w:val="0"/>
        <w:spacing w:before="0" w:after="0"/>
        <w:jc w:val="center"/>
        <w:rPr/>
      </w:pPr>
      <w:r>
        <w:rPr/>
        <w:t xml:space="preserve">  </w:t>
      </w:r>
    </w:p>
    <w:p>
      <w:pPr>
        <w:pStyle w:val="TextBody"/>
        <w:bidi w:val="0"/>
        <w:spacing w:before="0" w:after="0"/>
        <w:jc w:val="center"/>
        <w:rPr>
          <w:rFonts w:ascii="Times New Roman" w:hAnsi="Times New Roman"/>
          <w:b/>
          <w:sz w:val="36"/>
        </w:rPr>
      </w:pPr>
      <w:r>
        <w:rPr>
          <w:rFonts w:ascii="Times New Roman" w:hAnsi="Times New Roman"/>
          <w:b/>
          <w:sz w:val="36"/>
        </w:rPr>
        <w:t xml:space="preserve">FORM 10-Q </w:t>
      </w:r>
    </w:p>
    <w:p>
      <w:pPr>
        <w:pStyle w:val="TextBody"/>
        <w:bidi w:val="0"/>
        <w:spacing w:before="0" w:after="0"/>
        <w:jc w:val="center"/>
        <w:rPr/>
      </w:pPr>
      <w:r>
        <w:rPr/>
        <w:t xml:space="preserve">  </w:t>
      </w:r>
    </w:p>
    <w:p>
      <w:pPr>
        <w:pStyle w:val="TextBody"/>
        <w:bidi w:val="0"/>
        <w:spacing w:before="0" w:after="0"/>
        <w:jc w:val="left"/>
        <w:rPr>
          <w:rFonts w:ascii="Times New Roman" w:hAnsi="Times New Roman"/>
          <w:sz w:val="20"/>
        </w:rPr>
      </w:pPr>
      <w:r>
        <w:rPr>
          <w:rFonts w:ascii="Times New Roman" w:hAnsi="Times New Roman"/>
          <w:sz w:val="20"/>
        </w:rPr>
        <w:t xml:space="preserve">(Mark One) </w:t>
      </w:r>
    </w:p>
    <w:p>
      <w:pPr>
        <w:pStyle w:val="TextBody"/>
        <w:bidi w:val="0"/>
        <w:spacing w:before="0" w:after="0"/>
        <w:ind w:left="0" w:right="0" w:hanging="720"/>
        <w:jc w:val="left"/>
        <w:rPr>
          <w:rFonts w:ascii="Times New Roman" w:hAnsi="Times New Roman"/>
          <w:sz w:val="20"/>
        </w:rPr>
      </w:pPr>
      <w:r>
        <w:rPr>
          <w:rFonts w:ascii="Times New Roman" w:hAnsi="Times New Roman"/>
          <w:sz w:val="20"/>
        </w:rPr>
        <w:t xml:space="preserve">QUARTERLY REPORT PURSUANT TO SECTION 13 OR 15(d) OF THE SECURITIES </w:t>
      </w:r>
      <w:r>
        <mc:AlternateContent>
          <mc:Choice Requires="wps">
            <w:drawing>
              <wp:anchor behindDoc="0" distT="0" distB="0" distL="0" distR="0" simplePos="0" locked="0" layoutInCell="1" allowOverlap="1" relativeHeight="2">
                <wp:simplePos x="0" y="0"/>
                <wp:positionH relativeFrom="column">
                  <wp:align>left</wp:align>
                </wp:positionH>
                <wp:positionV relativeFrom="line">
                  <wp:posOffset>635</wp:posOffset>
                </wp:positionV>
                <wp:extent cx="457200" cy="175260"/>
                <wp:effectExtent l="0" t="0" r="0" b="0"/>
                <wp:wrapSquare wrapText="right"/>
                <wp:docPr id="1" name="Frame1"/>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 xml:space="preserve">☒ </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 xml:space="preserve">☒ </w:t>
                      </w:r>
                    </w:p>
                  </w:txbxContent>
                </v:textbox>
                <w10:wrap type="square" side="right"/>
              </v:rect>
            </w:pict>
          </mc:Fallback>
        </mc:AlternateContent>
      </w:r>
    </w:p>
    <w:p>
      <w:pPr>
        <w:pStyle w:val="TextBody"/>
        <w:bidi w:val="0"/>
        <w:spacing w:before="0" w:after="0"/>
        <w:ind w:left="720" w:right="0" w:hanging="0"/>
        <w:jc w:val="left"/>
        <w:rPr>
          <w:rFonts w:ascii="Times New Roman" w:hAnsi="Times New Roman"/>
          <w:sz w:val="20"/>
        </w:rPr>
      </w:pPr>
      <w:r>
        <w:rPr>
          <w:rFonts w:ascii="Times New Roman" w:hAnsi="Times New Roman"/>
          <w:sz w:val="20"/>
        </w:rPr>
        <w:t>EXCHANGE ACT OF 1934</w:t>
      </w:r>
    </w:p>
    <w:p>
      <w:pPr>
        <w:pStyle w:val="TextBody"/>
        <w:bidi w:val="0"/>
        <w:spacing w:before="0" w:after="0"/>
        <w:ind w:left="720" w:right="0" w:hanging="0"/>
        <w:jc w:val="left"/>
        <w:rPr>
          <w:rFonts w:ascii="Times New Roman" w:hAnsi="Times New Roman"/>
          <w:sz w:val="20"/>
        </w:rPr>
      </w:pPr>
      <w:r>
        <w:rPr>
          <w:rFonts w:ascii="Times New Roman" w:hAnsi="Times New Roman"/>
          <w:sz w:val="20"/>
        </w:rPr>
        <w:t xml:space="preserve">For the quarterly period ended </w:t>
      </w:r>
      <w:r>
        <w:rPr>
          <w:rFonts w:ascii="Times New Roman" w:hAnsi="Times New Roman"/>
          <w:sz w:val="20"/>
          <w:u w:val="single"/>
        </w:rPr>
        <w:t>March 31, 2026</w:t>
      </w:r>
      <w:r>
        <w:rPr>
          <w:rFonts w:ascii="Times New Roman" w:hAnsi="Times New Roman"/>
          <w:sz w:val="20"/>
        </w:rPr>
        <w:t xml:space="preserve"> </w:t>
      </w:r>
    </w:p>
    <w:p>
      <w:pPr>
        <w:pStyle w:val="TextBody"/>
        <w:bidi w:val="0"/>
        <w:spacing w:before="0" w:after="0"/>
        <w:ind w:left="720" w:right="0" w:hanging="0"/>
        <w:jc w:val="left"/>
        <w:rPr/>
      </w:pPr>
      <w:r>
        <w:rPr/>
        <w:t xml:space="preserve">  </w:t>
      </w:r>
    </w:p>
    <w:p>
      <w:pPr>
        <w:pStyle w:val="TextBody"/>
        <w:bidi w:val="0"/>
        <w:spacing w:before="0" w:after="0"/>
        <w:jc w:val="center"/>
        <w:rPr>
          <w:rFonts w:ascii="Times New Roman" w:hAnsi="Times New Roman"/>
          <w:sz w:val="20"/>
        </w:rPr>
      </w:pPr>
      <w:r>
        <w:rPr>
          <w:rFonts w:ascii="Times New Roman" w:hAnsi="Times New Roman"/>
          <w:sz w:val="20"/>
        </w:rPr>
        <w:t xml:space="preserve">OR </w:t>
      </w:r>
    </w:p>
    <w:p>
      <w:pPr>
        <w:pStyle w:val="TextBody"/>
        <w:bidi w:val="0"/>
        <w:spacing w:before="0" w:after="0"/>
        <w:jc w:val="center"/>
        <w:rPr/>
      </w:pPr>
      <w:r>
        <w:rPr/>
        <w:t xml:space="preserve">  </w:t>
      </w:r>
    </w:p>
    <w:p>
      <w:pPr>
        <w:pStyle w:val="TextBody"/>
        <w:bidi w:val="0"/>
        <w:spacing w:before="0" w:after="0"/>
        <w:ind w:left="0" w:right="0" w:hanging="720"/>
        <w:jc w:val="left"/>
        <w:rPr>
          <w:rFonts w:ascii="Times New Roman" w:hAnsi="Times New Roman"/>
          <w:sz w:val="20"/>
        </w:rPr>
      </w:pPr>
      <w:r>
        <w:rPr>
          <w:rFonts w:ascii="Times New Roman" w:hAnsi="Times New Roman"/>
          <w:sz w:val="20"/>
        </w:rPr>
        <w:t xml:space="preserve">TRANSITION REPORT PURSUANT TO SECTION 13 OR 15(d) OF THE SECURITIES </w:t>
      </w:r>
      <w:r>
        <mc:AlternateContent>
          <mc:Choice Requires="wps">
            <w:drawing>
              <wp:anchor behindDoc="0" distT="0" distB="0" distL="0" distR="0" simplePos="0" locked="0" layoutInCell="1" allowOverlap="1" relativeHeight="3">
                <wp:simplePos x="0" y="0"/>
                <wp:positionH relativeFrom="column">
                  <wp:align>left</wp:align>
                </wp:positionH>
                <wp:positionV relativeFrom="line">
                  <wp:posOffset>635</wp:posOffset>
                </wp:positionV>
                <wp:extent cx="457200" cy="175260"/>
                <wp:effectExtent l="0" t="0" r="0" b="0"/>
                <wp:wrapSquare wrapText="right"/>
                <wp:docPr id="2" name="Frame2"/>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 xml:space="preserve">☐ </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 xml:space="preserve">☐ </w:t>
                      </w:r>
                    </w:p>
                  </w:txbxContent>
                </v:textbox>
                <w10:wrap type="square" side="right"/>
              </v:rect>
            </w:pict>
          </mc:Fallback>
        </mc:AlternateContent>
      </w:r>
    </w:p>
    <w:p>
      <w:pPr>
        <w:pStyle w:val="TextBody"/>
        <w:bidi w:val="0"/>
        <w:spacing w:before="0" w:after="0"/>
        <w:ind w:left="720" w:right="0" w:hanging="0"/>
        <w:jc w:val="left"/>
        <w:rPr>
          <w:rFonts w:ascii="Times New Roman" w:hAnsi="Times New Roman"/>
          <w:sz w:val="20"/>
        </w:rPr>
      </w:pPr>
      <w:r>
        <w:rPr>
          <w:rFonts w:ascii="Times New Roman" w:hAnsi="Times New Roman"/>
          <w:sz w:val="20"/>
        </w:rPr>
        <w:t>EXCHANGE ACT OF 1934</w:t>
      </w:r>
    </w:p>
    <w:p>
      <w:pPr>
        <w:pStyle w:val="TextBody"/>
        <w:bidi w:val="0"/>
        <w:spacing w:before="0" w:after="0"/>
        <w:ind w:left="720" w:right="0" w:hanging="0"/>
        <w:jc w:val="left"/>
        <w:rPr>
          <w:rFonts w:ascii="Times New Roman" w:hAnsi="Times New Roman"/>
          <w:sz w:val="20"/>
        </w:rPr>
      </w:pPr>
      <w:r>
        <w:rPr>
          <w:rFonts w:ascii="Times New Roman" w:hAnsi="Times New Roman"/>
          <w:sz w:val="20"/>
        </w:rPr>
        <w:t xml:space="preserve">For the transition period from ________ to ________ </w:t>
      </w:r>
    </w:p>
    <w:p>
      <w:pPr>
        <w:pStyle w:val="TextBody"/>
        <w:bidi w:val="0"/>
        <w:spacing w:before="0" w:after="0"/>
        <w:jc w:val="center"/>
        <w:rPr>
          <w:rFonts w:ascii="Times New Roman" w:hAnsi="Times New Roman"/>
          <w:sz w:val="20"/>
        </w:rPr>
      </w:pPr>
      <w:r>
        <w:rPr>
          <w:rFonts w:ascii="Times New Roman" w:hAnsi="Times New Roman"/>
          <w:sz w:val="20"/>
        </w:rPr>
        <w:t xml:space="preserve">Commission file number </w:t>
      </w:r>
      <w:r>
        <w:rPr>
          <w:rFonts w:ascii="Times New Roman" w:hAnsi="Times New Roman"/>
          <w:sz w:val="20"/>
          <w:u w:val="single"/>
        </w:rPr>
        <w:t>001-36728</w:t>
      </w:r>
    </w:p>
    <w:p>
      <w:pPr>
        <w:pStyle w:val="TextBody"/>
        <w:bidi w:val="0"/>
        <w:spacing w:before="0" w:after="0"/>
        <w:jc w:val="center"/>
        <w:rPr>
          <w:rFonts w:ascii="Times New Roman" w:hAnsi="Times New Roman"/>
          <w:sz w:val="48"/>
        </w:rPr>
      </w:pPr>
      <w:r>
        <w:rPr>
          <w:rFonts w:ascii="Times New Roman" w:hAnsi="Times New Roman"/>
          <w:b/>
          <w:color w:val="000000"/>
          <w:sz w:val="48"/>
          <w:u w:val="single"/>
        </w:rPr>
        <w:t>ADMA BIOLOGICS, INC.</w:t>
      </w:r>
      <w:r>
        <w:rPr>
          <w:rFonts w:ascii="Times New Roman" w:hAnsi="Times New Roman"/>
          <w:sz w:val="48"/>
        </w:rPr>
        <w:t xml:space="preserve"> </w:t>
      </w:r>
    </w:p>
    <w:p>
      <w:pPr>
        <w:pStyle w:val="TextBody"/>
        <w:bidi w:val="0"/>
        <w:spacing w:before="0" w:after="0"/>
        <w:jc w:val="center"/>
        <w:rPr>
          <w:rFonts w:ascii="Times New Roman" w:hAnsi="Times New Roman"/>
          <w:sz w:val="20"/>
        </w:rPr>
      </w:pPr>
      <w:r>
        <w:rPr>
          <w:rFonts w:ascii="Times New Roman" w:hAnsi="Times New Roman"/>
          <w:color w:val="000000"/>
          <w:sz w:val="20"/>
        </w:rPr>
        <w:t>(Exact name of registrant as specified in its charter)</w:t>
      </w:r>
      <w:r>
        <w:rPr>
          <w:rFonts w:ascii="Times New Roman" w:hAnsi="Times New Roman"/>
          <w:sz w:val="20"/>
        </w:rPr>
        <w:t xml:space="preserve"> </w:t>
      </w:r>
    </w:p>
    <w:p>
      <w:pPr>
        <w:pStyle w:val="TextBody"/>
        <w:bidi w:val="0"/>
        <w:spacing w:before="0" w:after="0"/>
        <w:jc w:val="left"/>
        <w:rPr/>
      </w:pPr>
      <w:r>
        <w:rPr/>
        <w:t xml:space="preserve">  </w:t>
      </w:r>
    </w:p>
    <w:tbl>
      <w:tblPr>
        <w:tblW w:w="9538" w:type="dxa"/>
        <w:jc w:val="left"/>
        <w:tblInd w:w="0" w:type="dxa"/>
        <w:tblLayout w:type="fixed"/>
        <w:tblCellMar>
          <w:top w:w="28" w:type="dxa"/>
          <w:left w:w="28" w:type="dxa"/>
          <w:bottom w:w="28" w:type="dxa"/>
          <w:right w:w="28" w:type="dxa"/>
        </w:tblCellMar>
      </w:tblPr>
      <w:tblGrid>
        <w:gridCol w:w="5761"/>
        <w:gridCol w:w="146"/>
        <w:gridCol w:w="3631"/>
      </w:tblGrid>
      <w:tr>
        <w:trPr/>
        <w:tc>
          <w:tcPr>
            <w:tcW w:w="576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3631" w:type="dxa"/>
            <w:tcBorders/>
            <w:vAlign w:val="center"/>
          </w:tcPr>
          <w:p>
            <w:pPr>
              <w:pStyle w:val="TableContents"/>
              <w:bidi w:val="0"/>
              <w:spacing w:before="0" w:after="283"/>
              <w:jc w:val="left"/>
              <w:rPr/>
            </w:pPr>
            <w:r>
              <w:rPr/>
              <w:t> </w:t>
            </w:r>
          </w:p>
        </w:tc>
      </w:tr>
      <w:tr>
        <w:trPr/>
        <w:tc>
          <w:tcPr>
            <w:tcW w:w="5761" w:type="dxa"/>
            <w:tcBorders/>
            <w:tcMar>
              <w:top w:w="0" w:type="dxa"/>
              <w:left w:w="0" w:type="dxa"/>
              <w:bottom w:w="0" w:type="dxa"/>
              <w:right w:w="0" w:type="dxa"/>
            </w:tcMar>
            <w:vAlign w:val="center"/>
          </w:tcPr>
          <w:p>
            <w:pPr>
              <w:pStyle w:val="TableContents"/>
              <w:bidi w:val="0"/>
              <w:spacing w:before="0" w:after="283"/>
              <w:jc w:val="center"/>
              <w:rPr/>
            </w:pPr>
            <w:r>
              <w:rPr>
                <w:color w:val="000000"/>
                <w:u w:val="single"/>
              </w:rPr>
              <w:t>Delaware</w:t>
            </w:r>
            <w:r>
              <w:rPr/>
              <w:t xml:space="preserve">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3631" w:type="dxa"/>
            <w:tcBorders/>
            <w:tcMar>
              <w:top w:w="0" w:type="dxa"/>
              <w:left w:w="0" w:type="dxa"/>
              <w:bottom w:w="0" w:type="dxa"/>
              <w:right w:w="0" w:type="dxa"/>
            </w:tcMar>
            <w:vAlign w:val="center"/>
          </w:tcPr>
          <w:p>
            <w:pPr>
              <w:pStyle w:val="TableContents"/>
              <w:bidi w:val="0"/>
              <w:spacing w:before="0" w:after="283"/>
              <w:jc w:val="center"/>
              <w:rPr/>
            </w:pPr>
            <w:r>
              <w:rPr>
                <w:color w:val="000000"/>
                <w:u w:val="single"/>
              </w:rPr>
              <w:t>56-2590442</w:t>
            </w:r>
            <w:r>
              <w:rPr/>
              <w:t xml:space="preserve"> </w:t>
            </w:r>
          </w:p>
        </w:tc>
      </w:tr>
      <w:tr>
        <w:trPr/>
        <w:tc>
          <w:tcPr>
            <w:tcW w:w="5761" w:type="dxa"/>
            <w:tcBorders/>
            <w:vAlign w:val="center"/>
          </w:tcPr>
          <w:p>
            <w:pPr>
              <w:pStyle w:val="TableContents"/>
              <w:bidi w:val="0"/>
              <w:spacing w:before="0" w:after="283"/>
              <w:jc w:val="center"/>
              <w:rPr/>
            </w:pPr>
            <w:r>
              <w:rPr/>
              <w:t xml:space="preserve">(State or other jurisdiction of incorporation or organization)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3631" w:type="dxa"/>
            <w:tcBorders/>
            <w:tcMar>
              <w:top w:w="0" w:type="dxa"/>
              <w:left w:w="0" w:type="dxa"/>
              <w:bottom w:w="0" w:type="dxa"/>
              <w:right w:w="0" w:type="dxa"/>
            </w:tcMar>
            <w:vAlign w:val="center"/>
          </w:tcPr>
          <w:p>
            <w:pPr>
              <w:pStyle w:val="TableContents"/>
              <w:bidi w:val="0"/>
              <w:spacing w:before="0" w:after="283"/>
              <w:jc w:val="center"/>
              <w:rPr/>
            </w:pPr>
            <w:r>
              <w:rPr>
                <w:color w:val="000000"/>
              </w:rPr>
              <w:t>(I.R.S. Employer Identification No.)</w:t>
            </w:r>
            <w:r>
              <w:rPr/>
              <w:t xml:space="preserve"> </w:t>
            </w:r>
          </w:p>
        </w:tc>
      </w:tr>
    </w:tbl>
    <w:p>
      <w:pPr>
        <w:pStyle w:val="TextBody"/>
        <w:bidi w:val="0"/>
        <w:spacing w:before="0" w:after="0"/>
        <w:jc w:val="left"/>
        <w:rPr/>
      </w:pPr>
      <w:r>
        <w:rPr/>
        <w:t> </w:t>
      </w:r>
    </w:p>
    <w:tbl>
      <w:tblPr>
        <w:tblW w:w="5517" w:type="dxa"/>
        <w:jc w:val="left"/>
        <w:tblInd w:w="0" w:type="dxa"/>
        <w:tblLayout w:type="fixed"/>
        <w:tblCellMar>
          <w:top w:w="28" w:type="dxa"/>
          <w:left w:w="28" w:type="dxa"/>
          <w:bottom w:w="28" w:type="dxa"/>
          <w:right w:w="28" w:type="dxa"/>
        </w:tblCellMar>
      </w:tblPr>
      <w:tblGrid>
        <w:gridCol w:w="2183"/>
        <w:gridCol w:w="1927"/>
        <w:gridCol w:w="146"/>
        <w:gridCol w:w="1261"/>
      </w:tblGrid>
      <w:tr>
        <w:trPr/>
        <w:tc>
          <w:tcPr>
            <w:tcW w:w="2183" w:type="dxa"/>
            <w:tcBorders/>
            <w:vAlign w:val="center"/>
          </w:tcPr>
          <w:p>
            <w:pPr>
              <w:pStyle w:val="TableContents"/>
              <w:bidi w:val="0"/>
              <w:spacing w:before="0" w:after="283"/>
              <w:jc w:val="left"/>
              <w:rPr>
                <w:sz w:val="4"/>
                <w:szCs w:val="4"/>
              </w:rPr>
            </w:pPr>
            <w:r>
              <w:rPr>
                <w:sz w:val="4"/>
                <w:szCs w:val="4"/>
              </w:rPr>
            </w:r>
          </w:p>
        </w:tc>
        <w:tc>
          <w:tcPr>
            <w:tcW w:w="192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261" w:type="dxa"/>
            <w:tcBorders/>
            <w:vAlign w:val="center"/>
          </w:tcPr>
          <w:p>
            <w:pPr>
              <w:pStyle w:val="TableContents"/>
              <w:bidi w:val="0"/>
              <w:spacing w:before="0" w:after="283"/>
              <w:jc w:val="left"/>
              <w:rPr>
                <w:sz w:val="4"/>
                <w:szCs w:val="4"/>
              </w:rPr>
            </w:pPr>
            <w:r>
              <w:rPr>
                <w:sz w:val="4"/>
                <w:szCs w:val="4"/>
              </w:rPr>
            </w:r>
          </w:p>
        </w:tc>
      </w:tr>
      <w:tr>
        <w:trPr/>
        <w:tc>
          <w:tcPr>
            <w:tcW w:w="4110" w:type="dxa"/>
            <w:gridSpan w:val="2"/>
            <w:tcBorders/>
            <w:tcMar>
              <w:top w:w="0" w:type="dxa"/>
              <w:left w:w="0" w:type="dxa"/>
              <w:bottom w:w="0" w:type="dxa"/>
              <w:right w:w="0" w:type="dxa"/>
            </w:tcMar>
            <w:vAlign w:val="center"/>
          </w:tcPr>
          <w:p>
            <w:pPr>
              <w:pStyle w:val="TableContents"/>
              <w:bidi w:val="0"/>
              <w:spacing w:before="0" w:after="283"/>
              <w:jc w:val="center"/>
              <w:rPr/>
            </w:pPr>
            <w:r>
              <w:rPr>
                <w:color w:val="000000"/>
                <w:u w:val="single"/>
              </w:rPr>
              <w:t>465 State Route 17, Ramsey, New Jersey</w:t>
            </w:r>
            <w:r>
              <w:rPr/>
              <w:t xml:space="preserve">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261" w:type="dxa"/>
            <w:tcBorders/>
            <w:tcMar>
              <w:top w:w="0" w:type="dxa"/>
              <w:left w:w="0" w:type="dxa"/>
              <w:bottom w:w="0" w:type="dxa"/>
              <w:right w:w="0" w:type="dxa"/>
            </w:tcMar>
            <w:vAlign w:val="center"/>
          </w:tcPr>
          <w:p>
            <w:pPr>
              <w:pStyle w:val="TableContents"/>
              <w:bidi w:val="0"/>
              <w:spacing w:before="0" w:after="283"/>
              <w:jc w:val="center"/>
              <w:rPr/>
            </w:pPr>
            <w:r>
              <w:rPr>
                <w:color w:val="000000"/>
                <w:u w:val="single"/>
              </w:rPr>
              <w:t>07446</w:t>
            </w:r>
            <w:r>
              <w:rPr/>
              <w:t xml:space="preserve"> </w:t>
            </w:r>
          </w:p>
        </w:tc>
      </w:tr>
      <w:tr>
        <w:trPr/>
        <w:tc>
          <w:tcPr>
            <w:tcW w:w="4110" w:type="dxa"/>
            <w:gridSpan w:val="2"/>
            <w:tcBorders/>
            <w:tcMar>
              <w:top w:w="0" w:type="dxa"/>
              <w:left w:w="0" w:type="dxa"/>
              <w:bottom w:w="0" w:type="dxa"/>
              <w:right w:w="0" w:type="dxa"/>
            </w:tcMar>
            <w:vAlign w:val="center"/>
          </w:tcPr>
          <w:p>
            <w:pPr>
              <w:pStyle w:val="TableContents"/>
              <w:bidi w:val="0"/>
              <w:spacing w:before="0" w:after="283"/>
              <w:jc w:val="center"/>
              <w:rPr/>
            </w:pPr>
            <w:r>
              <w:rPr>
                <w:color w:val="000000"/>
              </w:rPr>
              <w:t>(Address of principal executive offices)</w:t>
            </w:r>
            <w:r>
              <w:rPr/>
              <w:t xml:space="preserve">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261" w:type="dxa"/>
            <w:tcBorders/>
            <w:tcMar>
              <w:top w:w="0" w:type="dxa"/>
              <w:left w:w="0" w:type="dxa"/>
              <w:bottom w:w="0" w:type="dxa"/>
              <w:right w:w="0" w:type="dxa"/>
            </w:tcMar>
            <w:vAlign w:val="center"/>
          </w:tcPr>
          <w:p>
            <w:pPr>
              <w:pStyle w:val="TableContents"/>
              <w:bidi w:val="0"/>
              <w:spacing w:before="0" w:after="283"/>
              <w:jc w:val="center"/>
              <w:rPr/>
            </w:pPr>
            <w:r>
              <w:rPr>
                <w:color w:val="000000"/>
              </w:rPr>
              <w:t>(Zip Code)</w:t>
            </w:r>
            <w:r>
              <w:rPr/>
              <w:t xml:space="preserve"> </w:t>
            </w:r>
          </w:p>
        </w:tc>
      </w:tr>
    </w:tbl>
    <w:p>
      <w:pPr>
        <w:pStyle w:val="TextBody"/>
        <w:bidi w:val="0"/>
        <w:spacing w:before="0" w:after="0"/>
        <w:jc w:val="left"/>
        <w:rPr/>
      </w:pPr>
      <w:r>
        <w:rPr/>
        <w:t xml:space="preserve">  </w:t>
      </w:r>
    </w:p>
    <w:p>
      <w:pPr>
        <w:pStyle w:val="TextBody"/>
        <w:bidi w:val="0"/>
        <w:spacing w:before="0" w:after="0"/>
        <w:jc w:val="center"/>
        <w:rPr>
          <w:rFonts w:ascii="Times New Roman" w:hAnsi="Times New Roman"/>
          <w:sz w:val="20"/>
        </w:rPr>
      </w:pPr>
      <w:r>
        <w:rPr>
          <w:rFonts w:ascii="Times New Roman" w:hAnsi="Times New Roman"/>
          <w:color w:val="000000"/>
          <w:sz w:val="20"/>
          <w:u w:val="single"/>
        </w:rPr>
        <w:t>(201) 478-5552</w:t>
      </w:r>
      <w:r>
        <w:rPr>
          <w:rFonts w:ascii="Times New Roman" w:hAnsi="Times New Roman"/>
          <w:sz w:val="20"/>
        </w:rPr>
        <w:t xml:space="preserve"> </w:t>
      </w:r>
    </w:p>
    <w:p>
      <w:pPr>
        <w:pStyle w:val="TextBody"/>
        <w:bidi w:val="0"/>
        <w:spacing w:before="0" w:after="0"/>
        <w:jc w:val="center"/>
        <w:rPr>
          <w:rFonts w:ascii="Times New Roman" w:hAnsi="Times New Roman"/>
          <w:sz w:val="20"/>
        </w:rPr>
      </w:pPr>
      <w:r>
        <w:rPr>
          <w:rFonts w:ascii="Times New Roman" w:hAnsi="Times New Roman"/>
          <w:color w:val="000000"/>
          <w:sz w:val="20"/>
        </w:rPr>
        <w:t>(Registrant’s telephone number, including area code)</w:t>
      </w:r>
      <w:r>
        <w:rPr>
          <w:rFonts w:ascii="Times New Roman" w:hAnsi="Times New Roman"/>
          <w:sz w:val="20"/>
        </w:rPr>
        <w:t xml:space="preserve"> </w:t>
      </w:r>
    </w:p>
    <w:p>
      <w:pPr>
        <w:pStyle w:val="TextBody"/>
        <w:bidi w:val="0"/>
        <w:spacing w:before="0" w:after="0"/>
        <w:jc w:val="center"/>
        <w:rPr/>
      </w:pPr>
      <w:r>
        <w:rPr/>
        <w:t xml:space="preserve">  </w:t>
      </w:r>
    </w:p>
    <w:p>
      <w:pPr>
        <w:pStyle w:val="TextBody"/>
        <w:bidi w:val="0"/>
        <w:spacing w:before="0" w:after="0"/>
        <w:jc w:val="center"/>
        <w:rPr>
          <w:rFonts w:ascii="Times New Roman" w:hAnsi="Times New Roman"/>
          <w:sz w:val="20"/>
        </w:rPr>
      </w:pPr>
      <w:r>
        <w:rPr>
          <w:rFonts w:ascii="Times New Roman" w:hAnsi="Times New Roman"/>
          <w:color w:val="000000"/>
          <w:sz w:val="20"/>
        </w:rPr>
        <w:t>(Former name, former address and former fiscal year, if changed since last report)</w:t>
      </w:r>
      <w:r>
        <w:rPr>
          <w:rFonts w:ascii="Times New Roman" w:hAnsi="Times New Roman"/>
          <w:sz w:val="20"/>
        </w:rPr>
        <w:t xml:space="preserve"> </w:t>
      </w:r>
    </w:p>
    <w:p>
      <w:pPr>
        <w:pStyle w:val="TextBody"/>
        <w:bidi w:val="0"/>
        <w:spacing w:before="0" w:after="0"/>
        <w:jc w:val="center"/>
        <w:rPr/>
      </w:pPr>
      <w:r>
        <w:rPr/>
        <w:t xml:space="preserve">  </w:t>
      </w:r>
    </w:p>
    <w:p>
      <w:pPr>
        <w:pStyle w:val="TextBody"/>
        <w:bidi w:val="0"/>
        <w:spacing w:before="0" w:after="0"/>
        <w:jc w:val="center"/>
        <w:rPr>
          <w:rFonts w:ascii="Times New Roman" w:hAnsi="Times New Roman"/>
          <w:sz w:val="20"/>
        </w:rPr>
      </w:pPr>
      <w:r>
        <w:rPr>
          <w:rFonts w:ascii="Times New Roman" w:hAnsi="Times New Roman"/>
          <w:color w:val="000000"/>
          <w:sz w:val="20"/>
        </w:rPr>
        <w:t>Securities registered pursuant to Section 12(b) of the Act:</w:t>
      </w:r>
      <w:r>
        <w:rPr>
          <w:rFonts w:ascii="Times New Roman" w:hAnsi="Times New Roman"/>
          <w:sz w:val="20"/>
        </w:rPr>
        <w:t xml:space="preserve"> </w:t>
      </w:r>
    </w:p>
    <w:p>
      <w:pPr>
        <w:pStyle w:val="TextBody"/>
        <w:bidi w:val="0"/>
        <w:spacing w:before="0" w:after="0"/>
        <w:jc w:val="center"/>
        <w:rPr/>
      </w:pPr>
      <w:r>
        <w:rPr/>
        <w:t xml:space="preserve">  </w:t>
      </w:r>
    </w:p>
    <w:tbl>
      <w:tblPr>
        <w:tblW w:w="8238" w:type="dxa"/>
        <w:jc w:val="left"/>
        <w:tblInd w:w="0" w:type="dxa"/>
        <w:tblLayout w:type="fixed"/>
        <w:tblCellMar>
          <w:top w:w="28" w:type="dxa"/>
          <w:left w:w="28" w:type="dxa"/>
          <w:bottom w:w="28" w:type="dxa"/>
          <w:right w:w="28" w:type="dxa"/>
        </w:tblCellMar>
      </w:tblPr>
      <w:tblGrid>
        <w:gridCol w:w="1876"/>
        <w:gridCol w:w="1951"/>
        <w:gridCol w:w="4411"/>
      </w:tblGrid>
      <w:tr>
        <w:trPr/>
        <w:tc>
          <w:tcPr>
            <w:tcW w:w="1876" w:type="dxa"/>
            <w:tcBorders/>
            <w:vAlign w:val="center"/>
          </w:tcPr>
          <w:p>
            <w:pPr>
              <w:pStyle w:val="TableContents"/>
              <w:bidi w:val="0"/>
              <w:spacing w:before="0" w:after="283"/>
              <w:jc w:val="left"/>
              <w:rPr>
                <w:sz w:val="4"/>
                <w:szCs w:val="4"/>
              </w:rPr>
            </w:pPr>
            <w:r>
              <w:rPr>
                <w:sz w:val="4"/>
                <w:szCs w:val="4"/>
              </w:rPr>
            </w:r>
          </w:p>
        </w:tc>
        <w:tc>
          <w:tcPr>
            <w:tcW w:w="1951" w:type="dxa"/>
            <w:tcBorders/>
            <w:vAlign w:val="center"/>
          </w:tcPr>
          <w:p>
            <w:pPr>
              <w:pStyle w:val="TableContents"/>
              <w:bidi w:val="0"/>
              <w:spacing w:before="0" w:after="283"/>
              <w:jc w:val="left"/>
              <w:rPr>
                <w:sz w:val="4"/>
                <w:szCs w:val="4"/>
              </w:rPr>
            </w:pPr>
            <w:r>
              <w:rPr>
                <w:sz w:val="4"/>
                <w:szCs w:val="4"/>
              </w:rPr>
            </w:r>
          </w:p>
        </w:tc>
        <w:tc>
          <w:tcPr>
            <w:tcW w:w="4411" w:type="dxa"/>
            <w:tcBorders/>
            <w:vAlign w:val="center"/>
          </w:tcPr>
          <w:p>
            <w:pPr>
              <w:pStyle w:val="TableContents"/>
              <w:bidi w:val="0"/>
              <w:spacing w:before="0" w:after="283"/>
              <w:jc w:val="left"/>
              <w:rPr>
                <w:sz w:val="4"/>
                <w:szCs w:val="4"/>
              </w:rPr>
            </w:pPr>
            <w:r>
              <w:rPr>
                <w:sz w:val="4"/>
                <w:szCs w:val="4"/>
              </w:rPr>
            </w:r>
          </w:p>
        </w:tc>
      </w:tr>
      <w:tr>
        <w:trPr/>
        <w:tc>
          <w:tcPr>
            <w:tcW w:w="1876" w:type="dxa"/>
            <w:tcBorders>
              <w:top w:val="single" w:sz="8" w:space="0" w:color="000000"/>
              <w:left w:val="single" w:sz="8" w:space="0" w:color="000000"/>
              <w:bottom w:val="single" w:sz="8" w:space="0" w:color="000000"/>
              <w:right w:val="single" w:sz="8" w:space="0" w:color="000000"/>
            </w:tcBorders>
            <w:tcMar>
              <w:left w:w="108" w:type="dxa"/>
              <w:right w:w="108" w:type="dxa"/>
            </w:tcMar>
            <w:vAlign w:val="center"/>
          </w:tcPr>
          <w:p>
            <w:pPr>
              <w:pStyle w:val="TableContents"/>
              <w:bidi w:val="0"/>
              <w:spacing w:before="0" w:after="0"/>
              <w:jc w:val="center"/>
              <w:rPr/>
            </w:pPr>
            <w:r>
              <w:rPr>
                <w:color w:val="000000"/>
              </w:rPr>
              <w:t>Title of each class</w:t>
            </w:r>
            <w:r>
              <w:rPr/>
              <w:t xml:space="preserve"> </w:t>
            </w:r>
          </w:p>
        </w:tc>
        <w:tc>
          <w:tcPr>
            <w:tcW w:w="1951" w:type="dxa"/>
            <w:tcBorders>
              <w:top w:val="single" w:sz="8" w:space="0" w:color="000000"/>
              <w:left w:val="single" w:sz="8" w:space="0" w:color="000000"/>
              <w:bottom w:val="single" w:sz="8" w:space="0" w:color="000000"/>
              <w:right w:val="single" w:sz="8" w:space="0" w:color="000000"/>
            </w:tcBorders>
            <w:tcMar>
              <w:left w:w="108" w:type="dxa"/>
              <w:right w:w="108" w:type="dxa"/>
            </w:tcMar>
            <w:vAlign w:val="center"/>
          </w:tcPr>
          <w:p>
            <w:pPr>
              <w:pStyle w:val="TableContents"/>
              <w:bidi w:val="0"/>
              <w:spacing w:before="0" w:after="0"/>
              <w:jc w:val="center"/>
              <w:rPr/>
            </w:pPr>
            <w:r>
              <w:rPr>
                <w:color w:val="000000"/>
              </w:rPr>
              <w:t>Trading Symbol(s)</w:t>
            </w:r>
            <w:r>
              <w:rPr/>
              <w:t xml:space="preserve"> </w:t>
            </w:r>
          </w:p>
        </w:tc>
        <w:tc>
          <w:tcPr>
            <w:tcW w:w="4411" w:type="dxa"/>
            <w:tcBorders>
              <w:top w:val="single" w:sz="8" w:space="0" w:color="000000"/>
              <w:left w:val="single" w:sz="8" w:space="0" w:color="000000"/>
              <w:bottom w:val="single" w:sz="8" w:space="0" w:color="000000"/>
              <w:right w:val="single" w:sz="8" w:space="0" w:color="000000"/>
            </w:tcBorders>
            <w:tcMar>
              <w:left w:w="108" w:type="dxa"/>
              <w:right w:w="108" w:type="dxa"/>
            </w:tcMar>
            <w:vAlign w:val="center"/>
          </w:tcPr>
          <w:p>
            <w:pPr>
              <w:pStyle w:val="TableContents"/>
              <w:bidi w:val="0"/>
              <w:spacing w:before="0" w:after="0"/>
              <w:jc w:val="center"/>
              <w:rPr/>
            </w:pPr>
            <w:r>
              <w:rPr>
                <w:color w:val="000000"/>
              </w:rPr>
              <w:t>Name of each exchange on which registered</w:t>
            </w:r>
            <w:r>
              <w:rPr/>
              <w:t xml:space="preserve"> </w:t>
            </w:r>
          </w:p>
        </w:tc>
      </w:tr>
      <w:tr>
        <w:trPr/>
        <w:tc>
          <w:tcPr>
            <w:tcW w:w="1876" w:type="dxa"/>
            <w:tcBorders>
              <w:top w:val="single" w:sz="8" w:space="0" w:color="000000"/>
              <w:left w:val="single" w:sz="8" w:space="0" w:color="000000"/>
              <w:bottom w:val="single" w:sz="8" w:space="0" w:color="000000"/>
              <w:right w:val="single" w:sz="8" w:space="0" w:color="000000"/>
            </w:tcBorders>
            <w:tcMar>
              <w:left w:w="108" w:type="dxa"/>
              <w:right w:w="108" w:type="dxa"/>
            </w:tcMar>
            <w:vAlign w:val="center"/>
          </w:tcPr>
          <w:p>
            <w:pPr>
              <w:pStyle w:val="TableContents"/>
              <w:bidi w:val="0"/>
              <w:spacing w:before="0" w:after="0"/>
              <w:jc w:val="center"/>
              <w:rPr/>
            </w:pPr>
            <w:r>
              <w:rPr>
                <w:color w:val="000000"/>
              </w:rPr>
              <w:t>Common Stock</w:t>
            </w:r>
            <w:r>
              <w:rPr/>
              <w:t xml:space="preserve"> </w:t>
            </w:r>
          </w:p>
        </w:tc>
        <w:tc>
          <w:tcPr>
            <w:tcW w:w="1951" w:type="dxa"/>
            <w:tcBorders>
              <w:top w:val="single" w:sz="8" w:space="0" w:color="000000"/>
              <w:left w:val="single" w:sz="8" w:space="0" w:color="000000"/>
              <w:bottom w:val="single" w:sz="8" w:space="0" w:color="000000"/>
              <w:right w:val="single" w:sz="8" w:space="0" w:color="000000"/>
            </w:tcBorders>
            <w:tcMar>
              <w:left w:w="108" w:type="dxa"/>
              <w:right w:w="108" w:type="dxa"/>
            </w:tcMar>
            <w:vAlign w:val="center"/>
          </w:tcPr>
          <w:p>
            <w:pPr>
              <w:pStyle w:val="TableContents"/>
              <w:bidi w:val="0"/>
              <w:spacing w:before="0" w:after="0"/>
              <w:jc w:val="center"/>
              <w:rPr/>
            </w:pPr>
            <w:r>
              <w:rPr>
                <w:color w:val="000000"/>
              </w:rPr>
              <w:t>ADMA</w:t>
            </w:r>
            <w:r>
              <w:rPr/>
              <w:t xml:space="preserve"> </w:t>
            </w:r>
          </w:p>
        </w:tc>
        <w:tc>
          <w:tcPr>
            <w:tcW w:w="4411" w:type="dxa"/>
            <w:tcBorders>
              <w:top w:val="single" w:sz="8" w:space="0" w:color="000000"/>
              <w:left w:val="single" w:sz="8" w:space="0" w:color="000000"/>
              <w:bottom w:val="single" w:sz="8" w:space="0" w:color="000000"/>
              <w:right w:val="single" w:sz="8" w:space="0" w:color="000000"/>
            </w:tcBorders>
            <w:tcMar>
              <w:left w:w="108" w:type="dxa"/>
              <w:right w:w="108" w:type="dxa"/>
            </w:tcMar>
            <w:vAlign w:val="center"/>
          </w:tcPr>
          <w:p>
            <w:pPr>
              <w:pStyle w:val="TableContents"/>
              <w:bidi w:val="0"/>
              <w:spacing w:before="0" w:after="0"/>
              <w:jc w:val="center"/>
              <w:rPr/>
            </w:pPr>
            <w:r>
              <w:rPr>
                <w:color w:val="000000"/>
              </w:rPr>
              <w:t>Nasdaq Global Market</w:t>
            </w:r>
            <w:r>
              <w:rPr/>
              <w:t xml:space="preserve"> </w:t>
            </w:r>
          </w:p>
        </w:tc>
      </w:tr>
    </w:tbl>
    <w:p>
      <w:pPr>
        <w:pStyle w:val="TextBody"/>
        <w:bidi w:val="0"/>
        <w:spacing w:before="0" w:after="0"/>
        <w:jc w:val="both"/>
        <w:rPr/>
      </w:pPr>
      <w:r>
        <w:rPr/>
        <w:t xml:space="preserve">  </w:t>
      </w:r>
    </w:p>
    <w:p>
      <w:pPr>
        <w:pStyle w:val="TextBody"/>
        <w:bidi w:val="0"/>
        <w:spacing w:before="0" w:after="0"/>
        <w:ind w:left="0" w:right="0" w:firstLine="720"/>
        <w:jc w:val="both"/>
        <w:rPr>
          <w:rFonts w:ascii="Times New Roman" w:hAnsi="Times New Roman"/>
          <w:sz w:val="20"/>
        </w:rPr>
      </w:pPr>
      <w:r>
        <w:rPr>
          <w:rFonts w:ascii="Times New Roman" w:hAnsi="Times New Roman"/>
          <w:sz w:val="20"/>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  No ☐ </w:t>
      </w:r>
    </w:p>
    <w:p>
      <w:pPr>
        <w:pStyle w:val="TextBody"/>
        <w:bidi w:val="0"/>
        <w:spacing w:before="0" w:after="0"/>
        <w:jc w:val="both"/>
        <w:rPr/>
      </w:pPr>
      <w:r>
        <w:rPr/>
        <w:t xml:space="preserve">  </w:t>
      </w:r>
    </w:p>
    <w:p>
      <w:pPr>
        <w:pStyle w:val="TextBody"/>
        <w:bidi w:val="0"/>
        <w:spacing w:before="0" w:after="0"/>
        <w:ind w:left="0" w:right="0" w:firstLine="720"/>
        <w:jc w:val="both"/>
        <w:rPr>
          <w:rFonts w:ascii="Times New Roman" w:hAnsi="Times New Roman"/>
          <w:sz w:val="20"/>
        </w:rPr>
      </w:pPr>
      <w:r>
        <w:rPr>
          <w:rFonts w:ascii="Times New Roman" w:hAnsi="Times New Roman"/>
          <w:sz w:val="20"/>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  No ☐ </w:t>
      </w:r>
    </w:p>
    <w:p>
      <w:pPr>
        <w:pStyle w:val="TextBody"/>
        <w:bidi w:val="0"/>
        <w:spacing w:before="0" w:after="0"/>
        <w:jc w:val="both"/>
        <w:rPr/>
      </w:pPr>
      <w:r>
        <w:rPr/>
        <w:t xml:space="preserve">  </w:t>
      </w:r>
    </w:p>
    <w:p>
      <w:pPr>
        <w:pStyle w:val="TextBody"/>
        <w:bidi w:val="0"/>
        <w:spacing w:before="0" w:after="0"/>
        <w:ind w:left="0" w:right="0" w:firstLine="720"/>
        <w:jc w:val="both"/>
        <w:rPr>
          <w:rFonts w:ascii="Times New Roman" w:hAnsi="Times New Roman"/>
          <w:sz w:val="20"/>
        </w:rPr>
      </w:pPr>
      <w:r>
        <w:rPr>
          <w:rFonts w:ascii="Times New Roman" w:hAnsi="Times New Roman"/>
          <w:sz w:val="20"/>
        </w:rPr>
        <w:t xml:space="preserve">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w:t>
      </w:r>
    </w:p>
    <w:p>
      <w:pPr>
        <w:pStyle w:val="TextBody"/>
        <w:bidi w:val="0"/>
        <w:spacing w:before="0" w:after="0"/>
        <w:jc w:val="both"/>
        <w:rPr/>
      </w:pPr>
      <w:r>
        <w:rPr/>
        <w:t xml:space="preserve">  </w:t>
      </w:r>
    </w:p>
    <w:tbl>
      <w:tblPr>
        <w:tblW w:w="5953" w:type="dxa"/>
        <w:jc w:val="left"/>
        <w:tblInd w:w="0" w:type="dxa"/>
        <w:tblLayout w:type="fixed"/>
        <w:tblCellMar>
          <w:top w:w="28" w:type="dxa"/>
          <w:left w:w="28" w:type="dxa"/>
          <w:bottom w:w="28" w:type="dxa"/>
          <w:right w:w="28" w:type="dxa"/>
        </w:tblCellMar>
      </w:tblPr>
      <w:tblGrid>
        <w:gridCol w:w="221"/>
        <w:gridCol w:w="2596"/>
        <w:gridCol w:w="3136"/>
      </w:tblGrid>
      <w:tr>
        <w:trPr/>
        <w:tc>
          <w:tcPr>
            <w:tcW w:w="221" w:type="dxa"/>
            <w:tcBorders/>
            <w:vAlign w:val="center"/>
          </w:tcPr>
          <w:p>
            <w:pPr>
              <w:pStyle w:val="TableContents"/>
              <w:bidi w:val="0"/>
              <w:spacing w:before="0" w:after="283"/>
              <w:jc w:val="left"/>
              <w:rPr>
                <w:sz w:val="4"/>
                <w:szCs w:val="4"/>
              </w:rPr>
            </w:pPr>
            <w:r>
              <w:rPr>
                <w:sz w:val="4"/>
                <w:szCs w:val="4"/>
              </w:rPr>
            </w:r>
          </w:p>
        </w:tc>
        <w:tc>
          <w:tcPr>
            <w:tcW w:w="2596" w:type="dxa"/>
            <w:tcBorders/>
            <w:vAlign w:val="center"/>
          </w:tcPr>
          <w:p>
            <w:pPr>
              <w:pStyle w:val="TableContents"/>
              <w:bidi w:val="0"/>
              <w:spacing w:before="0" w:after="283"/>
              <w:jc w:val="left"/>
              <w:rPr>
                <w:sz w:val="4"/>
                <w:szCs w:val="4"/>
              </w:rPr>
            </w:pPr>
            <w:r>
              <w:rPr>
                <w:sz w:val="4"/>
                <w:szCs w:val="4"/>
              </w:rPr>
            </w:r>
          </w:p>
        </w:tc>
        <w:tc>
          <w:tcPr>
            <w:tcW w:w="3136" w:type="dxa"/>
            <w:tcBorders/>
            <w:vAlign w:val="center"/>
          </w:tcPr>
          <w:p>
            <w:pPr>
              <w:pStyle w:val="TableContents"/>
              <w:bidi w:val="0"/>
              <w:spacing w:before="0" w:after="283"/>
              <w:jc w:val="left"/>
              <w:rPr>
                <w:sz w:val="4"/>
                <w:szCs w:val="4"/>
              </w:rPr>
            </w:pPr>
            <w:r>
              <w:rPr>
                <w:sz w:val="4"/>
                <w:szCs w:val="4"/>
              </w:rPr>
            </w:r>
          </w:p>
        </w:tc>
      </w:tr>
      <w:tr>
        <w:trPr/>
        <w:tc>
          <w:tcPr>
            <w:tcW w:w="221" w:type="dxa"/>
            <w:tcBorders/>
            <w:tcMar>
              <w:top w:w="0" w:type="dxa"/>
              <w:left w:w="0" w:type="dxa"/>
              <w:bottom w:w="0" w:type="dxa"/>
              <w:right w:w="0" w:type="dxa"/>
            </w:tcMar>
            <w:vAlign w:val="center"/>
          </w:tcPr>
          <w:p>
            <w:pPr>
              <w:pStyle w:val="TableContents"/>
              <w:bidi w:val="0"/>
              <w:spacing w:before="0" w:after="0"/>
              <w:ind w:left="360" w:right="0" w:hanging="0"/>
              <w:jc w:val="left"/>
              <w:rPr/>
            </w:pPr>
            <w:r>
              <w:rPr/>
              <w:t xml:space="preserve">  </w:t>
            </w:r>
          </w:p>
        </w:tc>
        <w:tc>
          <w:tcPr>
            <w:tcW w:w="2596" w:type="dxa"/>
            <w:tcBorders/>
            <w:tcMar>
              <w:top w:w="0" w:type="dxa"/>
              <w:left w:w="0" w:type="dxa"/>
              <w:bottom w:w="0" w:type="dxa"/>
              <w:right w:w="0" w:type="dxa"/>
            </w:tcMar>
            <w:vAlign w:val="center"/>
          </w:tcPr>
          <w:p>
            <w:pPr>
              <w:pStyle w:val="TableContents"/>
              <w:bidi w:val="0"/>
              <w:spacing w:before="0" w:after="0"/>
              <w:jc w:val="left"/>
              <w:rPr/>
            </w:pPr>
            <w:r>
              <w:rPr>
                <w:color w:val="000000"/>
              </w:rPr>
              <w:t>Large accelerated filer  ☒</w:t>
            </w:r>
            <w:r>
              <w:rPr/>
              <w:t xml:space="preserve"> </w:t>
            </w:r>
          </w:p>
        </w:tc>
        <w:tc>
          <w:tcPr>
            <w:tcW w:w="3136" w:type="dxa"/>
            <w:tcBorders/>
            <w:tcMar>
              <w:top w:w="0" w:type="dxa"/>
              <w:left w:w="0" w:type="dxa"/>
              <w:bottom w:w="0" w:type="dxa"/>
              <w:right w:w="0" w:type="dxa"/>
            </w:tcMar>
            <w:vAlign w:val="center"/>
          </w:tcPr>
          <w:p>
            <w:pPr>
              <w:pStyle w:val="TableContents"/>
              <w:bidi w:val="0"/>
              <w:spacing w:before="0" w:after="0"/>
              <w:jc w:val="left"/>
              <w:rPr/>
            </w:pPr>
            <w:r>
              <w:rPr>
                <w:color w:val="000000"/>
              </w:rPr>
              <w:t>Accelerated filer  ☐</w:t>
            </w:r>
            <w:r>
              <w:rPr/>
              <w:t xml:space="preserve"> </w:t>
            </w:r>
          </w:p>
        </w:tc>
      </w:tr>
      <w:tr>
        <w:trPr/>
        <w:tc>
          <w:tcPr>
            <w:tcW w:w="221" w:type="dxa"/>
            <w:tcBorders/>
            <w:tcMar>
              <w:top w:w="0" w:type="dxa"/>
              <w:left w:w="0" w:type="dxa"/>
              <w:bottom w:w="0" w:type="dxa"/>
              <w:right w:w="0" w:type="dxa"/>
            </w:tcMar>
            <w:vAlign w:val="center"/>
          </w:tcPr>
          <w:p>
            <w:pPr>
              <w:pStyle w:val="TableContents"/>
              <w:bidi w:val="0"/>
              <w:spacing w:before="0" w:after="0"/>
              <w:ind w:left="360" w:right="0" w:hanging="0"/>
              <w:jc w:val="left"/>
              <w:rPr/>
            </w:pPr>
            <w:r>
              <w:rPr/>
              <w:t xml:space="preserve">  </w:t>
            </w:r>
          </w:p>
        </w:tc>
        <w:tc>
          <w:tcPr>
            <w:tcW w:w="2596" w:type="dxa"/>
            <w:tcBorders/>
            <w:tcMar>
              <w:top w:w="0" w:type="dxa"/>
              <w:left w:w="0" w:type="dxa"/>
              <w:bottom w:w="0" w:type="dxa"/>
              <w:right w:w="0" w:type="dxa"/>
            </w:tcMar>
            <w:vAlign w:val="center"/>
          </w:tcPr>
          <w:p>
            <w:pPr>
              <w:pStyle w:val="TableContents"/>
              <w:bidi w:val="0"/>
              <w:spacing w:before="0" w:after="0"/>
              <w:jc w:val="left"/>
              <w:rPr/>
            </w:pPr>
            <w:r>
              <w:rPr>
                <w:color w:val="000000"/>
              </w:rPr>
              <w:t>Non-accelerated filer  ☐</w:t>
            </w:r>
            <w:r>
              <w:rPr/>
              <w:t xml:space="preserve"> </w:t>
            </w:r>
          </w:p>
        </w:tc>
        <w:tc>
          <w:tcPr>
            <w:tcW w:w="3136" w:type="dxa"/>
            <w:tcBorders/>
            <w:tcMar>
              <w:top w:w="0" w:type="dxa"/>
              <w:left w:w="0" w:type="dxa"/>
              <w:bottom w:w="0" w:type="dxa"/>
              <w:right w:w="0" w:type="dxa"/>
            </w:tcMar>
            <w:vAlign w:val="center"/>
          </w:tcPr>
          <w:p>
            <w:pPr>
              <w:pStyle w:val="TableContents"/>
              <w:bidi w:val="0"/>
              <w:spacing w:before="0" w:after="0"/>
              <w:jc w:val="left"/>
              <w:rPr/>
            </w:pPr>
            <w:r>
              <w:rPr>
                <w:color w:val="000000"/>
              </w:rPr>
              <w:t>Smaller reporting company  ☐</w:t>
            </w:r>
            <w:r>
              <w:rPr/>
              <w:t xml:space="preserve"> </w:t>
            </w:r>
          </w:p>
        </w:tc>
      </w:tr>
      <w:tr>
        <w:trPr/>
        <w:tc>
          <w:tcPr>
            <w:tcW w:w="221" w:type="dxa"/>
            <w:tcBorders/>
            <w:tcMar>
              <w:top w:w="0" w:type="dxa"/>
              <w:left w:w="0" w:type="dxa"/>
              <w:bottom w:w="0" w:type="dxa"/>
              <w:right w:w="0" w:type="dxa"/>
            </w:tcMar>
            <w:vAlign w:val="center"/>
          </w:tcPr>
          <w:p>
            <w:pPr>
              <w:pStyle w:val="TableContents"/>
              <w:bidi w:val="0"/>
              <w:spacing w:before="0" w:after="0"/>
              <w:jc w:val="left"/>
              <w:rPr/>
            </w:pPr>
            <w:r>
              <w:rPr/>
              <w:t xml:space="preserve">  </w:t>
            </w:r>
          </w:p>
        </w:tc>
        <w:tc>
          <w:tcPr>
            <w:tcW w:w="2596" w:type="dxa"/>
            <w:tcBorders/>
            <w:tcMar>
              <w:top w:w="0" w:type="dxa"/>
              <w:left w:w="0" w:type="dxa"/>
              <w:bottom w:w="0" w:type="dxa"/>
              <w:right w:w="0" w:type="dxa"/>
            </w:tcMar>
            <w:vAlign w:val="center"/>
          </w:tcPr>
          <w:p>
            <w:pPr>
              <w:pStyle w:val="TableContents"/>
              <w:bidi w:val="0"/>
              <w:spacing w:before="0" w:after="0"/>
              <w:jc w:val="left"/>
              <w:rPr/>
            </w:pPr>
            <w:r>
              <w:rPr/>
              <w:t xml:space="preserve">  </w:t>
            </w:r>
          </w:p>
        </w:tc>
        <w:tc>
          <w:tcPr>
            <w:tcW w:w="3136" w:type="dxa"/>
            <w:tcBorders/>
            <w:tcMar>
              <w:top w:w="0" w:type="dxa"/>
              <w:left w:w="0" w:type="dxa"/>
              <w:bottom w:w="0" w:type="dxa"/>
              <w:right w:w="0" w:type="dxa"/>
            </w:tcMar>
            <w:vAlign w:val="center"/>
          </w:tcPr>
          <w:p>
            <w:pPr>
              <w:pStyle w:val="TableContents"/>
              <w:bidi w:val="0"/>
              <w:spacing w:before="0" w:after="0"/>
              <w:jc w:val="left"/>
              <w:rPr/>
            </w:pPr>
            <w:r>
              <w:rPr>
                <w:color w:val="000000"/>
              </w:rPr>
              <w:t>Emerging growth company  </w:t>
            </w:r>
            <w:r>
              <w:rPr/>
              <w:t xml:space="preserve">☐ </w:t>
            </w:r>
          </w:p>
        </w:tc>
      </w:tr>
    </w:tbl>
    <w:p>
      <w:pPr>
        <w:pStyle w:val="TextBody"/>
        <w:bidi w:val="0"/>
        <w:spacing w:before="0" w:after="0"/>
        <w:jc w:val="both"/>
        <w:rPr/>
      </w:pPr>
      <w:r>
        <w:rPr/>
        <w:t xml:space="preserve">  </w:t>
      </w:r>
    </w:p>
    <w:p>
      <w:pPr>
        <w:pStyle w:val="TextBody"/>
        <w:bidi w:val="0"/>
        <w:spacing w:before="0" w:after="0"/>
        <w:ind w:left="0" w:right="0" w:firstLine="720"/>
        <w:jc w:val="both"/>
        <w:rPr>
          <w:rFonts w:ascii="Times New Roman" w:hAnsi="Times New Roman"/>
          <w:sz w:val="20"/>
        </w:rPr>
      </w:pPr>
      <w:r>
        <w:rPr>
          <w:rFonts w:ascii="Times New Roman" w:hAnsi="Times New Roman"/>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Times New Roman" w:hAnsi="Times New Roman"/>
          <w:color w:val="000000"/>
          <w:sz w:val="20"/>
        </w:rPr>
        <w:t>☐</w:t>
      </w:r>
      <w:r>
        <w:rPr>
          <w:rFonts w:ascii="Times New Roman" w:hAnsi="Times New Roman"/>
          <w:sz w:val="20"/>
        </w:rPr>
        <w:t xml:space="preserve"> </w:t>
      </w:r>
    </w:p>
    <w:p>
      <w:pPr>
        <w:pStyle w:val="TextBody"/>
        <w:bidi w:val="0"/>
        <w:spacing w:before="0" w:after="0"/>
        <w:jc w:val="both"/>
        <w:rPr/>
      </w:pPr>
      <w:r>
        <w:rPr/>
        <w:t xml:space="preserve">  </w:t>
      </w:r>
    </w:p>
    <w:p>
      <w:pPr>
        <w:pStyle w:val="TextBody"/>
        <w:bidi w:val="0"/>
        <w:spacing w:before="0" w:after="0"/>
        <w:ind w:left="0" w:right="0" w:firstLine="720"/>
        <w:jc w:val="both"/>
        <w:rPr>
          <w:rFonts w:ascii="Times New Roman" w:hAnsi="Times New Roman"/>
          <w:sz w:val="20"/>
        </w:rPr>
      </w:pPr>
      <w:r>
        <w:rPr>
          <w:rFonts w:ascii="Times New Roman" w:hAnsi="Times New Roman"/>
          <w:sz w:val="20"/>
        </w:rPr>
        <w:t xml:space="preserve">Indicate by check mark whether the registrant is a shell company (as defined in Rule 12b-2 of the Exchange Act).  Yes ☐  No ☒ </w:t>
      </w:r>
    </w:p>
    <w:p>
      <w:pPr>
        <w:pStyle w:val="TextBody"/>
        <w:bidi w:val="0"/>
        <w:spacing w:before="0" w:after="0"/>
        <w:jc w:val="both"/>
        <w:rPr/>
      </w:pPr>
      <w:r>
        <w:rPr/>
        <w:t xml:space="preserve">  </w:t>
      </w:r>
    </w:p>
    <w:p>
      <w:pPr>
        <w:pStyle w:val="TextBody"/>
        <w:bidi w:val="0"/>
        <w:spacing w:before="0" w:after="0"/>
        <w:ind w:left="0" w:right="0" w:firstLine="720"/>
        <w:jc w:val="both"/>
        <w:rPr>
          <w:rFonts w:ascii="Times New Roman" w:hAnsi="Times New Roman"/>
          <w:sz w:val="20"/>
        </w:rPr>
      </w:pPr>
      <w:r>
        <w:rPr>
          <w:rFonts w:ascii="Times New Roman" w:hAnsi="Times New Roman"/>
          <w:sz w:val="20"/>
        </w:rPr>
        <w:t xml:space="preserve">As of May 1, 2026, there were 231,772,715 shares of the issuer’s common stock outstanding. </w:t>
      </w:r>
    </w:p>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p>
      <w:pPr>
        <w:pStyle w:val="TextBody"/>
        <w:bidi w:val="0"/>
        <w:spacing w:before="150" w:after="15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t>1</w:t>
      </w:r>
    </w:p>
    <w:p>
      <w:pPr>
        <w:pStyle w:val="HorizontalLine"/>
        <w:bidi w:val="0"/>
        <w:spacing w:before="150" w:after="150"/>
        <w:jc w:val="left"/>
        <w:rPr/>
      </w:pPr>
      <w:r>
        <w:rPr/>
      </w:r>
    </w:p>
    <w:p>
      <w:pPr>
        <w:pStyle w:val="TextBody"/>
        <w:bidi w:val="0"/>
        <w:spacing w:before="150" w:after="150"/>
        <w:jc w:val="left"/>
        <w:rPr/>
      </w:pPr>
      <w:hyperlink w:anchor="index">
        <w:r>
          <w:rPr>
            <w:rStyle w:val="InternetLink"/>
            <w:rFonts w:ascii="TimesNewRoman;Times New Roman;Times;Baskerville;Georgia;serif" w:hAnsi="TimesNewRoman;Times New Roman;Times;Baskerville;Georgia;serif"/>
            <w:b w:val="false"/>
            <w:i/>
            <w:caps w:val="false"/>
            <w:smallCaps w:val="false"/>
            <w:strike w:val="false"/>
            <w:dstrike w:val="false"/>
            <w:sz w:val="16"/>
            <w:u w:val="none"/>
            <w:effect w:val="none"/>
          </w:rPr>
          <w:t>Index</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ADMA BIOLOGICS, INC. AND SUBSIDIARIES </w:t>
      </w:r>
    </w:p>
    <w:p>
      <w:pPr>
        <w:pStyle w:val="TextBody"/>
        <w:bidi w:val="0"/>
        <w:spacing w:before="0" w:after="0"/>
        <w:jc w:val="center"/>
        <w:rPr/>
      </w:pPr>
      <w:r>
        <w:rPr/>
        <w:t xml:space="preserve">  </w:t>
      </w:r>
    </w:p>
    <w:p>
      <w:pPr>
        <w:pStyle w:val="TextBody"/>
        <w:bidi w:val="0"/>
        <w:spacing w:before="0" w:after="0"/>
        <w:jc w:val="center"/>
        <w:rPr>
          <w:rFonts w:ascii="Times New Roman" w:hAnsi="Times New Roman"/>
          <w:b/>
          <w:sz w:val="20"/>
        </w:rPr>
      </w:pPr>
      <w:bookmarkStart w:id="4" w:name="index"/>
      <w:bookmarkEnd w:id="4"/>
      <w:r>
        <w:rPr>
          <w:rFonts w:ascii="Times New Roman" w:hAnsi="Times New Roman"/>
          <w:b/>
          <w:sz w:val="20"/>
        </w:rPr>
        <w:t xml:space="preserve">INDEX </w:t>
      </w:r>
    </w:p>
    <w:p>
      <w:pPr>
        <w:pStyle w:val="TextBody"/>
        <w:bidi w:val="0"/>
        <w:spacing w:before="0" w:after="0"/>
        <w:jc w:val="center"/>
        <w:rPr/>
      </w:pPr>
      <w:r>
        <w:rPr/>
        <w:t xml:space="preserve">  </w:t>
      </w:r>
    </w:p>
    <w:tbl>
      <w:tblPr>
        <w:tblW w:w="10205" w:type="dxa"/>
        <w:jc w:val="left"/>
        <w:tblInd w:w="0" w:type="dxa"/>
        <w:tblLayout w:type="fixed"/>
        <w:tblCellMar>
          <w:top w:w="28" w:type="dxa"/>
          <w:left w:w="28" w:type="dxa"/>
          <w:bottom w:w="28" w:type="dxa"/>
          <w:right w:w="28" w:type="dxa"/>
        </w:tblCellMar>
      </w:tblPr>
      <w:tblGrid>
        <w:gridCol w:w="393"/>
        <w:gridCol w:w="1290"/>
        <w:gridCol w:w="8096"/>
        <w:gridCol w:w="426"/>
      </w:tblGrid>
      <w:tr>
        <w:trPr/>
        <w:tc>
          <w:tcPr>
            <w:tcW w:w="393" w:type="dxa"/>
            <w:tcBorders/>
            <w:vAlign w:val="center"/>
          </w:tcPr>
          <w:p>
            <w:pPr>
              <w:pStyle w:val="TableContents"/>
              <w:bidi w:val="0"/>
              <w:spacing w:before="0" w:after="283"/>
              <w:jc w:val="left"/>
              <w:rPr/>
            </w:pPr>
            <w:r>
              <w:rPr/>
              <w:t> </w:t>
            </w:r>
          </w:p>
        </w:tc>
        <w:tc>
          <w:tcPr>
            <w:tcW w:w="1290" w:type="dxa"/>
            <w:tcBorders/>
            <w:vAlign w:val="center"/>
          </w:tcPr>
          <w:p>
            <w:pPr>
              <w:pStyle w:val="TableContents"/>
              <w:bidi w:val="0"/>
              <w:spacing w:before="0" w:after="283"/>
              <w:jc w:val="left"/>
              <w:rPr/>
            </w:pPr>
            <w:r>
              <w:rPr/>
              <w:t> </w:t>
            </w:r>
          </w:p>
        </w:tc>
        <w:tc>
          <w:tcPr>
            <w:tcW w:w="8096" w:type="dxa"/>
            <w:tcBorders/>
            <w:vAlign w:val="center"/>
          </w:tcPr>
          <w:p>
            <w:pPr>
              <w:pStyle w:val="TableContents"/>
              <w:bidi w:val="0"/>
              <w:spacing w:before="0" w:after="283"/>
              <w:jc w:val="left"/>
              <w:rPr/>
            </w:pPr>
            <w:r>
              <w:rPr/>
              <w:t> </w:t>
            </w:r>
          </w:p>
        </w:tc>
        <w:tc>
          <w:tcPr>
            <w:tcW w:w="426" w:type="dxa"/>
            <w:tcBorders/>
            <w:vAlign w:val="center"/>
          </w:tcPr>
          <w:p>
            <w:pPr>
              <w:pStyle w:val="TableContents"/>
              <w:bidi w:val="0"/>
              <w:spacing w:before="0" w:after="283"/>
              <w:jc w:val="left"/>
              <w:rPr/>
            </w:pPr>
            <w:r>
              <w:rPr/>
              <w:t> </w:t>
            </w:r>
          </w:p>
        </w:tc>
      </w:tr>
      <w:tr>
        <w:trPr/>
        <w:tc>
          <w:tcPr>
            <w:tcW w:w="9779" w:type="dxa"/>
            <w:gridSpan w:val="3"/>
            <w:tcBorders/>
            <w:vAlign w:val="center"/>
          </w:tcPr>
          <w:p>
            <w:pPr>
              <w:pStyle w:val="TableContents"/>
              <w:bidi w:val="0"/>
              <w:spacing w:before="0" w:after="0"/>
              <w:jc w:val="left"/>
              <w:rPr/>
            </w:pPr>
            <w:r>
              <w:rPr/>
              <w:t xml:space="preserve">PART I FINANCIAL INFORMATION </w:t>
            </w:r>
          </w:p>
        </w:tc>
        <w:tc>
          <w:tcPr>
            <w:tcW w:w="426" w:type="dxa"/>
            <w:tcBorders/>
            <w:vAlign w:val="center"/>
          </w:tcPr>
          <w:p>
            <w:pPr>
              <w:pStyle w:val="TableContents"/>
              <w:bidi w:val="0"/>
              <w:spacing w:before="0" w:after="283"/>
              <w:jc w:val="left"/>
              <w:rPr/>
            </w:pPr>
            <w:r>
              <w:rPr/>
              <w:t> </w:t>
            </w:r>
          </w:p>
        </w:tc>
      </w:tr>
      <w:tr>
        <w:trPr/>
        <w:tc>
          <w:tcPr>
            <w:tcW w:w="393" w:type="dxa"/>
            <w:tcBorders/>
            <w:vAlign w:val="center"/>
          </w:tcPr>
          <w:p>
            <w:pPr>
              <w:pStyle w:val="TableContents"/>
              <w:bidi w:val="0"/>
              <w:spacing w:before="0" w:after="283"/>
              <w:jc w:val="left"/>
              <w:rPr/>
            </w:pPr>
            <w:r>
              <w:rPr/>
              <w:t> </w:t>
            </w:r>
          </w:p>
        </w:tc>
        <w:tc>
          <w:tcPr>
            <w:tcW w:w="1290" w:type="dxa"/>
            <w:tcBorders/>
            <w:vAlign w:val="center"/>
          </w:tcPr>
          <w:p>
            <w:pPr>
              <w:pStyle w:val="TableContents"/>
              <w:bidi w:val="0"/>
              <w:spacing w:before="0" w:after="283"/>
              <w:jc w:val="left"/>
              <w:rPr/>
            </w:pPr>
            <w:r>
              <w:rPr/>
              <w:t> </w:t>
            </w:r>
          </w:p>
        </w:tc>
        <w:tc>
          <w:tcPr>
            <w:tcW w:w="8096" w:type="dxa"/>
            <w:tcBorders/>
            <w:vAlign w:val="center"/>
          </w:tcPr>
          <w:p>
            <w:pPr>
              <w:pStyle w:val="TableContents"/>
              <w:bidi w:val="0"/>
              <w:spacing w:before="0" w:after="283"/>
              <w:jc w:val="left"/>
              <w:rPr/>
            </w:pPr>
            <w:r>
              <w:rPr/>
              <w:t> </w:t>
            </w:r>
          </w:p>
        </w:tc>
        <w:tc>
          <w:tcPr>
            <w:tcW w:w="426" w:type="dxa"/>
            <w:tcBorders/>
            <w:vAlign w:val="center"/>
          </w:tcPr>
          <w:p>
            <w:pPr>
              <w:pStyle w:val="TableContents"/>
              <w:bidi w:val="0"/>
              <w:spacing w:before="0" w:after="283"/>
              <w:jc w:val="left"/>
              <w:rPr/>
            </w:pPr>
            <w:r>
              <w:rPr/>
              <w:t> </w:t>
            </w:r>
          </w:p>
        </w:tc>
      </w:tr>
      <w:tr>
        <w:trPr/>
        <w:tc>
          <w:tcPr>
            <w:tcW w:w="393" w:type="dxa"/>
            <w:tcBorders/>
            <w:shd w:fill="CCEEFF" w:val="clear"/>
            <w:vAlign w:val="center"/>
          </w:tcPr>
          <w:p>
            <w:pPr>
              <w:pStyle w:val="TableContents"/>
              <w:bidi w:val="0"/>
              <w:spacing w:before="0" w:after="283"/>
              <w:jc w:val="left"/>
              <w:rPr/>
            </w:pPr>
            <w:r>
              <w:rPr/>
              <w:t> </w:t>
            </w:r>
          </w:p>
        </w:tc>
        <w:tc>
          <w:tcPr>
            <w:tcW w:w="1290" w:type="dxa"/>
            <w:tcBorders/>
            <w:shd w:fill="CCEEFF" w:val="clear"/>
            <w:vAlign w:val="center"/>
          </w:tcPr>
          <w:p>
            <w:pPr>
              <w:pStyle w:val="TableContents"/>
              <w:bidi w:val="0"/>
              <w:spacing w:before="0" w:after="0"/>
              <w:jc w:val="left"/>
              <w:rPr/>
            </w:pPr>
            <w:r>
              <w:rPr/>
              <w:t xml:space="preserve">Item 1. </w:t>
            </w:r>
          </w:p>
        </w:tc>
        <w:tc>
          <w:tcPr>
            <w:tcW w:w="8096" w:type="dxa"/>
            <w:tcBorders/>
            <w:shd w:fill="CCEEFF" w:val="clear"/>
            <w:vAlign w:val="center"/>
          </w:tcPr>
          <w:p>
            <w:pPr>
              <w:pStyle w:val="TableContents"/>
              <w:bidi w:val="0"/>
              <w:spacing w:before="0" w:after="0"/>
              <w:jc w:val="left"/>
              <w:rPr/>
            </w:pPr>
            <w:r>
              <w:rPr/>
              <w:t xml:space="preserve">Financial Statements </w:t>
            </w:r>
          </w:p>
        </w:tc>
        <w:tc>
          <w:tcPr>
            <w:tcW w:w="426" w:type="dxa"/>
            <w:tcBorders/>
            <w:shd w:fill="CCEEFF" w:val="clear"/>
            <w:vAlign w:val="center"/>
          </w:tcPr>
          <w:p>
            <w:pPr>
              <w:pStyle w:val="TableContents"/>
              <w:bidi w:val="0"/>
              <w:spacing w:before="0" w:after="283"/>
              <w:jc w:val="left"/>
              <w:rPr/>
            </w:pPr>
            <w:r>
              <w:rPr/>
              <w:t> </w:t>
            </w:r>
          </w:p>
        </w:tc>
      </w:tr>
      <w:tr>
        <w:trPr/>
        <w:tc>
          <w:tcPr>
            <w:tcW w:w="393" w:type="dxa"/>
            <w:tcBorders/>
            <w:vAlign w:val="center"/>
          </w:tcPr>
          <w:p>
            <w:pPr>
              <w:pStyle w:val="TableContents"/>
              <w:bidi w:val="0"/>
              <w:spacing w:before="0" w:after="283"/>
              <w:jc w:val="left"/>
              <w:rPr/>
            </w:pPr>
            <w:r>
              <w:rPr/>
              <w:t> </w:t>
            </w:r>
          </w:p>
        </w:tc>
        <w:tc>
          <w:tcPr>
            <w:tcW w:w="1290" w:type="dxa"/>
            <w:tcBorders/>
            <w:vAlign w:val="center"/>
          </w:tcPr>
          <w:p>
            <w:pPr>
              <w:pStyle w:val="TableContents"/>
              <w:bidi w:val="0"/>
              <w:spacing w:before="0" w:after="283"/>
              <w:jc w:val="left"/>
              <w:rPr/>
            </w:pPr>
            <w:r>
              <w:rPr/>
              <w:t> </w:t>
            </w:r>
          </w:p>
        </w:tc>
        <w:tc>
          <w:tcPr>
            <w:tcW w:w="8096" w:type="dxa"/>
            <w:tcBorders/>
            <w:vAlign w:val="center"/>
          </w:tcPr>
          <w:p>
            <w:pPr>
              <w:pStyle w:val="TableContents"/>
              <w:bidi w:val="0"/>
              <w:spacing w:before="0" w:after="283"/>
              <w:jc w:val="left"/>
              <w:rPr/>
            </w:pPr>
            <w:r>
              <w:rPr/>
              <w:t> </w:t>
            </w:r>
          </w:p>
        </w:tc>
        <w:tc>
          <w:tcPr>
            <w:tcW w:w="426" w:type="dxa"/>
            <w:tcBorders/>
            <w:vAlign w:val="center"/>
          </w:tcPr>
          <w:p>
            <w:pPr>
              <w:pStyle w:val="TableContents"/>
              <w:bidi w:val="0"/>
              <w:spacing w:before="0" w:after="283"/>
              <w:jc w:val="left"/>
              <w:rPr/>
            </w:pPr>
            <w:r>
              <w:rPr/>
              <w:t> </w:t>
            </w:r>
          </w:p>
        </w:tc>
      </w:tr>
      <w:tr>
        <w:trPr/>
        <w:tc>
          <w:tcPr>
            <w:tcW w:w="393" w:type="dxa"/>
            <w:tcBorders/>
            <w:shd w:fill="CCEEFF" w:val="clear"/>
            <w:vAlign w:val="center"/>
          </w:tcPr>
          <w:p>
            <w:pPr>
              <w:pStyle w:val="TableContents"/>
              <w:bidi w:val="0"/>
              <w:spacing w:before="0" w:after="283"/>
              <w:jc w:val="left"/>
              <w:rPr/>
            </w:pPr>
            <w:r>
              <w:rPr/>
              <w:t> </w:t>
            </w:r>
          </w:p>
        </w:tc>
        <w:tc>
          <w:tcPr>
            <w:tcW w:w="1290" w:type="dxa"/>
            <w:tcBorders/>
            <w:shd w:fill="CCEEFF" w:val="clear"/>
            <w:vAlign w:val="center"/>
          </w:tcPr>
          <w:p>
            <w:pPr>
              <w:pStyle w:val="TableContents"/>
              <w:bidi w:val="0"/>
              <w:spacing w:before="0" w:after="283"/>
              <w:jc w:val="left"/>
              <w:rPr/>
            </w:pPr>
            <w:r>
              <w:rPr/>
              <w:t> </w:t>
            </w:r>
          </w:p>
        </w:tc>
        <w:tc>
          <w:tcPr>
            <w:tcW w:w="8096" w:type="dxa"/>
            <w:tcBorders/>
            <w:shd w:fill="CCEEFF" w:val="clear"/>
            <w:vAlign w:val="center"/>
          </w:tcPr>
          <w:p>
            <w:pPr>
              <w:pStyle w:val="TableContents"/>
              <w:bidi w:val="0"/>
              <w:spacing w:before="0" w:after="0"/>
              <w:jc w:val="left"/>
              <w:rPr/>
            </w:pPr>
            <w:hyperlink w:anchor="bs">
              <w:r>
                <w:rPr>
                  <w:rStyle w:val="InternetLink"/>
                </w:rPr>
                <w:t>Condensed Consolidated Balance Sheets as of March 31, 2026 (Unaudited) and December 31, 2025</w:t>
              </w:r>
            </w:hyperlink>
            <w:r>
              <w:rPr/>
              <w:t xml:space="preserve"> </w:t>
            </w:r>
          </w:p>
        </w:tc>
        <w:tc>
          <w:tcPr>
            <w:tcW w:w="426" w:type="dxa"/>
            <w:tcBorders/>
            <w:shd w:fill="CCEEFF" w:val="clear"/>
            <w:vAlign w:val="center"/>
          </w:tcPr>
          <w:p>
            <w:pPr>
              <w:pStyle w:val="TableContents"/>
              <w:bidi w:val="0"/>
              <w:spacing w:before="0" w:after="0"/>
              <w:jc w:val="right"/>
              <w:rPr/>
            </w:pPr>
            <w:r>
              <w:rPr/>
              <w:t xml:space="preserve">1 </w:t>
            </w:r>
          </w:p>
        </w:tc>
      </w:tr>
      <w:tr>
        <w:trPr/>
        <w:tc>
          <w:tcPr>
            <w:tcW w:w="393" w:type="dxa"/>
            <w:tcBorders/>
            <w:vAlign w:val="center"/>
          </w:tcPr>
          <w:p>
            <w:pPr>
              <w:pStyle w:val="TableContents"/>
              <w:bidi w:val="0"/>
              <w:spacing w:before="0" w:after="283"/>
              <w:jc w:val="left"/>
              <w:rPr/>
            </w:pPr>
            <w:r>
              <w:rPr/>
              <w:t> </w:t>
            </w:r>
          </w:p>
        </w:tc>
        <w:tc>
          <w:tcPr>
            <w:tcW w:w="1290" w:type="dxa"/>
            <w:tcBorders/>
            <w:vAlign w:val="center"/>
          </w:tcPr>
          <w:p>
            <w:pPr>
              <w:pStyle w:val="TableContents"/>
              <w:bidi w:val="0"/>
              <w:spacing w:before="0" w:after="283"/>
              <w:jc w:val="left"/>
              <w:rPr/>
            </w:pPr>
            <w:r>
              <w:rPr/>
              <w:t> </w:t>
            </w:r>
          </w:p>
        </w:tc>
        <w:tc>
          <w:tcPr>
            <w:tcW w:w="8096" w:type="dxa"/>
            <w:tcBorders/>
            <w:vAlign w:val="center"/>
          </w:tcPr>
          <w:p>
            <w:pPr>
              <w:pStyle w:val="TableContents"/>
              <w:bidi w:val="0"/>
              <w:spacing w:before="0" w:after="283"/>
              <w:jc w:val="left"/>
              <w:rPr/>
            </w:pPr>
            <w:r>
              <w:rPr/>
              <w:t> </w:t>
            </w:r>
          </w:p>
        </w:tc>
        <w:tc>
          <w:tcPr>
            <w:tcW w:w="426" w:type="dxa"/>
            <w:tcBorders/>
            <w:vAlign w:val="center"/>
          </w:tcPr>
          <w:p>
            <w:pPr>
              <w:pStyle w:val="TableContents"/>
              <w:bidi w:val="0"/>
              <w:spacing w:before="0" w:after="283"/>
              <w:jc w:val="right"/>
              <w:rPr/>
            </w:pPr>
            <w:r>
              <w:rPr/>
              <w:t> </w:t>
            </w:r>
          </w:p>
        </w:tc>
      </w:tr>
      <w:tr>
        <w:trPr/>
        <w:tc>
          <w:tcPr>
            <w:tcW w:w="393" w:type="dxa"/>
            <w:tcBorders/>
            <w:shd w:fill="CCEEFF" w:val="clear"/>
            <w:vAlign w:val="center"/>
          </w:tcPr>
          <w:p>
            <w:pPr>
              <w:pStyle w:val="TableContents"/>
              <w:bidi w:val="0"/>
              <w:spacing w:before="0" w:after="283"/>
              <w:jc w:val="left"/>
              <w:rPr/>
            </w:pPr>
            <w:r>
              <w:rPr/>
              <w:t> </w:t>
            </w:r>
          </w:p>
        </w:tc>
        <w:tc>
          <w:tcPr>
            <w:tcW w:w="1290" w:type="dxa"/>
            <w:tcBorders/>
            <w:shd w:fill="CCEEFF" w:val="clear"/>
            <w:vAlign w:val="center"/>
          </w:tcPr>
          <w:p>
            <w:pPr>
              <w:pStyle w:val="TableContents"/>
              <w:bidi w:val="0"/>
              <w:spacing w:before="0" w:after="283"/>
              <w:jc w:val="left"/>
              <w:rPr/>
            </w:pPr>
            <w:r>
              <w:rPr/>
              <w:t> </w:t>
            </w:r>
          </w:p>
        </w:tc>
        <w:tc>
          <w:tcPr>
            <w:tcW w:w="8096" w:type="dxa"/>
            <w:tcBorders/>
            <w:shd w:fill="CCEEFF" w:val="clear"/>
            <w:vAlign w:val="center"/>
          </w:tcPr>
          <w:p>
            <w:pPr>
              <w:pStyle w:val="TableContents"/>
              <w:bidi w:val="0"/>
              <w:spacing w:before="0" w:after="0"/>
              <w:jc w:val="left"/>
              <w:rPr/>
            </w:pPr>
            <w:hyperlink w:anchor="cso">
              <w:r>
                <w:rPr>
                  <w:rStyle w:val="InternetLink"/>
                </w:rPr>
                <w:t>Unaudited Condensed Consolidated Statements of Operations for the Three Months Ended March 31, 2026 and 2025</w:t>
              </w:r>
            </w:hyperlink>
            <w:r>
              <w:rPr/>
              <w:t xml:space="preserve"> </w:t>
            </w:r>
          </w:p>
        </w:tc>
        <w:tc>
          <w:tcPr>
            <w:tcW w:w="426" w:type="dxa"/>
            <w:tcBorders/>
            <w:shd w:fill="CCEEFF" w:val="clear"/>
            <w:vAlign w:val="center"/>
          </w:tcPr>
          <w:p>
            <w:pPr>
              <w:pStyle w:val="TableContents"/>
              <w:bidi w:val="0"/>
              <w:spacing w:before="0" w:after="0"/>
              <w:jc w:val="right"/>
              <w:rPr/>
            </w:pPr>
            <w:r>
              <w:rPr/>
              <w:t xml:space="preserve">2 </w:t>
            </w:r>
          </w:p>
        </w:tc>
      </w:tr>
      <w:tr>
        <w:trPr/>
        <w:tc>
          <w:tcPr>
            <w:tcW w:w="393" w:type="dxa"/>
            <w:tcBorders/>
            <w:vAlign w:val="center"/>
          </w:tcPr>
          <w:p>
            <w:pPr>
              <w:pStyle w:val="TableContents"/>
              <w:bidi w:val="0"/>
              <w:spacing w:before="0" w:after="283"/>
              <w:jc w:val="left"/>
              <w:rPr/>
            </w:pPr>
            <w:r>
              <w:rPr/>
              <w:t> </w:t>
            </w:r>
          </w:p>
        </w:tc>
        <w:tc>
          <w:tcPr>
            <w:tcW w:w="1290" w:type="dxa"/>
            <w:tcBorders/>
            <w:vAlign w:val="center"/>
          </w:tcPr>
          <w:p>
            <w:pPr>
              <w:pStyle w:val="TableContents"/>
              <w:bidi w:val="0"/>
              <w:spacing w:before="0" w:after="283"/>
              <w:jc w:val="left"/>
              <w:rPr/>
            </w:pPr>
            <w:r>
              <w:rPr/>
              <w:t> </w:t>
            </w:r>
          </w:p>
        </w:tc>
        <w:tc>
          <w:tcPr>
            <w:tcW w:w="8096" w:type="dxa"/>
            <w:tcBorders/>
            <w:vAlign w:val="center"/>
          </w:tcPr>
          <w:p>
            <w:pPr>
              <w:pStyle w:val="TableContents"/>
              <w:bidi w:val="0"/>
              <w:spacing w:before="0" w:after="283"/>
              <w:jc w:val="left"/>
              <w:rPr/>
            </w:pPr>
            <w:r>
              <w:rPr/>
              <w:t> </w:t>
            </w:r>
          </w:p>
        </w:tc>
        <w:tc>
          <w:tcPr>
            <w:tcW w:w="426" w:type="dxa"/>
            <w:tcBorders/>
            <w:vAlign w:val="center"/>
          </w:tcPr>
          <w:p>
            <w:pPr>
              <w:pStyle w:val="TableContents"/>
              <w:bidi w:val="0"/>
              <w:spacing w:before="0" w:after="283"/>
              <w:jc w:val="right"/>
              <w:rPr/>
            </w:pPr>
            <w:r>
              <w:rPr/>
              <w:t> </w:t>
            </w:r>
          </w:p>
        </w:tc>
      </w:tr>
      <w:tr>
        <w:trPr/>
        <w:tc>
          <w:tcPr>
            <w:tcW w:w="393" w:type="dxa"/>
            <w:tcBorders/>
            <w:shd w:fill="CCEEFF" w:val="clear"/>
            <w:vAlign w:val="center"/>
          </w:tcPr>
          <w:p>
            <w:pPr>
              <w:pStyle w:val="TableContents"/>
              <w:bidi w:val="0"/>
              <w:spacing w:before="0" w:after="283"/>
              <w:jc w:val="left"/>
              <w:rPr/>
            </w:pPr>
            <w:r>
              <w:rPr/>
              <w:t> </w:t>
            </w:r>
          </w:p>
        </w:tc>
        <w:tc>
          <w:tcPr>
            <w:tcW w:w="1290" w:type="dxa"/>
            <w:tcBorders/>
            <w:shd w:fill="CCEEFF" w:val="clear"/>
            <w:vAlign w:val="center"/>
          </w:tcPr>
          <w:p>
            <w:pPr>
              <w:pStyle w:val="TableContents"/>
              <w:bidi w:val="0"/>
              <w:spacing w:before="0" w:after="283"/>
              <w:jc w:val="left"/>
              <w:rPr/>
            </w:pPr>
            <w:r>
              <w:rPr/>
              <w:t> </w:t>
            </w:r>
          </w:p>
        </w:tc>
        <w:tc>
          <w:tcPr>
            <w:tcW w:w="8096" w:type="dxa"/>
            <w:tcBorders/>
            <w:shd w:fill="CCEEFF" w:val="clear"/>
            <w:vAlign w:val="center"/>
          </w:tcPr>
          <w:p>
            <w:pPr>
              <w:pStyle w:val="TableContents"/>
              <w:bidi w:val="0"/>
              <w:spacing w:before="0" w:after="0"/>
              <w:jc w:val="left"/>
              <w:rPr/>
            </w:pPr>
            <w:hyperlink w:anchor="se">
              <w:r>
                <w:rPr>
                  <w:rStyle w:val="InternetLink"/>
                </w:rPr>
                <w:t>Unaudited Condensed Consolidated Statements of Changes in Stockholders’ Equity for the Three Months Ended March 31, 2026 and 2025</w:t>
              </w:r>
            </w:hyperlink>
            <w:r>
              <w:rPr/>
              <w:t xml:space="preserve"> </w:t>
            </w:r>
          </w:p>
        </w:tc>
        <w:tc>
          <w:tcPr>
            <w:tcW w:w="426" w:type="dxa"/>
            <w:tcBorders/>
            <w:shd w:fill="CCEEFF" w:val="clear"/>
            <w:vAlign w:val="center"/>
          </w:tcPr>
          <w:p>
            <w:pPr>
              <w:pStyle w:val="TableContents"/>
              <w:bidi w:val="0"/>
              <w:spacing w:before="0" w:after="0"/>
              <w:jc w:val="right"/>
              <w:rPr/>
            </w:pPr>
            <w:r>
              <w:rPr/>
              <w:t xml:space="preserve">3 </w:t>
            </w:r>
          </w:p>
        </w:tc>
      </w:tr>
      <w:tr>
        <w:trPr/>
        <w:tc>
          <w:tcPr>
            <w:tcW w:w="393" w:type="dxa"/>
            <w:tcBorders/>
            <w:vAlign w:val="center"/>
          </w:tcPr>
          <w:p>
            <w:pPr>
              <w:pStyle w:val="TableContents"/>
              <w:bidi w:val="0"/>
              <w:spacing w:before="0" w:after="283"/>
              <w:jc w:val="left"/>
              <w:rPr/>
            </w:pPr>
            <w:r>
              <w:rPr/>
              <w:t> </w:t>
            </w:r>
          </w:p>
        </w:tc>
        <w:tc>
          <w:tcPr>
            <w:tcW w:w="1290" w:type="dxa"/>
            <w:tcBorders/>
            <w:vAlign w:val="center"/>
          </w:tcPr>
          <w:p>
            <w:pPr>
              <w:pStyle w:val="TableContents"/>
              <w:bidi w:val="0"/>
              <w:spacing w:before="0" w:after="283"/>
              <w:jc w:val="left"/>
              <w:rPr/>
            </w:pPr>
            <w:r>
              <w:rPr/>
              <w:t> </w:t>
            </w:r>
          </w:p>
        </w:tc>
        <w:tc>
          <w:tcPr>
            <w:tcW w:w="8096" w:type="dxa"/>
            <w:tcBorders/>
            <w:vAlign w:val="center"/>
          </w:tcPr>
          <w:p>
            <w:pPr>
              <w:pStyle w:val="TableContents"/>
              <w:bidi w:val="0"/>
              <w:spacing w:before="0" w:after="283"/>
              <w:jc w:val="left"/>
              <w:rPr/>
            </w:pPr>
            <w:r>
              <w:rPr/>
              <w:t> </w:t>
            </w:r>
          </w:p>
        </w:tc>
        <w:tc>
          <w:tcPr>
            <w:tcW w:w="426" w:type="dxa"/>
            <w:tcBorders/>
            <w:vAlign w:val="center"/>
          </w:tcPr>
          <w:p>
            <w:pPr>
              <w:pStyle w:val="TableContents"/>
              <w:bidi w:val="0"/>
              <w:spacing w:before="0" w:after="283"/>
              <w:jc w:val="right"/>
              <w:rPr/>
            </w:pPr>
            <w:r>
              <w:rPr/>
              <w:t> </w:t>
            </w:r>
          </w:p>
        </w:tc>
      </w:tr>
      <w:tr>
        <w:trPr/>
        <w:tc>
          <w:tcPr>
            <w:tcW w:w="393" w:type="dxa"/>
            <w:tcBorders/>
            <w:shd w:fill="CCEEFF" w:val="clear"/>
            <w:vAlign w:val="center"/>
          </w:tcPr>
          <w:p>
            <w:pPr>
              <w:pStyle w:val="TableContents"/>
              <w:bidi w:val="0"/>
              <w:spacing w:before="0" w:after="283"/>
              <w:jc w:val="left"/>
              <w:rPr/>
            </w:pPr>
            <w:r>
              <w:rPr/>
              <w:t> </w:t>
            </w:r>
          </w:p>
        </w:tc>
        <w:tc>
          <w:tcPr>
            <w:tcW w:w="1290" w:type="dxa"/>
            <w:tcBorders/>
            <w:shd w:fill="CCEEFF" w:val="clear"/>
            <w:vAlign w:val="center"/>
          </w:tcPr>
          <w:p>
            <w:pPr>
              <w:pStyle w:val="TableContents"/>
              <w:bidi w:val="0"/>
              <w:spacing w:before="0" w:after="283"/>
              <w:jc w:val="left"/>
              <w:rPr/>
            </w:pPr>
            <w:r>
              <w:rPr/>
              <w:t> </w:t>
            </w:r>
          </w:p>
        </w:tc>
        <w:tc>
          <w:tcPr>
            <w:tcW w:w="8096" w:type="dxa"/>
            <w:tcBorders/>
            <w:shd w:fill="CCEEFF" w:val="clear"/>
            <w:vAlign w:val="center"/>
          </w:tcPr>
          <w:p>
            <w:pPr>
              <w:pStyle w:val="TableContents"/>
              <w:bidi w:val="0"/>
              <w:spacing w:before="0" w:after="0"/>
              <w:jc w:val="left"/>
              <w:rPr/>
            </w:pPr>
            <w:hyperlink w:anchor="cf">
              <w:r>
                <w:rPr>
                  <w:rStyle w:val="InternetLink"/>
                </w:rPr>
                <w:t>Unaudited Condensed Consolidated Statements of Cash Flows for the Three Months Ended March 31, 2026 and 2025</w:t>
              </w:r>
            </w:hyperlink>
            <w:r>
              <w:rPr/>
              <w:t xml:space="preserve"> </w:t>
            </w:r>
          </w:p>
        </w:tc>
        <w:tc>
          <w:tcPr>
            <w:tcW w:w="426" w:type="dxa"/>
            <w:tcBorders/>
            <w:shd w:fill="CCEEFF" w:val="clear"/>
            <w:vAlign w:val="center"/>
          </w:tcPr>
          <w:p>
            <w:pPr>
              <w:pStyle w:val="TableContents"/>
              <w:bidi w:val="0"/>
              <w:spacing w:before="0" w:after="0"/>
              <w:jc w:val="right"/>
              <w:rPr/>
            </w:pPr>
            <w:r>
              <w:rPr/>
              <w:t xml:space="preserve">4 </w:t>
            </w:r>
          </w:p>
        </w:tc>
      </w:tr>
      <w:tr>
        <w:trPr/>
        <w:tc>
          <w:tcPr>
            <w:tcW w:w="393" w:type="dxa"/>
            <w:tcBorders/>
            <w:vAlign w:val="center"/>
          </w:tcPr>
          <w:p>
            <w:pPr>
              <w:pStyle w:val="TableContents"/>
              <w:bidi w:val="0"/>
              <w:spacing w:before="0" w:after="283"/>
              <w:jc w:val="left"/>
              <w:rPr/>
            </w:pPr>
            <w:r>
              <w:rPr/>
              <w:t> </w:t>
            </w:r>
          </w:p>
        </w:tc>
        <w:tc>
          <w:tcPr>
            <w:tcW w:w="1290" w:type="dxa"/>
            <w:tcBorders/>
            <w:vAlign w:val="center"/>
          </w:tcPr>
          <w:p>
            <w:pPr>
              <w:pStyle w:val="TableContents"/>
              <w:bidi w:val="0"/>
              <w:spacing w:before="0" w:after="283"/>
              <w:jc w:val="left"/>
              <w:rPr/>
            </w:pPr>
            <w:r>
              <w:rPr/>
              <w:t> </w:t>
            </w:r>
          </w:p>
        </w:tc>
        <w:tc>
          <w:tcPr>
            <w:tcW w:w="8096" w:type="dxa"/>
            <w:tcBorders/>
            <w:vAlign w:val="center"/>
          </w:tcPr>
          <w:p>
            <w:pPr>
              <w:pStyle w:val="TableContents"/>
              <w:bidi w:val="0"/>
              <w:spacing w:before="0" w:after="283"/>
              <w:jc w:val="left"/>
              <w:rPr/>
            </w:pPr>
            <w:r>
              <w:rPr/>
              <w:t> </w:t>
            </w:r>
          </w:p>
        </w:tc>
        <w:tc>
          <w:tcPr>
            <w:tcW w:w="426" w:type="dxa"/>
            <w:tcBorders/>
            <w:vAlign w:val="center"/>
          </w:tcPr>
          <w:p>
            <w:pPr>
              <w:pStyle w:val="TableContents"/>
              <w:bidi w:val="0"/>
              <w:spacing w:before="0" w:after="283"/>
              <w:jc w:val="right"/>
              <w:rPr/>
            </w:pPr>
            <w:r>
              <w:rPr/>
              <w:t> </w:t>
            </w:r>
          </w:p>
        </w:tc>
      </w:tr>
      <w:tr>
        <w:trPr/>
        <w:tc>
          <w:tcPr>
            <w:tcW w:w="393" w:type="dxa"/>
            <w:tcBorders/>
            <w:shd w:fill="CCEEFF" w:val="clear"/>
            <w:vAlign w:val="center"/>
          </w:tcPr>
          <w:p>
            <w:pPr>
              <w:pStyle w:val="TableContents"/>
              <w:bidi w:val="0"/>
              <w:spacing w:before="0" w:after="283"/>
              <w:jc w:val="left"/>
              <w:rPr/>
            </w:pPr>
            <w:r>
              <w:rPr/>
              <w:t> </w:t>
            </w:r>
          </w:p>
        </w:tc>
        <w:tc>
          <w:tcPr>
            <w:tcW w:w="1290" w:type="dxa"/>
            <w:tcBorders/>
            <w:shd w:fill="CCEEFF" w:val="clear"/>
            <w:vAlign w:val="center"/>
          </w:tcPr>
          <w:p>
            <w:pPr>
              <w:pStyle w:val="TableContents"/>
              <w:bidi w:val="0"/>
              <w:spacing w:before="0" w:after="283"/>
              <w:jc w:val="left"/>
              <w:rPr/>
            </w:pPr>
            <w:r>
              <w:rPr/>
              <w:t> </w:t>
            </w:r>
          </w:p>
        </w:tc>
        <w:tc>
          <w:tcPr>
            <w:tcW w:w="8096" w:type="dxa"/>
            <w:tcBorders/>
            <w:shd w:fill="CCEEFF" w:val="clear"/>
            <w:vAlign w:val="center"/>
          </w:tcPr>
          <w:p>
            <w:pPr>
              <w:pStyle w:val="TableContents"/>
              <w:bidi w:val="0"/>
              <w:spacing w:before="0" w:after="0"/>
              <w:jc w:val="left"/>
              <w:rPr/>
            </w:pPr>
            <w:hyperlink w:anchor="note">
              <w:r>
                <w:rPr>
                  <w:rStyle w:val="InternetLink"/>
                </w:rPr>
                <w:t>Notes to Unaudited Condensed Consolidated Financial Statements</w:t>
              </w:r>
            </w:hyperlink>
            <w:r>
              <w:rPr/>
              <w:t xml:space="preserve"> </w:t>
            </w:r>
          </w:p>
        </w:tc>
        <w:tc>
          <w:tcPr>
            <w:tcW w:w="426" w:type="dxa"/>
            <w:tcBorders/>
            <w:shd w:fill="CCEEFF" w:val="clear"/>
            <w:vAlign w:val="center"/>
          </w:tcPr>
          <w:p>
            <w:pPr>
              <w:pStyle w:val="TableContents"/>
              <w:bidi w:val="0"/>
              <w:spacing w:before="0" w:after="0"/>
              <w:jc w:val="right"/>
              <w:rPr/>
            </w:pPr>
            <w:r>
              <w:rPr/>
              <w:t xml:space="preserve">5 </w:t>
            </w:r>
          </w:p>
        </w:tc>
      </w:tr>
      <w:tr>
        <w:trPr/>
        <w:tc>
          <w:tcPr>
            <w:tcW w:w="393" w:type="dxa"/>
            <w:tcBorders/>
            <w:vAlign w:val="center"/>
          </w:tcPr>
          <w:p>
            <w:pPr>
              <w:pStyle w:val="TableContents"/>
              <w:bidi w:val="0"/>
              <w:spacing w:before="0" w:after="283"/>
              <w:jc w:val="left"/>
              <w:rPr/>
            </w:pPr>
            <w:r>
              <w:rPr/>
              <w:t> </w:t>
            </w:r>
          </w:p>
        </w:tc>
        <w:tc>
          <w:tcPr>
            <w:tcW w:w="1290" w:type="dxa"/>
            <w:tcBorders/>
            <w:vAlign w:val="center"/>
          </w:tcPr>
          <w:p>
            <w:pPr>
              <w:pStyle w:val="TableContents"/>
              <w:bidi w:val="0"/>
              <w:spacing w:before="0" w:after="283"/>
              <w:jc w:val="left"/>
              <w:rPr/>
            </w:pPr>
            <w:r>
              <w:rPr/>
              <w:t> </w:t>
            </w:r>
          </w:p>
        </w:tc>
        <w:tc>
          <w:tcPr>
            <w:tcW w:w="8096" w:type="dxa"/>
            <w:tcBorders/>
            <w:vAlign w:val="center"/>
          </w:tcPr>
          <w:p>
            <w:pPr>
              <w:pStyle w:val="TableContents"/>
              <w:bidi w:val="0"/>
              <w:spacing w:before="0" w:after="283"/>
              <w:jc w:val="left"/>
              <w:rPr/>
            </w:pPr>
            <w:r>
              <w:rPr/>
              <w:t> </w:t>
            </w:r>
          </w:p>
        </w:tc>
        <w:tc>
          <w:tcPr>
            <w:tcW w:w="426" w:type="dxa"/>
            <w:tcBorders/>
            <w:vAlign w:val="center"/>
          </w:tcPr>
          <w:p>
            <w:pPr>
              <w:pStyle w:val="TableContents"/>
              <w:bidi w:val="0"/>
              <w:spacing w:before="0" w:after="283"/>
              <w:jc w:val="right"/>
              <w:rPr/>
            </w:pPr>
            <w:r>
              <w:rPr/>
              <w:t> </w:t>
            </w:r>
          </w:p>
        </w:tc>
      </w:tr>
      <w:tr>
        <w:trPr/>
        <w:tc>
          <w:tcPr>
            <w:tcW w:w="393" w:type="dxa"/>
            <w:tcBorders/>
            <w:shd w:fill="CCEEFF" w:val="clear"/>
            <w:vAlign w:val="center"/>
          </w:tcPr>
          <w:p>
            <w:pPr>
              <w:pStyle w:val="TableContents"/>
              <w:bidi w:val="0"/>
              <w:spacing w:before="0" w:after="283"/>
              <w:jc w:val="left"/>
              <w:rPr/>
            </w:pPr>
            <w:r>
              <w:rPr/>
              <w:t> </w:t>
            </w:r>
          </w:p>
        </w:tc>
        <w:tc>
          <w:tcPr>
            <w:tcW w:w="1290" w:type="dxa"/>
            <w:tcBorders/>
            <w:shd w:fill="CCEEFF" w:val="clear"/>
            <w:vAlign w:val="center"/>
          </w:tcPr>
          <w:p>
            <w:pPr>
              <w:pStyle w:val="TableContents"/>
              <w:bidi w:val="0"/>
              <w:spacing w:before="0" w:after="0"/>
              <w:jc w:val="left"/>
              <w:rPr/>
            </w:pPr>
            <w:r>
              <w:rPr/>
              <w:t xml:space="preserve">Item 2. </w:t>
            </w:r>
          </w:p>
        </w:tc>
        <w:tc>
          <w:tcPr>
            <w:tcW w:w="8096" w:type="dxa"/>
            <w:tcBorders/>
            <w:shd w:fill="CCEEFF" w:val="clear"/>
            <w:vAlign w:val="center"/>
          </w:tcPr>
          <w:p>
            <w:pPr>
              <w:pStyle w:val="TableContents"/>
              <w:bidi w:val="0"/>
              <w:spacing w:before="0" w:after="0"/>
              <w:jc w:val="left"/>
              <w:rPr/>
            </w:pPr>
            <w:hyperlink w:anchor="itm2">
              <w:r>
                <w:rPr>
                  <w:rStyle w:val="InternetLink"/>
                </w:rPr>
                <w:t>Management’s Discussion and Analysis of Financial Condition and Results of Operations.</w:t>
              </w:r>
            </w:hyperlink>
            <w:r>
              <w:rPr/>
              <w:t xml:space="preserve"> </w:t>
            </w:r>
          </w:p>
        </w:tc>
        <w:tc>
          <w:tcPr>
            <w:tcW w:w="426" w:type="dxa"/>
            <w:tcBorders/>
            <w:shd w:fill="CCEEFF" w:val="clear"/>
            <w:vAlign w:val="center"/>
          </w:tcPr>
          <w:p>
            <w:pPr>
              <w:pStyle w:val="TableContents"/>
              <w:bidi w:val="0"/>
              <w:spacing w:before="0" w:after="0"/>
              <w:jc w:val="right"/>
              <w:rPr/>
            </w:pPr>
            <w:r>
              <w:rPr/>
              <w:t xml:space="preserve">20 </w:t>
            </w:r>
          </w:p>
        </w:tc>
      </w:tr>
      <w:tr>
        <w:trPr/>
        <w:tc>
          <w:tcPr>
            <w:tcW w:w="393" w:type="dxa"/>
            <w:tcBorders/>
            <w:vAlign w:val="center"/>
          </w:tcPr>
          <w:p>
            <w:pPr>
              <w:pStyle w:val="TableContents"/>
              <w:bidi w:val="0"/>
              <w:spacing w:before="0" w:after="283"/>
              <w:jc w:val="left"/>
              <w:rPr/>
            </w:pPr>
            <w:r>
              <w:rPr/>
              <w:t> </w:t>
            </w:r>
          </w:p>
        </w:tc>
        <w:tc>
          <w:tcPr>
            <w:tcW w:w="1290" w:type="dxa"/>
            <w:tcBorders/>
            <w:vAlign w:val="center"/>
          </w:tcPr>
          <w:p>
            <w:pPr>
              <w:pStyle w:val="TableContents"/>
              <w:bidi w:val="0"/>
              <w:spacing w:before="0" w:after="283"/>
              <w:jc w:val="left"/>
              <w:rPr/>
            </w:pPr>
            <w:r>
              <w:rPr/>
              <w:t> </w:t>
            </w:r>
          </w:p>
        </w:tc>
        <w:tc>
          <w:tcPr>
            <w:tcW w:w="8096" w:type="dxa"/>
            <w:tcBorders/>
            <w:vAlign w:val="center"/>
          </w:tcPr>
          <w:p>
            <w:pPr>
              <w:pStyle w:val="TableContents"/>
              <w:bidi w:val="0"/>
              <w:spacing w:before="0" w:after="283"/>
              <w:jc w:val="left"/>
              <w:rPr/>
            </w:pPr>
            <w:r>
              <w:rPr/>
              <w:t> </w:t>
            </w:r>
          </w:p>
        </w:tc>
        <w:tc>
          <w:tcPr>
            <w:tcW w:w="426" w:type="dxa"/>
            <w:tcBorders/>
            <w:vAlign w:val="center"/>
          </w:tcPr>
          <w:p>
            <w:pPr>
              <w:pStyle w:val="TableContents"/>
              <w:bidi w:val="0"/>
              <w:spacing w:before="0" w:after="283"/>
              <w:jc w:val="right"/>
              <w:rPr/>
            </w:pPr>
            <w:r>
              <w:rPr/>
              <w:t> </w:t>
            </w:r>
          </w:p>
        </w:tc>
      </w:tr>
      <w:tr>
        <w:trPr/>
        <w:tc>
          <w:tcPr>
            <w:tcW w:w="393" w:type="dxa"/>
            <w:tcBorders/>
            <w:shd w:fill="CCEEFF" w:val="clear"/>
            <w:vAlign w:val="center"/>
          </w:tcPr>
          <w:p>
            <w:pPr>
              <w:pStyle w:val="TableContents"/>
              <w:bidi w:val="0"/>
              <w:spacing w:before="0" w:after="283"/>
              <w:jc w:val="left"/>
              <w:rPr/>
            </w:pPr>
            <w:r>
              <w:rPr/>
              <w:t> </w:t>
            </w:r>
          </w:p>
        </w:tc>
        <w:tc>
          <w:tcPr>
            <w:tcW w:w="1290" w:type="dxa"/>
            <w:tcBorders/>
            <w:shd w:fill="CCEEFF" w:val="clear"/>
            <w:vAlign w:val="center"/>
          </w:tcPr>
          <w:p>
            <w:pPr>
              <w:pStyle w:val="TableContents"/>
              <w:bidi w:val="0"/>
              <w:spacing w:before="0" w:after="0"/>
              <w:jc w:val="left"/>
              <w:rPr/>
            </w:pPr>
            <w:r>
              <w:rPr/>
              <w:t xml:space="preserve">Item 3. </w:t>
            </w:r>
          </w:p>
        </w:tc>
        <w:tc>
          <w:tcPr>
            <w:tcW w:w="8096" w:type="dxa"/>
            <w:tcBorders/>
            <w:shd w:fill="CCEEFF" w:val="clear"/>
            <w:vAlign w:val="center"/>
          </w:tcPr>
          <w:p>
            <w:pPr>
              <w:pStyle w:val="TableContents"/>
              <w:bidi w:val="0"/>
              <w:spacing w:before="0" w:after="0"/>
              <w:jc w:val="left"/>
              <w:rPr/>
            </w:pPr>
            <w:hyperlink w:anchor="itm3">
              <w:r>
                <w:rPr>
                  <w:rStyle w:val="InternetLink"/>
                </w:rPr>
                <w:t>Quantitative and Qualitative Disclosures About Market Risk.</w:t>
              </w:r>
            </w:hyperlink>
            <w:r>
              <w:rPr/>
              <w:t xml:space="preserve"> </w:t>
            </w:r>
          </w:p>
        </w:tc>
        <w:tc>
          <w:tcPr>
            <w:tcW w:w="426" w:type="dxa"/>
            <w:tcBorders/>
            <w:shd w:fill="CCEEFF" w:val="clear"/>
            <w:vAlign w:val="center"/>
          </w:tcPr>
          <w:p>
            <w:pPr>
              <w:pStyle w:val="TableContents"/>
              <w:bidi w:val="0"/>
              <w:spacing w:before="0" w:after="0"/>
              <w:jc w:val="right"/>
              <w:rPr/>
            </w:pPr>
            <w:r>
              <w:rPr/>
              <w:t>30</w:t>
            </w:r>
          </w:p>
        </w:tc>
      </w:tr>
      <w:tr>
        <w:trPr/>
        <w:tc>
          <w:tcPr>
            <w:tcW w:w="393" w:type="dxa"/>
            <w:tcBorders/>
            <w:vAlign w:val="center"/>
          </w:tcPr>
          <w:p>
            <w:pPr>
              <w:pStyle w:val="TableContents"/>
              <w:bidi w:val="0"/>
              <w:spacing w:before="0" w:after="283"/>
              <w:jc w:val="left"/>
              <w:rPr/>
            </w:pPr>
            <w:r>
              <w:rPr/>
              <w:t> </w:t>
            </w:r>
          </w:p>
        </w:tc>
        <w:tc>
          <w:tcPr>
            <w:tcW w:w="1290" w:type="dxa"/>
            <w:tcBorders/>
            <w:vAlign w:val="center"/>
          </w:tcPr>
          <w:p>
            <w:pPr>
              <w:pStyle w:val="TableContents"/>
              <w:bidi w:val="0"/>
              <w:spacing w:before="0" w:after="283"/>
              <w:jc w:val="left"/>
              <w:rPr/>
            </w:pPr>
            <w:r>
              <w:rPr/>
              <w:t> </w:t>
            </w:r>
          </w:p>
        </w:tc>
        <w:tc>
          <w:tcPr>
            <w:tcW w:w="8096" w:type="dxa"/>
            <w:tcBorders/>
            <w:vAlign w:val="center"/>
          </w:tcPr>
          <w:p>
            <w:pPr>
              <w:pStyle w:val="TableContents"/>
              <w:bidi w:val="0"/>
              <w:spacing w:before="0" w:after="283"/>
              <w:jc w:val="left"/>
              <w:rPr/>
            </w:pPr>
            <w:r>
              <w:rPr/>
              <w:t> </w:t>
            </w:r>
          </w:p>
        </w:tc>
        <w:tc>
          <w:tcPr>
            <w:tcW w:w="426" w:type="dxa"/>
            <w:tcBorders/>
            <w:vAlign w:val="center"/>
          </w:tcPr>
          <w:p>
            <w:pPr>
              <w:pStyle w:val="TableContents"/>
              <w:bidi w:val="0"/>
              <w:spacing w:before="0" w:after="283"/>
              <w:jc w:val="right"/>
              <w:rPr/>
            </w:pPr>
            <w:r>
              <w:rPr/>
              <w:t> </w:t>
            </w:r>
          </w:p>
        </w:tc>
      </w:tr>
      <w:tr>
        <w:trPr/>
        <w:tc>
          <w:tcPr>
            <w:tcW w:w="393" w:type="dxa"/>
            <w:tcBorders/>
            <w:shd w:fill="CCEEFF" w:val="clear"/>
            <w:vAlign w:val="center"/>
          </w:tcPr>
          <w:p>
            <w:pPr>
              <w:pStyle w:val="TableContents"/>
              <w:bidi w:val="0"/>
              <w:spacing w:before="0" w:after="283"/>
              <w:jc w:val="left"/>
              <w:rPr/>
            </w:pPr>
            <w:r>
              <w:rPr/>
              <w:t> </w:t>
            </w:r>
          </w:p>
        </w:tc>
        <w:tc>
          <w:tcPr>
            <w:tcW w:w="1290" w:type="dxa"/>
            <w:tcBorders/>
            <w:shd w:fill="CCEEFF" w:val="clear"/>
            <w:vAlign w:val="center"/>
          </w:tcPr>
          <w:p>
            <w:pPr>
              <w:pStyle w:val="TableContents"/>
              <w:bidi w:val="0"/>
              <w:spacing w:before="0" w:after="0"/>
              <w:jc w:val="left"/>
              <w:rPr/>
            </w:pPr>
            <w:r>
              <w:rPr/>
              <w:t xml:space="preserve">Item 4. </w:t>
            </w:r>
          </w:p>
        </w:tc>
        <w:tc>
          <w:tcPr>
            <w:tcW w:w="8096" w:type="dxa"/>
            <w:tcBorders/>
            <w:shd w:fill="CCEEFF" w:val="clear"/>
            <w:vAlign w:val="center"/>
          </w:tcPr>
          <w:p>
            <w:pPr>
              <w:pStyle w:val="TableContents"/>
              <w:bidi w:val="0"/>
              <w:spacing w:before="0" w:after="0"/>
              <w:jc w:val="left"/>
              <w:rPr/>
            </w:pPr>
            <w:hyperlink w:anchor="itm4">
              <w:r>
                <w:rPr>
                  <w:rStyle w:val="InternetLink"/>
                </w:rPr>
                <w:t>Controls and Procedures.</w:t>
              </w:r>
            </w:hyperlink>
            <w:r>
              <w:rPr/>
              <w:t xml:space="preserve"> </w:t>
            </w:r>
          </w:p>
        </w:tc>
        <w:tc>
          <w:tcPr>
            <w:tcW w:w="426" w:type="dxa"/>
            <w:tcBorders/>
            <w:shd w:fill="CCEEFF" w:val="clear"/>
            <w:vAlign w:val="center"/>
          </w:tcPr>
          <w:p>
            <w:pPr>
              <w:pStyle w:val="TableContents"/>
              <w:bidi w:val="0"/>
              <w:spacing w:before="0" w:after="0"/>
              <w:jc w:val="right"/>
              <w:rPr/>
            </w:pPr>
            <w:r>
              <w:rPr/>
              <w:t>30</w:t>
            </w:r>
          </w:p>
        </w:tc>
      </w:tr>
      <w:tr>
        <w:trPr/>
        <w:tc>
          <w:tcPr>
            <w:tcW w:w="393" w:type="dxa"/>
            <w:tcBorders/>
            <w:vAlign w:val="center"/>
          </w:tcPr>
          <w:p>
            <w:pPr>
              <w:pStyle w:val="TableContents"/>
              <w:bidi w:val="0"/>
              <w:spacing w:before="0" w:after="283"/>
              <w:jc w:val="left"/>
              <w:rPr/>
            </w:pPr>
            <w:r>
              <w:rPr/>
              <w:t> </w:t>
            </w:r>
          </w:p>
        </w:tc>
        <w:tc>
          <w:tcPr>
            <w:tcW w:w="1290" w:type="dxa"/>
            <w:tcBorders/>
            <w:vAlign w:val="center"/>
          </w:tcPr>
          <w:p>
            <w:pPr>
              <w:pStyle w:val="TableContents"/>
              <w:bidi w:val="0"/>
              <w:spacing w:before="0" w:after="283"/>
              <w:jc w:val="left"/>
              <w:rPr/>
            </w:pPr>
            <w:r>
              <w:rPr/>
              <w:t> </w:t>
            </w:r>
          </w:p>
        </w:tc>
        <w:tc>
          <w:tcPr>
            <w:tcW w:w="8096" w:type="dxa"/>
            <w:tcBorders/>
            <w:vAlign w:val="center"/>
          </w:tcPr>
          <w:p>
            <w:pPr>
              <w:pStyle w:val="TableContents"/>
              <w:bidi w:val="0"/>
              <w:spacing w:before="0" w:after="283"/>
              <w:jc w:val="left"/>
              <w:rPr/>
            </w:pPr>
            <w:r>
              <w:rPr/>
              <w:t> </w:t>
            </w:r>
          </w:p>
        </w:tc>
        <w:tc>
          <w:tcPr>
            <w:tcW w:w="426" w:type="dxa"/>
            <w:tcBorders/>
            <w:vAlign w:val="center"/>
          </w:tcPr>
          <w:p>
            <w:pPr>
              <w:pStyle w:val="TableContents"/>
              <w:bidi w:val="0"/>
              <w:spacing w:before="0" w:after="283"/>
              <w:jc w:val="right"/>
              <w:rPr/>
            </w:pPr>
            <w:r>
              <w:rPr/>
              <w:t> </w:t>
            </w:r>
          </w:p>
        </w:tc>
      </w:tr>
      <w:tr>
        <w:trPr/>
        <w:tc>
          <w:tcPr>
            <w:tcW w:w="9779" w:type="dxa"/>
            <w:gridSpan w:val="3"/>
            <w:tcBorders/>
            <w:shd w:fill="CCEEFF" w:val="clear"/>
            <w:vAlign w:val="center"/>
          </w:tcPr>
          <w:p>
            <w:pPr>
              <w:pStyle w:val="TableContents"/>
              <w:bidi w:val="0"/>
              <w:spacing w:before="0" w:after="0"/>
              <w:jc w:val="left"/>
              <w:rPr/>
            </w:pPr>
            <w:hyperlink w:anchor="p2">
              <w:r>
                <w:rPr>
                  <w:rStyle w:val="InternetLink"/>
                </w:rPr>
                <w:t>PART II OTHER INFORMATION</w:t>
              </w:r>
            </w:hyperlink>
            <w:r>
              <w:rPr/>
              <w:t xml:space="preserve"> </w:t>
            </w:r>
          </w:p>
        </w:tc>
        <w:tc>
          <w:tcPr>
            <w:tcW w:w="426" w:type="dxa"/>
            <w:tcBorders/>
            <w:shd w:fill="CCEEFF" w:val="clear"/>
            <w:vAlign w:val="center"/>
          </w:tcPr>
          <w:p>
            <w:pPr>
              <w:pStyle w:val="TableContents"/>
              <w:bidi w:val="0"/>
              <w:spacing w:before="0" w:after="0"/>
              <w:jc w:val="right"/>
              <w:rPr/>
            </w:pPr>
            <w:r>
              <w:rPr/>
              <w:t>31</w:t>
            </w:r>
          </w:p>
        </w:tc>
      </w:tr>
      <w:tr>
        <w:trPr/>
        <w:tc>
          <w:tcPr>
            <w:tcW w:w="393" w:type="dxa"/>
            <w:tcBorders/>
            <w:vAlign w:val="center"/>
          </w:tcPr>
          <w:p>
            <w:pPr>
              <w:pStyle w:val="TableContents"/>
              <w:bidi w:val="0"/>
              <w:spacing w:before="0" w:after="283"/>
              <w:jc w:val="left"/>
              <w:rPr/>
            </w:pPr>
            <w:r>
              <w:rPr/>
              <w:t> </w:t>
            </w:r>
          </w:p>
        </w:tc>
        <w:tc>
          <w:tcPr>
            <w:tcW w:w="1290" w:type="dxa"/>
            <w:tcBorders/>
            <w:vAlign w:val="center"/>
          </w:tcPr>
          <w:p>
            <w:pPr>
              <w:pStyle w:val="TableContents"/>
              <w:bidi w:val="0"/>
              <w:spacing w:before="0" w:after="283"/>
              <w:jc w:val="left"/>
              <w:rPr/>
            </w:pPr>
            <w:r>
              <w:rPr/>
              <w:t> </w:t>
            </w:r>
          </w:p>
        </w:tc>
        <w:tc>
          <w:tcPr>
            <w:tcW w:w="8096" w:type="dxa"/>
            <w:tcBorders/>
            <w:vAlign w:val="center"/>
          </w:tcPr>
          <w:p>
            <w:pPr>
              <w:pStyle w:val="TableContents"/>
              <w:bidi w:val="0"/>
              <w:spacing w:before="0" w:after="283"/>
              <w:jc w:val="left"/>
              <w:rPr/>
            </w:pPr>
            <w:r>
              <w:rPr/>
              <w:t> </w:t>
            </w:r>
          </w:p>
        </w:tc>
        <w:tc>
          <w:tcPr>
            <w:tcW w:w="426" w:type="dxa"/>
            <w:tcBorders/>
            <w:vAlign w:val="center"/>
          </w:tcPr>
          <w:p>
            <w:pPr>
              <w:pStyle w:val="TableContents"/>
              <w:bidi w:val="0"/>
              <w:spacing w:before="0" w:after="283"/>
              <w:jc w:val="right"/>
              <w:rPr/>
            </w:pPr>
            <w:r>
              <w:rPr/>
              <w:t> </w:t>
            </w:r>
          </w:p>
        </w:tc>
      </w:tr>
      <w:tr>
        <w:trPr/>
        <w:tc>
          <w:tcPr>
            <w:tcW w:w="393" w:type="dxa"/>
            <w:tcBorders/>
            <w:shd w:fill="CCEEFF" w:val="clear"/>
            <w:vAlign w:val="center"/>
          </w:tcPr>
          <w:p>
            <w:pPr>
              <w:pStyle w:val="TableContents"/>
              <w:bidi w:val="0"/>
              <w:spacing w:before="0" w:after="283"/>
              <w:jc w:val="left"/>
              <w:rPr/>
            </w:pPr>
            <w:r>
              <w:rPr/>
              <w:t> </w:t>
            </w:r>
          </w:p>
        </w:tc>
        <w:tc>
          <w:tcPr>
            <w:tcW w:w="1290" w:type="dxa"/>
            <w:tcBorders/>
            <w:shd w:fill="CCEEFF" w:val="clear"/>
            <w:vAlign w:val="center"/>
          </w:tcPr>
          <w:p>
            <w:pPr>
              <w:pStyle w:val="TableContents"/>
              <w:bidi w:val="0"/>
              <w:spacing w:before="0" w:after="0"/>
              <w:jc w:val="left"/>
              <w:rPr/>
            </w:pPr>
            <w:r>
              <w:rPr/>
              <w:t xml:space="preserve">Item 1. </w:t>
            </w:r>
          </w:p>
        </w:tc>
        <w:tc>
          <w:tcPr>
            <w:tcW w:w="8096" w:type="dxa"/>
            <w:tcBorders/>
            <w:shd w:fill="CCEEFF" w:val="clear"/>
            <w:vAlign w:val="center"/>
          </w:tcPr>
          <w:p>
            <w:pPr>
              <w:pStyle w:val="TableContents"/>
              <w:bidi w:val="0"/>
              <w:spacing w:before="0" w:after="0"/>
              <w:jc w:val="left"/>
              <w:rPr/>
            </w:pPr>
            <w:hyperlink w:anchor="a1">
              <w:r>
                <w:rPr>
                  <w:rStyle w:val="InternetLink"/>
                </w:rPr>
                <w:t>Legal Proceedings.</w:t>
              </w:r>
            </w:hyperlink>
            <w:r>
              <w:rPr/>
              <w:t xml:space="preserve"> </w:t>
            </w:r>
          </w:p>
        </w:tc>
        <w:tc>
          <w:tcPr>
            <w:tcW w:w="426" w:type="dxa"/>
            <w:tcBorders/>
            <w:shd w:fill="CCEEFF" w:val="clear"/>
            <w:vAlign w:val="center"/>
          </w:tcPr>
          <w:p>
            <w:pPr>
              <w:pStyle w:val="TableContents"/>
              <w:bidi w:val="0"/>
              <w:spacing w:before="0" w:after="0"/>
              <w:jc w:val="right"/>
              <w:rPr/>
            </w:pPr>
            <w:r>
              <w:rPr/>
              <w:t>31</w:t>
            </w:r>
          </w:p>
        </w:tc>
      </w:tr>
      <w:tr>
        <w:trPr/>
        <w:tc>
          <w:tcPr>
            <w:tcW w:w="393" w:type="dxa"/>
            <w:tcBorders/>
            <w:vAlign w:val="center"/>
          </w:tcPr>
          <w:p>
            <w:pPr>
              <w:pStyle w:val="TableContents"/>
              <w:bidi w:val="0"/>
              <w:spacing w:before="0" w:after="283"/>
              <w:jc w:val="left"/>
              <w:rPr/>
            </w:pPr>
            <w:r>
              <w:rPr/>
              <w:t> </w:t>
            </w:r>
          </w:p>
        </w:tc>
        <w:tc>
          <w:tcPr>
            <w:tcW w:w="1290" w:type="dxa"/>
            <w:tcBorders/>
            <w:vAlign w:val="center"/>
          </w:tcPr>
          <w:p>
            <w:pPr>
              <w:pStyle w:val="TableContents"/>
              <w:bidi w:val="0"/>
              <w:spacing w:before="0" w:after="283"/>
              <w:jc w:val="left"/>
              <w:rPr/>
            </w:pPr>
            <w:r>
              <w:rPr/>
              <w:t> </w:t>
            </w:r>
          </w:p>
        </w:tc>
        <w:tc>
          <w:tcPr>
            <w:tcW w:w="8096" w:type="dxa"/>
            <w:tcBorders/>
            <w:vAlign w:val="center"/>
          </w:tcPr>
          <w:p>
            <w:pPr>
              <w:pStyle w:val="TableContents"/>
              <w:bidi w:val="0"/>
              <w:spacing w:before="0" w:after="283"/>
              <w:jc w:val="left"/>
              <w:rPr/>
            </w:pPr>
            <w:r>
              <w:rPr/>
              <w:t> </w:t>
            </w:r>
          </w:p>
        </w:tc>
        <w:tc>
          <w:tcPr>
            <w:tcW w:w="426" w:type="dxa"/>
            <w:tcBorders/>
            <w:vAlign w:val="center"/>
          </w:tcPr>
          <w:p>
            <w:pPr>
              <w:pStyle w:val="TableContents"/>
              <w:bidi w:val="0"/>
              <w:spacing w:before="0" w:after="283"/>
              <w:jc w:val="right"/>
              <w:rPr/>
            </w:pPr>
            <w:r>
              <w:rPr/>
              <w:t> </w:t>
            </w:r>
          </w:p>
        </w:tc>
      </w:tr>
      <w:tr>
        <w:trPr/>
        <w:tc>
          <w:tcPr>
            <w:tcW w:w="393" w:type="dxa"/>
            <w:tcBorders/>
            <w:shd w:fill="CCEEFF" w:val="clear"/>
            <w:vAlign w:val="center"/>
          </w:tcPr>
          <w:p>
            <w:pPr>
              <w:pStyle w:val="TableContents"/>
              <w:bidi w:val="0"/>
              <w:spacing w:before="0" w:after="283"/>
              <w:jc w:val="left"/>
              <w:rPr/>
            </w:pPr>
            <w:r>
              <w:rPr/>
              <w:t> </w:t>
            </w:r>
          </w:p>
        </w:tc>
        <w:tc>
          <w:tcPr>
            <w:tcW w:w="1290" w:type="dxa"/>
            <w:tcBorders/>
            <w:shd w:fill="CCEEFF" w:val="clear"/>
            <w:vAlign w:val="center"/>
          </w:tcPr>
          <w:p>
            <w:pPr>
              <w:pStyle w:val="TableContents"/>
              <w:bidi w:val="0"/>
              <w:spacing w:before="0" w:after="0"/>
              <w:jc w:val="left"/>
              <w:rPr/>
            </w:pPr>
            <w:r>
              <w:rPr/>
              <w:t xml:space="preserve">Item 1A. </w:t>
            </w:r>
          </w:p>
        </w:tc>
        <w:tc>
          <w:tcPr>
            <w:tcW w:w="8096" w:type="dxa"/>
            <w:tcBorders/>
            <w:shd w:fill="CCEEFF" w:val="clear"/>
            <w:vAlign w:val="center"/>
          </w:tcPr>
          <w:p>
            <w:pPr>
              <w:pStyle w:val="TableContents"/>
              <w:bidi w:val="0"/>
              <w:spacing w:before="0" w:after="0"/>
              <w:jc w:val="left"/>
              <w:rPr/>
            </w:pPr>
            <w:hyperlink w:anchor="a1a">
              <w:r>
                <w:rPr>
                  <w:rStyle w:val="InternetLink"/>
                </w:rPr>
                <w:t>Risk Factors.</w:t>
              </w:r>
            </w:hyperlink>
            <w:r>
              <w:rPr/>
              <w:t xml:space="preserve"> </w:t>
            </w:r>
          </w:p>
        </w:tc>
        <w:tc>
          <w:tcPr>
            <w:tcW w:w="426" w:type="dxa"/>
            <w:tcBorders/>
            <w:shd w:fill="CCEEFF" w:val="clear"/>
            <w:vAlign w:val="center"/>
          </w:tcPr>
          <w:p>
            <w:pPr>
              <w:pStyle w:val="TableContents"/>
              <w:bidi w:val="0"/>
              <w:spacing w:before="0" w:after="0"/>
              <w:jc w:val="right"/>
              <w:rPr/>
            </w:pPr>
            <w:r>
              <w:rPr/>
              <w:t>31</w:t>
            </w:r>
          </w:p>
        </w:tc>
      </w:tr>
      <w:tr>
        <w:trPr/>
        <w:tc>
          <w:tcPr>
            <w:tcW w:w="393" w:type="dxa"/>
            <w:tcBorders/>
            <w:vAlign w:val="center"/>
          </w:tcPr>
          <w:p>
            <w:pPr>
              <w:pStyle w:val="TableContents"/>
              <w:bidi w:val="0"/>
              <w:spacing w:before="0" w:after="283"/>
              <w:jc w:val="left"/>
              <w:rPr/>
            </w:pPr>
            <w:r>
              <w:rPr/>
              <w:t> </w:t>
            </w:r>
          </w:p>
        </w:tc>
        <w:tc>
          <w:tcPr>
            <w:tcW w:w="1290" w:type="dxa"/>
            <w:tcBorders/>
            <w:vAlign w:val="center"/>
          </w:tcPr>
          <w:p>
            <w:pPr>
              <w:pStyle w:val="TableContents"/>
              <w:bidi w:val="0"/>
              <w:spacing w:before="0" w:after="283"/>
              <w:jc w:val="left"/>
              <w:rPr/>
            </w:pPr>
            <w:r>
              <w:rPr/>
              <w:t> </w:t>
            </w:r>
          </w:p>
        </w:tc>
        <w:tc>
          <w:tcPr>
            <w:tcW w:w="8096" w:type="dxa"/>
            <w:tcBorders/>
            <w:vAlign w:val="center"/>
          </w:tcPr>
          <w:p>
            <w:pPr>
              <w:pStyle w:val="TableContents"/>
              <w:bidi w:val="0"/>
              <w:spacing w:before="0" w:after="283"/>
              <w:jc w:val="left"/>
              <w:rPr/>
            </w:pPr>
            <w:r>
              <w:rPr/>
              <w:t> </w:t>
            </w:r>
          </w:p>
        </w:tc>
        <w:tc>
          <w:tcPr>
            <w:tcW w:w="426" w:type="dxa"/>
            <w:tcBorders/>
            <w:vAlign w:val="center"/>
          </w:tcPr>
          <w:p>
            <w:pPr>
              <w:pStyle w:val="TableContents"/>
              <w:bidi w:val="0"/>
              <w:spacing w:before="0" w:after="283"/>
              <w:jc w:val="right"/>
              <w:rPr/>
            </w:pPr>
            <w:r>
              <w:rPr/>
              <w:t> </w:t>
            </w:r>
          </w:p>
        </w:tc>
      </w:tr>
      <w:tr>
        <w:trPr/>
        <w:tc>
          <w:tcPr>
            <w:tcW w:w="393" w:type="dxa"/>
            <w:tcBorders/>
            <w:shd w:fill="CCEEFF" w:val="clear"/>
            <w:vAlign w:val="center"/>
          </w:tcPr>
          <w:p>
            <w:pPr>
              <w:pStyle w:val="TableContents"/>
              <w:bidi w:val="0"/>
              <w:spacing w:before="0" w:after="283"/>
              <w:jc w:val="left"/>
              <w:rPr/>
            </w:pPr>
            <w:r>
              <w:rPr/>
              <w:t> </w:t>
            </w:r>
          </w:p>
        </w:tc>
        <w:tc>
          <w:tcPr>
            <w:tcW w:w="1290" w:type="dxa"/>
            <w:tcBorders/>
            <w:shd w:fill="CCEEFF" w:val="clear"/>
            <w:vAlign w:val="center"/>
          </w:tcPr>
          <w:p>
            <w:pPr>
              <w:pStyle w:val="TableContents"/>
              <w:bidi w:val="0"/>
              <w:spacing w:before="0" w:after="0"/>
              <w:jc w:val="left"/>
              <w:rPr/>
            </w:pPr>
            <w:r>
              <w:rPr/>
              <w:t xml:space="preserve">Item 2. </w:t>
            </w:r>
          </w:p>
        </w:tc>
        <w:tc>
          <w:tcPr>
            <w:tcW w:w="8096" w:type="dxa"/>
            <w:tcBorders/>
            <w:shd w:fill="CCEEFF" w:val="clear"/>
            <w:vAlign w:val="center"/>
          </w:tcPr>
          <w:p>
            <w:pPr>
              <w:pStyle w:val="TableContents"/>
              <w:bidi w:val="0"/>
              <w:spacing w:before="0" w:after="0"/>
              <w:jc w:val="left"/>
              <w:rPr/>
            </w:pPr>
            <w:hyperlink w:anchor="a2">
              <w:r>
                <w:rPr>
                  <w:rStyle w:val="InternetLink"/>
                </w:rPr>
                <w:t>Unregistered Sales of Equity Securities and Use of Proceeds.</w:t>
              </w:r>
            </w:hyperlink>
            <w:r>
              <w:rPr/>
              <w:t xml:space="preserve"> </w:t>
            </w:r>
          </w:p>
        </w:tc>
        <w:tc>
          <w:tcPr>
            <w:tcW w:w="426" w:type="dxa"/>
            <w:tcBorders/>
            <w:shd w:fill="CCEEFF" w:val="clear"/>
            <w:vAlign w:val="center"/>
          </w:tcPr>
          <w:p>
            <w:pPr>
              <w:pStyle w:val="TableContents"/>
              <w:bidi w:val="0"/>
              <w:spacing w:before="0" w:after="0"/>
              <w:jc w:val="right"/>
              <w:rPr/>
            </w:pPr>
            <w:r>
              <w:rPr/>
              <w:t xml:space="preserve">62 </w:t>
            </w:r>
          </w:p>
        </w:tc>
      </w:tr>
      <w:tr>
        <w:trPr/>
        <w:tc>
          <w:tcPr>
            <w:tcW w:w="393" w:type="dxa"/>
            <w:tcBorders/>
            <w:vAlign w:val="center"/>
          </w:tcPr>
          <w:p>
            <w:pPr>
              <w:pStyle w:val="TableContents"/>
              <w:bidi w:val="0"/>
              <w:spacing w:before="0" w:after="283"/>
              <w:jc w:val="left"/>
              <w:rPr/>
            </w:pPr>
            <w:r>
              <w:rPr/>
              <w:t> </w:t>
            </w:r>
          </w:p>
        </w:tc>
        <w:tc>
          <w:tcPr>
            <w:tcW w:w="1290" w:type="dxa"/>
            <w:tcBorders/>
            <w:vAlign w:val="center"/>
          </w:tcPr>
          <w:p>
            <w:pPr>
              <w:pStyle w:val="TableContents"/>
              <w:bidi w:val="0"/>
              <w:spacing w:before="0" w:after="283"/>
              <w:jc w:val="left"/>
              <w:rPr/>
            </w:pPr>
            <w:r>
              <w:rPr/>
              <w:t> </w:t>
            </w:r>
          </w:p>
        </w:tc>
        <w:tc>
          <w:tcPr>
            <w:tcW w:w="8096" w:type="dxa"/>
            <w:tcBorders/>
            <w:vAlign w:val="center"/>
          </w:tcPr>
          <w:p>
            <w:pPr>
              <w:pStyle w:val="TableContents"/>
              <w:bidi w:val="0"/>
              <w:spacing w:before="0" w:after="283"/>
              <w:jc w:val="left"/>
              <w:rPr/>
            </w:pPr>
            <w:r>
              <w:rPr/>
              <w:t> </w:t>
            </w:r>
          </w:p>
        </w:tc>
        <w:tc>
          <w:tcPr>
            <w:tcW w:w="426" w:type="dxa"/>
            <w:tcBorders/>
            <w:vAlign w:val="center"/>
          </w:tcPr>
          <w:p>
            <w:pPr>
              <w:pStyle w:val="TableContents"/>
              <w:bidi w:val="0"/>
              <w:spacing w:before="0" w:after="283"/>
              <w:jc w:val="right"/>
              <w:rPr/>
            </w:pPr>
            <w:r>
              <w:rPr/>
              <w:t> </w:t>
            </w:r>
          </w:p>
        </w:tc>
      </w:tr>
      <w:tr>
        <w:trPr/>
        <w:tc>
          <w:tcPr>
            <w:tcW w:w="393" w:type="dxa"/>
            <w:tcBorders/>
            <w:shd w:fill="CCEEFF" w:val="clear"/>
            <w:vAlign w:val="center"/>
          </w:tcPr>
          <w:p>
            <w:pPr>
              <w:pStyle w:val="TableContents"/>
              <w:bidi w:val="0"/>
              <w:spacing w:before="0" w:after="283"/>
              <w:jc w:val="left"/>
              <w:rPr/>
            </w:pPr>
            <w:r>
              <w:rPr/>
              <w:t> </w:t>
            </w:r>
          </w:p>
        </w:tc>
        <w:tc>
          <w:tcPr>
            <w:tcW w:w="1290" w:type="dxa"/>
            <w:tcBorders/>
            <w:shd w:fill="CCEEFF" w:val="clear"/>
            <w:vAlign w:val="center"/>
          </w:tcPr>
          <w:p>
            <w:pPr>
              <w:pStyle w:val="TableContents"/>
              <w:bidi w:val="0"/>
              <w:spacing w:before="0" w:after="0"/>
              <w:jc w:val="left"/>
              <w:rPr/>
            </w:pPr>
            <w:r>
              <w:rPr/>
              <w:t xml:space="preserve">Item 3. </w:t>
            </w:r>
          </w:p>
        </w:tc>
        <w:tc>
          <w:tcPr>
            <w:tcW w:w="8096" w:type="dxa"/>
            <w:tcBorders/>
            <w:shd w:fill="CCEEFF" w:val="clear"/>
            <w:vAlign w:val="center"/>
          </w:tcPr>
          <w:p>
            <w:pPr>
              <w:pStyle w:val="TableContents"/>
              <w:bidi w:val="0"/>
              <w:spacing w:before="0" w:after="0"/>
              <w:jc w:val="left"/>
              <w:rPr/>
            </w:pPr>
            <w:hyperlink w:anchor="a3">
              <w:r>
                <w:rPr>
                  <w:rStyle w:val="InternetLink"/>
                </w:rPr>
                <w:t>Defaults Upon Senior Securities.</w:t>
              </w:r>
            </w:hyperlink>
            <w:r>
              <w:rPr/>
              <w:t xml:space="preserve"> </w:t>
            </w:r>
          </w:p>
        </w:tc>
        <w:tc>
          <w:tcPr>
            <w:tcW w:w="426" w:type="dxa"/>
            <w:tcBorders/>
            <w:shd w:fill="CCEEFF" w:val="clear"/>
            <w:vAlign w:val="center"/>
          </w:tcPr>
          <w:p>
            <w:pPr>
              <w:pStyle w:val="TableContents"/>
              <w:bidi w:val="0"/>
              <w:spacing w:before="0" w:after="0"/>
              <w:jc w:val="right"/>
              <w:rPr/>
            </w:pPr>
            <w:r>
              <w:rPr/>
              <w:t xml:space="preserve">62 </w:t>
            </w:r>
          </w:p>
        </w:tc>
      </w:tr>
      <w:tr>
        <w:trPr/>
        <w:tc>
          <w:tcPr>
            <w:tcW w:w="393" w:type="dxa"/>
            <w:tcBorders/>
            <w:vAlign w:val="center"/>
          </w:tcPr>
          <w:p>
            <w:pPr>
              <w:pStyle w:val="TableContents"/>
              <w:bidi w:val="0"/>
              <w:spacing w:before="0" w:after="283"/>
              <w:jc w:val="left"/>
              <w:rPr/>
            </w:pPr>
            <w:r>
              <w:rPr/>
              <w:t> </w:t>
            </w:r>
          </w:p>
        </w:tc>
        <w:tc>
          <w:tcPr>
            <w:tcW w:w="1290" w:type="dxa"/>
            <w:tcBorders/>
            <w:vAlign w:val="center"/>
          </w:tcPr>
          <w:p>
            <w:pPr>
              <w:pStyle w:val="TableContents"/>
              <w:bidi w:val="0"/>
              <w:spacing w:before="0" w:after="283"/>
              <w:jc w:val="left"/>
              <w:rPr/>
            </w:pPr>
            <w:r>
              <w:rPr/>
              <w:t> </w:t>
            </w:r>
          </w:p>
        </w:tc>
        <w:tc>
          <w:tcPr>
            <w:tcW w:w="8096" w:type="dxa"/>
            <w:tcBorders/>
            <w:vAlign w:val="center"/>
          </w:tcPr>
          <w:p>
            <w:pPr>
              <w:pStyle w:val="TableContents"/>
              <w:bidi w:val="0"/>
              <w:spacing w:before="0" w:after="283"/>
              <w:jc w:val="left"/>
              <w:rPr/>
            </w:pPr>
            <w:r>
              <w:rPr/>
              <w:t> </w:t>
            </w:r>
          </w:p>
        </w:tc>
        <w:tc>
          <w:tcPr>
            <w:tcW w:w="426" w:type="dxa"/>
            <w:tcBorders/>
            <w:vAlign w:val="center"/>
          </w:tcPr>
          <w:p>
            <w:pPr>
              <w:pStyle w:val="TableContents"/>
              <w:bidi w:val="0"/>
              <w:spacing w:before="0" w:after="283"/>
              <w:jc w:val="right"/>
              <w:rPr/>
            </w:pPr>
            <w:r>
              <w:rPr/>
              <w:t> </w:t>
            </w:r>
          </w:p>
        </w:tc>
      </w:tr>
      <w:tr>
        <w:trPr/>
        <w:tc>
          <w:tcPr>
            <w:tcW w:w="393" w:type="dxa"/>
            <w:tcBorders/>
            <w:shd w:fill="CCEEFF" w:val="clear"/>
            <w:vAlign w:val="center"/>
          </w:tcPr>
          <w:p>
            <w:pPr>
              <w:pStyle w:val="TableContents"/>
              <w:bidi w:val="0"/>
              <w:spacing w:before="0" w:after="283"/>
              <w:jc w:val="left"/>
              <w:rPr/>
            </w:pPr>
            <w:r>
              <w:rPr/>
              <w:t> </w:t>
            </w:r>
          </w:p>
        </w:tc>
        <w:tc>
          <w:tcPr>
            <w:tcW w:w="1290" w:type="dxa"/>
            <w:tcBorders/>
            <w:shd w:fill="CCEEFF" w:val="clear"/>
            <w:vAlign w:val="center"/>
          </w:tcPr>
          <w:p>
            <w:pPr>
              <w:pStyle w:val="TableContents"/>
              <w:bidi w:val="0"/>
              <w:spacing w:before="0" w:after="0"/>
              <w:jc w:val="left"/>
              <w:rPr/>
            </w:pPr>
            <w:r>
              <w:rPr/>
              <w:t xml:space="preserve">Item 4. </w:t>
            </w:r>
          </w:p>
        </w:tc>
        <w:tc>
          <w:tcPr>
            <w:tcW w:w="8096" w:type="dxa"/>
            <w:tcBorders/>
            <w:shd w:fill="CCEEFF" w:val="clear"/>
            <w:vAlign w:val="center"/>
          </w:tcPr>
          <w:p>
            <w:pPr>
              <w:pStyle w:val="TableContents"/>
              <w:bidi w:val="0"/>
              <w:spacing w:before="0" w:after="0"/>
              <w:jc w:val="left"/>
              <w:rPr/>
            </w:pPr>
            <w:hyperlink w:anchor="a4">
              <w:r>
                <w:rPr>
                  <w:rStyle w:val="InternetLink"/>
                </w:rPr>
                <w:t>Mine Safety Disclosures.</w:t>
              </w:r>
            </w:hyperlink>
            <w:r>
              <w:rPr/>
              <w:t xml:space="preserve"> </w:t>
            </w:r>
          </w:p>
        </w:tc>
        <w:tc>
          <w:tcPr>
            <w:tcW w:w="426" w:type="dxa"/>
            <w:tcBorders/>
            <w:shd w:fill="CCEEFF" w:val="clear"/>
            <w:vAlign w:val="center"/>
          </w:tcPr>
          <w:p>
            <w:pPr>
              <w:pStyle w:val="TableContents"/>
              <w:bidi w:val="0"/>
              <w:spacing w:before="0" w:after="0"/>
              <w:jc w:val="right"/>
              <w:rPr/>
            </w:pPr>
            <w:r>
              <w:rPr/>
              <w:t>62</w:t>
            </w:r>
          </w:p>
        </w:tc>
      </w:tr>
      <w:tr>
        <w:trPr/>
        <w:tc>
          <w:tcPr>
            <w:tcW w:w="393" w:type="dxa"/>
            <w:tcBorders/>
            <w:vAlign w:val="center"/>
          </w:tcPr>
          <w:p>
            <w:pPr>
              <w:pStyle w:val="TableContents"/>
              <w:bidi w:val="0"/>
              <w:spacing w:before="0" w:after="283"/>
              <w:jc w:val="left"/>
              <w:rPr/>
            </w:pPr>
            <w:r>
              <w:rPr/>
              <w:t> </w:t>
            </w:r>
          </w:p>
        </w:tc>
        <w:tc>
          <w:tcPr>
            <w:tcW w:w="1290" w:type="dxa"/>
            <w:tcBorders/>
            <w:vAlign w:val="center"/>
          </w:tcPr>
          <w:p>
            <w:pPr>
              <w:pStyle w:val="TableContents"/>
              <w:bidi w:val="0"/>
              <w:spacing w:before="0" w:after="283"/>
              <w:jc w:val="left"/>
              <w:rPr/>
            </w:pPr>
            <w:r>
              <w:rPr/>
              <w:t> </w:t>
            </w:r>
          </w:p>
        </w:tc>
        <w:tc>
          <w:tcPr>
            <w:tcW w:w="8096" w:type="dxa"/>
            <w:tcBorders/>
            <w:vAlign w:val="center"/>
          </w:tcPr>
          <w:p>
            <w:pPr>
              <w:pStyle w:val="TableContents"/>
              <w:bidi w:val="0"/>
              <w:spacing w:before="0" w:after="283"/>
              <w:jc w:val="left"/>
              <w:rPr/>
            </w:pPr>
            <w:r>
              <w:rPr/>
              <w:t> </w:t>
            </w:r>
          </w:p>
        </w:tc>
        <w:tc>
          <w:tcPr>
            <w:tcW w:w="426" w:type="dxa"/>
            <w:tcBorders/>
            <w:vAlign w:val="center"/>
          </w:tcPr>
          <w:p>
            <w:pPr>
              <w:pStyle w:val="TableContents"/>
              <w:bidi w:val="0"/>
              <w:spacing w:before="0" w:after="283"/>
              <w:jc w:val="right"/>
              <w:rPr/>
            </w:pPr>
            <w:r>
              <w:rPr/>
              <w:t> </w:t>
            </w:r>
          </w:p>
        </w:tc>
      </w:tr>
      <w:tr>
        <w:trPr/>
        <w:tc>
          <w:tcPr>
            <w:tcW w:w="393" w:type="dxa"/>
            <w:tcBorders/>
            <w:shd w:fill="CCEEFF" w:val="clear"/>
            <w:vAlign w:val="center"/>
          </w:tcPr>
          <w:p>
            <w:pPr>
              <w:pStyle w:val="TableContents"/>
              <w:bidi w:val="0"/>
              <w:spacing w:before="0" w:after="283"/>
              <w:jc w:val="left"/>
              <w:rPr/>
            </w:pPr>
            <w:r>
              <w:rPr/>
              <w:t> </w:t>
            </w:r>
          </w:p>
        </w:tc>
        <w:tc>
          <w:tcPr>
            <w:tcW w:w="1290" w:type="dxa"/>
            <w:tcBorders/>
            <w:shd w:fill="CCEEFF" w:val="clear"/>
            <w:vAlign w:val="center"/>
          </w:tcPr>
          <w:p>
            <w:pPr>
              <w:pStyle w:val="TableContents"/>
              <w:bidi w:val="0"/>
              <w:spacing w:before="0" w:after="0"/>
              <w:jc w:val="left"/>
              <w:rPr/>
            </w:pPr>
            <w:r>
              <w:rPr/>
              <w:t xml:space="preserve">Item 5. </w:t>
            </w:r>
          </w:p>
        </w:tc>
        <w:tc>
          <w:tcPr>
            <w:tcW w:w="8096" w:type="dxa"/>
            <w:tcBorders/>
            <w:shd w:fill="CCEEFF" w:val="clear"/>
            <w:vAlign w:val="center"/>
          </w:tcPr>
          <w:p>
            <w:pPr>
              <w:pStyle w:val="TableContents"/>
              <w:bidi w:val="0"/>
              <w:spacing w:before="0" w:after="0"/>
              <w:jc w:val="left"/>
              <w:rPr/>
            </w:pPr>
            <w:hyperlink w:anchor="a5">
              <w:r>
                <w:rPr>
                  <w:rStyle w:val="InternetLink"/>
                </w:rPr>
                <w:t>Other Information.</w:t>
              </w:r>
            </w:hyperlink>
            <w:r>
              <w:rPr/>
              <w:t xml:space="preserve"> </w:t>
            </w:r>
          </w:p>
        </w:tc>
        <w:tc>
          <w:tcPr>
            <w:tcW w:w="426" w:type="dxa"/>
            <w:tcBorders/>
            <w:shd w:fill="CCEEFF" w:val="clear"/>
            <w:vAlign w:val="center"/>
          </w:tcPr>
          <w:p>
            <w:pPr>
              <w:pStyle w:val="TableContents"/>
              <w:bidi w:val="0"/>
              <w:spacing w:before="0" w:after="0"/>
              <w:jc w:val="right"/>
              <w:rPr/>
            </w:pPr>
            <w:r>
              <w:rPr/>
              <w:t>62</w:t>
            </w:r>
          </w:p>
        </w:tc>
      </w:tr>
      <w:tr>
        <w:trPr/>
        <w:tc>
          <w:tcPr>
            <w:tcW w:w="393" w:type="dxa"/>
            <w:tcBorders/>
            <w:vAlign w:val="center"/>
          </w:tcPr>
          <w:p>
            <w:pPr>
              <w:pStyle w:val="TableContents"/>
              <w:bidi w:val="0"/>
              <w:spacing w:before="0" w:after="283"/>
              <w:jc w:val="left"/>
              <w:rPr/>
            </w:pPr>
            <w:r>
              <w:rPr/>
              <w:t> </w:t>
            </w:r>
          </w:p>
        </w:tc>
        <w:tc>
          <w:tcPr>
            <w:tcW w:w="1290" w:type="dxa"/>
            <w:tcBorders/>
            <w:vAlign w:val="center"/>
          </w:tcPr>
          <w:p>
            <w:pPr>
              <w:pStyle w:val="TableContents"/>
              <w:bidi w:val="0"/>
              <w:spacing w:before="0" w:after="283"/>
              <w:jc w:val="left"/>
              <w:rPr/>
            </w:pPr>
            <w:r>
              <w:rPr/>
              <w:t> </w:t>
            </w:r>
          </w:p>
        </w:tc>
        <w:tc>
          <w:tcPr>
            <w:tcW w:w="8096" w:type="dxa"/>
            <w:tcBorders/>
            <w:vAlign w:val="center"/>
          </w:tcPr>
          <w:p>
            <w:pPr>
              <w:pStyle w:val="TableContents"/>
              <w:bidi w:val="0"/>
              <w:spacing w:before="0" w:after="283"/>
              <w:jc w:val="left"/>
              <w:rPr/>
            </w:pPr>
            <w:r>
              <w:rPr/>
              <w:t> </w:t>
            </w:r>
          </w:p>
        </w:tc>
        <w:tc>
          <w:tcPr>
            <w:tcW w:w="426" w:type="dxa"/>
            <w:tcBorders/>
            <w:vAlign w:val="center"/>
          </w:tcPr>
          <w:p>
            <w:pPr>
              <w:pStyle w:val="TableContents"/>
              <w:bidi w:val="0"/>
              <w:spacing w:before="0" w:after="283"/>
              <w:jc w:val="right"/>
              <w:rPr/>
            </w:pPr>
            <w:r>
              <w:rPr/>
              <w:t> </w:t>
            </w:r>
          </w:p>
        </w:tc>
      </w:tr>
      <w:tr>
        <w:trPr/>
        <w:tc>
          <w:tcPr>
            <w:tcW w:w="393" w:type="dxa"/>
            <w:tcBorders/>
            <w:shd w:fill="CCEEFF" w:val="clear"/>
            <w:vAlign w:val="center"/>
          </w:tcPr>
          <w:p>
            <w:pPr>
              <w:pStyle w:val="TableContents"/>
              <w:bidi w:val="0"/>
              <w:spacing w:before="0" w:after="283"/>
              <w:jc w:val="left"/>
              <w:rPr/>
            </w:pPr>
            <w:r>
              <w:rPr/>
              <w:t> </w:t>
            </w:r>
          </w:p>
        </w:tc>
        <w:tc>
          <w:tcPr>
            <w:tcW w:w="1290" w:type="dxa"/>
            <w:tcBorders/>
            <w:shd w:fill="CCEEFF" w:val="clear"/>
            <w:vAlign w:val="center"/>
          </w:tcPr>
          <w:p>
            <w:pPr>
              <w:pStyle w:val="TableContents"/>
              <w:bidi w:val="0"/>
              <w:spacing w:before="0" w:after="0"/>
              <w:jc w:val="left"/>
              <w:rPr/>
            </w:pPr>
            <w:r>
              <w:rPr/>
              <w:t xml:space="preserve">Item 6. </w:t>
            </w:r>
          </w:p>
        </w:tc>
        <w:tc>
          <w:tcPr>
            <w:tcW w:w="8096" w:type="dxa"/>
            <w:tcBorders/>
            <w:shd w:fill="CCEEFF" w:val="clear"/>
            <w:vAlign w:val="center"/>
          </w:tcPr>
          <w:p>
            <w:pPr>
              <w:pStyle w:val="TableContents"/>
              <w:bidi w:val="0"/>
              <w:spacing w:before="0" w:after="0"/>
              <w:jc w:val="left"/>
              <w:rPr/>
            </w:pPr>
            <w:hyperlink w:anchor="a6">
              <w:r>
                <w:rPr>
                  <w:rStyle w:val="InternetLink"/>
                </w:rPr>
                <w:t>Exhibits.</w:t>
              </w:r>
            </w:hyperlink>
            <w:r>
              <w:rPr/>
              <w:t xml:space="preserve"> </w:t>
            </w:r>
          </w:p>
        </w:tc>
        <w:tc>
          <w:tcPr>
            <w:tcW w:w="426" w:type="dxa"/>
            <w:tcBorders/>
            <w:shd w:fill="CCEEFF" w:val="clear"/>
            <w:vAlign w:val="center"/>
          </w:tcPr>
          <w:p>
            <w:pPr>
              <w:pStyle w:val="TableContents"/>
              <w:bidi w:val="0"/>
              <w:spacing w:before="0" w:after="0"/>
              <w:jc w:val="right"/>
              <w:rPr/>
            </w:pPr>
            <w:r>
              <w:rPr/>
              <w:t>62</w:t>
            </w:r>
          </w:p>
        </w:tc>
      </w:tr>
      <w:tr>
        <w:trPr/>
        <w:tc>
          <w:tcPr>
            <w:tcW w:w="393" w:type="dxa"/>
            <w:tcBorders/>
            <w:vAlign w:val="center"/>
          </w:tcPr>
          <w:p>
            <w:pPr>
              <w:pStyle w:val="TableContents"/>
              <w:bidi w:val="0"/>
              <w:spacing w:before="0" w:after="283"/>
              <w:jc w:val="left"/>
              <w:rPr/>
            </w:pPr>
            <w:r>
              <w:rPr/>
              <w:t> </w:t>
            </w:r>
          </w:p>
        </w:tc>
        <w:tc>
          <w:tcPr>
            <w:tcW w:w="1290" w:type="dxa"/>
            <w:tcBorders/>
            <w:vAlign w:val="center"/>
          </w:tcPr>
          <w:p>
            <w:pPr>
              <w:pStyle w:val="TableContents"/>
              <w:bidi w:val="0"/>
              <w:spacing w:before="0" w:after="283"/>
              <w:jc w:val="left"/>
              <w:rPr/>
            </w:pPr>
            <w:r>
              <w:rPr/>
              <w:t> </w:t>
            </w:r>
          </w:p>
        </w:tc>
        <w:tc>
          <w:tcPr>
            <w:tcW w:w="8096" w:type="dxa"/>
            <w:tcBorders/>
            <w:vAlign w:val="center"/>
          </w:tcPr>
          <w:p>
            <w:pPr>
              <w:pStyle w:val="TableContents"/>
              <w:bidi w:val="0"/>
              <w:spacing w:before="0" w:after="283"/>
              <w:jc w:val="left"/>
              <w:rPr/>
            </w:pPr>
            <w:r>
              <w:rPr/>
              <w:t> </w:t>
            </w:r>
          </w:p>
        </w:tc>
        <w:tc>
          <w:tcPr>
            <w:tcW w:w="426" w:type="dxa"/>
            <w:tcBorders/>
            <w:vAlign w:val="center"/>
          </w:tcPr>
          <w:p>
            <w:pPr>
              <w:pStyle w:val="TableContents"/>
              <w:bidi w:val="0"/>
              <w:spacing w:before="0" w:after="283"/>
              <w:jc w:val="right"/>
              <w:rPr/>
            </w:pPr>
            <w:r>
              <w:rPr/>
              <w:t> </w:t>
            </w:r>
          </w:p>
        </w:tc>
      </w:tr>
      <w:tr>
        <w:trPr/>
        <w:tc>
          <w:tcPr>
            <w:tcW w:w="1683" w:type="dxa"/>
            <w:gridSpan w:val="2"/>
            <w:tcBorders/>
            <w:shd w:fill="CCEEFF" w:val="clear"/>
            <w:vAlign w:val="center"/>
          </w:tcPr>
          <w:p>
            <w:pPr>
              <w:pStyle w:val="TableContents"/>
              <w:bidi w:val="0"/>
              <w:spacing w:before="0" w:after="0"/>
              <w:jc w:val="left"/>
              <w:rPr/>
            </w:pPr>
            <w:hyperlink w:anchor="sg">
              <w:r>
                <w:rPr>
                  <w:rStyle w:val="InternetLink"/>
                </w:rPr>
                <w:t>SIGNATURES</w:t>
              </w:r>
            </w:hyperlink>
            <w:r>
              <w:rPr/>
              <w:t xml:space="preserve"> </w:t>
            </w:r>
          </w:p>
        </w:tc>
        <w:tc>
          <w:tcPr>
            <w:tcW w:w="8096" w:type="dxa"/>
            <w:tcBorders/>
            <w:shd w:fill="CCEEFF" w:val="clear"/>
            <w:vAlign w:val="center"/>
          </w:tcPr>
          <w:p>
            <w:pPr>
              <w:pStyle w:val="TableContents"/>
              <w:bidi w:val="0"/>
              <w:spacing w:before="0" w:after="283"/>
              <w:jc w:val="left"/>
              <w:rPr/>
            </w:pPr>
            <w:r>
              <w:rPr/>
              <w:t> </w:t>
            </w:r>
          </w:p>
        </w:tc>
        <w:tc>
          <w:tcPr>
            <w:tcW w:w="426" w:type="dxa"/>
            <w:tcBorders/>
            <w:shd w:fill="CCEEFF" w:val="clear"/>
            <w:vAlign w:val="center"/>
          </w:tcPr>
          <w:p>
            <w:pPr>
              <w:pStyle w:val="TableContents"/>
              <w:bidi w:val="0"/>
              <w:spacing w:before="0" w:after="0"/>
              <w:jc w:val="right"/>
              <w:rPr/>
            </w:pPr>
            <w:r>
              <w:rPr/>
              <w:t>64</w:t>
            </w:r>
          </w:p>
        </w:tc>
      </w:tr>
    </w:tbl>
    <w:p>
      <w:pPr>
        <w:pStyle w:val="TextBody"/>
        <w:bidi w:val="0"/>
        <w:spacing w:before="0" w:after="0"/>
        <w:jc w:val="left"/>
        <w:rPr/>
      </w:pPr>
      <w:r>
        <w:rPr/>
        <w:t xml:space="preserve">  </w:t>
      </w:r>
    </w:p>
    <w:p>
      <w:pPr>
        <w:pStyle w:val="TextBody"/>
        <w:bidi w:val="0"/>
        <w:spacing w:before="0" w:after="0"/>
        <w:ind w:left="0" w:right="0" w:firstLine="720"/>
        <w:jc w:val="both"/>
        <w:rPr>
          <w:rFonts w:ascii="Times New Roman" w:hAnsi="Times New Roman"/>
          <w:sz w:val="20"/>
        </w:rPr>
      </w:pPr>
      <w:r>
        <w:rPr>
          <w:rFonts w:ascii="Times New Roman" w:hAnsi="Times New Roman"/>
          <w:color w:val="000000"/>
          <w:sz w:val="20"/>
        </w:rPr>
        <w:t>This Quarterly Report on Form 10-Q includes our trademarks, trade names and service marks, such as “ASCENIV™,” “Nabi-HB®” and “BIVIGAM®,” which are protected under applicable intellectual property laws and are the property of ADMA Biologics, Inc., or its subsidiaries. Solely for convenience, trademarks, trade names and service marks referred to in this report may appear without the ®, ™ or SM symbols, but such references are not intended to indicate, in any way, that we will not assert, to the fullest extent under applicable law, our rights or the right of the applicable licensor to these trademarks, trade names and service marks. We do not intend our use or display of other parties’ trademarks, trade names or service marks to imply, and such use or display should not be construed to imply, a relationship with, or endorsement or sponsorship of us by, these other parties.</w:t>
      </w:r>
      <w:r>
        <w:rPr>
          <w:rFonts w:ascii="Times New Roman" w:hAnsi="Times New Roman"/>
          <w:sz w:val="20"/>
        </w:rPr>
        <w:t xml:space="preserve"> </w:t>
      </w:r>
    </w:p>
    <w:p>
      <w:pPr>
        <w:pStyle w:val="TextBody"/>
        <w:bidi w:val="0"/>
        <w:spacing w:before="0" w:after="0"/>
        <w:jc w:val="left"/>
        <w:rPr/>
      </w:pPr>
      <w:r>
        <w:rPr/>
        <w:t xml:space="preserve">  </w:t>
      </w:r>
    </w:p>
    <w:p>
      <w:pPr>
        <w:pStyle w:val="TextBody"/>
        <w:bidi w:val="0"/>
        <w:spacing w:before="150" w:after="15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t>i</w:t>
      </w:r>
    </w:p>
    <w:p>
      <w:pPr>
        <w:pStyle w:val="HorizontalLine"/>
        <w:bidi w:val="0"/>
        <w:spacing w:before="150" w:after="150"/>
        <w:jc w:val="left"/>
        <w:rPr/>
      </w:pPr>
      <w:r>
        <w:rPr/>
      </w:r>
    </w:p>
    <w:p>
      <w:pPr>
        <w:pStyle w:val="TextBody"/>
        <w:bidi w:val="0"/>
        <w:spacing w:before="150" w:after="150"/>
        <w:jc w:val="left"/>
        <w:rPr/>
      </w:pPr>
      <w:hyperlink w:anchor="index">
        <w:r>
          <w:rPr>
            <w:rStyle w:val="InternetLink"/>
            <w:rFonts w:ascii="TimesNewRoman;Times New Roman;Times;Baskerville;Georgia;serif" w:hAnsi="TimesNewRoman;Times New Roman;Times;Baskerville;Georgia;serif"/>
            <w:b w:val="false"/>
            <w:i/>
            <w:caps w:val="false"/>
            <w:smallCaps w:val="false"/>
            <w:strike w:val="false"/>
            <w:dstrike w:val="false"/>
            <w:sz w:val="16"/>
            <w:u w:val="none"/>
            <w:effect w:val="none"/>
          </w:rPr>
          <w:t>Index</w:t>
        </w:r>
      </w:hyperlink>
    </w:p>
    <w:p>
      <w:pPr>
        <w:pStyle w:val="TextBody"/>
        <w:bidi w:val="0"/>
        <w:spacing w:before="0" w:after="0"/>
        <w:jc w:val="center"/>
        <w:rPr>
          <w:rFonts w:ascii="Times New Roman" w:hAnsi="Times New Roman"/>
          <w:sz w:val="20"/>
        </w:rPr>
      </w:pPr>
      <w:r>
        <w:rPr>
          <w:rFonts w:ascii="Times New Roman" w:hAnsi="Times New Roman"/>
          <w:b/>
          <w:sz w:val="20"/>
        </w:rPr>
        <w:t>Special Note Regarding Forward-Looking Statements</w:t>
      </w:r>
      <w:r>
        <w:rPr>
          <w:rFonts w:ascii="Times New Roman" w:hAnsi="Times New Roman"/>
          <w:sz w:val="20"/>
        </w:rPr>
        <w:t xml:space="preserve"> </w:t>
      </w:r>
    </w:p>
    <w:p>
      <w:pPr>
        <w:pStyle w:val="TextBody"/>
        <w:bidi w:val="0"/>
        <w:spacing w:before="0" w:after="0"/>
        <w:jc w:val="center"/>
        <w:rPr/>
      </w:pPr>
      <w:r>
        <w:rPr/>
        <w:t xml:space="preserve">  </w:t>
      </w:r>
    </w:p>
    <w:p>
      <w:pPr>
        <w:pStyle w:val="TextBody"/>
        <w:bidi w:val="0"/>
        <w:spacing w:before="0" w:after="0"/>
        <w:ind w:left="0" w:right="0" w:firstLine="720"/>
        <w:jc w:val="both"/>
        <w:rPr>
          <w:rFonts w:ascii="Times New Roman" w:hAnsi="Times New Roman"/>
          <w:sz w:val="20"/>
        </w:rPr>
      </w:pPr>
      <w:r>
        <w:rPr>
          <w:rFonts w:ascii="Times New Roman" w:hAnsi="Times New Roman"/>
          <w:color w:val="000000"/>
          <w:sz w:val="20"/>
        </w:rPr>
        <w:t>This Quarterly Report on Form 10-Q contains certain “forward-looking statements” within the meaning of Section 27A of the Securities Act of 1933, as amended (the “Securities Act”), and Section 21E of the Securities Exchange Act of 1934, as amended (the “Exchange Act”), and such forward-looking statements involve risks and uncertainties. These forward-looking statements include, but are not limited to, statements about our plans, objectives, representations and contentions that are not historical facts and typically are identified by use of terms such as “may,” “should,” “could,” “would,” “expect,” “plan,” “anticipate,” “believe,” “estimate,” “predict,” “potential,” “project,” “continue,” or the negative thereof, or other variations or comparable terminology, although some forward-looking statements are expressed differently. The forward-looking statements included herein represent management’s current judgment and expectations, but our actual results, events and performance could differ materially from those in the forward-looking statements. These statements include, among others, statements about:</w:t>
      </w:r>
      <w:r>
        <w:rPr>
          <w:rFonts w:ascii="Times New Roman" w:hAnsi="Times New Roman"/>
          <w:sz w:val="20"/>
        </w:rPr>
        <w:t xml:space="preserve"> </w:t>
      </w:r>
    </w:p>
    <w:p>
      <w:pPr>
        <w:pStyle w:val="TextBody"/>
        <w:bidi w:val="0"/>
        <w:spacing w:before="0" w:after="0"/>
        <w:jc w:val="both"/>
        <w:rPr/>
      </w:pPr>
      <w:r>
        <w:rPr/>
        <w:t xml:space="preserve">  </w:t>
      </w:r>
    </w:p>
    <w:p>
      <w:pPr>
        <w:pStyle w:val="TextBody"/>
        <w:bidi w:val="0"/>
        <w:spacing w:before="0" w:after="0"/>
        <w:ind w:left="0" w:right="0" w:hanging="360"/>
        <w:jc w:val="left"/>
        <w:rPr>
          <w:rFonts w:ascii="Times New Roman" w:hAnsi="Times New Roman"/>
          <w:sz w:val="20"/>
        </w:rPr>
      </w:pPr>
      <w:r>
        <w:rPr>
          <w:rFonts w:ascii="Times New Roman" w:hAnsi="Times New Roman"/>
          <w:sz w:val="20"/>
        </w:rPr>
        <w:t xml:space="preserve">our ability to further commercialize ASCENIV and BIVIGAM; </w:t>
      </w:r>
      <w:r>
        <mc:AlternateContent>
          <mc:Choice Requires="wps">
            <w:drawing>
              <wp:anchor behindDoc="0" distT="0" distB="0" distL="0" distR="0" simplePos="0" locked="0" layoutInCell="1" allowOverlap="1" relativeHeight="4">
                <wp:simplePos x="0" y="0"/>
                <wp:positionH relativeFrom="column">
                  <wp:align>left</wp:align>
                </wp:positionH>
                <wp:positionV relativeFrom="line">
                  <wp:posOffset>635</wp:posOffset>
                </wp:positionV>
                <wp:extent cx="228600" cy="175260"/>
                <wp:effectExtent l="0" t="0" r="0" b="0"/>
                <wp:wrapSquare wrapText="right"/>
                <wp:docPr id="3" name="Frame3"/>
                <a:graphic xmlns:a="http://schemas.openxmlformats.org/drawingml/2006/main">
                  <a:graphicData uri="http://schemas.microsoft.com/office/word/2010/wordprocessingShape">
                    <wps:wsp>
                      <wps:cNvSpPr txBox="1"/>
                      <wps:spPr>
                        <a:xfrm>
                          <a:off x="0" y="0"/>
                          <a:ext cx="228600" cy="175260"/>
                        </a:xfrm>
                        <a:prstGeom prst="rect"/>
                        <a:solidFill>
                          <a:srgbClr val="FFFFFF"/>
                        </a:solidFill>
                      </wps:spPr>
                      <wps:txbx>
                        <w:txbxContent>
                          <w:p>
                            <w:pPr>
                              <w:pStyle w:val="TextBody"/>
                              <w:bidi w:val="0"/>
                              <w:spacing w:before="0" w:after="283"/>
                              <w:jc w:val="left"/>
                              <w:rPr/>
                            </w:pPr>
                            <w:r>
                              <w:rPr/>
                              <w:t xml:space="preserve">● </w:t>
                            </w:r>
                          </w:p>
                        </w:txbxContent>
                      </wps:txbx>
                      <wps:bodyPr anchor="t" lIns="0" tIns="0" rIns="0" bIns="0">
                        <a:noAutofit/>
                      </wps:bodyPr>
                    </wps:wsp>
                  </a:graphicData>
                </a:graphic>
              </wp:anchor>
            </w:drawing>
          </mc:Choice>
          <mc:Fallback>
            <w:pict>
              <v:rect style="position:absolute;rotation:-0;width: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 xml:space="preserve">● </w:t>
                      </w:r>
                    </w:p>
                  </w:txbxContent>
                </v:textbox>
                <w10:wrap type="square" side="right"/>
              </v:rect>
            </w:pict>
          </mc:Fallback>
        </mc:AlternateContent>
      </w:r>
    </w:p>
    <w:p>
      <w:pPr>
        <w:pStyle w:val="TextBody"/>
        <w:bidi w:val="0"/>
        <w:spacing w:before="0" w:after="0"/>
        <w:ind w:left="720" w:right="0" w:hanging="0"/>
        <w:jc w:val="left"/>
        <w:rPr/>
      </w:pPr>
      <w:r>
        <w:rPr/>
        <w:t xml:space="preserve">  </w:t>
      </w:r>
    </w:p>
    <w:p>
      <w:pPr>
        <w:pStyle w:val="TextBody"/>
        <w:bidi w:val="0"/>
        <w:spacing w:before="0" w:after="0"/>
        <w:ind w:left="0" w:right="0" w:hanging="360"/>
        <w:jc w:val="left"/>
        <w:rPr>
          <w:rFonts w:ascii="Times New Roman" w:hAnsi="Times New Roman"/>
          <w:sz w:val="20"/>
        </w:rPr>
      </w:pPr>
      <w:r>
        <w:rPr>
          <w:rFonts w:ascii="Times New Roman" w:hAnsi="Times New Roman"/>
          <w:sz w:val="20"/>
        </w:rPr>
        <w:t xml:space="preserve">our plans to develop, manufacture, market, launch and expand our commercial infrastructure and commercialize our current and future products and the success of such efforts; </w:t>
      </w:r>
      <w:r>
        <mc:AlternateContent>
          <mc:Choice Requires="wps">
            <w:drawing>
              <wp:anchor behindDoc="0" distT="0" distB="0" distL="0" distR="0" simplePos="0" locked="0" layoutInCell="1" allowOverlap="1" relativeHeight="5">
                <wp:simplePos x="0" y="0"/>
                <wp:positionH relativeFrom="column">
                  <wp:align>left</wp:align>
                </wp:positionH>
                <wp:positionV relativeFrom="line">
                  <wp:posOffset>635</wp:posOffset>
                </wp:positionV>
                <wp:extent cx="228600" cy="175260"/>
                <wp:effectExtent l="0" t="0" r="0" b="0"/>
                <wp:wrapSquare wrapText="right"/>
                <wp:docPr id="4" name="Frame4"/>
                <a:graphic xmlns:a="http://schemas.openxmlformats.org/drawingml/2006/main">
                  <a:graphicData uri="http://schemas.microsoft.com/office/word/2010/wordprocessingShape">
                    <wps:wsp>
                      <wps:cNvSpPr txBox="1"/>
                      <wps:spPr>
                        <a:xfrm>
                          <a:off x="0" y="0"/>
                          <a:ext cx="228600" cy="175260"/>
                        </a:xfrm>
                        <a:prstGeom prst="rect"/>
                        <a:solidFill>
                          <a:srgbClr val="FFFFFF"/>
                        </a:solidFill>
                      </wps:spPr>
                      <wps:txbx>
                        <w:txbxContent>
                          <w:p>
                            <w:pPr>
                              <w:pStyle w:val="TextBody"/>
                              <w:bidi w:val="0"/>
                              <w:spacing w:before="0" w:after="283"/>
                              <w:jc w:val="left"/>
                              <w:rPr/>
                            </w:pPr>
                            <w:r>
                              <w:rPr/>
                              <w:t xml:space="preserve">● </w:t>
                            </w:r>
                          </w:p>
                        </w:txbxContent>
                      </wps:txbx>
                      <wps:bodyPr anchor="t" lIns="0" tIns="0" rIns="0" bIns="0">
                        <a:noAutofit/>
                      </wps:bodyPr>
                    </wps:wsp>
                  </a:graphicData>
                </a:graphic>
              </wp:anchor>
            </w:drawing>
          </mc:Choice>
          <mc:Fallback>
            <w:pict>
              <v:rect style="position:absolute;rotation:-0;width: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 xml:space="preserve">● </w:t>
                      </w:r>
                    </w:p>
                  </w:txbxContent>
                </v:textbox>
                <w10:wrap type="square" side="right"/>
              </v:rect>
            </w:pict>
          </mc:Fallback>
        </mc:AlternateContent>
      </w:r>
    </w:p>
    <w:p>
      <w:pPr>
        <w:pStyle w:val="TextBody"/>
        <w:bidi w:val="0"/>
        <w:spacing w:before="0" w:after="0"/>
        <w:ind w:left="720" w:right="0" w:hanging="0"/>
        <w:jc w:val="left"/>
        <w:rPr/>
      </w:pPr>
      <w:r>
        <w:rPr/>
        <w:t xml:space="preserve">  </w:t>
      </w:r>
    </w:p>
    <w:p>
      <w:pPr>
        <w:pStyle w:val="TextBody"/>
        <w:bidi w:val="0"/>
        <w:spacing w:before="0" w:after="0"/>
        <w:ind w:left="0" w:right="0" w:hanging="360"/>
        <w:jc w:val="left"/>
        <w:rPr>
          <w:rFonts w:ascii="Times New Roman" w:hAnsi="Times New Roman"/>
          <w:sz w:val="20"/>
        </w:rPr>
      </w:pPr>
      <w:r>
        <w:rPr>
          <w:rFonts w:ascii="Times New Roman" w:hAnsi="Times New Roman"/>
          <w:sz w:val="20"/>
        </w:rPr>
        <w:t xml:space="preserve">the safety, efficacy and expected timing of and our ability to obtain and maintain regulatory approvals for our current products and product candidates, the labeling or nature of any such approvals, and whether any of our current products may be subject to post-marketing restrictions or withdrawal from the market; </w:t>
      </w:r>
      <w:r>
        <mc:AlternateContent>
          <mc:Choice Requires="wps">
            <w:drawing>
              <wp:anchor behindDoc="0" distT="0" distB="0" distL="0" distR="0" simplePos="0" locked="0" layoutInCell="1" allowOverlap="1" relativeHeight="6">
                <wp:simplePos x="0" y="0"/>
                <wp:positionH relativeFrom="column">
                  <wp:align>left</wp:align>
                </wp:positionH>
                <wp:positionV relativeFrom="line">
                  <wp:posOffset>635</wp:posOffset>
                </wp:positionV>
                <wp:extent cx="228600" cy="175260"/>
                <wp:effectExtent l="0" t="0" r="0" b="0"/>
                <wp:wrapSquare wrapText="right"/>
                <wp:docPr id="5" name="Frame5"/>
                <a:graphic xmlns:a="http://schemas.openxmlformats.org/drawingml/2006/main">
                  <a:graphicData uri="http://schemas.microsoft.com/office/word/2010/wordprocessingShape">
                    <wps:wsp>
                      <wps:cNvSpPr txBox="1"/>
                      <wps:spPr>
                        <a:xfrm>
                          <a:off x="0" y="0"/>
                          <a:ext cx="228600" cy="175260"/>
                        </a:xfrm>
                        <a:prstGeom prst="rect"/>
                        <a:solidFill>
                          <a:srgbClr val="FFFFFF"/>
                        </a:solidFill>
                      </wps:spPr>
                      <wps:txbx>
                        <w:txbxContent>
                          <w:p>
                            <w:pPr>
                              <w:pStyle w:val="TextBody"/>
                              <w:bidi w:val="0"/>
                              <w:spacing w:before="0" w:after="283"/>
                              <w:jc w:val="left"/>
                              <w:rPr/>
                            </w:pPr>
                            <w:r>
                              <w:rPr/>
                              <w:t xml:space="preserve">● </w:t>
                            </w:r>
                          </w:p>
                        </w:txbxContent>
                      </wps:txbx>
                      <wps:bodyPr anchor="t" lIns="0" tIns="0" rIns="0" bIns="0">
                        <a:noAutofit/>
                      </wps:bodyPr>
                    </wps:wsp>
                  </a:graphicData>
                </a:graphic>
              </wp:anchor>
            </w:drawing>
          </mc:Choice>
          <mc:Fallback>
            <w:pict>
              <v:rect style="position:absolute;rotation:-0;width: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 xml:space="preserve">● </w:t>
                      </w:r>
                    </w:p>
                  </w:txbxContent>
                </v:textbox>
                <w10:wrap type="square" side="right"/>
              </v:rect>
            </w:pict>
          </mc:Fallback>
        </mc:AlternateContent>
      </w:r>
    </w:p>
    <w:p>
      <w:pPr>
        <w:pStyle w:val="TextBody"/>
        <w:bidi w:val="0"/>
        <w:spacing w:before="0" w:after="0"/>
        <w:ind w:left="720" w:right="0" w:hanging="0"/>
        <w:jc w:val="left"/>
        <w:rPr/>
      </w:pPr>
      <w:r>
        <w:rPr/>
        <w:t xml:space="preserve">  </w:t>
      </w:r>
    </w:p>
    <w:p>
      <w:pPr>
        <w:pStyle w:val="TextBody"/>
        <w:bidi w:val="0"/>
        <w:spacing w:before="0" w:after="0"/>
        <w:ind w:left="0" w:right="0" w:hanging="360"/>
        <w:jc w:val="left"/>
        <w:rPr>
          <w:rFonts w:ascii="Times New Roman" w:hAnsi="Times New Roman"/>
          <w:sz w:val="20"/>
        </w:rPr>
      </w:pPr>
      <w:r>
        <w:rPr>
          <w:rFonts w:ascii="Times New Roman" w:hAnsi="Times New Roman"/>
          <w:sz w:val="20"/>
        </w:rPr>
        <w:t xml:space="preserve">the achievement of or expected timing, progress and results of clinical development, clinical trials and potential regulatory approvals for our product candidates; </w:t>
      </w:r>
      <w:r>
        <mc:AlternateContent>
          <mc:Choice Requires="wps">
            <w:drawing>
              <wp:anchor behindDoc="0" distT="0" distB="0" distL="0" distR="0" simplePos="0" locked="0" layoutInCell="1" allowOverlap="1" relativeHeight="7">
                <wp:simplePos x="0" y="0"/>
                <wp:positionH relativeFrom="column">
                  <wp:align>left</wp:align>
                </wp:positionH>
                <wp:positionV relativeFrom="line">
                  <wp:posOffset>635</wp:posOffset>
                </wp:positionV>
                <wp:extent cx="228600" cy="175260"/>
                <wp:effectExtent l="0" t="0" r="0" b="0"/>
                <wp:wrapSquare wrapText="right"/>
                <wp:docPr id="6" name="Frame6"/>
                <a:graphic xmlns:a="http://schemas.openxmlformats.org/drawingml/2006/main">
                  <a:graphicData uri="http://schemas.microsoft.com/office/word/2010/wordprocessingShape">
                    <wps:wsp>
                      <wps:cNvSpPr txBox="1"/>
                      <wps:spPr>
                        <a:xfrm>
                          <a:off x="0" y="0"/>
                          <a:ext cx="228600" cy="175260"/>
                        </a:xfrm>
                        <a:prstGeom prst="rect"/>
                        <a:solidFill>
                          <a:srgbClr val="FFFFFF"/>
                        </a:solidFill>
                      </wps:spPr>
                      <wps:txbx>
                        <w:txbxContent>
                          <w:p>
                            <w:pPr>
                              <w:pStyle w:val="TextBody"/>
                              <w:bidi w:val="0"/>
                              <w:spacing w:before="0" w:after="283"/>
                              <w:jc w:val="left"/>
                              <w:rPr/>
                            </w:pPr>
                            <w:r>
                              <w:rPr/>
                              <w:t xml:space="preserve">● </w:t>
                            </w:r>
                          </w:p>
                        </w:txbxContent>
                      </wps:txbx>
                      <wps:bodyPr anchor="t" lIns="0" tIns="0" rIns="0" bIns="0">
                        <a:noAutofit/>
                      </wps:bodyPr>
                    </wps:wsp>
                  </a:graphicData>
                </a:graphic>
              </wp:anchor>
            </w:drawing>
          </mc:Choice>
          <mc:Fallback>
            <w:pict>
              <v:rect style="position:absolute;rotation:-0;width: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 xml:space="preserve">● </w:t>
                      </w:r>
                    </w:p>
                  </w:txbxContent>
                </v:textbox>
                <w10:wrap type="square" side="right"/>
              </v:rect>
            </w:pict>
          </mc:Fallback>
        </mc:AlternateContent>
      </w:r>
    </w:p>
    <w:p>
      <w:pPr>
        <w:pStyle w:val="TextBody"/>
        <w:bidi w:val="0"/>
        <w:spacing w:before="0" w:after="0"/>
        <w:ind w:left="720" w:right="0" w:hanging="0"/>
        <w:jc w:val="left"/>
        <w:rPr/>
      </w:pPr>
      <w:r>
        <w:rPr/>
        <w:t xml:space="preserve">  </w:t>
      </w:r>
    </w:p>
    <w:p>
      <w:pPr>
        <w:pStyle w:val="TextBody"/>
        <w:bidi w:val="0"/>
        <w:spacing w:before="0" w:after="0"/>
        <w:ind w:left="0" w:right="0" w:hanging="360"/>
        <w:jc w:val="left"/>
        <w:rPr>
          <w:rFonts w:ascii="Times New Roman" w:hAnsi="Times New Roman"/>
          <w:sz w:val="20"/>
        </w:rPr>
      </w:pPr>
      <w:r>
        <w:rPr>
          <w:rFonts w:ascii="Times New Roman" w:hAnsi="Times New Roman"/>
          <w:sz w:val="20"/>
        </w:rPr>
        <w:t xml:space="preserve">our dependence upon our third-party customers, suppliers and vendors and their compliance with applicable regulatory requirements; </w:t>
      </w:r>
      <w:r>
        <mc:AlternateContent>
          <mc:Choice Requires="wps">
            <w:drawing>
              <wp:anchor behindDoc="0" distT="0" distB="0" distL="0" distR="0" simplePos="0" locked="0" layoutInCell="1" allowOverlap="1" relativeHeight="8">
                <wp:simplePos x="0" y="0"/>
                <wp:positionH relativeFrom="column">
                  <wp:align>left</wp:align>
                </wp:positionH>
                <wp:positionV relativeFrom="line">
                  <wp:posOffset>635</wp:posOffset>
                </wp:positionV>
                <wp:extent cx="228600" cy="175260"/>
                <wp:effectExtent l="0" t="0" r="0" b="0"/>
                <wp:wrapSquare wrapText="right"/>
                <wp:docPr id="7" name="Frame7"/>
                <a:graphic xmlns:a="http://schemas.openxmlformats.org/drawingml/2006/main">
                  <a:graphicData uri="http://schemas.microsoft.com/office/word/2010/wordprocessingShape">
                    <wps:wsp>
                      <wps:cNvSpPr txBox="1"/>
                      <wps:spPr>
                        <a:xfrm>
                          <a:off x="0" y="0"/>
                          <a:ext cx="228600" cy="175260"/>
                        </a:xfrm>
                        <a:prstGeom prst="rect"/>
                        <a:solidFill>
                          <a:srgbClr val="FFFFFF"/>
                        </a:solidFill>
                      </wps:spPr>
                      <wps:txbx>
                        <w:txbxContent>
                          <w:p>
                            <w:pPr>
                              <w:pStyle w:val="TextBody"/>
                              <w:bidi w:val="0"/>
                              <w:spacing w:before="0" w:after="283"/>
                              <w:jc w:val="left"/>
                              <w:rPr/>
                            </w:pPr>
                            <w:r>
                              <w:rPr/>
                              <w:t xml:space="preserve">● </w:t>
                            </w:r>
                          </w:p>
                        </w:txbxContent>
                      </wps:txbx>
                      <wps:bodyPr anchor="t" lIns="0" tIns="0" rIns="0" bIns="0">
                        <a:noAutofit/>
                      </wps:bodyPr>
                    </wps:wsp>
                  </a:graphicData>
                </a:graphic>
              </wp:anchor>
            </w:drawing>
          </mc:Choice>
          <mc:Fallback>
            <w:pict>
              <v:rect style="position:absolute;rotation:-0;width: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 xml:space="preserve">● </w:t>
                      </w:r>
                    </w:p>
                  </w:txbxContent>
                </v:textbox>
                <w10:wrap type="square" side="right"/>
              </v:rect>
            </w:pict>
          </mc:Fallback>
        </mc:AlternateContent>
      </w:r>
    </w:p>
    <w:p>
      <w:pPr>
        <w:pStyle w:val="TextBody"/>
        <w:bidi w:val="0"/>
        <w:spacing w:before="0" w:after="0"/>
        <w:ind w:left="720" w:right="0" w:hanging="0"/>
        <w:jc w:val="left"/>
        <w:rPr/>
      </w:pPr>
      <w:r>
        <w:rPr/>
        <w:t xml:space="preserve">  </w:t>
      </w:r>
    </w:p>
    <w:p>
      <w:pPr>
        <w:pStyle w:val="TextBody"/>
        <w:bidi w:val="0"/>
        <w:spacing w:before="0" w:after="0"/>
        <w:ind w:left="0" w:right="0" w:hanging="360"/>
        <w:jc w:val="left"/>
        <w:rPr>
          <w:rFonts w:ascii="Times New Roman" w:hAnsi="Times New Roman"/>
          <w:sz w:val="20"/>
        </w:rPr>
      </w:pPr>
      <w:r>
        <w:rPr>
          <w:rFonts w:ascii="Times New Roman" w:hAnsi="Times New Roman"/>
          <w:sz w:val="20"/>
        </w:rPr>
        <w:t xml:space="preserve">our belief that we have addressed the delays experienced with final drug product current Good Manufacturing Practices (“cGMP”) release testing by our third-party vendors by adding additional release testing laboratories to our U.S. Food and Drug Administration (the “FDA”)-approved consortium listed in our drug approval documents; </w:t>
      </w:r>
      <w:r>
        <mc:AlternateContent>
          <mc:Choice Requires="wps">
            <w:drawing>
              <wp:anchor behindDoc="0" distT="0" distB="0" distL="0" distR="0" simplePos="0" locked="0" layoutInCell="1" allowOverlap="1" relativeHeight="9">
                <wp:simplePos x="0" y="0"/>
                <wp:positionH relativeFrom="column">
                  <wp:align>left</wp:align>
                </wp:positionH>
                <wp:positionV relativeFrom="line">
                  <wp:posOffset>635</wp:posOffset>
                </wp:positionV>
                <wp:extent cx="228600" cy="175260"/>
                <wp:effectExtent l="0" t="0" r="0" b="0"/>
                <wp:wrapSquare wrapText="right"/>
                <wp:docPr id="8" name="Frame8"/>
                <a:graphic xmlns:a="http://schemas.openxmlformats.org/drawingml/2006/main">
                  <a:graphicData uri="http://schemas.microsoft.com/office/word/2010/wordprocessingShape">
                    <wps:wsp>
                      <wps:cNvSpPr txBox="1"/>
                      <wps:spPr>
                        <a:xfrm>
                          <a:off x="0" y="0"/>
                          <a:ext cx="228600" cy="175260"/>
                        </a:xfrm>
                        <a:prstGeom prst="rect"/>
                        <a:solidFill>
                          <a:srgbClr val="FFFFFF"/>
                        </a:solidFill>
                      </wps:spPr>
                      <wps:txbx>
                        <w:txbxContent>
                          <w:p>
                            <w:pPr>
                              <w:pStyle w:val="TextBody"/>
                              <w:bidi w:val="0"/>
                              <w:spacing w:before="0" w:after="283"/>
                              <w:jc w:val="left"/>
                              <w:rPr/>
                            </w:pPr>
                            <w:r>
                              <w:rPr/>
                              <w:t xml:space="preserve">● </w:t>
                            </w:r>
                          </w:p>
                        </w:txbxContent>
                      </wps:txbx>
                      <wps:bodyPr anchor="t" lIns="0" tIns="0" rIns="0" bIns="0">
                        <a:noAutofit/>
                      </wps:bodyPr>
                    </wps:wsp>
                  </a:graphicData>
                </a:graphic>
              </wp:anchor>
            </w:drawing>
          </mc:Choice>
          <mc:Fallback>
            <w:pict>
              <v:rect style="position:absolute;rotation:-0;width: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 xml:space="preserve">● </w:t>
                      </w:r>
                    </w:p>
                  </w:txbxContent>
                </v:textbox>
                <w10:wrap type="square" side="right"/>
              </v:rect>
            </w:pict>
          </mc:Fallback>
        </mc:AlternateContent>
      </w:r>
    </w:p>
    <w:p>
      <w:pPr>
        <w:pStyle w:val="TextBody"/>
        <w:bidi w:val="0"/>
        <w:spacing w:before="0" w:after="0"/>
        <w:ind w:left="720" w:right="0" w:hanging="0"/>
        <w:jc w:val="left"/>
        <w:rPr/>
      </w:pPr>
      <w:r>
        <w:rPr/>
        <w:t xml:space="preserve">  </w:t>
      </w:r>
    </w:p>
    <w:p>
      <w:pPr>
        <w:pStyle w:val="TextBody"/>
        <w:bidi w:val="0"/>
        <w:spacing w:before="0" w:after="0"/>
        <w:ind w:left="0" w:right="0" w:hanging="360"/>
        <w:jc w:val="left"/>
        <w:rPr>
          <w:rFonts w:ascii="Times New Roman" w:hAnsi="Times New Roman"/>
          <w:sz w:val="20"/>
        </w:rPr>
      </w:pPr>
      <w:r>
        <w:rPr>
          <w:rFonts w:ascii="Times New Roman" w:hAnsi="Times New Roman"/>
          <w:sz w:val="20"/>
        </w:rPr>
        <w:t xml:space="preserve">our ability to obtain adequate quantities of FDA-approved plasma with proper specifications; </w:t>
      </w:r>
      <w:r>
        <mc:AlternateContent>
          <mc:Choice Requires="wps">
            <w:drawing>
              <wp:anchor behindDoc="0" distT="0" distB="0" distL="0" distR="0" simplePos="0" locked="0" layoutInCell="1" allowOverlap="1" relativeHeight="10">
                <wp:simplePos x="0" y="0"/>
                <wp:positionH relativeFrom="column">
                  <wp:align>left</wp:align>
                </wp:positionH>
                <wp:positionV relativeFrom="line">
                  <wp:posOffset>635</wp:posOffset>
                </wp:positionV>
                <wp:extent cx="228600" cy="175260"/>
                <wp:effectExtent l="0" t="0" r="0" b="0"/>
                <wp:wrapSquare wrapText="right"/>
                <wp:docPr id="9" name="Frame9"/>
                <a:graphic xmlns:a="http://schemas.openxmlformats.org/drawingml/2006/main">
                  <a:graphicData uri="http://schemas.microsoft.com/office/word/2010/wordprocessingShape">
                    <wps:wsp>
                      <wps:cNvSpPr txBox="1"/>
                      <wps:spPr>
                        <a:xfrm>
                          <a:off x="0" y="0"/>
                          <a:ext cx="228600" cy="175260"/>
                        </a:xfrm>
                        <a:prstGeom prst="rect"/>
                        <a:solidFill>
                          <a:srgbClr val="FFFFFF"/>
                        </a:solidFill>
                      </wps:spPr>
                      <wps:txbx>
                        <w:txbxContent>
                          <w:p>
                            <w:pPr>
                              <w:pStyle w:val="TextBody"/>
                              <w:bidi w:val="0"/>
                              <w:spacing w:before="0" w:after="283"/>
                              <w:jc w:val="left"/>
                              <w:rPr/>
                            </w:pPr>
                            <w:r>
                              <w:rPr/>
                              <w:t xml:space="preserve">● </w:t>
                            </w:r>
                          </w:p>
                        </w:txbxContent>
                      </wps:txbx>
                      <wps:bodyPr anchor="t" lIns="0" tIns="0" rIns="0" bIns="0">
                        <a:noAutofit/>
                      </wps:bodyPr>
                    </wps:wsp>
                  </a:graphicData>
                </a:graphic>
              </wp:anchor>
            </w:drawing>
          </mc:Choice>
          <mc:Fallback>
            <w:pict>
              <v:rect style="position:absolute;rotation:-0;width: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 xml:space="preserve">● </w:t>
                      </w:r>
                    </w:p>
                  </w:txbxContent>
                </v:textbox>
                <w10:wrap type="square" side="right"/>
              </v:rect>
            </w:pict>
          </mc:Fallback>
        </mc:AlternateContent>
      </w:r>
    </w:p>
    <w:p>
      <w:pPr>
        <w:pStyle w:val="TextBody"/>
        <w:bidi w:val="0"/>
        <w:spacing w:before="0" w:after="0"/>
        <w:ind w:left="720" w:right="0" w:hanging="0"/>
        <w:jc w:val="left"/>
        <w:rPr/>
      </w:pPr>
      <w:r>
        <w:rPr/>
        <w:t xml:space="preserve">  </w:t>
      </w:r>
    </w:p>
    <w:p>
      <w:pPr>
        <w:pStyle w:val="TextBody"/>
        <w:bidi w:val="0"/>
        <w:spacing w:before="0" w:after="0"/>
        <w:ind w:left="0" w:right="0" w:hanging="360"/>
        <w:jc w:val="left"/>
        <w:rPr>
          <w:rFonts w:ascii="Times New Roman" w:hAnsi="Times New Roman"/>
          <w:sz w:val="20"/>
        </w:rPr>
      </w:pPr>
      <w:r>
        <w:rPr>
          <w:rFonts w:ascii="Times New Roman" w:hAnsi="Times New Roman"/>
          <w:sz w:val="20"/>
        </w:rPr>
        <w:t xml:space="preserve">our plans to increase our supplies of source plasma (including source plasma containing certain levels of antibodies to Respiratory Syncytial Virus), our ability to obtain and maintain regulatory compliance and reliance on third-party supply agreements as well as any extensions to such agreements, and expected impact of such third-party supply of RSV plasma on both ASCENIV growth and overall financial performance; </w:t>
      </w:r>
      <w:r>
        <mc:AlternateContent>
          <mc:Choice Requires="wps">
            <w:drawing>
              <wp:anchor behindDoc="0" distT="0" distB="0" distL="0" distR="0" simplePos="0" locked="0" layoutInCell="1" allowOverlap="1" relativeHeight="11">
                <wp:simplePos x="0" y="0"/>
                <wp:positionH relativeFrom="column">
                  <wp:align>left</wp:align>
                </wp:positionH>
                <wp:positionV relativeFrom="line">
                  <wp:posOffset>635</wp:posOffset>
                </wp:positionV>
                <wp:extent cx="228600" cy="175260"/>
                <wp:effectExtent l="0" t="0" r="0" b="0"/>
                <wp:wrapSquare wrapText="right"/>
                <wp:docPr id="10" name="Frame10"/>
                <a:graphic xmlns:a="http://schemas.openxmlformats.org/drawingml/2006/main">
                  <a:graphicData uri="http://schemas.microsoft.com/office/word/2010/wordprocessingShape">
                    <wps:wsp>
                      <wps:cNvSpPr txBox="1"/>
                      <wps:spPr>
                        <a:xfrm>
                          <a:off x="0" y="0"/>
                          <a:ext cx="228600" cy="175260"/>
                        </a:xfrm>
                        <a:prstGeom prst="rect"/>
                        <a:solidFill>
                          <a:srgbClr val="FFFFFF"/>
                        </a:solidFill>
                      </wps:spPr>
                      <wps:txbx>
                        <w:txbxContent>
                          <w:p>
                            <w:pPr>
                              <w:pStyle w:val="TextBody"/>
                              <w:bidi w:val="0"/>
                              <w:spacing w:before="0" w:after="283"/>
                              <w:jc w:val="left"/>
                              <w:rPr/>
                            </w:pPr>
                            <w:r>
                              <w:rPr/>
                              <w:t xml:space="preserve">● </w:t>
                            </w:r>
                          </w:p>
                        </w:txbxContent>
                      </wps:txbx>
                      <wps:bodyPr anchor="t" lIns="0" tIns="0" rIns="0" bIns="0">
                        <a:noAutofit/>
                      </wps:bodyPr>
                    </wps:wsp>
                  </a:graphicData>
                </a:graphic>
              </wp:anchor>
            </w:drawing>
          </mc:Choice>
          <mc:Fallback>
            <w:pict>
              <v:rect style="position:absolute;rotation:-0;width: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 xml:space="preserve">● </w:t>
                      </w:r>
                    </w:p>
                  </w:txbxContent>
                </v:textbox>
                <w10:wrap type="square" side="right"/>
              </v:rect>
            </w:pict>
          </mc:Fallback>
        </mc:AlternateContent>
      </w:r>
    </w:p>
    <w:p>
      <w:pPr>
        <w:pStyle w:val="TextBody"/>
        <w:bidi w:val="0"/>
        <w:spacing w:before="0" w:after="0"/>
        <w:ind w:left="720" w:right="0" w:hanging="0"/>
        <w:jc w:val="left"/>
        <w:rPr/>
      </w:pPr>
      <w:r>
        <w:rPr/>
        <w:t xml:space="preserve">  </w:t>
      </w:r>
    </w:p>
    <w:p>
      <w:pPr>
        <w:pStyle w:val="TextBody"/>
        <w:bidi w:val="0"/>
        <w:spacing w:before="0" w:after="0"/>
        <w:ind w:left="0" w:right="0" w:hanging="360"/>
        <w:jc w:val="left"/>
        <w:rPr>
          <w:rFonts w:ascii="Times New Roman" w:hAnsi="Times New Roman"/>
          <w:sz w:val="20"/>
        </w:rPr>
      </w:pPr>
      <w:r>
        <w:rPr>
          <w:rFonts w:ascii="Times New Roman" w:hAnsi="Times New Roman"/>
          <w:sz w:val="20"/>
        </w:rPr>
        <w:t xml:space="preserve">the potential indications for our products and product candidates; </w:t>
      </w:r>
      <w:r>
        <mc:AlternateContent>
          <mc:Choice Requires="wps">
            <w:drawing>
              <wp:anchor behindDoc="0" distT="0" distB="0" distL="0" distR="0" simplePos="0" locked="0" layoutInCell="1" allowOverlap="1" relativeHeight="12">
                <wp:simplePos x="0" y="0"/>
                <wp:positionH relativeFrom="column">
                  <wp:align>left</wp:align>
                </wp:positionH>
                <wp:positionV relativeFrom="line">
                  <wp:posOffset>635</wp:posOffset>
                </wp:positionV>
                <wp:extent cx="228600" cy="175260"/>
                <wp:effectExtent l="0" t="0" r="0" b="0"/>
                <wp:wrapSquare wrapText="right"/>
                <wp:docPr id="11" name="Frame11"/>
                <a:graphic xmlns:a="http://schemas.openxmlformats.org/drawingml/2006/main">
                  <a:graphicData uri="http://schemas.microsoft.com/office/word/2010/wordprocessingShape">
                    <wps:wsp>
                      <wps:cNvSpPr txBox="1"/>
                      <wps:spPr>
                        <a:xfrm>
                          <a:off x="0" y="0"/>
                          <a:ext cx="228600" cy="175260"/>
                        </a:xfrm>
                        <a:prstGeom prst="rect"/>
                        <a:solidFill>
                          <a:srgbClr val="FFFFFF"/>
                        </a:solidFill>
                      </wps:spPr>
                      <wps:txbx>
                        <w:txbxContent>
                          <w:p>
                            <w:pPr>
                              <w:pStyle w:val="TextBody"/>
                              <w:bidi w:val="0"/>
                              <w:spacing w:before="0" w:after="283"/>
                              <w:jc w:val="left"/>
                              <w:rPr/>
                            </w:pPr>
                            <w:r>
                              <w:rPr/>
                              <w:t xml:space="preserve">● </w:t>
                            </w:r>
                          </w:p>
                        </w:txbxContent>
                      </wps:txbx>
                      <wps:bodyPr anchor="t" lIns="0" tIns="0" rIns="0" bIns="0">
                        <a:noAutofit/>
                      </wps:bodyPr>
                    </wps:wsp>
                  </a:graphicData>
                </a:graphic>
              </wp:anchor>
            </w:drawing>
          </mc:Choice>
          <mc:Fallback>
            <w:pict>
              <v:rect style="position:absolute;rotation:-0;width: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 xml:space="preserve">● </w:t>
                      </w:r>
                    </w:p>
                  </w:txbxContent>
                </v:textbox>
                <w10:wrap type="square" side="right"/>
              </v:rect>
            </w:pict>
          </mc:Fallback>
        </mc:AlternateContent>
      </w:r>
    </w:p>
    <w:p>
      <w:pPr>
        <w:pStyle w:val="TextBody"/>
        <w:bidi w:val="0"/>
        <w:spacing w:before="0" w:after="0"/>
        <w:ind w:left="720" w:right="0" w:hanging="0"/>
        <w:jc w:val="left"/>
        <w:rPr/>
      </w:pPr>
      <w:r>
        <w:rPr/>
        <w:t xml:space="preserve">  </w:t>
      </w:r>
    </w:p>
    <w:p>
      <w:pPr>
        <w:pStyle w:val="TextBody"/>
        <w:bidi w:val="0"/>
        <w:spacing w:before="0" w:after="0"/>
        <w:ind w:left="0" w:right="0" w:hanging="360"/>
        <w:jc w:val="left"/>
        <w:rPr>
          <w:rFonts w:ascii="Times New Roman" w:hAnsi="Times New Roman"/>
          <w:sz w:val="20"/>
        </w:rPr>
      </w:pPr>
      <w:r>
        <w:rPr>
          <w:rFonts w:ascii="Times New Roman" w:hAnsi="Times New Roman"/>
          <w:sz w:val="20"/>
        </w:rPr>
        <w:t xml:space="preserve">potential investigational new product applications; </w:t>
      </w:r>
      <w:r>
        <mc:AlternateContent>
          <mc:Choice Requires="wps">
            <w:drawing>
              <wp:anchor behindDoc="0" distT="0" distB="0" distL="0" distR="0" simplePos="0" locked="0" layoutInCell="1" allowOverlap="1" relativeHeight="13">
                <wp:simplePos x="0" y="0"/>
                <wp:positionH relativeFrom="column">
                  <wp:align>left</wp:align>
                </wp:positionH>
                <wp:positionV relativeFrom="line">
                  <wp:posOffset>635</wp:posOffset>
                </wp:positionV>
                <wp:extent cx="228600" cy="175260"/>
                <wp:effectExtent l="0" t="0" r="0" b="0"/>
                <wp:wrapSquare wrapText="right"/>
                <wp:docPr id="12" name="Frame12"/>
                <a:graphic xmlns:a="http://schemas.openxmlformats.org/drawingml/2006/main">
                  <a:graphicData uri="http://schemas.microsoft.com/office/word/2010/wordprocessingShape">
                    <wps:wsp>
                      <wps:cNvSpPr txBox="1"/>
                      <wps:spPr>
                        <a:xfrm>
                          <a:off x="0" y="0"/>
                          <a:ext cx="228600" cy="175260"/>
                        </a:xfrm>
                        <a:prstGeom prst="rect"/>
                        <a:solidFill>
                          <a:srgbClr val="FFFFFF"/>
                        </a:solidFill>
                      </wps:spPr>
                      <wps:txbx>
                        <w:txbxContent>
                          <w:p>
                            <w:pPr>
                              <w:pStyle w:val="TextBody"/>
                              <w:bidi w:val="0"/>
                              <w:spacing w:before="0" w:after="283"/>
                              <w:jc w:val="left"/>
                              <w:rPr/>
                            </w:pPr>
                            <w:r>
                              <w:rPr/>
                              <w:t xml:space="preserve">● </w:t>
                            </w:r>
                          </w:p>
                        </w:txbxContent>
                      </wps:txbx>
                      <wps:bodyPr anchor="t" lIns="0" tIns="0" rIns="0" bIns="0">
                        <a:noAutofit/>
                      </wps:bodyPr>
                    </wps:wsp>
                  </a:graphicData>
                </a:graphic>
              </wp:anchor>
            </w:drawing>
          </mc:Choice>
          <mc:Fallback>
            <w:pict>
              <v:rect style="position:absolute;rotation:-0;width: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 xml:space="preserve">● </w:t>
                      </w:r>
                    </w:p>
                  </w:txbxContent>
                </v:textbox>
                <w10:wrap type="square" side="right"/>
              </v:rect>
            </w:pict>
          </mc:Fallback>
        </mc:AlternateContent>
      </w:r>
    </w:p>
    <w:p>
      <w:pPr>
        <w:pStyle w:val="TextBody"/>
        <w:bidi w:val="0"/>
        <w:spacing w:before="0" w:after="0"/>
        <w:ind w:left="720" w:right="0" w:hanging="0"/>
        <w:jc w:val="left"/>
        <w:rPr/>
      </w:pPr>
      <w:r>
        <w:rPr/>
        <w:t xml:space="preserve">  </w:t>
      </w:r>
    </w:p>
    <w:p>
      <w:pPr>
        <w:pStyle w:val="TextBody"/>
        <w:bidi w:val="0"/>
        <w:spacing w:before="0" w:after="0"/>
        <w:ind w:left="0" w:right="0" w:hanging="360"/>
        <w:jc w:val="left"/>
        <w:rPr>
          <w:rFonts w:ascii="Times New Roman" w:hAnsi="Times New Roman"/>
          <w:sz w:val="20"/>
        </w:rPr>
      </w:pPr>
      <w:r>
        <w:rPr>
          <w:rFonts w:ascii="Times New Roman" w:hAnsi="Times New Roman"/>
          <w:sz w:val="20"/>
        </w:rPr>
        <w:t xml:space="preserve">the acceptability of any of our products, including ASCENIV, BIVIGAM and Nabi-HB, for any purpose, including FDA-approved indications, by physicians, patients or payers; </w:t>
      </w:r>
      <w:r>
        <mc:AlternateContent>
          <mc:Choice Requires="wps">
            <w:drawing>
              <wp:anchor behindDoc="0" distT="0" distB="0" distL="0" distR="0" simplePos="0" locked="0" layoutInCell="1" allowOverlap="1" relativeHeight="14">
                <wp:simplePos x="0" y="0"/>
                <wp:positionH relativeFrom="column">
                  <wp:align>left</wp:align>
                </wp:positionH>
                <wp:positionV relativeFrom="line">
                  <wp:posOffset>635</wp:posOffset>
                </wp:positionV>
                <wp:extent cx="228600" cy="175260"/>
                <wp:effectExtent l="0" t="0" r="0" b="0"/>
                <wp:wrapSquare wrapText="right"/>
                <wp:docPr id="13" name="Frame13"/>
                <a:graphic xmlns:a="http://schemas.openxmlformats.org/drawingml/2006/main">
                  <a:graphicData uri="http://schemas.microsoft.com/office/word/2010/wordprocessingShape">
                    <wps:wsp>
                      <wps:cNvSpPr txBox="1"/>
                      <wps:spPr>
                        <a:xfrm>
                          <a:off x="0" y="0"/>
                          <a:ext cx="228600" cy="175260"/>
                        </a:xfrm>
                        <a:prstGeom prst="rect"/>
                        <a:solidFill>
                          <a:srgbClr val="FFFFFF"/>
                        </a:solidFill>
                      </wps:spPr>
                      <wps:txbx>
                        <w:txbxContent>
                          <w:p>
                            <w:pPr>
                              <w:pStyle w:val="TextBody"/>
                              <w:bidi w:val="0"/>
                              <w:spacing w:before="0" w:after="283"/>
                              <w:jc w:val="left"/>
                              <w:rPr/>
                            </w:pPr>
                            <w:r>
                              <w:rPr/>
                              <w:t xml:space="preserve">● </w:t>
                            </w:r>
                          </w:p>
                        </w:txbxContent>
                      </wps:txbx>
                      <wps:bodyPr anchor="t" lIns="0" tIns="0" rIns="0" bIns="0">
                        <a:noAutofit/>
                      </wps:bodyPr>
                    </wps:wsp>
                  </a:graphicData>
                </a:graphic>
              </wp:anchor>
            </w:drawing>
          </mc:Choice>
          <mc:Fallback>
            <w:pict>
              <v:rect style="position:absolute;rotation:-0;width: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 xml:space="preserve">● </w:t>
                      </w:r>
                    </w:p>
                  </w:txbxContent>
                </v:textbox>
                <w10:wrap type="square" side="right"/>
              </v:rect>
            </w:pict>
          </mc:Fallback>
        </mc:AlternateContent>
      </w:r>
    </w:p>
    <w:p>
      <w:pPr>
        <w:pStyle w:val="TextBody"/>
        <w:bidi w:val="0"/>
        <w:spacing w:before="0" w:after="0"/>
        <w:ind w:left="720" w:right="0" w:hanging="0"/>
        <w:jc w:val="left"/>
        <w:rPr/>
      </w:pPr>
      <w:r>
        <w:rPr/>
        <w:t xml:space="preserve">  </w:t>
      </w:r>
    </w:p>
    <w:p>
      <w:pPr>
        <w:pStyle w:val="TextBody"/>
        <w:bidi w:val="0"/>
        <w:spacing w:before="0" w:after="0"/>
        <w:ind w:left="0" w:right="0" w:hanging="360"/>
        <w:jc w:val="left"/>
        <w:rPr>
          <w:rFonts w:ascii="Times New Roman" w:hAnsi="Times New Roman"/>
          <w:sz w:val="20"/>
        </w:rPr>
      </w:pPr>
      <w:r>
        <w:rPr>
          <w:rFonts w:ascii="Times New Roman" w:hAnsi="Times New Roman"/>
          <w:sz w:val="20"/>
        </w:rPr>
        <w:t xml:space="preserve">our plans to evaluate the clinical and regulatory paths to grow the ASCENIV franchise through expanded FDA-approved uses; </w:t>
      </w:r>
      <w:r>
        <mc:AlternateContent>
          <mc:Choice Requires="wps">
            <w:drawing>
              <wp:anchor behindDoc="0" distT="0" distB="0" distL="0" distR="0" simplePos="0" locked="0" layoutInCell="1" allowOverlap="1" relativeHeight="15">
                <wp:simplePos x="0" y="0"/>
                <wp:positionH relativeFrom="column">
                  <wp:align>left</wp:align>
                </wp:positionH>
                <wp:positionV relativeFrom="line">
                  <wp:posOffset>635</wp:posOffset>
                </wp:positionV>
                <wp:extent cx="228600" cy="175260"/>
                <wp:effectExtent l="0" t="0" r="0" b="0"/>
                <wp:wrapSquare wrapText="right"/>
                <wp:docPr id="14" name="Frame14"/>
                <a:graphic xmlns:a="http://schemas.openxmlformats.org/drawingml/2006/main">
                  <a:graphicData uri="http://schemas.microsoft.com/office/word/2010/wordprocessingShape">
                    <wps:wsp>
                      <wps:cNvSpPr txBox="1"/>
                      <wps:spPr>
                        <a:xfrm>
                          <a:off x="0" y="0"/>
                          <a:ext cx="228600" cy="175260"/>
                        </a:xfrm>
                        <a:prstGeom prst="rect"/>
                        <a:solidFill>
                          <a:srgbClr val="FFFFFF"/>
                        </a:solidFill>
                      </wps:spPr>
                      <wps:txbx>
                        <w:txbxContent>
                          <w:p>
                            <w:pPr>
                              <w:pStyle w:val="TextBody"/>
                              <w:bidi w:val="0"/>
                              <w:spacing w:before="0" w:after="283"/>
                              <w:jc w:val="left"/>
                              <w:rPr/>
                            </w:pPr>
                            <w:r>
                              <w:rPr/>
                              <w:t xml:space="preserve">● </w:t>
                            </w:r>
                          </w:p>
                        </w:txbxContent>
                      </wps:txbx>
                      <wps:bodyPr anchor="t" lIns="0" tIns="0" rIns="0" bIns="0">
                        <a:noAutofit/>
                      </wps:bodyPr>
                    </wps:wsp>
                  </a:graphicData>
                </a:graphic>
              </wp:anchor>
            </w:drawing>
          </mc:Choice>
          <mc:Fallback>
            <w:pict>
              <v:rect style="position:absolute;rotation:-0;width: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 xml:space="preserve">● </w:t>
                      </w:r>
                    </w:p>
                  </w:txbxContent>
                </v:textbox>
                <w10:wrap type="square" side="right"/>
              </v:rect>
            </w:pict>
          </mc:Fallback>
        </mc:AlternateContent>
      </w:r>
    </w:p>
    <w:p>
      <w:pPr>
        <w:pStyle w:val="TextBody"/>
        <w:bidi w:val="0"/>
        <w:spacing w:before="0" w:after="0"/>
        <w:ind w:left="720" w:right="0" w:hanging="0"/>
        <w:jc w:val="left"/>
        <w:rPr/>
      </w:pPr>
      <w:r>
        <w:rPr/>
        <w:t xml:space="preserve">  </w:t>
      </w:r>
    </w:p>
    <w:p>
      <w:pPr>
        <w:pStyle w:val="TextBody"/>
        <w:bidi w:val="0"/>
        <w:spacing w:before="0" w:after="0"/>
        <w:ind w:left="0" w:right="0" w:hanging="360"/>
        <w:jc w:val="left"/>
        <w:rPr>
          <w:rFonts w:ascii="Times New Roman" w:hAnsi="Times New Roman"/>
          <w:sz w:val="20"/>
        </w:rPr>
      </w:pPr>
      <w:r>
        <w:rPr>
          <w:rFonts w:ascii="Times New Roman" w:hAnsi="Times New Roman"/>
          <w:sz w:val="20"/>
        </w:rPr>
        <w:t xml:space="preserve">Federal, state and local regulatory and business review processes and timing by such governmental and regulatory agencies of our business and regulatory submissions; </w:t>
      </w:r>
      <w:r>
        <mc:AlternateContent>
          <mc:Choice Requires="wps">
            <w:drawing>
              <wp:anchor behindDoc="0" distT="0" distB="0" distL="0" distR="0" simplePos="0" locked="0" layoutInCell="1" allowOverlap="1" relativeHeight="16">
                <wp:simplePos x="0" y="0"/>
                <wp:positionH relativeFrom="column">
                  <wp:align>left</wp:align>
                </wp:positionH>
                <wp:positionV relativeFrom="line">
                  <wp:posOffset>635</wp:posOffset>
                </wp:positionV>
                <wp:extent cx="228600" cy="175260"/>
                <wp:effectExtent l="0" t="0" r="0" b="0"/>
                <wp:wrapSquare wrapText="right"/>
                <wp:docPr id="15" name="Frame15"/>
                <a:graphic xmlns:a="http://schemas.openxmlformats.org/drawingml/2006/main">
                  <a:graphicData uri="http://schemas.microsoft.com/office/word/2010/wordprocessingShape">
                    <wps:wsp>
                      <wps:cNvSpPr txBox="1"/>
                      <wps:spPr>
                        <a:xfrm>
                          <a:off x="0" y="0"/>
                          <a:ext cx="228600" cy="175260"/>
                        </a:xfrm>
                        <a:prstGeom prst="rect"/>
                        <a:solidFill>
                          <a:srgbClr val="FFFFFF"/>
                        </a:solidFill>
                      </wps:spPr>
                      <wps:txbx>
                        <w:txbxContent>
                          <w:p>
                            <w:pPr>
                              <w:pStyle w:val="TextBody"/>
                              <w:bidi w:val="0"/>
                              <w:spacing w:before="0" w:after="283"/>
                              <w:jc w:val="left"/>
                              <w:rPr/>
                            </w:pPr>
                            <w:r>
                              <w:rPr/>
                              <w:t xml:space="preserve">● </w:t>
                            </w:r>
                          </w:p>
                        </w:txbxContent>
                      </wps:txbx>
                      <wps:bodyPr anchor="t" lIns="0" tIns="0" rIns="0" bIns="0">
                        <a:noAutofit/>
                      </wps:bodyPr>
                    </wps:wsp>
                  </a:graphicData>
                </a:graphic>
              </wp:anchor>
            </w:drawing>
          </mc:Choice>
          <mc:Fallback>
            <w:pict>
              <v:rect style="position:absolute;rotation:-0;width: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 xml:space="preserve">● </w:t>
                      </w:r>
                    </w:p>
                  </w:txbxContent>
                </v:textbox>
                <w10:wrap type="square" side="right"/>
              </v:rect>
            </w:pict>
          </mc:Fallback>
        </mc:AlternateContent>
      </w:r>
    </w:p>
    <w:p>
      <w:pPr>
        <w:pStyle w:val="TextBody"/>
        <w:bidi w:val="0"/>
        <w:spacing w:before="0" w:after="0"/>
        <w:ind w:left="720" w:right="0" w:hanging="0"/>
        <w:jc w:val="left"/>
        <w:rPr/>
      </w:pPr>
      <w:r>
        <w:rPr/>
        <w:t xml:space="preserve">  </w:t>
      </w:r>
    </w:p>
    <w:p>
      <w:pPr>
        <w:pStyle w:val="TextBody"/>
        <w:bidi w:val="0"/>
        <w:spacing w:before="0" w:after="0"/>
        <w:ind w:left="0" w:right="0" w:hanging="360"/>
        <w:jc w:val="left"/>
        <w:rPr>
          <w:rFonts w:ascii="Times New Roman" w:hAnsi="Times New Roman"/>
          <w:sz w:val="20"/>
        </w:rPr>
      </w:pPr>
      <w:r>
        <w:rPr>
          <w:rFonts w:ascii="Times New Roman" w:hAnsi="Times New Roman"/>
          <w:sz w:val="20"/>
        </w:rPr>
        <w:t xml:space="preserve">concurrence by the FDA with our conclusions concerning our products and product candidates; </w:t>
      </w:r>
      <w:r>
        <mc:AlternateContent>
          <mc:Choice Requires="wps">
            <w:drawing>
              <wp:anchor behindDoc="0" distT="0" distB="0" distL="0" distR="0" simplePos="0" locked="0" layoutInCell="1" allowOverlap="1" relativeHeight="17">
                <wp:simplePos x="0" y="0"/>
                <wp:positionH relativeFrom="column">
                  <wp:align>left</wp:align>
                </wp:positionH>
                <wp:positionV relativeFrom="line">
                  <wp:posOffset>635</wp:posOffset>
                </wp:positionV>
                <wp:extent cx="228600" cy="175260"/>
                <wp:effectExtent l="0" t="0" r="0" b="0"/>
                <wp:wrapSquare wrapText="right"/>
                <wp:docPr id="16" name="Frame16"/>
                <a:graphic xmlns:a="http://schemas.openxmlformats.org/drawingml/2006/main">
                  <a:graphicData uri="http://schemas.microsoft.com/office/word/2010/wordprocessingShape">
                    <wps:wsp>
                      <wps:cNvSpPr txBox="1"/>
                      <wps:spPr>
                        <a:xfrm>
                          <a:off x="0" y="0"/>
                          <a:ext cx="228600" cy="175260"/>
                        </a:xfrm>
                        <a:prstGeom prst="rect"/>
                        <a:solidFill>
                          <a:srgbClr val="FFFFFF"/>
                        </a:solidFill>
                      </wps:spPr>
                      <wps:txbx>
                        <w:txbxContent>
                          <w:p>
                            <w:pPr>
                              <w:pStyle w:val="TextBody"/>
                              <w:bidi w:val="0"/>
                              <w:spacing w:before="0" w:after="283"/>
                              <w:jc w:val="left"/>
                              <w:rPr/>
                            </w:pPr>
                            <w:r>
                              <w:rPr/>
                              <w:t xml:space="preserve">● </w:t>
                            </w:r>
                          </w:p>
                        </w:txbxContent>
                      </wps:txbx>
                      <wps:bodyPr anchor="t" lIns="0" tIns="0" rIns="0" bIns="0">
                        <a:noAutofit/>
                      </wps:bodyPr>
                    </wps:wsp>
                  </a:graphicData>
                </a:graphic>
              </wp:anchor>
            </w:drawing>
          </mc:Choice>
          <mc:Fallback>
            <w:pict>
              <v:rect style="position:absolute;rotation:-0;width: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 xml:space="preserve">● </w:t>
                      </w:r>
                    </w:p>
                  </w:txbxContent>
                </v:textbox>
                <w10:wrap type="square" side="right"/>
              </v:rect>
            </w:pict>
          </mc:Fallback>
        </mc:AlternateContent>
      </w:r>
    </w:p>
    <w:p>
      <w:pPr>
        <w:pStyle w:val="TextBody"/>
        <w:bidi w:val="0"/>
        <w:spacing w:before="0" w:after="0"/>
        <w:ind w:left="720" w:right="0" w:hanging="0"/>
        <w:jc w:val="left"/>
        <w:rPr/>
      </w:pPr>
      <w:r>
        <w:rPr/>
        <w:t xml:space="preserve">  </w:t>
      </w:r>
    </w:p>
    <w:p>
      <w:pPr>
        <w:pStyle w:val="TextBody"/>
        <w:bidi w:val="0"/>
        <w:spacing w:before="150" w:after="15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t>ii</w:t>
      </w:r>
    </w:p>
    <w:p>
      <w:pPr>
        <w:pStyle w:val="HorizontalLine"/>
        <w:bidi w:val="0"/>
        <w:spacing w:before="150" w:after="150"/>
        <w:jc w:val="left"/>
        <w:rPr/>
      </w:pPr>
      <w:r>
        <w:rPr/>
      </w:r>
    </w:p>
    <w:p>
      <w:pPr>
        <w:pStyle w:val="TextBody"/>
        <w:bidi w:val="0"/>
        <w:spacing w:before="150" w:after="150"/>
        <w:jc w:val="left"/>
        <w:rPr/>
      </w:pPr>
      <w:hyperlink w:anchor="index">
        <w:r>
          <w:rPr>
            <w:rStyle w:val="InternetLink"/>
            <w:rFonts w:ascii="TimesNewRoman;Times New Roman;Times;Baskerville;Georgia;serif" w:hAnsi="TimesNewRoman;Times New Roman;Times;Baskerville;Georgia;serif"/>
            <w:b w:val="false"/>
            <w:i/>
            <w:caps w:val="false"/>
            <w:smallCaps w:val="false"/>
            <w:strike w:val="false"/>
            <w:dstrike w:val="false"/>
            <w:sz w:val="16"/>
            <w:u w:val="none"/>
            <w:effect w:val="none"/>
          </w:rPr>
          <w:t>Index</w:t>
        </w:r>
      </w:hyperlink>
    </w:p>
    <w:p>
      <w:pPr>
        <w:pStyle w:val="TextBody"/>
        <w:bidi w:val="0"/>
        <w:spacing w:before="0" w:after="0"/>
        <w:ind w:left="0" w:right="0" w:hanging="360"/>
        <w:jc w:val="left"/>
        <w:rPr>
          <w:rFonts w:ascii="Times New Roman" w:hAnsi="Times New Roman"/>
          <w:sz w:val="20"/>
        </w:rPr>
      </w:pPr>
      <w:r>
        <w:rPr>
          <w:rFonts w:ascii="Times New Roman" w:hAnsi="Times New Roman"/>
          <w:sz w:val="20"/>
        </w:rPr>
        <w:t xml:space="preserve">the comparability of results of our hyperimmune and immune globulin products to other comparably run hyperimmune and immune globulin clinical trials; </w:t>
      </w:r>
      <w:r>
        <mc:AlternateContent>
          <mc:Choice Requires="wps">
            <w:drawing>
              <wp:anchor behindDoc="0" distT="0" distB="0" distL="0" distR="0" simplePos="0" locked="0" layoutInCell="1" allowOverlap="1" relativeHeight="18">
                <wp:simplePos x="0" y="0"/>
                <wp:positionH relativeFrom="column">
                  <wp:align>left</wp:align>
                </wp:positionH>
                <wp:positionV relativeFrom="line">
                  <wp:posOffset>635</wp:posOffset>
                </wp:positionV>
                <wp:extent cx="228600" cy="175260"/>
                <wp:effectExtent l="0" t="0" r="0" b="0"/>
                <wp:wrapSquare wrapText="right"/>
                <wp:docPr id="17" name="Frame17"/>
                <a:graphic xmlns:a="http://schemas.openxmlformats.org/drawingml/2006/main">
                  <a:graphicData uri="http://schemas.microsoft.com/office/word/2010/wordprocessingShape">
                    <wps:wsp>
                      <wps:cNvSpPr txBox="1"/>
                      <wps:spPr>
                        <a:xfrm>
                          <a:off x="0" y="0"/>
                          <a:ext cx="228600" cy="175260"/>
                        </a:xfrm>
                        <a:prstGeom prst="rect"/>
                        <a:solidFill>
                          <a:srgbClr val="FFFFFF"/>
                        </a:solidFill>
                      </wps:spPr>
                      <wps:txbx>
                        <w:txbxContent>
                          <w:p>
                            <w:pPr>
                              <w:pStyle w:val="TextBody"/>
                              <w:bidi w:val="0"/>
                              <w:spacing w:before="0" w:after="283"/>
                              <w:jc w:val="left"/>
                              <w:rPr/>
                            </w:pPr>
                            <w:r>
                              <w:rPr/>
                              <w:t xml:space="preserve">● </w:t>
                            </w:r>
                          </w:p>
                        </w:txbxContent>
                      </wps:txbx>
                      <wps:bodyPr anchor="t" lIns="0" tIns="0" rIns="0" bIns="0">
                        <a:noAutofit/>
                      </wps:bodyPr>
                    </wps:wsp>
                  </a:graphicData>
                </a:graphic>
              </wp:anchor>
            </w:drawing>
          </mc:Choice>
          <mc:Fallback>
            <w:pict>
              <v:rect style="position:absolute;rotation:-0;width: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 xml:space="preserve">● </w:t>
                      </w:r>
                    </w:p>
                  </w:txbxContent>
                </v:textbox>
                <w10:wrap type="square" side="right"/>
              </v:rect>
            </w:pict>
          </mc:Fallback>
        </mc:AlternateContent>
      </w:r>
    </w:p>
    <w:p>
      <w:pPr>
        <w:pStyle w:val="TextBody"/>
        <w:bidi w:val="0"/>
        <w:spacing w:before="0" w:after="0"/>
        <w:ind w:left="720" w:right="0" w:hanging="0"/>
        <w:jc w:val="left"/>
        <w:rPr/>
      </w:pPr>
      <w:r>
        <w:rPr/>
        <w:t xml:space="preserve">  </w:t>
      </w:r>
    </w:p>
    <w:p>
      <w:pPr>
        <w:pStyle w:val="TextBody"/>
        <w:bidi w:val="0"/>
        <w:spacing w:before="0" w:after="0"/>
        <w:ind w:left="0" w:right="0" w:hanging="360"/>
        <w:jc w:val="left"/>
        <w:rPr>
          <w:rFonts w:ascii="Times New Roman" w:hAnsi="Times New Roman"/>
          <w:sz w:val="20"/>
        </w:rPr>
      </w:pPr>
      <w:r>
        <w:rPr>
          <w:rFonts w:ascii="Times New Roman" w:hAnsi="Times New Roman"/>
          <w:sz w:val="20"/>
        </w:rPr>
        <w:t xml:space="preserve">the potential for ASCENIV and BIVIGAM to provide meaningful clinical improvement for patients living with </w:t>
      </w:r>
      <w:r>
        <w:rPr>
          <w:rFonts w:ascii="Times New Roman" w:hAnsi="Times New Roman"/>
          <w:color w:val="000000"/>
          <w:sz w:val="20"/>
        </w:rPr>
        <w:t>Primary Humoral Immunodeficiency (“PI”), also known as Primary Immunodeficiency Disease (“PIDD”) or Inborn Errors of Immunity,</w:t>
      </w:r>
      <w:r>
        <w:rPr>
          <w:rFonts w:ascii="Times New Roman" w:hAnsi="Times New Roman"/>
          <w:sz w:val="20"/>
        </w:rPr>
        <w:t xml:space="preserve"> or other immune deficiencies or any other condition for which the products may be prescribed or evaluated; </w:t>
      </w:r>
      <w:r>
        <mc:AlternateContent>
          <mc:Choice Requires="wps">
            <w:drawing>
              <wp:anchor behindDoc="0" distT="0" distB="0" distL="0" distR="0" simplePos="0" locked="0" layoutInCell="1" allowOverlap="1" relativeHeight="19">
                <wp:simplePos x="0" y="0"/>
                <wp:positionH relativeFrom="column">
                  <wp:align>left</wp:align>
                </wp:positionH>
                <wp:positionV relativeFrom="line">
                  <wp:posOffset>635</wp:posOffset>
                </wp:positionV>
                <wp:extent cx="228600" cy="175260"/>
                <wp:effectExtent l="0" t="0" r="0" b="0"/>
                <wp:wrapSquare wrapText="right"/>
                <wp:docPr id="18" name="Frame18"/>
                <a:graphic xmlns:a="http://schemas.openxmlformats.org/drawingml/2006/main">
                  <a:graphicData uri="http://schemas.microsoft.com/office/word/2010/wordprocessingShape">
                    <wps:wsp>
                      <wps:cNvSpPr txBox="1"/>
                      <wps:spPr>
                        <a:xfrm>
                          <a:off x="0" y="0"/>
                          <a:ext cx="228600" cy="175260"/>
                        </a:xfrm>
                        <a:prstGeom prst="rect"/>
                        <a:solidFill>
                          <a:srgbClr val="FFFFFF"/>
                        </a:solidFill>
                      </wps:spPr>
                      <wps:txbx>
                        <w:txbxContent>
                          <w:p>
                            <w:pPr>
                              <w:pStyle w:val="TextBody"/>
                              <w:bidi w:val="0"/>
                              <w:spacing w:before="0" w:after="283"/>
                              <w:jc w:val="left"/>
                              <w:rPr/>
                            </w:pPr>
                            <w:r>
                              <w:rPr/>
                              <w:t xml:space="preserve">● </w:t>
                            </w:r>
                          </w:p>
                        </w:txbxContent>
                      </wps:txbx>
                      <wps:bodyPr anchor="t" lIns="0" tIns="0" rIns="0" bIns="0">
                        <a:noAutofit/>
                      </wps:bodyPr>
                    </wps:wsp>
                  </a:graphicData>
                </a:graphic>
              </wp:anchor>
            </w:drawing>
          </mc:Choice>
          <mc:Fallback>
            <w:pict>
              <v:rect style="position:absolute;rotation:-0;width: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 xml:space="preserve">● </w:t>
                      </w:r>
                    </w:p>
                  </w:txbxContent>
                </v:textbox>
                <w10:wrap type="square" side="right"/>
              </v:rect>
            </w:pict>
          </mc:Fallback>
        </mc:AlternateContent>
      </w:r>
    </w:p>
    <w:p>
      <w:pPr>
        <w:pStyle w:val="TextBody"/>
        <w:bidi w:val="0"/>
        <w:spacing w:before="0" w:after="0"/>
        <w:ind w:left="720" w:right="0" w:hanging="0"/>
        <w:jc w:val="left"/>
        <w:rPr/>
      </w:pPr>
      <w:r>
        <w:rPr/>
        <w:t xml:space="preserve">  </w:t>
      </w:r>
    </w:p>
    <w:p>
      <w:pPr>
        <w:pStyle w:val="TextBody"/>
        <w:bidi w:val="0"/>
        <w:spacing w:before="0" w:after="0"/>
        <w:ind w:left="0" w:right="0" w:hanging="360"/>
        <w:jc w:val="left"/>
        <w:rPr>
          <w:rFonts w:ascii="Times New Roman" w:hAnsi="Times New Roman"/>
          <w:sz w:val="20"/>
        </w:rPr>
      </w:pPr>
      <w:r>
        <w:rPr>
          <w:rFonts w:ascii="Times New Roman" w:hAnsi="Times New Roman"/>
          <w:sz w:val="20"/>
        </w:rPr>
        <w:t xml:space="preserve">our ability to market and promote Nabi-HB in a highly competitive environment with increasing competition from other antiviral therapies and to generate meaningful revenues from this product; </w:t>
      </w:r>
      <w:r>
        <mc:AlternateContent>
          <mc:Choice Requires="wps">
            <w:drawing>
              <wp:anchor behindDoc="0" distT="0" distB="0" distL="0" distR="0" simplePos="0" locked="0" layoutInCell="1" allowOverlap="1" relativeHeight="20">
                <wp:simplePos x="0" y="0"/>
                <wp:positionH relativeFrom="column">
                  <wp:align>left</wp:align>
                </wp:positionH>
                <wp:positionV relativeFrom="line">
                  <wp:posOffset>635</wp:posOffset>
                </wp:positionV>
                <wp:extent cx="228600" cy="175260"/>
                <wp:effectExtent l="0" t="0" r="0" b="0"/>
                <wp:wrapSquare wrapText="right"/>
                <wp:docPr id="19" name="Frame19"/>
                <a:graphic xmlns:a="http://schemas.openxmlformats.org/drawingml/2006/main">
                  <a:graphicData uri="http://schemas.microsoft.com/office/word/2010/wordprocessingShape">
                    <wps:wsp>
                      <wps:cNvSpPr txBox="1"/>
                      <wps:spPr>
                        <a:xfrm>
                          <a:off x="0" y="0"/>
                          <a:ext cx="228600" cy="175260"/>
                        </a:xfrm>
                        <a:prstGeom prst="rect"/>
                        <a:solidFill>
                          <a:srgbClr val="FFFFFF"/>
                        </a:solidFill>
                      </wps:spPr>
                      <wps:txbx>
                        <w:txbxContent>
                          <w:p>
                            <w:pPr>
                              <w:pStyle w:val="TextBody"/>
                              <w:bidi w:val="0"/>
                              <w:spacing w:before="0" w:after="283"/>
                              <w:jc w:val="left"/>
                              <w:rPr/>
                            </w:pPr>
                            <w:r>
                              <w:rPr/>
                              <w:t xml:space="preserve">● </w:t>
                            </w:r>
                          </w:p>
                        </w:txbxContent>
                      </wps:txbx>
                      <wps:bodyPr anchor="t" lIns="0" tIns="0" rIns="0" bIns="0">
                        <a:noAutofit/>
                      </wps:bodyPr>
                    </wps:wsp>
                  </a:graphicData>
                </a:graphic>
              </wp:anchor>
            </w:drawing>
          </mc:Choice>
          <mc:Fallback>
            <w:pict>
              <v:rect style="position:absolute;rotation:-0;width: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 xml:space="preserve">● </w:t>
                      </w:r>
                    </w:p>
                  </w:txbxContent>
                </v:textbox>
                <w10:wrap type="square" side="right"/>
              </v:rect>
            </w:pict>
          </mc:Fallback>
        </mc:AlternateContent>
      </w:r>
    </w:p>
    <w:p>
      <w:pPr>
        <w:pStyle w:val="TextBody"/>
        <w:bidi w:val="0"/>
        <w:spacing w:before="0" w:after="0"/>
        <w:ind w:left="720" w:right="0" w:hanging="0"/>
        <w:jc w:val="left"/>
        <w:rPr/>
      </w:pPr>
      <w:r>
        <w:rPr/>
        <w:t xml:space="preserve">  </w:t>
      </w:r>
    </w:p>
    <w:p>
      <w:pPr>
        <w:pStyle w:val="TextBody"/>
        <w:bidi w:val="0"/>
        <w:spacing w:before="0" w:after="0"/>
        <w:ind w:left="0" w:right="0" w:hanging="360"/>
        <w:jc w:val="left"/>
        <w:rPr>
          <w:rFonts w:ascii="Times New Roman" w:hAnsi="Times New Roman"/>
          <w:sz w:val="20"/>
        </w:rPr>
      </w:pPr>
      <w:r>
        <w:rPr>
          <w:rFonts w:ascii="Times New Roman" w:hAnsi="Times New Roman"/>
          <w:sz w:val="20"/>
        </w:rPr>
        <w:t xml:space="preserve">our intellectual property position and the defense thereof, including our expectations regarding the scope of patent protection with respect to ASCENIV, SG-001 or other future pipeline product candidates; </w:t>
      </w:r>
      <w:r>
        <mc:AlternateContent>
          <mc:Choice Requires="wps">
            <w:drawing>
              <wp:anchor behindDoc="0" distT="0" distB="0" distL="0" distR="0" simplePos="0" locked="0" layoutInCell="1" allowOverlap="1" relativeHeight="21">
                <wp:simplePos x="0" y="0"/>
                <wp:positionH relativeFrom="column">
                  <wp:align>left</wp:align>
                </wp:positionH>
                <wp:positionV relativeFrom="line">
                  <wp:posOffset>635</wp:posOffset>
                </wp:positionV>
                <wp:extent cx="228600" cy="175260"/>
                <wp:effectExtent l="0" t="0" r="0" b="0"/>
                <wp:wrapSquare wrapText="right"/>
                <wp:docPr id="20" name="Frame20"/>
                <a:graphic xmlns:a="http://schemas.openxmlformats.org/drawingml/2006/main">
                  <a:graphicData uri="http://schemas.microsoft.com/office/word/2010/wordprocessingShape">
                    <wps:wsp>
                      <wps:cNvSpPr txBox="1"/>
                      <wps:spPr>
                        <a:xfrm>
                          <a:off x="0" y="0"/>
                          <a:ext cx="228600" cy="175260"/>
                        </a:xfrm>
                        <a:prstGeom prst="rect"/>
                        <a:solidFill>
                          <a:srgbClr val="FFFFFF"/>
                        </a:solidFill>
                      </wps:spPr>
                      <wps:txbx>
                        <w:txbxContent>
                          <w:p>
                            <w:pPr>
                              <w:pStyle w:val="TextBody"/>
                              <w:bidi w:val="0"/>
                              <w:spacing w:before="0" w:after="283"/>
                              <w:jc w:val="left"/>
                              <w:rPr/>
                            </w:pPr>
                            <w:r>
                              <w:rPr/>
                              <w:t xml:space="preserve">● </w:t>
                            </w:r>
                          </w:p>
                        </w:txbxContent>
                      </wps:txbx>
                      <wps:bodyPr anchor="t" lIns="0" tIns="0" rIns="0" bIns="0">
                        <a:noAutofit/>
                      </wps:bodyPr>
                    </wps:wsp>
                  </a:graphicData>
                </a:graphic>
              </wp:anchor>
            </w:drawing>
          </mc:Choice>
          <mc:Fallback>
            <w:pict>
              <v:rect style="position:absolute;rotation:-0;width: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 xml:space="preserve">● </w:t>
                      </w:r>
                    </w:p>
                  </w:txbxContent>
                </v:textbox>
                <w10:wrap type="square" side="right"/>
              </v:rect>
            </w:pict>
          </mc:Fallback>
        </mc:AlternateContent>
      </w:r>
    </w:p>
    <w:p>
      <w:pPr>
        <w:pStyle w:val="TextBody"/>
        <w:bidi w:val="0"/>
        <w:spacing w:before="0" w:after="0"/>
        <w:ind w:left="720" w:right="0" w:hanging="0"/>
        <w:jc w:val="left"/>
        <w:rPr/>
      </w:pPr>
      <w:r>
        <w:rPr/>
        <w:t xml:space="preserve">  </w:t>
      </w:r>
    </w:p>
    <w:p>
      <w:pPr>
        <w:pStyle w:val="TextBody"/>
        <w:bidi w:val="0"/>
        <w:spacing w:before="0" w:after="0"/>
        <w:ind w:left="0" w:right="0" w:hanging="360"/>
        <w:jc w:val="left"/>
        <w:rPr>
          <w:rFonts w:ascii="Times New Roman" w:hAnsi="Times New Roman"/>
          <w:sz w:val="20"/>
        </w:rPr>
      </w:pPr>
      <w:r>
        <w:rPr>
          <w:rFonts w:ascii="Times New Roman" w:hAnsi="Times New Roman"/>
          <w:sz w:val="20"/>
        </w:rPr>
        <w:t xml:space="preserve">our ability to develop, manufacture, receive regulatory approval and commercialize our potential pipeline of any new hyperimmune globulins, including SG-001, and related timing in consideration therewith; </w:t>
      </w:r>
      <w:r>
        <mc:AlternateContent>
          <mc:Choice Requires="wps">
            <w:drawing>
              <wp:anchor behindDoc="0" distT="0" distB="0" distL="0" distR="0" simplePos="0" locked="0" layoutInCell="1" allowOverlap="1" relativeHeight="22">
                <wp:simplePos x="0" y="0"/>
                <wp:positionH relativeFrom="column">
                  <wp:align>left</wp:align>
                </wp:positionH>
                <wp:positionV relativeFrom="line">
                  <wp:posOffset>635</wp:posOffset>
                </wp:positionV>
                <wp:extent cx="228600" cy="175260"/>
                <wp:effectExtent l="0" t="0" r="0" b="0"/>
                <wp:wrapSquare wrapText="right"/>
                <wp:docPr id="21" name="Frame21"/>
                <a:graphic xmlns:a="http://schemas.openxmlformats.org/drawingml/2006/main">
                  <a:graphicData uri="http://schemas.microsoft.com/office/word/2010/wordprocessingShape">
                    <wps:wsp>
                      <wps:cNvSpPr txBox="1"/>
                      <wps:spPr>
                        <a:xfrm>
                          <a:off x="0" y="0"/>
                          <a:ext cx="228600" cy="175260"/>
                        </a:xfrm>
                        <a:prstGeom prst="rect"/>
                        <a:solidFill>
                          <a:srgbClr val="FFFFFF"/>
                        </a:solidFill>
                      </wps:spPr>
                      <wps:txbx>
                        <w:txbxContent>
                          <w:p>
                            <w:pPr>
                              <w:pStyle w:val="TextBody"/>
                              <w:bidi w:val="0"/>
                              <w:spacing w:before="0" w:after="283"/>
                              <w:jc w:val="left"/>
                              <w:rPr/>
                            </w:pPr>
                            <w:r>
                              <w:rPr/>
                              <w:t xml:space="preserve">● </w:t>
                            </w:r>
                          </w:p>
                        </w:txbxContent>
                      </wps:txbx>
                      <wps:bodyPr anchor="t" lIns="0" tIns="0" rIns="0" bIns="0">
                        <a:noAutofit/>
                      </wps:bodyPr>
                    </wps:wsp>
                  </a:graphicData>
                </a:graphic>
              </wp:anchor>
            </w:drawing>
          </mc:Choice>
          <mc:Fallback>
            <w:pict>
              <v:rect style="position:absolute;rotation:-0;width: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 xml:space="preserve">● </w:t>
                      </w:r>
                    </w:p>
                  </w:txbxContent>
                </v:textbox>
                <w10:wrap type="square" side="right"/>
              </v:rect>
            </w:pict>
          </mc:Fallback>
        </mc:AlternateContent>
      </w:r>
    </w:p>
    <w:p>
      <w:pPr>
        <w:pStyle w:val="TextBody"/>
        <w:bidi w:val="0"/>
        <w:spacing w:before="0" w:after="0"/>
        <w:ind w:left="720" w:right="0" w:hanging="0"/>
        <w:jc w:val="left"/>
        <w:rPr/>
      </w:pPr>
      <w:r>
        <w:rPr/>
        <w:t xml:space="preserve">  </w:t>
      </w:r>
    </w:p>
    <w:p>
      <w:pPr>
        <w:pStyle w:val="TextBody"/>
        <w:bidi w:val="0"/>
        <w:spacing w:before="0" w:after="0"/>
        <w:ind w:left="0" w:right="0" w:hanging="360"/>
        <w:jc w:val="left"/>
        <w:rPr>
          <w:rFonts w:ascii="Times New Roman" w:hAnsi="Times New Roman"/>
          <w:sz w:val="20"/>
        </w:rPr>
      </w:pPr>
      <w:r>
        <w:rPr>
          <w:rFonts w:ascii="Times New Roman" w:hAnsi="Times New Roman"/>
          <w:sz w:val="20"/>
        </w:rPr>
        <w:t xml:space="preserve">our manufacturing capabilities, and third-party contractor capabilities; </w:t>
      </w:r>
      <w:r>
        <mc:AlternateContent>
          <mc:Choice Requires="wps">
            <w:drawing>
              <wp:anchor behindDoc="0" distT="0" distB="0" distL="0" distR="0" simplePos="0" locked="0" layoutInCell="1" allowOverlap="1" relativeHeight="23">
                <wp:simplePos x="0" y="0"/>
                <wp:positionH relativeFrom="column">
                  <wp:align>left</wp:align>
                </wp:positionH>
                <wp:positionV relativeFrom="line">
                  <wp:posOffset>635</wp:posOffset>
                </wp:positionV>
                <wp:extent cx="228600" cy="175260"/>
                <wp:effectExtent l="0" t="0" r="0" b="0"/>
                <wp:wrapSquare wrapText="right"/>
                <wp:docPr id="22" name="Frame22"/>
                <a:graphic xmlns:a="http://schemas.openxmlformats.org/drawingml/2006/main">
                  <a:graphicData uri="http://schemas.microsoft.com/office/word/2010/wordprocessingShape">
                    <wps:wsp>
                      <wps:cNvSpPr txBox="1"/>
                      <wps:spPr>
                        <a:xfrm>
                          <a:off x="0" y="0"/>
                          <a:ext cx="228600" cy="175260"/>
                        </a:xfrm>
                        <a:prstGeom prst="rect"/>
                        <a:solidFill>
                          <a:srgbClr val="FFFFFF"/>
                        </a:solidFill>
                      </wps:spPr>
                      <wps:txbx>
                        <w:txbxContent>
                          <w:p>
                            <w:pPr>
                              <w:pStyle w:val="TextBody"/>
                              <w:bidi w:val="0"/>
                              <w:spacing w:before="0" w:after="283"/>
                              <w:jc w:val="left"/>
                              <w:rPr/>
                            </w:pPr>
                            <w:r>
                              <w:rPr/>
                              <w:t xml:space="preserve">● </w:t>
                            </w:r>
                          </w:p>
                        </w:txbxContent>
                      </wps:txbx>
                      <wps:bodyPr anchor="t" lIns="0" tIns="0" rIns="0" bIns="0">
                        <a:noAutofit/>
                      </wps:bodyPr>
                    </wps:wsp>
                  </a:graphicData>
                </a:graphic>
              </wp:anchor>
            </w:drawing>
          </mc:Choice>
          <mc:Fallback>
            <w:pict>
              <v:rect style="position:absolute;rotation:-0;width: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 xml:space="preserve">● </w:t>
                      </w:r>
                    </w:p>
                  </w:txbxContent>
                </v:textbox>
                <w10:wrap type="square" side="right"/>
              </v:rect>
            </w:pict>
          </mc:Fallback>
        </mc:AlternateContent>
      </w:r>
    </w:p>
    <w:p>
      <w:pPr>
        <w:pStyle w:val="TextBody"/>
        <w:bidi w:val="0"/>
        <w:spacing w:before="0" w:after="0"/>
        <w:ind w:left="720" w:right="0" w:hanging="0"/>
        <w:jc w:val="left"/>
        <w:rPr/>
      </w:pPr>
      <w:r>
        <w:rPr/>
        <w:t xml:space="preserve">  </w:t>
      </w:r>
    </w:p>
    <w:p>
      <w:pPr>
        <w:pStyle w:val="TextBody"/>
        <w:bidi w:val="0"/>
        <w:spacing w:before="0" w:after="0"/>
        <w:ind w:left="0" w:right="0" w:hanging="360"/>
        <w:jc w:val="left"/>
        <w:rPr>
          <w:rFonts w:ascii="Times New Roman" w:hAnsi="Times New Roman"/>
          <w:sz w:val="20"/>
        </w:rPr>
      </w:pPr>
      <w:r>
        <w:rPr>
          <w:rFonts w:ascii="Times New Roman" w:hAnsi="Times New Roman"/>
          <w:sz w:val="20"/>
        </w:rPr>
        <w:t xml:space="preserve">our use of artificial intelligence (“AI”) in our supply chain and production operations; </w:t>
      </w:r>
      <w:r>
        <mc:AlternateContent>
          <mc:Choice Requires="wps">
            <w:drawing>
              <wp:anchor behindDoc="0" distT="0" distB="0" distL="0" distR="0" simplePos="0" locked="0" layoutInCell="1" allowOverlap="1" relativeHeight="24">
                <wp:simplePos x="0" y="0"/>
                <wp:positionH relativeFrom="column">
                  <wp:align>left</wp:align>
                </wp:positionH>
                <wp:positionV relativeFrom="line">
                  <wp:posOffset>635</wp:posOffset>
                </wp:positionV>
                <wp:extent cx="228600" cy="175260"/>
                <wp:effectExtent l="0" t="0" r="0" b="0"/>
                <wp:wrapSquare wrapText="right"/>
                <wp:docPr id="23" name="Frame23"/>
                <a:graphic xmlns:a="http://schemas.openxmlformats.org/drawingml/2006/main">
                  <a:graphicData uri="http://schemas.microsoft.com/office/word/2010/wordprocessingShape">
                    <wps:wsp>
                      <wps:cNvSpPr txBox="1"/>
                      <wps:spPr>
                        <a:xfrm>
                          <a:off x="0" y="0"/>
                          <a:ext cx="228600" cy="175260"/>
                        </a:xfrm>
                        <a:prstGeom prst="rect"/>
                        <a:solidFill>
                          <a:srgbClr val="FFFFFF"/>
                        </a:solidFill>
                      </wps:spPr>
                      <wps:txbx>
                        <w:txbxContent>
                          <w:p>
                            <w:pPr>
                              <w:pStyle w:val="TextBody"/>
                              <w:bidi w:val="0"/>
                              <w:spacing w:before="0" w:after="283"/>
                              <w:jc w:val="left"/>
                              <w:rPr/>
                            </w:pPr>
                            <w:r>
                              <w:rPr/>
                              <w:t xml:space="preserve">● </w:t>
                            </w:r>
                          </w:p>
                        </w:txbxContent>
                      </wps:txbx>
                      <wps:bodyPr anchor="t" lIns="0" tIns="0" rIns="0" bIns="0">
                        <a:noAutofit/>
                      </wps:bodyPr>
                    </wps:wsp>
                  </a:graphicData>
                </a:graphic>
              </wp:anchor>
            </w:drawing>
          </mc:Choice>
          <mc:Fallback>
            <w:pict>
              <v:rect style="position:absolute;rotation:-0;width: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 xml:space="preserve">● </w:t>
                      </w:r>
                    </w:p>
                  </w:txbxContent>
                </v:textbox>
                <w10:wrap type="square" side="right"/>
              </v:rect>
            </w:pict>
          </mc:Fallback>
        </mc:AlternateContent>
      </w:r>
    </w:p>
    <w:p>
      <w:pPr>
        <w:pStyle w:val="TextBody"/>
        <w:bidi w:val="0"/>
        <w:spacing w:before="0" w:after="0"/>
        <w:ind w:left="720" w:right="0" w:hanging="0"/>
        <w:jc w:val="left"/>
        <w:rPr/>
      </w:pPr>
      <w:r>
        <w:rPr/>
        <w:t xml:space="preserve">  </w:t>
      </w:r>
    </w:p>
    <w:p>
      <w:pPr>
        <w:pStyle w:val="TextBody"/>
        <w:bidi w:val="0"/>
        <w:spacing w:before="0" w:after="0"/>
        <w:ind w:left="0" w:right="0" w:hanging="360"/>
        <w:jc w:val="left"/>
        <w:rPr>
          <w:rFonts w:ascii="Times New Roman" w:hAnsi="Times New Roman"/>
          <w:sz w:val="20"/>
        </w:rPr>
      </w:pPr>
      <w:r>
        <w:rPr>
          <w:rFonts w:ascii="Times New Roman" w:hAnsi="Times New Roman"/>
          <w:sz w:val="20"/>
        </w:rPr>
        <w:t xml:space="preserve">our implemented strategy related to the expansion and efficiencies of our manufacturing capacity, yield improvements, supply-chain robustness, in-house fill-finish capabilities, distribution and other collaborative agreements and the success of such endeavors; </w:t>
      </w:r>
      <w:r>
        <mc:AlternateContent>
          <mc:Choice Requires="wps">
            <w:drawing>
              <wp:anchor behindDoc="0" distT="0" distB="0" distL="0" distR="0" simplePos="0" locked="0" layoutInCell="1" allowOverlap="1" relativeHeight="25">
                <wp:simplePos x="0" y="0"/>
                <wp:positionH relativeFrom="column">
                  <wp:align>left</wp:align>
                </wp:positionH>
                <wp:positionV relativeFrom="line">
                  <wp:posOffset>635</wp:posOffset>
                </wp:positionV>
                <wp:extent cx="228600" cy="175260"/>
                <wp:effectExtent l="0" t="0" r="0" b="0"/>
                <wp:wrapSquare wrapText="right"/>
                <wp:docPr id="24" name="Frame24"/>
                <a:graphic xmlns:a="http://schemas.openxmlformats.org/drawingml/2006/main">
                  <a:graphicData uri="http://schemas.microsoft.com/office/word/2010/wordprocessingShape">
                    <wps:wsp>
                      <wps:cNvSpPr txBox="1"/>
                      <wps:spPr>
                        <a:xfrm>
                          <a:off x="0" y="0"/>
                          <a:ext cx="228600" cy="175260"/>
                        </a:xfrm>
                        <a:prstGeom prst="rect"/>
                        <a:solidFill>
                          <a:srgbClr val="FFFFFF"/>
                        </a:solidFill>
                      </wps:spPr>
                      <wps:txbx>
                        <w:txbxContent>
                          <w:p>
                            <w:pPr>
                              <w:pStyle w:val="TextBody"/>
                              <w:bidi w:val="0"/>
                              <w:spacing w:before="0" w:after="283"/>
                              <w:jc w:val="left"/>
                              <w:rPr/>
                            </w:pPr>
                            <w:r>
                              <w:rPr/>
                              <w:t xml:space="preserve">● </w:t>
                            </w:r>
                          </w:p>
                        </w:txbxContent>
                      </wps:txbx>
                      <wps:bodyPr anchor="t" lIns="0" tIns="0" rIns="0" bIns="0">
                        <a:noAutofit/>
                      </wps:bodyPr>
                    </wps:wsp>
                  </a:graphicData>
                </a:graphic>
              </wp:anchor>
            </w:drawing>
          </mc:Choice>
          <mc:Fallback>
            <w:pict>
              <v:rect style="position:absolute;rotation:-0;width: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 xml:space="preserve">● </w:t>
                      </w:r>
                    </w:p>
                  </w:txbxContent>
                </v:textbox>
                <w10:wrap type="square" side="right"/>
              </v:rect>
            </w:pict>
          </mc:Fallback>
        </mc:AlternateContent>
      </w:r>
    </w:p>
    <w:p>
      <w:pPr>
        <w:pStyle w:val="TextBody"/>
        <w:bidi w:val="0"/>
        <w:spacing w:before="0" w:after="0"/>
        <w:jc w:val="both"/>
        <w:rPr/>
      </w:pPr>
      <w:r>
        <w:rPr>
          <w:color w:val="000000"/>
        </w:rPr>
        <w:t> </w:t>
      </w:r>
      <w:r>
        <w:rPr/>
        <w:t xml:space="preserve"> </w:t>
      </w:r>
    </w:p>
    <w:p>
      <w:pPr>
        <w:pStyle w:val="TextBody"/>
        <w:bidi w:val="0"/>
        <w:spacing w:before="0" w:after="0"/>
        <w:ind w:left="0" w:right="0" w:hanging="360"/>
        <w:jc w:val="left"/>
        <w:rPr>
          <w:rFonts w:ascii="Times New Roman" w:hAnsi="Times New Roman"/>
          <w:sz w:val="20"/>
        </w:rPr>
      </w:pPr>
      <w:r>
        <w:rPr>
          <w:rFonts w:ascii="Times New Roman" w:hAnsi="Times New Roman"/>
          <w:sz w:val="20"/>
        </w:rPr>
        <w:t xml:space="preserve">our estimates regarding revenues, certain non-GAAP financial measures (i.e., financial measures that are not prepared in accordance with U.S. generally accepted accounting principles (“U.S. GAAP”)), earnings, expenses, capital requirements, capital expenditures, ASCENIV’s growth, demand and utilization, ability to maintain profitability and positive cash flows and the potential need for and availability of additional financing; </w:t>
      </w:r>
      <w:r>
        <mc:AlternateContent>
          <mc:Choice Requires="wps">
            <w:drawing>
              <wp:anchor behindDoc="0" distT="0" distB="0" distL="0" distR="0" simplePos="0" locked="0" layoutInCell="1" allowOverlap="1" relativeHeight="26">
                <wp:simplePos x="0" y="0"/>
                <wp:positionH relativeFrom="column">
                  <wp:align>left</wp:align>
                </wp:positionH>
                <wp:positionV relativeFrom="line">
                  <wp:posOffset>635</wp:posOffset>
                </wp:positionV>
                <wp:extent cx="228600" cy="175260"/>
                <wp:effectExtent l="0" t="0" r="0" b="0"/>
                <wp:wrapSquare wrapText="right"/>
                <wp:docPr id="25" name="Frame25"/>
                <a:graphic xmlns:a="http://schemas.openxmlformats.org/drawingml/2006/main">
                  <a:graphicData uri="http://schemas.microsoft.com/office/word/2010/wordprocessingShape">
                    <wps:wsp>
                      <wps:cNvSpPr txBox="1"/>
                      <wps:spPr>
                        <a:xfrm>
                          <a:off x="0" y="0"/>
                          <a:ext cx="228600" cy="175260"/>
                        </a:xfrm>
                        <a:prstGeom prst="rect"/>
                        <a:solidFill>
                          <a:srgbClr val="FFFFFF"/>
                        </a:solidFill>
                      </wps:spPr>
                      <wps:txbx>
                        <w:txbxContent>
                          <w:p>
                            <w:pPr>
                              <w:pStyle w:val="TextBody"/>
                              <w:bidi w:val="0"/>
                              <w:spacing w:before="0" w:after="283"/>
                              <w:jc w:val="left"/>
                              <w:rPr/>
                            </w:pPr>
                            <w:r>
                              <w:rPr/>
                              <w:t xml:space="preserve">● </w:t>
                            </w:r>
                          </w:p>
                        </w:txbxContent>
                      </wps:txbx>
                      <wps:bodyPr anchor="t" lIns="0" tIns="0" rIns="0" bIns="0">
                        <a:noAutofit/>
                      </wps:bodyPr>
                    </wps:wsp>
                  </a:graphicData>
                </a:graphic>
              </wp:anchor>
            </w:drawing>
          </mc:Choice>
          <mc:Fallback>
            <w:pict>
              <v:rect style="position:absolute;rotation:-0;width: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 xml:space="preserve">● </w:t>
                      </w:r>
                    </w:p>
                  </w:txbxContent>
                </v:textbox>
                <w10:wrap type="square" side="right"/>
              </v:rect>
            </w:pict>
          </mc:Fallback>
        </mc:AlternateContent>
      </w:r>
    </w:p>
    <w:p>
      <w:pPr>
        <w:pStyle w:val="TextBody"/>
        <w:bidi w:val="0"/>
        <w:spacing w:before="0" w:after="0"/>
        <w:jc w:val="both"/>
        <w:rPr/>
      </w:pPr>
      <w:r>
        <w:rPr/>
        <w:t xml:space="preserve">  </w:t>
      </w:r>
    </w:p>
    <w:p>
      <w:pPr>
        <w:pStyle w:val="TextBody"/>
        <w:bidi w:val="0"/>
        <w:spacing w:before="0" w:after="0"/>
        <w:ind w:left="0" w:right="0" w:hanging="360"/>
        <w:jc w:val="both"/>
        <w:rPr>
          <w:rFonts w:ascii="Times New Roman" w:hAnsi="Times New Roman"/>
          <w:sz w:val="20"/>
        </w:rPr>
      </w:pPr>
      <w:r>
        <w:rPr>
          <w:rFonts w:ascii="Times New Roman" w:hAnsi="Times New Roman"/>
          <w:sz w:val="20"/>
        </w:rPr>
        <w:t xml:space="preserve">ASCENIV’s real-world outcomes data and payer coverage; </w:t>
      </w:r>
      <w:r>
        <mc:AlternateContent>
          <mc:Choice Requires="wps">
            <w:drawing>
              <wp:anchor behindDoc="0" distT="0" distB="0" distL="0" distR="0" simplePos="0" locked="0" layoutInCell="1" allowOverlap="1" relativeHeight="27">
                <wp:simplePos x="0" y="0"/>
                <wp:positionH relativeFrom="column">
                  <wp:align>left</wp:align>
                </wp:positionH>
                <wp:positionV relativeFrom="line">
                  <wp:posOffset>635</wp:posOffset>
                </wp:positionV>
                <wp:extent cx="228600" cy="175260"/>
                <wp:effectExtent l="0" t="0" r="0" b="0"/>
                <wp:wrapSquare wrapText="right"/>
                <wp:docPr id="26" name="Frame26"/>
                <a:graphic xmlns:a="http://schemas.openxmlformats.org/drawingml/2006/main">
                  <a:graphicData uri="http://schemas.microsoft.com/office/word/2010/wordprocessingShape">
                    <wps:wsp>
                      <wps:cNvSpPr txBox="1"/>
                      <wps:spPr>
                        <a:xfrm>
                          <a:off x="0" y="0"/>
                          <a:ext cx="228600" cy="175260"/>
                        </a:xfrm>
                        <a:prstGeom prst="rect"/>
                        <a:solidFill>
                          <a:srgbClr val="FFFFFF"/>
                        </a:solidFill>
                      </wps:spPr>
                      <wps:txbx>
                        <w:txbxContent>
                          <w:p>
                            <w:pPr>
                              <w:pStyle w:val="TextBody"/>
                              <w:bidi w:val="0"/>
                              <w:spacing w:before="0" w:after="283"/>
                              <w:jc w:val="left"/>
                              <w:rPr/>
                            </w:pPr>
                            <w:r>
                              <w:rPr>
                                <w:color w:val="000000"/>
                              </w:rPr>
                              <w:t>●</w:t>
                            </w:r>
                            <w:r>
                              <w:rPr/>
                              <w:t xml:space="preserve"> </w:t>
                            </w:r>
                          </w:p>
                        </w:txbxContent>
                      </wps:txbx>
                      <wps:bodyPr anchor="t" lIns="0" tIns="0" rIns="0" bIns="0">
                        <a:noAutofit/>
                      </wps:bodyPr>
                    </wps:wsp>
                  </a:graphicData>
                </a:graphic>
              </wp:anchor>
            </w:drawing>
          </mc:Choice>
          <mc:Fallback>
            <w:pict>
              <v:rect style="position:absolute;rotation:-0;width: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color w:val="000000"/>
                        </w:rPr>
                        <w:t>●</w:t>
                      </w:r>
                      <w:r>
                        <w:rPr/>
                        <w:t xml:space="preserve"> </w:t>
                      </w:r>
                    </w:p>
                  </w:txbxContent>
                </v:textbox>
                <w10:wrap type="square" side="right"/>
              </v:rect>
            </w:pict>
          </mc:Fallback>
        </mc:AlternateContent>
      </w:r>
    </w:p>
    <w:p>
      <w:pPr>
        <w:pStyle w:val="TextBody"/>
        <w:bidi w:val="0"/>
        <w:spacing w:before="0" w:after="0"/>
        <w:ind w:left="720" w:right="0" w:hanging="0"/>
        <w:jc w:val="both"/>
        <w:rPr/>
      </w:pPr>
      <w:r>
        <w:rPr/>
        <w:t xml:space="preserve">  </w:t>
      </w:r>
    </w:p>
    <w:p>
      <w:pPr>
        <w:pStyle w:val="TextBody"/>
        <w:bidi w:val="0"/>
        <w:spacing w:before="0" w:after="0"/>
        <w:ind w:left="0" w:right="0" w:hanging="360"/>
        <w:jc w:val="left"/>
        <w:rPr>
          <w:rFonts w:ascii="Times New Roman" w:hAnsi="Times New Roman"/>
          <w:sz w:val="20"/>
        </w:rPr>
      </w:pPr>
      <w:r>
        <w:rPr>
          <w:rFonts w:ascii="Times New Roman" w:hAnsi="Times New Roman"/>
          <w:sz w:val="20"/>
        </w:rPr>
        <w:t xml:space="preserve">our ability to timely realize the revenue and earnings benefits associated with our FDA approved yield enhancement production process; </w:t>
      </w:r>
      <w:r>
        <mc:AlternateContent>
          <mc:Choice Requires="wps">
            <w:drawing>
              <wp:anchor behindDoc="0" distT="0" distB="0" distL="0" distR="0" simplePos="0" locked="0" layoutInCell="1" allowOverlap="1" relativeHeight="28">
                <wp:simplePos x="0" y="0"/>
                <wp:positionH relativeFrom="column">
                  <wp:align>left</wp:align>
                </wp:positionH>
                <wp:positionV relativeFrom="line">
                  <wp:posOffset>635</wp:posOffset>
                </wp:positionV>
                <wp:extent cx="228600" cy="175260"/>
                <wp:effectExtent l="0" t="0" r="0" b="0"/>
                <wp:wrapSquare wrapText="right"/>
                <wp:docPr id="27" name="Frame27"/>
                <a:graphic xmlns:a="http://schemas.openxmlformats.org/drawingml/2006/main">
                  <a:graphicData uri="http://schemas.microsoft.com/office/word/2010/wordprocessingShape">
                    <wps:wsp>
                      <wps:cNvSpPr txBox="1"/>
                      <wps:spPr>
                        <a:xfrm>
                          <a:off x="0" y="0"/>
                          <a:ext cx="228600" cy="175260"/>
                        </a:xfrm>
                        <a:prstGeom prst="rect"/>
                        <a:solidFill>
                          <a:srgbClr val="FFFFFF"/>
                        </a:solidFill>
                      </wps:spPr>
                      <wps:txbx>
                        <w:txbxContent>
                          <w:p>
                            <w:pPr>
                              <w:pStyle w:val="TextBody"/>
                              <w:bidi w:val="0"/>
                              <w:spacing w:before="0" w:after="283"/>
                              <w:jc w:val="left"/>
                              <w:rPr/>
                            </w:pPr>
                            <w:r>
                              <w:rPr/>
                              <w:t xml:space="preserve">● </w:t>
                            </w:r>
                          </w:p>
                        </w:txbxContent>
                      </wps:txbx>
                      <wps:bodyPr anchor="t" lIns="0" tIns="0" rIns="0" bIns="0">
                        <a:noAutofit/>
                      </wps:bodyPr>
                    </wps:wsp>
                  </a:graphicData>
                </a:graphic>
              </wp:anchor>
            </w:drawing>
          </mc:Choice>
          <mc:Fallback>
            <w:pict>
              <v:rect style="position:absolute;rotation:-0;width: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 xml:space="preserve">● </w:t>
                      </w:r>
                    </w:p>
                  </w:txbxContent>
                </v:textbox>
                <w10:wrap type="square" side="right"/>
              </v:rect>
            </w:pict>
          </mc:Fallback>
        </mc:AlternateContent>
      </w:r>
    </w:p>
    <w:p>
      <w:pPr>
        <w:pStyle w:val="TextBody"/>
        <w:bidi w:val="0"/>
        <w:spacing w:before="0" w:after="0"/>
        <w:ind w:left="720" w:right="0" w:hanging="0"/>
        <w:jc w:val="left"/>
        <w:rPr/>
      </w:pPr>
      <w:r>
        <w:rPr/>
        <w:t xml:space="preserve">  </w:t>
      </w:r>
    </w:p>
    <w:p>
      <w:pPr>
        <w:pStyle w:val="TextBody"/>
        <w:bidi w:val="0"/>
        <w:spacing w:before="0" w:after="0"/>
        <w:ind w:left="0" w:right="0" w:hanging="360"/>
        <w:jc w:val="left"/>
        <w:rPr>
          <w:rFonts w:ascii="Times New Roman" w:hAnsi="Times New Roman"/>
          <w:sz w:val="20"/>
        </w:rPr>
      </w:pPr>
      <w:r>
        <w:rPr>
          <w:rFonts w:ascii="Times New Roman" w:hAnsi="Times New Roman"/>
          <w:sz w:val="20"/>
        </w:rPr>
        <w:t xml:space="preserve">our ability to realize our deferred tax assets or the need for a valuation allowance, or the effects of changes in tax laws on our deferred tax assets; </w:t>
      </w:r>
      <w:r>
        <mc:AlternateContent>
          <mc:Choice Requires="wps">
            <w:drawing>
              <wp:anchor behindDoc="0" distT="0" distB="0" distL="0" distR="0" simplePos="0" locked="0" layoutInCell="1" allowOverlap="1" relativeHeight="29">
                <wp:simplePos x="0" y="0"/>
                <wp:positionH relativeFrom="column">
                  <wp:align>left</wp:align>
                </wp:positionH>
                <wp:positionV relativeFrom="line">
                  <wp:posOffset>635</wp:posOffset>
                </wp:positionV>
                <wp:extent cx="228600" cy="175260"/>
                <wp:effectExtent l="0" t="0" r="0" b="0"/>
                <wp:wrapSquare wrapText="right"/>
                <wp:docPr id="28" name="Frame28"/>
                <a:graphic xmlns:a="http://schemas.openxmlformats.org/drawingml/2006/main">
                  <a:graphicData uri="http://schemas.microsoft.com/office/word/2010/wordprocessingShape">
                    <wps:wsp>
                      <wps:cNvSpPr txBox="1"/>
                      <wps:spPr>
                        <a:xfrm>
                          <a:off x="0" y="0"/>
                          <a:ext cx="228600" cy="175260"/>
                        </a:xfrm>
                        <a:prstGeom prst="rect"/>
                        <a:solidFill>
                          <a:srgbClr val="FFFFFF"/>
                        </a:solidFill>
                      </wps:spPr>
                      <wps:txbx>
                        <w:txbxContent>
                          <w:p>
                            <w:pPr>
                              <w:pStyle w:val="TextBody"/>
                              <w:bidi w:val="0"/>
                              <w:spacing w:before="0" w:after="283"/>
                              <w:jc w:val="left"/>
                              <w:rPr/>
                            </w:pPr>
                            <w:r>
                              <w:rPr/>
                              <w:t xml:space="preserve">● </w:t>
                            </w:r>
                          </w:p>
                        </w:txbxContent>
                      </wps:txbx>
                      <wps:bodyPr anchor="t" lIns="0" tIns="0" rIns="0" bIns="0">
                        <a:noAutofit/>
                      </wps:bodyPr>
                    </wps:wsp>
                  </a:graphicData>
                </a:graphic>
              </wp:anchor>
            </w:drawing>
          </mc:Choice>
          <mc:Fallback>
            <w:pict>
              <v:rect style="position:absolute;rotation:-0;width: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 xml:space="preserve">● </w:t>
                      </w:r>
                    </w:p>
                  </w:txbxContent>
                </v:textbox>
                <w10:wrap type="square" side="right"/>
              </v:rect>
            </w:pict>
          </mc:Fallback>
        </mc:AlternateContent>
      </w:r>
    </w:p>
    <w:p>
      <w:pPr>
        <w:pStyle w:val="TextBody"/>
        <w:bidi w:val="0"/>
        <w:spacing w:before="0" w:after="0"/>
        <w:ind w:left="720" w:right="0" w:hanging="0"/>
        <w:jc w:val="left"/>
        <w:rPr/>
      </w:pPr>
      <w:r>
        <w:rPr/>
        <w:t xml:space="preserve">  </w:t>
      </w:r>
    </w:p>
    <w:p>
      <w:pPr>
        <w:pStyle w:val="TextBody"/>
        <w:bidi w:val="0"/>
        <w:spacing w:before="0" w:after="0"/>
        <w:ind w:left="0" w:right="0" w:hanging="360"/>
        <w:jc w:val="left"/>
        <w:rPr>
          <w:rFonts w:ascii="Times New Roman" w:hAnsi="Times New Roman"/>
          <w:sz w:val="20"/>
        </w:rPr>
      </w:pPr>
      <w:r>
        <w:rPr>
          <w:rFonts w:ascii="Times New Roman" w:hAnsi="Times New Roman"/>
          <w:sz w:val="20"/>
        </w:rPr>
        <w:t xml:space="preserve">our estimates of future taxable income, which could have a material impact on our financial condition or financial results; </w:t>
      </w:r>
      <w:r>
        <mc:AlternateContent>
          <mc:Choice Requires="wps">
            <w:drawing>
              <wp:anchor behindDoc="0" distT="0" distB="0" distL="0" distR="0" simplePos="0" locked="0" layoutInCell="1" allowOverlap="1" relativeHeight="30">
                <wp:simplePos x="0" y="0"/>
                <wp:positionH relativeFrom="column">
                  <wp:align>left</wp:align>
                </wp:positionH>
                <wp:positionV relativeFrom="line">
                  <wp:posOffset>635</wp:posOffset>
                </wp:positionV>
                <wp:extent cx="228600" cy="175260"/>
                <wp:effectExtent l="0" t="0" r="0" b="0"/>
                <wp:wrapSquare wrapText="right"/>
                <wp:docPr id="29" name="Frame29"/>
                <a:graphic xmlns:a="http://schemas.openxmlformats.org/drawingml/2006/main">
                  <a:graphicData uri="http://schemas.microsoft.com/office/word/2010/wordprocessingShape">
                    <wps:wsp>
                      <wps:cNvSpPr txBox="1"/>
                      <wps:spPr>
                        <a:xfrm>
                          <a:off x="0" y="0"/>
                          <a:ext cx="228600" cy="175260"/>
                        </a:xfrm>
                        <a:prstGeom prst="rect"/>
                        <a:solidFill>
                          <a:srgbClr val="FFFFFF"/>
                        </a:solidFill>
                      </wps:spPr>
                      <wps:txbx>
                        <w:txbxContent>
                          <w:p>
                            <w:pPr>
                              <w:pStyle w:val="TextBody"/>
                              <w:bidi w:val="0"/>
                              <w:spacing w:before="0" w:after="283"/>
                              <w:jc w:val="left"/>
                              <w:rPr/>
                            </w:pPr>
                            <w:r>
                              <w:rPr/>
                              <w:t xml:space="preserve">● </w:t>
                            </w:r>
                          </w:p>
                        </w:txbxContent>
                      </wps:txbx>
                      <wps:bodyPr anchor="t" lIns="0" tIns="0" rIns="0" bIns="0">
                        <a:noAutofit/>
                      </wps:bodyPr>
                    </wps:wsp>
                  </a:graphicData>
                </a:graphic>
              </wp:anchor>
            </w:drawing>
          </mc:Choice>
          <mc:Fallback>
            <w:pict>
              <v:rect style="position:absolute;rotation:-0;width: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 xml:space="preserve">● </w:t>
                      </w:r>
                    </w:p>
                  </w:txbxContent>
                </v:textbox>
                <w10:wrap type="square" side="right"/>
              </v:rect>
            </w:pict>
          </mc:Fallback>
        </mc:AlternateContent>
      </w:r>
    </w:p>
    <w:p>
      <w:pPr>
        <w:pStyle w:val="TextBody"/>
        <w:bidi w:val="0"/>
        <w:spacing w:before="0" w:after="0"/>
        <w:ind w:left="720" w:right="0" w:hanging="0"/>
        <w:jc w:val="left"/>
        <w:rPr/>
      </w:pPr>
      <w:r>
        <w:rPr/>
        <w:t xml:space="preserve">  </w:t>
      </w:r>
    </w:p>
    <w:p>
      <w:pPr>
        <w:pStyle w:val="TextBody"/>
        <w:bidi w:val="0"/>
        <w:spacing w:before="0" w:after="0"/>
        <w:ind w:left="0" w:right="0" w:hanging="360"/>
        <w:jc w:val="left"/>
        <w:rPr>
          <w:rFonts w:ascii="Times New Roman" w:hAnsi="Times New Roman"/>
          <w:sz w:val="20"/>
        </w:rPr>
      </w:pPr>
      <w:r>
        <w:rPr>
          <w:rFonts w:ascii="Times New Roman" w:hAnsi="Times New Roman"/>
          <w:sz w:val="20"/>
        </w:rPr>
        <w:t xml:space="preserve">our estimates of future effective tax rates and corresponding tax obligations and expenses, which could have a material impact on our financial condition or financial results; </w:t>
      </w:r>
      <w:r>
        <mc:AlternateContent>
          <mc:Choice Requires="wps">
            <w:drawing>
              <wp:anchor behindDoc="0" distT="0" distB="0" distL="0" distR="0" simplePos="0" locked="0" layoutInCell="1" allowOverlap="1" relativeHeight="31">
                <wp:simplePos x="0" y="0"/>
                <wp:positionH relativeFrom="column">
                  <wp:align>left</wp:align>
                </wp:positionH>
                <wp:positionV relativeFrom="line">
                  <wp:posOffset>635</wp:posOffset>
                </wp:positionV>
                <wp:extent cx="228600" cy="175260"/>
                <wp:effectExtent l="0" t="0" r="0" b="0"/>
                <wp:wrapSquare wrapText="right"/>
                <wp:docPr id="30" name="Frame30"/>
                <a:graphic xmlns:a="http://schemas.openxmlformats.org/drawingml/2006/main">
                  <a:graphicData uri="http://schemas.microsoft.com/office/word/2010/wordprocessingShape">
                    <wps:wsp>
                      <wps:cNvSpPr txBox="1"/>
                      <wps:spPr>
                        <a:xfrm>
                          <a:off x="0" y="0"/>
                          <a:ext cx="228600" cy="175260"/>
                        </a:xfrm>
                        <a:prstGeom prst="rect"/>
                        <a:solidFill>
                          <a:srgbClr val="FFFFFF"/>
                        </a:solidFill>
                      </wps:spPr>
                      <wps:txbx>
                        <w:txbxContent>
                          <w:p>
                            <w:pPr>
                              <w:pStyle w:val="TextBody"/>
                              <w:bidi w:val="0"/>
                              <w:spacing w:before="0" w:after="283"/>
                              <w:jc w:val="left"/>
                              <w:rPr/>
                            </w:pPr>
                            <w:r>
                              <w:rPr/>
                              <w:t xml:space="preserve">● </w:t>
                            </w:r>
                          </w:p>
                        </w:txbxContent>
                      </wps:txbx>
                      <wps:bodyPr anchor="t" lIns="0" tIns="0" rIns="0" bIns="0">
                        <a:noAutofit/>
                      </wps:bodyPr>
                    </wps:wsp>
                  </a:graphicData>
                </a:graphic>
              </wp:anchor>
            </w:drawing>
          </mc:Choice>
          <mc:Fallback>
            <w:pict>
              <v:rect style="position:absolute;rotation:-0;width: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 xml:space="preserve">● </w:t>
                      </w:r>
                    </w:p>
                  </w:txbxContent>
                </v:textbox>
                <w10:wrap type="square" side="right"/>
              </v:rect>
            </w:pict>
          </mc:Fallback>
        </mc:AlternateContent>
      </w:r>
    </w:p>
    <w:p>
      <w:pPr>
        <w:pStyle w:val="TextBody"/>
        <w:bidi w:val="0"/>
        <w:spacing w:before="0" w:after="0"/>
        <w:ind w:left="720" w:right="0" w:hanging="0"/>
        <w:jc w:val="left"/>
        <w:rPr/>
      </w:pPr>
      <w:r>
        <w:rPr/>
        <w:t xml:space="preserve">  </w:t>
      </w:r>
    </w:p>
    <w:p>
      <w:pPr>
        <w:pStyle w:val="TextBody"/>
        <w:bidi w:val="0"/>
        <w:spacing w:before="0" w:after="0"/>
        <w:ind w:left="0" w:right="0" w:hanging="360"/>
        <w:jc w:val="left"/>
        <w:rPr>
          <w:rFonts w:ascii="Times New Roman" w:hAnsi="Times New Roman"/>
          <w:sz w:val="20"/>
        </w:rPr>
      </w:pPr>
      <w:r>
        <w:rPr>
          <w:rFonts w:ascii="Times New Roman" w:hAnsi="Times New Roman"/>
          <w:sz w:val="20"/>
        </w:rPr>
        <w:t xml:space="preserve">possible or likely reimbursement levels for our currently marketed products; </w:t>
      </w:r>
      <w:r>
        <mc:AlternateContent>
          <mc:Choice Requires="wps">
            <w:drawing>
              <wp:anchor behindDoc="0" distT="0" distB="0" distL="0" distR="0" simplePos="0" locked="0" layoutInCell="1" allowOverlap="1" relativeHeight="32">
                <wp:simplePos x="0" y="0"/>
                <wp:positionH relativeFrom="column">
                  <wp:align>left</wp:align>
                </wp:positionH>
                <wp:positionV relativeFrom="line">
                  <wp:posOffset>635</wp:posOffset>
                </wp:positionV>
                <wp:extent cx="228600" cy="175260"/>
                <wp:effectExtent l="0" t="0" r="0" b="0"/>
                <wp:wrapSquare wrapText="right"/>
                <wp:docPr id="31" name="Frame31"/>
                <a:graphic xmlns:a="http://schemas.openxmlformats.org/drawingml/2006/main">
                  <a:graphicData uri="http://schemas.microsoft.com/office/word/2010/wordprocessingShape">
                    <wps:wsp>
                      <wps:cNvSpPr txBox="1"/>
                      <wps:spPr>
                        <a:xfrm>
                          <a:off x="0" y="0"/>
                          <a:ext cx="228600" cy="175260"/>
                        </a:xfrm>
                        <a:prstGeom prst="rect"/>
                        <a:solidFill>
                          <a:srgbClr val="FFFFFF"/>
                        </a:solidFill>
                      </wps:spPr>
                      <wps:txbx>
                        <w:txbxContent>
                          <w:p>
                            <w:pPr>
                              <w:pStyle w:val="TextBody"/>
                              <w:bidi w:val="0"/>
                              <w:spacing w:before="0" w:after="283"/>
                              <w:jc w:val="left"/>
                              <w:rPr/>
                            </w:pPr>
                            <w:r>
                              <w:rPr/>
                              <w:t xml:space="preserve">● </w:t>
                            </w:r>
                          </w:p>
                        </w:txbxContent>
                      </wps:txbx>
                      <wps:bodyPr anchor="t" lIns="0" tIns="0" rIns="0" bIns="0">
                        <a:noAutofit/>
                      </wps:bodyPr>
                    </wps:wsp>
                  </a:graphicData>
                </a:graphic>
              </wp:anchor>
            </w:drawing>
          </mc:Choice>
          <mc:Fallback>
            <w:pict>
              <v:rect style="position:absolute;rotation:-0;width: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 xml:space="preserve">● </w:t>
                      </w:r>
                    </w:p>
                  </w:txbxContent>
                </v:textbox>
                <w10:wrap type="square" side="right"/>
              </v:rect>
            </w:pict>
          </mc:Fallback>
        </mc:AlternateContent>
      </w:r>
    </w:p>
    <w:p>
      <w:pPr>
        <w:pStyle w:val="TextBody"/>
        <w:bidi w:val="0"/>
        <w:spacing w:before="0" w:after="0"/>
        <w:ind w:left="720" w:right="0" w:hanging="0"/>
        <w:jc w:val="left"/>
        <w:rPr/>
      </w:pPr>
      <w:r>
        <w:rPr/>
        <w:t xml:space="preserve">  </w:t>
      </w:r>
    </w:p>
    <w:p>
      <w:pPr>
        <w:pStyle w:val="TextBody"/>
        <w:bidi w:val="0"/>
        <w:spacing w:before="0" w:after="0"/>
        <w:ind w:left="0" w:right="0" w:hanging="360"/>
        <w:jc w:val="left"/>
        <w:rPr>
          <w:rFonts w:ascii="Times New Roman" w:hAnsi="Times New Roman"/>
          <w:sz w:val="20"/>
        </w:rPr>
      </w:pPr>
      <w:r>
        <w:rPr>
          <w:rFonts w:ascii="Times New Roman" w:hAnsi="Times New Roman"/>
          <w:sz w:val="20"/>
        </w:rPr>
        <w:t xml:space="preserve">estimates regarding market size, projected growth and sales of our existing products as well as our expectations of market acceptance of ASCENIV and BIVIGAM; </w:t>
      </w:r>
      <w:r>
        <mc:AlternateContent>
          <mc:Choice Requires="wps">
            <w:drawing>
              <wp:anchor behindDoc="0" distT="0" distB="0" distL="0" distR="0" simplePos="0" locked="0" layoutInCell="1" allowOverlap="1" relativeHeight="33">
                <wp:simplePos x="0" y="0"/>
                <wp:positionH relativeFrom="column">
                  <wp:align>left</wp:align>
                </wp:positionH>
                <wp:positionV relativeFrom="line">
                  <wp:posOffset>635</wp:posOffset>
                </wp:positionV>
                <wp:extent cx="228600" cy="175260"/>
                <wp:effectExtent l="0" t="0" r="0" b="0"/>
                <wp:wrapSquare wrapText="right"/>
                <wp:docPr id="32" name="Frame32"/>
                <a:graphic xmlns:a="http://schemas.openxmlformats.org/drawingml/2006/main">
                  <a:graphicData uri="http://schemas.microsoft.com/office/word/2010/wordprocessingShape">
                    <wps:wsp>
                      <wps:cNvSpPr txBox="1"/>
                      <wps:spPr>
                        <a:xfrm>
                          <a:off x="0" y="0"/>
                          <a:ext cx="228600" cy="175260"/>
                        </a:xfrm>
                        <a:prstGeom prst="rect"/>
                        <a:solidFill>
                          <a:srgbClr val="FFFFFF"/>
                        </a:solidFill>
                      </wps:spPr>
                      <wps:txbx>
                        <w:txbxContent>
                          <w:p>
                            <w:pPr>
                              <w:pStyle w:val="TextBody"/>
                              <w:bidi w:val="0"/>
                              <w:spacing w:before="0" w:after="283"/>
                              <w:jc w:val="left"/>
                              <w:rPr/>
                            </w:pPr>
                            <w:r>
                              <w:rPr/>
                              <w:t xml:space="preserve">● </w:t>
                            </w:r>
                          </w:p>
                        </w:txbxContent>
                      </wps:txbx>
                      <wps:bodyPr anchor="t" lIns="0" tIns="0" rIns="0" bIns="0">
                        <a:noAutofit/>
                      </wps:bodyPr>
                    </wps:wsp>
                  </a:graphicData>
                </a:graphic>
              </wp:anchor>
            </w:drawing>
          </mc:Choice>
          <mc:Fallback>
            <w:pict>
              <v:rect style="position:absolute;rotation:-0;width: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 xml:space="preserve">● </w:t>
                      </w:r>
                    </w:p>
                  </w:txbxContent>
                </v:textbox>
                <w10:wrap type="square" side="right"/>
              </v:rect>
            </w:pict>
          </mc:Fallback>
        </mc:AlternateContent>
      </w:r>
    </w:p>
    <w:p>
      <w:pPr>
        <w:pStyle w:val="TextBody"/>
        <w:bidi w:val="0"/>
        <w:spacing w:before="0" w:after="0"/>
        <w:ind w:left="720" w:right="0" w:hanging="0"/>
        <w:jc w:val="left"/>
        <w:rPr/>
      </w:pPr>
      <w:r>
        <w:rPr/>
        <w:t xml:space="preserve">  </w:t>
      </w:r>
    </w:p>
    <w:p>
      <w:pPr>
        <w:pStyle w:val="TextBody"/>
        <w:bidi w:val="0"/>
        <w:spacing w:before="0" w:after="0"/>
        <w:ind w:left="0" w:right="0" w:hanging="360"/>
        <w:jc w:val="left"/>
        <w:rPr>
          <w:rFonts w:ascii="Times New Roman" w:hAnsi="Times New Roman"/>
          <w:sz w:val="20"/>
        </w:rPr>
      </w:pPr>
      <w:r>
        <w:rPr>
          <w:rFonts w:ascii="Times New Roman" w:hAnsi="Times New Roman"/>
          <w:sz w:val="20"/>
        </w:rPr>
        <w:t xml:space="preserve">potential operational and financial impacts to our business should the recent trend of competitive pricing tactics in the IVIG and other related industries continue; </w:t>
      </w:r>
      <w:r>
        <mc:AlternateContent>
          <mc:Choice Requires="wps">
            <w:drawing>
              <wp:anchor behindDoc="0" distT="0" distB="0" distL="0" distR="0" simplePos="0" locked="0" layoutInCell="1" allowOverlap="1" relativeHeight="34">
                <wp:simplePos x="0" y="0"/>
                <wp:positionH relativeFrom="column">
                  <wp:align>left</wp:align>
                </wp:positionH>
                <wp:positionV relativeFrom="line">
                  <wp:posOffset>635</wp:posOffset>
                </wp:positionV>
                <wp:extent cx="228600" cy="175260"/>
                <wp:effectExtent l="0" t="0" r="0" b="0"/>
                <wp:wrapSquare wrapText="right"/>
                <wp:docPr id="33" name="Frame33"/>
                <a:graphic xmlns:a="http://schemas.openxmlformats.org/drawingml/2006/main">
                  <a:graphicData uri="http://schemas.microsoft.com/office/word/2010/wordprocessingShape">
                    <wps:wsp>
                      <wps:cNvSpPr txBox="1"/>
                      <wps:spPr>
                        <a:xfrm>
                          <a:off x="0" y="0"/>
                          <a:ext cx="228600" cy="175260"/>
                        </a:xfrm>
                        <a:prstGeom prst="rect"/>
                        <a:solidFill>
                          <a:srgbClr val="FFFFFF"/>
                        </a:solidFill>
                      </wps:spPr>
                      <wps:txbx>
                        <w:txbxContent>
                          <w:p>
                            <w:pPr>
                              <w:pStyle w:val="TextBody"/>
                              <w:bidi w:val="0"/>
                              <w:spacing w:before="0" w:after="283"/>
                              <w:jc w:val="left"/>
                              <w:rPr/>
                            </w:pPr>
                            <w:r>
                              <w:rPr/>
                              <w:t xml:space="preserve">● </w:t>
                            </w:r>
                          </w:p>
                        </w:txbxContent>
                      </wps:txbx>
                      <wps:bodyPr anchor="t" lIns="0" tIns="0" rIns="0" bIns="0">
                        <a:noAutofit/>
                      </wps:bodyPr>
                    </wps:wsp>
                  </a:graphicData>
                </a:graphic>
              </wp:anchor>
            </w:drawing>
          </mc:Choice>
          <mc:Fallback>
            <w:pict>
              <v:rect style="position:absolute;rotation:-0;width: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 xml:space="preserve">● </w:t>
                      </w:r>
                    </w:p>
                  </w:txbxContent>
                </v:textbox>
                <w10:wrap type="square" side="right"/>
              </v:rect>
            </w:pict>
          </mc:Fallback>
        </mc:AlternateContent>
      </w:r>
    </w:p>
    <w:p>
      <w:pPr>
        <w:pStyle w:val="TextBody"/>
        <w:bidi w:val="0"/>
        <w:spacing w:before="0" w:after="0"/>
        <w:ind w:left="720" w:right="0" w:hanging="0"/>
        <w:jc w:val="left"/>
        <w:rPr/>
      </w:pPr>
      <w:r>
        <w:rPr/>
        <w:t xml:space="preserve">  </w:t>
      </w:r>
    </w:p>
    <w:p>
      <w:pPr>
        <w:pStyle w:val="TextBody"/>
        <w:bidi w:val="0"/>
        <w:spacing w:before="0" w:after="0"/>
        <w:ind w:left="0" w:right="0" w:hanging="360"/>
        <w:jc w:val="left"/>
        <w:rPr>
          <w:rFonts w:ascii="Times New Roman" w:hAnsi="Times New Roman"/>
          <w:sz w:val="20"/>
        </w:rPr>
      </w:pPr>
      <w:r>
        <w:rPr>
          <w:rFonts w:ascii="Times New Roman" w:hAnsi="Times New Roman"/>
          <w:sz w:val="20"/>
        </w:rPr>
        <w:t xml:space="preserve">intended uses and benefits of the recently acquired real estate in Boca Raton, Florida; </w:t>
      </w:r>
      <w:r>
        <mc:AlternateContent>
          <mc:Choice Requires="wps">
            <w:drawing>
              <wp:anchor behindDoc="0" distT="0" distB="0" distL="0" distR="0" simplePos="0" locked="0" layoutInCell="1" allowOverlap="1" relativeHeight="35">
                <wp:simplePos x="0" y="0"/>
                <wp:positionH relativeFrom="column">
                  <wp:align>left</wp:align>
                </wp:positionH>
                <wp:positionV relativeFrom="line">
                  <wp:posOffset>635</wp:posOffset>
                </wp:positionV>
                <wp:extent cx="228600" cy="175260"/>
                <wp:effectExtent l="0" t="0" r="0" b="0"/>
                <wp:wrapSquare wrapText="right"/>
                <wp:docPr id="34" name="Frame34"/>
                <a:graphic xmlns:a="http://schemas.openxmlformats.org/drawingml/2006/main">
                  <a:graphicData uri="http://schemas.microsoft.com/office/word/2010/wordprocessingShape">
                    <wps:wsp>
                      <wps:cNvSpPr txBox="1"/>
                      <wps:spPr>
                        <a:xfrm>
                          <a:off x="0" y="0"/>
                          <a:ext cx="228600" cy="175260"/>
                        </a:xfrm>
                        <a:prstGeom prst="rect"/>
                        <a:solidFill>
                          <a:srgbClr val="FFFFFF"/>
                        </a:solidFill>
                      </wps:spPr>
                      <wps:txbx>
                        <w:txbxContent>
                          <w:p>
                            <w:pPr>
                              <w:pStyle w:val="TextBody"/>
                              <w:bidi w:val="0"/>
                              <w:spacing w:before="0" w:after="283"/>
                              <w:jc w:val="left"/>
                              <w:rPr/>
                            </w:pPr>
                            <w:r>
                              <w:rPr/>
                              <w:t xml:space="preserve">● </w:t>
                            </w:r>
                          </w:p>
                        </w:txbxContent>
                      </wps:txbx>
                      <wps:bodyPr anchor="t" lIns="0" tIns="0" rIns="0" bIns="0">
                        <a:noAutofit/>
                      </wps:bodyPr>
                    </wps:wsp>
                  </a:graphicData>
                </a:graphic>
              </wp:anchor>
            </w:drawing>
          </mc:Choice>
          <mc:Fallback>
            <w:pict>
              <v:rect style="position:absolute;rotation:-0;width: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 xml:space="preserve">● </w:t>
                      </w:r>
                    </w:p>
                  </w:txbxContent>
                </v:textbox>
                <w10:wrap type="square" side="right"/>
              </v:rect>
            </w:pict>
          </mc:Fallback>
        </mc:AlternateContent>
      </w:r>
    </w:p>
    <w:p>
      <w:pPr>
        <w:pStyle w:val="TextBody"/>
        <w:bidi w:val="0"/>
        <w:spacing w:before="0" w:after="0"/>
        <w:jc w:val="left"/>
        <w:rPr/>
      </w:pPr>
      <w:r>
        <w:rPr/>
        <w:t xml:space="preserve">  </w:t>
      </w:r>
    </w:p>
    <w:p>
      <w:pPr>
        <w:pStyle w:val="TextBody"/>
        <w:bidi w:val="0"/>
        <w:spacing w:before="0" w:after="0"/>
        <w:ind w:left="0" w:right="0" w:hanging="360"/>
        <w:jc w:val="left"/>
        <w:rPr>
          <w:rFonts w:ascii="Times New Roman" w:hAnsi="Times New Roman"/>
          <w:sz w:val="20"/>
        </w:rPr>
      </w:pPr>
      <w:r>
        <w:rPr>
          <w:rFonts w:ascii="Times New Roman" w:hAnsi="Times New Roman"/>
          <w:sz w:val="20"/>
        </w:rPr>
        <w:t xml:space="preserve">our senior credit facility; </w:t>
      </w:r>
      <w:r>
        <mc:AlternateContent>
          <mc:Choice Requires="wps">
            <w:drawing>
              <wp:anchor behindDoc="0" distT="0" distB="0" distL="0" distR="0" simplePos="0" locked="0" layoutInCell="1" allowOverlap="1" relativeHeight="36">
                <wp:simplePos x="0" y="0"/>
                <wp:positionH relativeFrom="column">
                  <wp:align>left</wp:align>
                </wp:positionH>
                <wp:positionV relativeFrom="line">
                  <wp:posOffset>635</wp:posOffset>
                </wp:positionV>
                <wp:extent cx="228600" cy="175260"/>
                <wp:effectExtent l="0" t="0" r="0" b="0"/>
                <wp:wrapSquare wrapText="right"/>
                <wp:docPr id="35" name="Frame35"/>
                <a:graphic xmlns:a="http://schemas.openxmlformats.org/drawingml/2006/main">
                  <a:graphicData uri="http://schemas.microsoft.com/office/word/2010/wordprocessingShape">
                    <wps:wsp>
                      <wps:cNvSpPr txBox="1"/>
                      <wps:spPr>
                        <a:xfrm>
                          <a:off x="0" y="0"/>
                          <a:ext cx="228600" cy="175260"/>
                        </a:xfrm>
                        <a:prstGeom prst="rect"/>
                        <a:solidFill>
                          <a:srgbClr val="FFFFFF"/>
                        </a:solidFill>
                      </wps:spPr>
                      <wps:txbx>
                        <w:txbxContent>
                          <w:p>
                            <w:pPr>
                              <w:pStyle w:val="TextBody"/>
                              <w:bidi w:val="0"/>
                              <w:spacing w:before="0" w:after="283"/>
                              <w:jc w:val="left"/>
                              <w:rPr/>
                            </w:pPr>
                            <w:r>
                              <w:rPr/>
                              <w:t xml:space="preserve">● </w:t>
                            </w:r>
                          </w:p>
                        </w:txbxContent>
                      </wps:txbx>
                      <wps:bodyPr anchor="t" lIns="0" tIns="0" rIns="0" bIns="0">
                        <a:noAutofit/>
                      </wps:bodyPr>
                    </wps:wsp>
                  </a:graphicData>
                </a:graphic>
              </wp:anchor>
            </w:drawing>
          </mc:Choice>
          <mc:Fallback>
            <w:pict>
              <v:rect style="position:absolute;rotation:-0;width: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 xml:space="preserve">● </w:t>
                      </w:r>
                    </w:p>
                  </w:txbxContent>
                </v:textbox>
                <w10:wrap type="square" side="right"/>
              </v:rect>
            </w:pict>
          </mc:Fallback>
        </mc:AlternateContent>
      </w:r>
    </w:p>
    <w:p>
      <w:pPr>
        <w:pStyle w:val="TextBody"/>
        <w:bidi w:val="0"/>
        <w:spacing w:before="0" w:after="0"/>
        <w:jc w:val="left"/>
        <w:rPr/>
      </w:pPr>
      <w:r>
        <w:rPr/>
        <w:t> </w:t>
      </w:r>
    </w:p>
    <w:p>
      <w:pPr>
        <w:pStyle w:val="TextBody"/>
        <w:bidi w:val="0"/>
        <w:spacing w:before="150" w:after="15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t>iii</w:t>
      </w:r>
    </w:p>
    <w:p>
      <w:pPr>
        <w:pStyle w:val="HorizontalLine"/>
        <w:bidi w:val="0"/>
        <w:spacing w:before="150" w:after="150"/>
        <w:jc w:val="left"/>
        <w:rPr/>
      </w:pPr>
      <w:r>
        <w:rPr/>
      </w:r>
    </w:p>
    <w:p>
      <w:pPr>
        <w:pStyle w:val="TextBody"/>
        <w:bidi w:val="0"/>
        <w:spacing w:before="150" w:after="150"/>
        <w:jc w:val="left"/>
        <w:rPr/>
      </w:pPr>
      <w:hyperlink w:anchor="index">
        <w:r>
          <w:rPr>
            <w:rStyle w:val="InternetLink"/>
            <w:rFonts w:ascii="TimesNewRoman;Times New Roman;Times;Baskerville;Georgia;serif" w:hAnsi="TimesNewRoman;Times New Roman;Times;Baskerville;Georgia;serif"/>
            <w:b w:val="false"/>
            <w:i/>
            <w:caps w:val="false"/>
            <w:smallCaps w:val="false"/>
            <w:strike w:val="false"/>
            <w:dstrike w:val="false"/>
            <w:sz w:val="16"/>
            <w:u w:val="none"/>
            <w:effect w:val="none"/>
          </w:rPr>
          <w:t>Index</w:t>
        </w:r>
      </w:hyperlink>
    </w:p>
    <w:p>
      <w:pPr>
        <w:pStyle w:val="TextBody"/>
        <w:bidi w:val="0"/>
        <w:spacing w:before="0" w:after="0"/>
        <w:ind w:left="0" w:right="0" w:hanging="360"/>
        <w:jc w:val="left"/>
        <w:rPr>
          <w:rFonts w:ascii="Times New Roman" w:hAnsi="Times New Roman"/>
          <w:sz w:val="20"/>
        </w:rPr>
      </w:pPr>
      <w:r>
        <w:rPr>
          <w:rFonts w:ascii="Times New Roman" w:hAnsi="Times New Roman"/>
          <w:sz w:val="20"/>
        </w:rPr>
        <w:t xml:space="preserve">expected financial and operational benefits of the recent divestiture of three of our plasma collection centers; </w:t>
      </w:r>
      <w:r>
        <mc:AlternateContent>
          <mc:Choice Requires="wps">
            <w:drawing>
              <wp:anchor behindDoc="0" distT="0" distB="0" distL="0" distR="0" simplePos="0" locked="0" layoutInCell="1" allowOverlap="1" relativeHeight="37">
                <wp:simplePos x="0" y="0"/>
                <wp:positionH relativeFrom="column">
                  <wp:align>left</wp:align>
                </wp:positionH>
                <wp:positionV relativeFrom="line">
                  <wp:posOffset>635</wp:posOffset>
                </wp:positionV>
                <wp:extent cx="228600" cy="175260"/>
                <wp:effectExtent l="0" t="0" r="0" b="0"/>
                <wp:wrapSquare wrapText="right"/>
                <wp:docPr id="36" name="Frame36"/>
                <a:graphic xmlns:a="http://schemas.openxmlformats.org/drawingml/2006/main">
                  <a:graphicData uri="http://schemas.microsoft.com/office/word/2010/wordprocessingShape">
                    <wps:wsp>
                      <wps:cNvSpPr txBox="1"/>
                      <wps:spPr>
                        <a:xfrm>
                          <a:off x="0" y="0"/>
                          <a:ext cx="228600" cy="175260"/>
                        </a:xfrm>
                        <a:prstGeom prst="rect"/>
                        <a:solidFill>
                          <a:srgbClr val="FFFFFF"/>
                        </a:solidFill>
                      </wps:spPr>
                      <wps:txbx>
                        <w:txbxContent>
                          <w:p>
                            <w:pPr>
                              <w:pStyle w:val="TextBody"/>
                              <w:bidi w:val="0"/>
                              <w:spacing w:before="0" w:after="283"/>
                              <w:jc w:val="left"/>
                              <w:rPr/>
                            </w:pPr>
                            <w:r>
                              <w:rPr/>
                              <w:t xml:space="preserve">● </w:t>
                            </w:r>
                          </w:p>
                        </w:txbxContent>
                      </wps:txbx>
                      <wps:bodyPr anchor="t" lIns="0" tIns="0" rIns="0" bIns="0">
                        <a:noAutofit/>
                      </wps:bodyPr>
                    </wps:wsp>
                  </a:graphicData>
                </a:graphic>
              </wp:anchor>
            </w:drawing>
          </mc:Choice>
          <mc:Fallback>
            <w:pict>
              <v:rect style="position:absolute;rotation:-0;width: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 xml:space="preserve">● </w:t>
                      </w:r>
                    </w:p>
                  </w:txbxContent>
                </v:textbox>
                <w10:wrap type="square" side="right"/>
              </v:rect>
            </w:pict>
          </mc:Fallback>
        </mc:AlternateContent>
      </w:r>
    </w:p>
    <w:p>
      <w:pPr>
        <w:pStyle w:val="TextBody"/>
        <w:bidi w:val="0"/>
        <w:spacing w:before="0" w:after="0"/>
        <w:ind w:left="720" w:right="0" w:hanging="0"/>
        <w:jc w:val="left"/>
        <w:rPr/>
      </w:pPr>
      <w:r>
        <w:rPr/>
        <w:t xml:space="preserve">  </w:t>
      </w:r>
    </w:p>
    <w:p>
      <w:pPr>
        <w:pStyle w:val="TextBody"/>
        <w:bidi w:val="0"/>
        <w:spacing w:before="0" w:after="0"/>
        <w:ind w:left="0" w:right="0" w:hanging="360"/>
        <w:jc w:val="left"/>
        <w:rPr>
          <w:rFonts w:ascii="Times New Roman" w:hAnsi="Times New Roman"/>
          <w:sz w:val="20"/>
        </w:rPr>
      </w:pPr>
      <w:r>
        <w:rPr>
          <w:rFonts w:ascii="Times New Roman" w:hAnsi="Times New Roman"/>
          <w:sz w:val="20"/>
        </w:rPr>
        <w:t xml:space="preserve">the potential for pandemics, or a resurgence of a pandemic, to adversely affect our business, financial condition, liquidity or results of operations; and </w:t>
      </w:r>
      <w:r>
        <mc:AlternateContent>
          <mc:Choice Requires="wps">
            <w:drawing>
              <wp:anchor behindDoc="0" distT="0" distB="0" distL="0" distR="0" simplePos="0" locked="0" layoutInCell="1" allowOverlap="1" relativeHeight="38">
                <wp:simplePos x="0" y="0"/>
                <wp:positionH relativeFrom="column">
                  <wp:align>left</wp:align>
                </wp:positionH>
                <wp:positionV relativeFrom="line">
                  <wp:posOffset>635</wp:posOffset>
                </wp:positionV>
                <wp:extent cx="228600" cy="175260"/>
                <wp:effectExtent l="0" t="0" r="0" b="0"/>
                <wp:wrapSquare wrapText="right"/>
                <wp:docPr id="37" name="Frame37"/>
                <a:graphic xmlns:a="http://schemas.openxmlformats.org/drawingml/2006/main">
                  <a:graphicData uri="http://schemas.microsoft.com/office/word/2010/wordprocessingShape">
                    <wps:wsp>
                      <wps:cNvSpPr txBox="1"/>
                      <wps:spPr>
                        <a:xfrm>
                          <a:off x="0" y="0"/>
                          <a:ext cx="228600" cy="175260"/>
                        </a:xfrm>
                        <a:prstGeom prst="rect"/>
                        <a:solidFill>
                          <a:srgbClr val="FFFFFF"/>
                        </a:solidFill>
                      </wps:spPr>
                      <wps:txbx>
                        <w:txbxContent>
                          <w:p>
                            <w:pPr>
                              <w:pStyle w:val="TextBody"/>
                              <w:bidi w:val="0"/>
                              <w:spacing w:before="0" w:after="283"/>
                              <w:jc w:val="left"/>
                              <w:rPr/>
                            </w:pPr>
                            <w:r>
                              <w:rPr/>
                              <w:t xml:space="preserve">● </w:t>
                            </w:r>
                          </w:p>
                        </w:txbxContent>
                      </wps:txbx>
                      <wps:bodyPr anchor="t" lIns="0" tIns="0" rIns="0" bIns="0">
                        <a:noAutofit/>
                      </wps:bodyPr>
                    </wps:wsp>
                  </a:graphicData>
                </a:graphic>
              </wp:anchor>
            </w:drawing>
          </mc:Choice>
          <mc:Fallback>
            <w:pict>
              <v:rect style="position:absolute;rotation:-0;width: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 xml:space="preserve">● </w:t>
                      </w:r>
                    </w:p>
                  </w:txbxContent>
                </v:textbox>
                <w10:wrap type="square" side="right"/>
              </v:rect>
            </w:pict>
          </mc:Fallback>
        </mc:AlternateContent>
      </w:r>
    </w:p>
    <w:p>
      <w:pPr>
        <w:pStyle w:val="TextBody"/>
        <w:bidi w:val="0"/>
        <w:spacing w:before="0" w:after="0"/>
        <w:ind w:left="720" w:right="0" w:hanging="0"/>
        <w:jc w:val="left"/>
        <w:rPr/>
      </w:pPr>
      <w:r>
        <w:rPr/>
        <w:t xml:space="preserve">  </w:t>
      </w:r>
    </w:p>
    <w:p>
      <w:pPr>
        <w:pStyle w:val="TextBody"/>
        <w:bidi w:val="0"/>
        <w:spacing w:before="0" w:after="0"/>
        <w:ind w:left="0" w:right="0" w:hanging="360"/>
        <w:jc w:val="left"/>
        <w:rPr>
          <w:rFonts w:ascii="Times New Roman" w:hAnsi="Times New Roman"/>
          <w:sz w:val="20"/>
        </w:rPr>
      </w:pPr>
      <w:r>
        <w:rPr>
          <w:rFonts w:ascii="Times New Roman" w:hAnsi="Times New Roman"/>
          <w:sz w:val="20"/>
        </w:rPr>
        <w:t xml:space="preserve">future domestic and global economic conditions including, but not limited to, supply chain constraints, inflationary pressures or performance or geopolitical conditions, including the continuing conflicts in Europe, certain countries in South America, Northern Africa and in the Middle East and surrounding areas, and international trade and U.S. tariff policies and any anticipated effects of such factors on the pricing and availability of imported raw materials used in the production of our products. </w:t>
      </w:r>
      <w:r>
        <mc:AlternateContent>
          <mc:Choice Requires="wps">
            <w:drawing>
              <wp:anchor behindDoc="0" distT="0" distB="0" distL="0" distR="0" simplePos="0" locked="0" layoutInCell="1" allowOverlap="1" relativeHeight="39">
                <wp:simplePos x="0" y="0"/>
                <wp:positionH relativeFrom="column">
                  <wp:align>left</wp:align>
                </wp:positionH>
                <wp:positionV relativeFrom="line">
                  <wp:posOffset>635</wp:posOffset>
                </wp:positionV>
                <wp:extent cx="228600" cy="175260"/>
                <wp:effectExtent l="0" t="0" r="0" b="0"/>
                <wp:wrapSquare wrapText="right"/>
                <wp:docPr id="38" name="Frame38"/>
                <a:graphic xmlns:a="http://schemas.openxmlformats.org/drawingml/2006/main">
                  <a:graphicData uri="http://schemas.microsoft.com/office/word/2010/wordprocessingShape">
                    <wps:wsp>
                      <wps:cNvSpPr txBox="1"/>
                      <wps:spPr>
                        <a:xfrm>
                          <a:off x="0" y="0"/>
                          <a:ext cx="228600" cy="175260"/>
                        </a:xfrm>
                        <a:prstGeom prst="rect"/>
                        <a:solidFill>
                          <a:srgbClr val="FFFFFF"/>
                        </a:solidFill>
                      </wps:spPr>
                      <wps:txbx>
                        <w:txbxContent>
                          <w:p>
                            <w:pPr>
                              <w:pStyle w:val="TextBody"/>
                              <w:bidi w:val="0"/>
                              <w:spacing w:before="0" w:after="283"/>
                              <w:jc w:val="left"/>
                              <w:rPr/>
                            </w:pPr>
                            <w:r>
                              <w:rPr/>
                              <w:t xml:space="preserve">● </w:t>
                            </w:r>
                          </w:p>
                        </w:txbxContent>
                      </wps:txbx>
                      <wps:bodyPr anchor="t" lIns="0" tIns="0" rIns="0" bIns="0">
                        <a:noAutofit/>
                      </wps:bodyPr>
                    </wps:wsp>
                  </a:graphicData>
                </a:graphic>
              </wp:anchor>
            </w:drawing>
          </mc:Choice>
          <mc:Fallback>
            <w:pict>
              <v:rect style="position:absolute;rotation:-0;width: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 xml:space="preserve">● </w:t>
                      </w:r>
                    </w:p>
                  </w:txbxContent>
                </v:textbox>
                <w10:wrap type="square" side="right"/>
              </v:rect>
            </w:pict>
          </mc:Fallback>
        </mc:AlternateContent>
      </w:r>
    </w:p>
    <w:p>
      <w:pPr>
        <w:pStyle w:val="TextBody"/>
        <w:bidi w:val="0"/>
        <w:spacing w:before="0" w:after="0"/>
        <w:jc w:val="left"/>
        <w:rPr/>
      </w:pPr>
      <w:r>
        <w:rPr/>
        <w:t xml:space="preserve">  </w:t>
      </w:r>
    </w:p>
    <w:p>
      <w:pPr>
        <w:pStyle w:val="TextBody"/>
        <w:bidi w:val="0"/>
        <w:spacing w:before="0" w:after="0"/>
        <w:jc w:val="both"/>
        <w:rPr>
          <w:rFonts w:ascii="Times New Roman" w:hAnsi="Times New Roman"/>
          <w:sz w:val="20"/>
        </w:rPr>
      </w:pPr>
      <w:r>
        <w:rPr>
          <w:rFonts w:ascii="Times New Roman" w:hAnsi="Times New Roman"/>
          <w:color w:val="000000"/>
          <w:sz w:val="20"/>
        </w:rPr>
        <w:t>These statements may be found under the “Risk Factors” and “Management’s Discussion and Analysis of Financial Condition and Results of Operations” sections of this Quarterly Report on Form 10-Q for the quarter ended March 31, 2026 (this “Form 10-Q”). Our actual results could differ materially from those contained in the forward-looking statements due to the factors described in the sections entitled “Risk Factors” and “Management’s Discussion and Analysis of Financial Condition and Results of Operations” in the Company’s Annual Report on Form 10-K for the year ended December 31, 2025 (the “2025 10-K”) and in this Form 10-Q. Any forward-looking statement included or incorporated by reference in this Form 10-Q reflects our current views with respect to future events and is subject to these and other risks, uncertainties and assumptions related to our operations, industry and future growth. These forward-looking statements speak only as of the dates such statements are made, and we undertake no obligation to release publicly any updates or revisions to any forward-looking statements contained herein to reflect any change in our expectations or any changes in events, conditions or circumstances on which any such statement is based, except as required by law.</w:t>
      </w:r>
      <w:r>
        <w:rPr>
          <w:rFonts w:ascii="Times New Roman" w:hAnsi="Times New Roman"/>
          <w:sz w:val="20"/>
        </w:rPr>
        <w:t xml:space="preserve"> </w:t>
      </w:r>
    </w:p>
    <w:p>
      <w:pPr>
        <w:pStyle w:val="TextBody"/>
        <w:bidi w:val="0"/>
        <w:spacing w:before="0" w:after="0"/>
        <w:jc w:val="left"/>
        <w:rPr/>
      </w:pPr>
      <w:r>
        <w:rPr/>
        <w:t xml:space="preserve">  </w:t>
      </w:r>
    </w:p>
    <w:p>
      <w:pPr>
        <w:pStyle w:val="TextBody"/>
        <w:bidi w:val="0"/>
        <w:spacing w:before="150" w:after="15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t>iv</w:t>
      </w:r>
    </w:p>
    <w:p>
      <w:pPr>
        <w:pStyle w:val="HorizontalLine"/>
        <w:bidi w:val="0"/>
        <w:spacing w:before="150" w:after="150"/>
        <w:jc w:val="left"/>
        <w:rPr/>
      </w:pPr>
      <w:r>
        <w:rPr/>
      </w:r>
    </w:p>
    <w:p>
      <w:pPr>
        <w:pStyle w:val="TextBody"/>
        <w:bidi w:val="0"/>
        <w:spacing w:before="150" w:after="150"/>
        <w:jc w:val="left"/>
        <w:rPr/>
      </w:pPr>
      <w:hyperlink w:anchor="index">
        <w:r>
          <w:rPr>
            <w:rStyle w:val="InternetLink"/>
            <w:rFonts w:ascii="TimesNewRoman;Times New Roman;Times;Baskerville;Georgia;serif" w:hAnsi="TimesNewRoman;Times New Roman;Times;Baskerville;Georgia;serif"/>
            <w:b w:val="false"/>
            <w:i/>
            <w:caps w:val="false"/>
            <w:smallCaps w:val="false"/>
            <w:strike w:val="false"/>
            <w:dstrike w:val="false"/>
            <w:sz w:val="16"/>
            <w:u w:val="none"/>
            <w:effect w:val="none"/>
          </w:rPr>
          <w:t>Index</w:t>
        </w:r>
      </w:hyperlink>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 xml:space="preserve">PART I </w:t>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 xml:space="preserve">FINANCIAL INFORMATION </w:t>
      </w:r>
    </w:p>
    <w:p>
      <w:pPr>
        <w:pStyle w:val="TextBody"/>
        <w:bidi w:val="0"/>
        <w:spacing w:before="0" w:after="0"/>
        <w:jc w:val="left"/>
        <w:rPr>
          <w:color w:val="0F4761"/>
        </w:rPr>
      </w:pPr>
      <w:r>
        <w:rPr>
          <w:color w:val="0F4761"/>
        </w:rPr>
        <w:t> </w:t>
      </w:r>
    </w:p>
    <w:p>
      <w:pPr>
        <w:pStyle w:val="TextBody"/>
        <w:bidi w:val="0"/>
        <w:spacing w:before="0" w:after="0"/>
        <w:ind w:left="0" w:right="0" w:hanging="1080"/>
        <w:jc w:val="left"/>
        <w:rPr>
          <w:rFonts w:ascii="Aptos Display" w:hAnsi="Aptos Display"/>
          <w:color w:val="0F4761"/>
          <w:sz w:val="32"/>
        </w:rPr>
      </w:pPr>
      <w:r>
        <w:rPr>
          <w:rFonts w:ascii="Times New Roman" w:hAnsi="Times New Roman"/>
          <w:b/>
          <w:color w:val="000000"/>
          <w:sz w:val="20"/>
        </w:rPr>
        <w:t>Financial Statements.</w:t>
      </w:r>
      <w:r>
        <w:rPr>
          <w:rFonts w:ascii="Aptos Display" w:hAnsi="Aptos Display"/>
          <w:color w:val="0F4761"/>
          <w:sz w:val="32"/>
        </w:rPr>
        <w:t xml:space="preserve"> </w:t>
      </w:r>
      <w:r>
        <mc:AlternateContent>
          <mc:Choice Requires="wps">
            <w:drawing>
              <wp:anchor behindDoc="0" distT="0" distB="0" distL="0" distR="0" simplePos="0" locked="0" layoutInCell="1" allowOverlap="1" relativeHeight="40">
                <wp:simplePos x="0" y="0"/>
                <wp:positionH relativeFrom="column">
                  <wp:align>left</wp:align>
                </wp:positionH>
                <wp:positionV relativeFrom="line">
                  <wp:posOffset>635</wp:posOffset>
                </wp:positionV>
                <wp:extent cx="685800" cy="175260"/>
                <wp:effectExtent l="0" t="0" r="0" b="0"/>
                <wp:wrapSquare wrapText="right"/>
                <wp:docPr id="39" name="Frame39"/>
                <a:graphic xmlns:a="http://schemas.openxmlformats.org/drawingml/2006/main">
                  <a:graphicData uri="http://schemas.microsoft.com/office/word/2010/wordprocessingShape">
                    <wps:wsp>
                      <wps:cNvSpPr txBox="1"/>
                      <wps:spPr>
                        <a:xfrm>
                          <a:off x="0" y="0"/>
                          <a:ext cx="685800" cy="175260"/>
                        </a:xfrm>
                        <a:prstGeom prst="rect"/>
                        <a:solidFill>
                          <a:srgbClr val="FFFFFF"/>
                        </a:solidFill>
                      </wps:spPr>
                      <wps:txbx>
                        <w:txbxContent>
                          <w:p>
                            <w:pPr>
                              <w:pStyle w:val="TextBody"/>
                              <w:bidi w:val="0"/>
                              <w:spacing w:before="0" w:after="283"/>
                              <w:jc w:val="left"/>
                              <w:rPr/>
                            </w:pPr>
                            <w:r>
                              <w:rPr>
                                <w:rFonts w:ascii="Times New Roman" w:hAnsi="Times New Roman"/>
                                <w:b/>
                                <w:color w:val="000000"/>
                                <w:sz w:val="20"/>
                              </w:rPr>
                              <w:t>Item 1.</w:t>
                            </w:r>
                            <w:r>
                              <w:rPr/>
                              <w:t xml:space="preserve"> </w:t>
                            </w:r>
                          </w:p>
                        </w:txbxContent>
                      </wps:txbx>
                      <wps:bodyPr anchor="t" lIns="0" tIns="0" rIns="0" bIns="0">
                        <a:noAutofit/>
                      </wps:bodyPr>
                    </wps:wsp>
                  </a:graphicData>
                </a:graphic>
              </wp:anchor>
            </w:drawing>
          </mc:Choice>
          <mc:Fallback>
            <w:pict>
              <v:rect style="position:absolute;rotation:-0;width:5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rFonts w:ascii="Times New Roman" w:hAnsi="Times New Roman"/>
                          <w:b/>
                          <w:color w:val="000000"/>
                          <w:sz w:val="20"/>
                        </w:rPr>
                        <w:t>Item 1.</w:t>
                      </w:r>
                      <w:r>
                        <w:rPr/>
                        <w:t xml:space="preserve"> </w:t>
                      </w:r>
                    </w:p>
                  </w:txbxContent>
                </v:textbox>
                <w10:wrap type="square" side="right"/>
              </v:rect>
            </w:pict>
          </mc:Fallback>
        </mc:AlternateContent>
      </w:r>
    </w:p>
    <w:p>
      <w:pPr>
        <w:pStyle w:val="TextBody"/>
        <w:bidi w:val="0"/>
        <w:spacing w:before="0" w:after="0"/>
        <w:jc w:val="left"/>
        <w:rPr/>
      </w:pPr>
      <w:r>
        <w:rPr/>
        <w:t xml:space="preserve">  </w:t>
      </w:r>
    </w:p>
    <w:p>
      <w:pPr>
        <w:pStyle w:val="TextBody"/>
        <w:bidi w:val="0"/>
        <w:spacing w:before="0" w:after="0"/>
        <w:jc w:val="center"/>
        <w:rPr>
          <w:rFonts w:ascii="Times New Roman" w:hAnsi="Times New Roman"/>
          <w:sz w:val="20"/>
        </w:rPr>
      </w:pPr>
      <w:r>
        <w:rPr>
          <w:rFonts w:ascii="Times New Roman" w:hAnsi="Times New Roman"/>
          <w:b/>
          <w:sz w:val="20"/>
        </w:rPr>
        <w:t>ADMA BIOLOGICS, INC. AND SUBSIDIARIES</w:t>
      </w:r>
      <w:r>
        <w:rPr>
          <w:rFonts w:ascii="Times New Roman" w:hAnsi="Times New Roman"/>
          <w:sz w:val="20"/>
        </w:rPr>
        <w:t xml:space="preserve"> </w:t>
      </w:r>
    </w:p>
    <w:p>
      <w:pPr>
        <w:pStyle w:val="TextBody"/>
        <w:bidi w:val="0"/>
        <w:spacing w:before="0" w:after="0"/>
        <w:jc w:val="center"/>
        <w:rPr>
          <w:rFonts w:ascii="Times New Roman" w:hAnsi="Times New Roman"/>
          <w:sz w:val="20"/>
        </w:rPr>
      </w:pPr>
      <w:bookmarkStart w:id="5" w:name="bs"/>
      <w:bookmarkEnd w:id="5"/>
      <w:r>
        <w:rPr>
          <w:rFonts w:ascii="Times New Roman" w:hAnsi="Times New Roman"/>
          <w:b/>
          <w:sz w:val="20"/>
        </w:rPr>
        <w:t>CONDENSED CONSOLIDATED BALANCE SHEETS</w:t>
      </w:r>
      <w:r>
        <w:rPr>
          <w:rFonts w:ascii="Times New Roman" w:hAnsi="Times New Roman"/>
          <w:sz w:val="20"/>
        </w:rPr>
        <w:t xml:space="preserve"> </w:t>
      </w:r>
    </w:p>
    <w:p>
      <w:pPr>
        <w:pStyle w:val="TextBody"/>
        <w:bidi w:val="0"/>
        <w:spacing w:before="0" w:after="0"/>
        <w:jc w:val="center"/>
        <w:rPr/>
      </w:pPr>
      <w:r>
        <w:rPr/>
        <w:t xml:space="preserve">  </w:t>
      </w:r>
    </w:p>
    <w:tbl>
      <w:tblPr>
        <w:tblW w:w="10205" w:type="dxa"/>
        <w:jc w:val="left"/>
        <w:tblInd w:w="0" w:type="dxa"/>
        <w:tblLayout w:type="fixed"/>
        <w:tblCellMar>
          <w:top w:w="0" w:type="dxa"/>
          <w:left w:w="0" w:type="dxa"/>
          <w:bottom w:w="0" w:type="dxa"/>
          <w:right w:w="0" w:type="dxa"/>
        </w:tblCellMar>
      </w:tblPr>
      <w:tblGrid>
        <w:gridCol w:w="7092"/>
        <w:gridCol w:w="90"/>
        <w:gridCol w:w="170"/>
        <w:gridCol w:w="1151"/>
        <w:gridCol w:w="185"/>
        <w:gridCol w:w="90"/>
        <w:gridCol w:w="188"/>
        <w:gridCol w:w="1008"/>
        <w:gridCol w:w="231"/>
      </w:tblGrid>
      <w:tr>
        <w:trPr/>
        <w:tc>
          <w:tcPr>
            <w:tcW w:w="7092"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151"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88" w:type="dxa"/>
            <w:tcBorders/>
            <w:vAlign w:val="center"/>
          </w:tcPr>
          <w:p>
            <w:pPr>
              <w:pStyle w:val="TableContents"/>
              <w:bidi w:val="0"/>
              <w:spacing w:before="0" w:after="283"/>
              <w:jc w:val="left"/>
              <w:rPr/>
            </w:pPr>
            <w:r>
              <w:rPr/>
              <w:t> </w:t>
            </w:r>
          </w:p>
        </w:tc>
        <w:tc>
          <w:tcPr>
            <w:tcW w:w="1008" w:type="dxa"/>
            <w:tcBorders/>
            <w:vAlign w:val="center"/>
          </w:tcPr>
          <w:p>
            <w:pPr>
              <w:pStyle w:val="TableContents"/>
              <w:bidi w:val="0"/>
              <w:spacing w:before="0" w:after="283"/>
              <w:jc w:val="left"/>
              <w:rPr/>
            </w:pPr>
            <w:r>
              <w:rPr/>
              <w:t> </w:t>
            </w:r>
          </w:p>
        </w:tc>
        <w:tc>
          <w:tcPr>
            <w:tcW w:w="231" w:type="dxa"/>
            <w:tcBorders/>
            <w:vAlign w:val="center"/>
          </w:tcPr>
          <w:p>
            <w:pPr>
              <w:pStyle w:val="TableContents"/>
              <w:bidi w:val="0"/>
              <w:spacing w:before="0" w:after="283"/>
              <w:jc w:val="left"/>
              <w:rPr/>
            </w:pPr>
            <w:r>
              <w:rPr/>
              <w:t> </w:t>
            </w:r>
          </w:p>
        </w:tc>
      </w:tr>
      <w:tr>
        <w:trPr/>
        <w:tc>
          <w:tcPr>
            <w:tcW w:w="7092"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center"/>
              <w:rPr/>
            </w:pPr>
            <w:r>
              <w:rPr/>
              <w:t> </w:t>
            </w:r>
          </w:p>
        </w:tc>
        <w:tc>
          <w:tcPr>
            <w:tcW w:w="1321" w:type="dxa"/>
            <w:gridSpan w:val="2"/>
            <w:tcBorders>
              <w:bottom w:val="single" w:sz="12" w:space="0" w:color="000000"/>
            </w:tcBorders>
            <w:tcMar>
              <w:bottom w:w="28" w:type="dxa"/>
            </w:tcMar>
            <w:vAlign w:val="center"/>
          </w:tcPr>
          <w:p>
            <w:pPr>
              <w:pStyle w:val="TableContents"/>
              <w:bidi w:val="0"/>
              <w:spacing w:before="0" w:after="283"/>
              <w:jc w:val="center"/>
              <w:rPr/>
            </w:pPr>
            <w:r>
              <w:rPr>
                <w:b/>
                <w:spacing w:val="0"/>
              </w:rPr>
              <w:t>March 31,</w:t>
            </w:r>
            <w:r>
              <w:rPr/>
              <w:t xml:space="preserve"> </w:t>
              <w:br/>
            </w:r>
            <w:r>
              <w:rPr>
                <w:b/>
              </w:rPr>
              <w:t>2026</w:t>
            </w:r>
            <w:r>
              <w:rPr/>
              <w:t xml:space="preserve"> </w:t>
            </w:r>
          </w:p>
        </w:tc>
        <w:tc>
          <w:tcPr>
            <w:tcW w:w="185"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196" w:type="dxa"/>
            <w:gridSpan w:val="2"/>
            <w:tcBorders>
              <w:bottom w:val="single" w:sz="12" w:space="0" w:color="000000"/>
            </w:tcBorders>
            <w:tcMar>
              <w:bottom w:w="28" w:type="dxa"/>
            </w:tcMar>
            <w:vAlign w:val="center"/>
          </w:tcPr>
          <w:p>
            <w:pPr>
              <w:pStyle w:val="TableContents"/>
              <w:bidi w:val="0"/>
              <w:spacing w:before="0" w:after="283"/>
              <w:jc w:val="center"/>
              <w:rPr/>
            </w:pPr>
            <w:r>
              <w:rPr>
                <w:b/>
                <w:spacing w:val="0"/>
              </w:rPr>
              <w:t>December 31,</w:t>
            </w:r>
            <w:r>
              <w:rPr/>
              <w:t xml:space="preserve"> </w:t>
            </w:r>
            <w:r>
              <w:rPr>
                <w:b/>
              </w:rPr>
              <w:br/>
              <w:t>2025</w:t>
            </w:r>
            <w:r>
              <w:rPr/>
              <w:t xml:space="preserve"> </w:t>
            </w:r>
          </w:p>
        </w:tc>
        <w:tc>
          <w:tcPr>
            <w:tcW w:w="231" w:type="dxa"/>
            <w:tcBorders/>
            <w:vAlign w:val="center"/>
          </w:tcPr>
          <w:p>
            <w:pPr>
              <w:pStyle w:val="TableContents"/>
              <w:bidi w:val="0"/>
              <w:spacing w:before="0" w:after="283"/>
              <w:jc w:val="center"/>
              <w:rPr/>
            </w:pPr>
            <w:r>
              <w:rPr/>
              <w:t> </w:t>
            </w:r>
          </w:p>
        </w:tc>
      </w:tr>
      <w:tr>
        <w:trPr/>
        <w:tc>
          <w:tcPr>
            <w:tcW w:w="7092"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center"/>
              <w:rPr/>
            </w:pPr>
            <w:r>
              <w:rPr/>
              <w:t> </w:t>
            </w:r>
          </w:p>
        </w:tc>
        <w:tc>
          <w:tcPr>
            <w:tcW w:w="170" w:type="dxa"/>
            <w:tcBorders/>
            <w:vAlign w:val="center"/>
          </w:tcPr>
          <w:p>
            <w:pPr>
              <w:pStyle w:val="TableContents"/>
              <w:bidi w:val="0"/>
              <w:spacing w:before="0" w:after="283"/>
              <w:jc w:val="center"/>
              <w:rPr/>
            </w:pPr>
            <w:r>
              <w:rPr/>
              <w:t> </w:t>
            </w:r>
          </w:p>
        </w:tc>
        <w:tc>
          <w:tcPr>
            <w:tcW w:w="1151" w:type="dxa"/>
            <w:tcBorders/>
            <w:vAlign w:val="center"/>
          </w:tcPr>
          <w:p>
            <w:pPr>
              <w:pStyle w:val="TableContents"/>
              <w:bidi w:val="0"/>
              <w:spacing w:before="0" w:after="283"/>
              <w:jc w:val="center"/>
              <w:rPr/>
            </w:pPr>
            <w:r>
              <w:rPr/>
              <w:t xml:space="preserve">(Unaudited) </w:t>
            </w:r>
          </w:p>
        </w:tc>
        <w:tc>
          <w:tcPr>
            <w:tcW w:w="185"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88" w:type="dxa"/>
            <w:tcBorders/>
            <w:vAlign w:val="center"/>
          </w:tcPr>
          <w:p>
            <w:pPr>
              <w:pStyle w:val="TableContents"/>
              <w:bidi w:val="0"/>
              <w:spacing w:before="0" w:after="283"/>
              <w:jc w:val="center"/>
              <w:rPr/>
            </w:pPr>
            <w:r>
              <w:rPr/>
              <w:t> </w:t>
            </w:r>
          </w:p>
        </w:tc>
        <w:tc>
          <w:tcPr>
            <w:tcW w:w="1008" w:type="dxa"/>
            <w:tcBorders/>
            <w:vAlign w:val="center"/>
          </w:tcPr>
          <w:p>
            <w:pPr>
              <w:pStyle w:val="TableContents"/>
              <w:bidi w:val="0"/>
              <w:spacing w:before="0" w:after="283"/>
              <w:jc w:val="center"/>
              <w:rPr/>
            </w:pPr>
            <w:r>
              <w:rPr/>
              <w:t> </w:t>
            </w:r>
          </w:p>
        </w:tc>
        <w:tc>
          <w:tcPr>
            <w:tcW w:w="231" w:type="dxa"/>
            <w:tcBorders/>
            <w:vAlign w:val="center"/>
          </w:tcPr>
          <w:p>
            <w:pPr>
              <w:pStyle w:val="TableContents"/>
              <w:bidi w:val="0"/>
              <w:spacing w:before="0" w:after="283"/>
              <w:jc w:val="center"/>
              <w:rPr/>
            </w:pPr>
            <w:r>
              <w:rPr/>
              <w:t> </w:t>
            </w:r>
          </w:p>
        </w:tc>
      </w:tr>
      <w:tr>
        <w:trPr/>
        <w:tc>
          <w:tcPr>
            <w:tcW w:w="7092" w:type="dxa"/>
            <w:tcBorders/>
            <w:vAlign w:val="center"/>
          </w:tcPr>
          <w:p>
            <w:pPr>
              <w:pStyle w:val="TableContents"/>
              <w:bidi w:val="0"/>
              <w:spacing w:before="0" w:after="0"/>
              <w:jc w:val="left"/>
              <w:rPr/>
            </w:pPr>
            <w:r>
              <w:rPr>
                <w:i/>
              </w:rPr>
              <w:t>(In thousands, except share data)</w:t>
            </w:r>
            <w:r>
              <w:rPr/>
              <w:t xml:space="preserve"> </w:t>
            </w:r>
          </w:p>
        </w:tc>
        <w:tc>
          <w:tcPr>
            <w:tcW w:w="3113" w:type="dxa"/>
            <w:gridSpan w:val="8"/>
            <w:tcBorders/>
            <w:vAlign w:val="center"/>
          </w:tcPr>
          <w:p>
            <w:pPr>
              <w:pStyle w:val="TableContents"/>
              <w:bidi w:val="0"/>
              <w:spacing w:before="0" w:after="283"/>
              <w:jc w:val="center"/>
              <w:rPr/>
            </w:pPr>
            <w:r>
              <w:rPr/>
              <w:t> </w:t>
            </w:r>
          </w:p>
        </w:tc>
      </w:tr>
      <w:tr>
        <w:trPr/>
        <w:tc>
          <w:tcPr>
            <w:tcW w:w="7092" w:type="dxa"/>
            <w:tcBorders/>
            <w:vAlign w:val="center"/>
          </w:tcPr>
          <w:p>
            <w:pPr>
              <w:pStyle w:val="TableContents"/>
              <w:bidi w:val="0"/>
              <w:spacing w:before="0" w:after="0"/>
              <w:jc w:val="left"/>
              <w:rPr/>
            </w:pPr>
            <w:r>
              <w:rPr>
                <w:b/>
              </w:rPr>
              <w:t>ASSETS</w:t>
            </w:r>
            <w:r>
              <w:rPr/>
              <w:t xml:space="preserve"> </w:t>
            </w:r>
          </w:p>
        </w:tc>
        <w:tc>
          <w:tcPr>
            <w:tcW w:w="90" w:type="dxa"/>
            <w:tcBorders/>
            <w:vAlign w:val="center"/>
          </w:tcPr>
          <w:p>
            <w:pPr>
              <w:pStyle w:val="TableContents"/>
              <w:bidi w:val="0"/>
              <w:spacing w:before="0" w:after="283"/>
              <w:jc w:val="center"/>
              <w:rPr/>
            </w:pPr>
            <w:r>
              <w:rPr/>
              <w:t> </w:t>
            </w:r>
          </w:p>
        </w:tc>
        <w:tc>
          <w:tcPr>
            <w:tcW w:w="170" w:type="dxa"/>
            <w:tcBorders/>
            <w:vAlign w:val="center"/>
          </w:tcPr>
          <w:p>
            <w:pPr>
              <w:pStyle w:val="TableContents"/>
              <w:bidi w:val="0"/>
              <w:spacing w:before="0" w:after="283"/>
              <w:jc w:val="center"/>
              <w:rPr/>
            </w:pPr>
            <w:r>
              <w:rPr/>
              <w:t> </w:t>
            </w:r>
          </w:p>
        </w:tc>
        <w:tc>
          <w:tcPr>
            <w:tcW w:w="1151" w:type="dxa"/>
            <w:tcBorders/>
            <w:vAlign w:val="center"/>
          </w:tcPr>
          <w:p>
            <w:pPr>
              <w:pStyle w:val="TableContents"/>
              <w:bidi w:val="0"/>
              <w:spacing w:before="0" w:after="283"/>
              <w:jc w:val="center"/>
              <w:rPr/>
            </w:pPr>
            <w:r>
              <w:rPr/>
              <w:t> </w:t>
            </w:r>
          </w:p>
        </w:tc>
        <w:tc>
          <w:tcPr>
            <w:tcW w:w="185"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88" w:type="dxa"/>
            <w:tcBorders/>
            <w:vAlign w:val="center"/>
          </w:tcPr>
          <w:p>
            <w:pPr>
              <w:pStyle w:val="TableContents"/>
              <w:bidi w:val="0"/>
              <w:spacing w:before="0" w:after="283"/>
              <w:jc w:val="center"/>
              <w:rPr/>
            </w:pPr>
            <w:r>
              <w:rPr/>
              <w:t> </w:t>
            </w:r>
          </w:p>
        </w:tc>
        <w:tc>
          <w:tcPr>
            <w:tcW w:w="1008" w:type="dxa"/>
            <w:tcBorders/>
            <w:vAlign w:val="center"/>
          </w:tcPr>
          <w:p>
            <w:pPr>
              <w:pStyle w:val="TableContents"/>
              <w:bidi w:val="0"/>
              <w:spacing w:before="0" w:after="283"/>
              <w:jc w:val="center"/>
              <w:rPr/>
            </w:pPr>
            <w:r>
              <w:rPr/>
              <w:t> </w:t>
            </w:r>
          </w:p>
        </w:tc>
        <w:tc>
          <w:tcPr>
            <w:tcW w:w="231" w:type="dxa"/>
            <w:tcBorders/>
            <w:vAlign w:val="center"/>
          </w:tcPr>
          <w:p>
            <w:pPr>
              <w:pStyle w:val="TableContents"/>
              <w:bidi w:val="0"/>
              <w:spacing w:before="0" w:after="283"/>
              <w:jc w:val="center"/>
              <w:rPr/>
            </w:pPr>
            <w:r>
              <w:rPr/>
              <w:t> </w:t>
            </w:r>
          </w:p>
        </w:tc>
      </w:tr>
      <w:tr>
        <w:trPr/>
        <w:tc>
          <w:tcPr>
            <w:tcW w:w="7092" w:type="dxa"/>
            <w:tcBorders/>
            <w:vAlign w:val="center"/>
          </w:tcPr>
          <w:p>
            <w:pPr>
              <w:pStyle w:val="TableContents"/>
              <w:bidi w:val="0"/>
              <w:spacing w:before="0" w:after="0"/>
              <w:jc w:val="left"/>
              <w:rPr/>
            </w:pPr>
            <w:r>
              <w:rPr/>
              <w:t xml:space="preserve">Current assets: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151"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88" w:type="dxa"/>
            <w:tcBorders/>
            <w:vAlign w:val="center"/>
          </w:tcPr>
          <w:p>
            <w:pPr>
              <w:pStyle w:val="TableContents"/>
              <w:bidi w:val="0"/>
              <w:spacing w:before="0" w:after="283"/>
              <w:jc w:val="left"/>
              <w:rPr/>
            </w:pPr>
            <w:r>
              <w:rPr/>
              <w:t> </w:t>
            </w:r>
          </w:p>
        </w:tc>
        <w:tc>
          <w:tcPr>
            <w:tcW w:w="1008" w:type="dxa"/>
            <w:tcBorders/>
            <w:vAlign w:val="center"/>
          </w:tcPr>
          <w:p>
            <w:pPr>
              <w:pStyle w:val="TableContents"/>
              <w:bidi w:val="0"/>
              <w:spacing w:before="0" w:after="283"/>
              <w:jc w:val="left"/>
              <w:rPr/>
            </w:pPr>
            <w:r>
              <w:rPr/>
              <w:t> </w:t>
            </w:r>
          </w:p>
        </w:tc>
        <w:tc>
          <w:tcPr>
            <w:tcW w:w="231" w:type="dxa"/>
            <w:tcBorders/>
            <w:vAlign w:val="center"/>
          </w:tcPr>
          <w:p>
            <w:pPr>
              <w:pStyle w:val="TableContents"/>
              <w:bidi w:val="0"/>
              <w:spacing w:before="0" w:after="283"/>
              <w:jc w:val="left"/>
              <w:rPr/>
            </w:pPr>
            <w:r>
              <w:rPr/>
              <w:t> </w:t>
            </w:r>
          </w:p>
        </w:tc>
      </w:tr>
      <w:tr>
        <w:trPr/>
        <w:tc>
          <w:tcPr>
            <w:tcW w:w="7092" w:type="dxa"/>
            <w:tcBorders/>
            <w:shd w:fill="CCEEFF" w:val="clear"/>
            <w:vAlign w:val="center"/>
          </w:tcPr>
          <w:p>
            <w:pPr>
              <w:pStyle w:val="TableContents"/>
              <w:bidi w:val="0"/>
              <w:spacing w:before="0" w:after="0"/>
              <w:jc w:val="left"/>
              <w:rPr/>
            </w:pPr>
            <w:r>
              <w:rPr/>
              <w:t xml:space="preserve">Cash and cash equivalents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1151" w:type="dxa"/>
            <w:tcBorders/>
            <w:shd w:fill="CCEEFF" w:val="clear"/>
            <w:vAlign w:val="center"/>
          </w:tcPr>
          <w:p>
            <w:pPr>
              <w:pStyle w:val="TableContents"/>
              <w:bidi w:val="0"/>
              <w:spacing w:before="0" w:after="283"/>
              <w:jc w:val="right"/>
              <w:rPr/>
            </w:pPr>
            <w:r>
              <w:rPr/>
              <w:t>138,153</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pPr>
            <w:r>
              <w:rPr/>
              <w:t>$</w:t>
            </w:r>
          </w:p>
        </w:tc>
        <w:tc>
          <w:tcPr>
            <w:tcW w:w="1008" w:type="dxa"/>
            <w:tcBorders/>
            <w:shd w:fill="CCEEFF" w:val="clear"/>
            <w:vAlign w:val="center"/>
          </w:tcPr>
          <w:p>
            <w:pPr>
              <w:pStyle w:val="TableContents"/>
              <w:bidi w:val="0"/>
              <w:spacing w:before="0" w:after="283"/>
              <w:jc w:val="right"/>
              <w:rPr/>
            </w:pPr>
            <w:r>
              <w:rPr/>
              <w:t>87,630</w:t>
            </w:r>
          </w:p>
        </w:tc>
        <w:tc>
          <w:tcPr>
            <w:tcW w:w="231" w:type="dxa"/>
            <w:tcBorders/>
            <w:shd w:fill="CCEEFF" w:val="clear"/>
            <w:vAlign w:val="center"/>
          </w:tcPr>
          <w:p>
            <w:pPr>
              <w:pStyle w:val="TableContents"/>
              <w:bidi w:val="0"/>
              <w:spacing w:before="0" w:after="283"/>
              <w:jc w:val="left"/>
              <w:rPr/>
            </w:pPr>
            <w:r>
              <w:rPr/>
              <w:t> </w:t>
            </w:r>
          </w:p>
        </w:tc>
      </w:tr>
      <w:tr>
        <w:trPr/>
        <w:tc>
          <w:tcPr>
            <w:tcW w:w="7092" w:type="dxa"/>
            <w:tcBorders/>
            <w:vAlign w:val="center"/>
          </w:tcPr>
          <w:p>
            <w:pPr>
              <w:pStyle w:val="TableContents"/>
              <w:bidi w:val="0"/>
              <w:spacing w:before="0" w:after="0"/>
              <w:jc w:val="left"/>
              <w:rPr/>
            </w:pPr>
            <w:r>
              <w:rPr/>
              <w:t xml:space="preserve">Accounts receivable, net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151" w:type="dxa"/>
            <w:tcBorders/>
            <w:vAlign w:val="center"/>
          </w:tcPr>
          <w:p>
            <w:pPr>
              <w:pStyle w:val="TableContents"/>
              <w:bidi w:val="0"/>
              <w:spacing w:before="0" w:after="283"/>
              <w:jc w:val="right"/>
              <w:rPr/>
            </w:pPr>
            <w:r>
              <w:rPr/>
              <w:t>135,862</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88" w:type="dxa"/>
            <w:tcBorders/>
            <w:vAlign w:val="center"/>
          </w:tcPr>
          <w:p>
            <w:pPr>
              <w:pStyle w:val="TableContents"/>
              <w:bidi w:val="0"/>
              <w:spacing w:before="0" w:after="283"/>
              <w:jc w:val="left"/>
              <w:rPr/>
            </w:pPr>
            <w:r>
              <w:rPr/>
              <w:t> </w:t>
            </w:r>
          </w:p>
        </w:tc>
        <w:tc>
          <w:tcPr>
            <w:tcW w:w="1008" w:type="dxa"/>
            <w:tcBorders/>
            <w:vAlign w:val="center"/>
          </w:tcPr>
          <w:p>
            <w:pPr>
              <w:pStyle w:val="TableContents"/>
              <w:bidi w:val="0"/>
              <w:spacing w:before="0" w:after="283"/>
              <w:jc w:val="right"/>
              <w:rPr/>
            </w:pPr>
            <w:r>
              <w:rPr/>
              <w:t>158,429</w:t>
            </w:r>
          </w:p>
        </w:tc>
        <w:tc>
          <w:tcPr>
            <w:tcW w:w="231" w:type="dxa"/>
            <w:tcBorders/>
            <w:vAlign w:val="center"/>
          </w:tcPr>
          <w:p>
            <w:pPr>
              <w:pStyle w:val="TableContents"/>
              <w:bidi w:val="0"/>
              <w:spacing w:before="0" w:after="283"/>
              <w:jc w:val="left"/>
              <w:rPr/>
            </w:pPr>
            <w:r>
              <w:rPr/>
              <w:t> </w:t>
            </w:r>
          </w:p>
        </w:tc>
      </w:tr>
      <w:tr>
        <w:trPr/>
        <w:tc>
          <w:tcPr>
            <w:tcW w:w="7092" w:type="dxa"/>
            <w:tcBorders/>
            <w:shd w:fill="CCEEFF" w:val="clear"/>
            <w:vAlign w:val="center"/>
          </w:tcPr>
          <w:p>
            <w:pPr>
              <w:pStyle w:val="TableContents"/>
              <w:bidi w:val="0"/>
              <w:spacing w:before="0" w:after="0"/>
              <w:jc w:val="left"/>
              <w:rPr/>
            </w:pPr>
            <w:r>
              <w:rPr/>
              <w:t xml:space="preserve">Inventories, net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151" w:type="dxa"/>
            <w:tcBorders/>
            <w:shd w:fill="CCEEFF" w:val="clear"/>
            <w:vAlign w:val="center"/>
          </w:tcPr>
          <w:p>
            <w:pPr>
              <w:pStyle w:val="TableContents"/>
              <w:bidi w:val="0"/>
              <w:spacing w:before="0" w:after="283"/>
              <w:jc w:val="right"/>
              <w:rPr/>
            </w:pPr>
            <w:r>
              <w:rPr/>
              <w:t>222,098</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pPr>
            <w:r>
              <w:rPr/>
              <w:t> </w:t>
            </w:r>
          </w:p>
        </w:tc>
        <w:tc>
          <w:tcPr>
            <w:tcW w:w="1008" w:type="dxa"/>
            <w:tcBorders/>
            <w:shd w:fill="CCEEFF" w:val="clear"/>
            <w:vAlign w:val="center"/>
          </w:tcPr>
          <w:p>
            <w:pPr>
              <w:pStyle w:val="TableContents"/>
              <w:bidi w:val="0"/>
              <w:spacing w:before="0" w:after="283"/>
              <w:jc w:val="right"/>
              <w:rPr/>
            </w:pPr>
            <w:r>
              <w:rPr/>
              <w:t>206,465</w:t>
            </w:r>
          </w:p>
        </w:tc>
        <w:tc>
          <w:tcPr>
            <w:tcW w:w="231" w:type="dxa"/>
            <w:tcBorders/>
            <w:shd w:fill="CCEEFF" w:val="clear"/>
            <w:vAlign w:val="center"/>
          </w:tcPr>
          <w:p>
            <w:pPr>
              <w:pStyle w:val="TableContents"/>
              <w:bidi w:val="0"/>
              <w:spacing w:before="0" w:after="283"/>
              <w:jc w:val="left"/>
              <w:rPr/>
            </w:pPr>
            <w:r>
              <w:rPr/>
              <w:t> </w:t>
            </w:r>
          </w:p>
        </w:tc>
      </w:tr>
      <w:tr>
        <w:trPr/>
        <w:tc>
          <w:tcPr>
            <w:tcW w:w="7092" w:type="dxa"/>
            <w:tcBorders/>
            <w:vAlign w:val="center"/>
          </w:tcPr>
          <w:p>
            <w:pPr>
              <w:pStyle w:val="TableContents"/>
              <w:bidi w:val="0"/>
              <w:spacing w:before="0" w:after="0"/>
              <w:jc w:val="left"/>
              <w:rPr/>
            </w:pPr>
            <w:r>
              <w:rPr/>
              <w:t xml:space="preserve">Prepaid expenses and other current assets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151" w:type="dxa"/>
            <w:tcBorders/>
            <w:vAlign w:val="center"/>
          </w:tcPr>
          <w:p>
            <w:pPr>
              <w:pStyle w:val="TableContents"/>
              <w:bidi w:val="0"/>
              <w:spacing w:before="0" w:after="283"/>
              <w:jc w:val="right"/>
              <w:rPr/>
            </w:pPr>
            <w:r>
              <w:rPr/>
              <w:t>15,060</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88" w:type="dxa"/>
            <w:tcBorders/>
            <w:vAlign w:val="center"/>
          </w:tcPr>
          <w:p>
            <w:pPr>
              <w:pStyle w:val="TableContents"/>
              <w:bidi w:val="0"/>
              <w:spacing w:before="0" w:after="283"/>
              <w:jc w:val="left"/>
              <w:rPr/>
            </w:pPr>
            <w:r>
              <w:rPr/>
              <w:t> </w:t>
            </w:r>
          </w:p>
        </w:tc>
        <w:tc>
          <w:tcPr>
            <w:tcW w:w="1008" w:type="dxa"/>
            <w:tcBorders/>
            <w:vAlign w:val="center"/>
          </w:tcPr>
          <w:p>
            <w:pPr>
              <w:pStyle w:val="TableContents"/>
              <w:bidi w:val="0"/>
              <w:spacing w:before="0" w:after="283"/>
              <w:jc w:val="right"/>
              <w:rPr/>
            </w:pPr>
            <w:r>
              <w:rPr/>
              <w:t>7,458</w:t>
            </w:r>
          </w:p>
        </w:tc>
        <w:tc>
          <w:tcPr>
            <w:tcW w:w="231" w:type="dxa"/>
            <w:tcBorders/>
            <w:vAlign w:val="center"/>
          </w:tcPr>
          <w:p>
            <w:pPr>
              <w:pStyle w:val="TableContents"/>
              <w:bidi w:val="0"/>
              <w:spacing w:before="0" w:after="283"/>
              <w:jc w:val="left"/>
              <w:rPr/>
            </w:pPr>
            <w:r>
              <w:rPr/>
              <w:t> </w:t>
            </w:r>
          </w:p>
        </w:tc>
      </w:tr>
      <w:tr>
        <w:trPr/>
        <w:tc>
          <w:tcPr>
            <w:tcW w:w="7092" w:type="dxa"/>
            <w:tcBorders/>
            <w:shd w:fill="CCEEFF" w:val="clear"/>
            <w:vAlign w:val="center"/>
          </w:tcPr>
          <w:p>
            <w:pPr>
              <w:pStyle w:val="TableContents"/>
              <w:bidi w:val="0"/>
              <w:spacing w:before="0" w:after="0"/>
              <w:jc w:val="left"/>
              <w:rPr/>
            </w:pPr>
            <w:r>
              <w:rPr/>
              <w:t xml:space="preserve">Assets held for sale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51"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18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88"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08" w:type="dxa"/>
            <w:tcBorders>
              <w:bottom w:val="single" w:sz="12" w:space="0" w:color="000000"/>
            </w:tcBorders>
            <w:shd w:fill="CCEEFF" w:val="clear"/>
            <w:tcMar>
              <w:bottom w:w="28" w:type="dxa"/>
            </w:tcMar>
            <w:vAlign w:val="center"/>
          </w:tcPr>
          <w:p>
            <w:pPr>
              <w:pStyle w:val="TableContents"/>
              <w:bidi w:val="0"/>
              <w:spacing w:before="0" w:after="283"/>
              <w:jc w:val="right"/>
              <w:rPr/>
            </w:pPr>
            <w:r>
              <w:rPr/>
              <w:t>6,530</w:t>
            </w:r>
          </w:p>
        </w:tc>
        <w:tc>
          <w:tcPr>
            <w:tcW w:w="23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r>
      <w:tr>
        <w:trPr/>
        <w:tc>
          <w:tcPr>
            <w:tcW w:w="7092" w:type="dxa"/>
            <w:tcBorders/>
            <w:vAlign w:val="center"/>
          </w:tcPr>
          <w:p>
            <w:pPr>
              <w:pStyle w:val="TableContents"/>
              <w:bidi w:val="0"/>
              <w:spacing w:before="0" w:after="0"/>
              <w:jc w:val="left"/>
              <w:rPr/>
            </w:pPr>
            <w:r>
              <w:rPr/>
              <w:t xml:space="preserve">Total current assets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151" w:type="dxa"/>
            <w:tcBorders/>
            <w:vAlign w:val="center"/>
          </w:tcPr>
          <w:p>
            <w:pPr>
              <w:pStyle w:val="TableContents"/>
              <w:bidi w:val="0"/>
              <w:spacing w:before="0" w:after="283"/>
              <w:jc w:val="right"/>
              <w:rPr/>
            </w:pPr>
            <w:r>
              <w:rPr/>
              <w:t>511,173</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88" w:type="dxa"/>
            <w:tcBorders/>
            <w:vAlign w:val="center"/>
          </w:tcPr>
          <w:p>
            <w:pPr>
              <w:pStyle w:val="TableContents"/>
              <w:bidi w:val="0"/>
              <w:spacing w:before="0" w:after="283"/>
              <w:jc w:val="left"/>
              <w:rPr/>
            </w:pPr>
            <w:r>
              <w:rPr/>
              <w:t> </w:t>
            </w:r>
          </w:p>
        </w:tc>
        <w:tc>
          <w:tcPr>
            <w:tcW w:w="1008" w:type="dxa"/>
            <w:tcBorders/>
            <w:vAlign w:val="center"/>
          </w:tcPr>
          <w:p>
            <w:pPr>
              <w:pStyle w:val="TableContents"/>
              <w:bidi w:val="0"/>
              <w:spacing w:before="0" w:after="283"/>
              <w:jc w:val="right"/>
              <w:rPr/>
            </w:pPr>
            <w:r>
              <w:rPr/>
              <w:t>466,512</w:t>
            </w:r>
          </w:p>
        </w:tc>
        <w:tc>
          <w:tcPr>
            <w:tcW w:w="231" w:type="dxa"/>
            <w:tcBorders/>
            <w:vAlign w:val="center"/>
          </w:tcPr>
          <w:p>
            <w:pPr>
              <w:pStyle w:val="TableContents"/>
              <w:bidi w:val="0"/>
              <w:spacing w:before="0" w:after="283"/>
              <w:jc w:val="left"/>
              <w:rPr/>
            </w:pPr>
            <w:r>
              <w:rPr/>
              <w:t> </w:t>
            </w:r>
          </w:p>
        </w:tc>
      </w:tr>
      <w:tr>
        <w:trPr/>
        <w:tc>
          <w:tcPr>
            <w:tcW w:w="7092" w:type="dxa"/>
            <w:tcBorders/>
            <w:shd w:fill="CCEEFF" w:val="clear"/>
            <w:vAlign w:val="center"/>
          </w:tcPr>
          <w:p>
            <w:pPr>
              <w:pStyle w:val="TableContents"/>
              <w:bidi w:val="0"/>
              <w:spacing w:before="0" w:after="0"/>
              <w:jc w:val="left"/>
              <w:rPr/>
            </w:pPr>
            <w:r>
              <w:rPr/>
              <w:t xml:space="preserve">Property and equipment, net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151" w:type="dxa"/>
            <w:tcBorders/>
            <w:shd w:fill="CCEEFF" w:val="clear"/>
            <w:vAlign w:val="center"/>
          </w:tcPr>
          <w:p>
            <w:pPr>
              <w:pStyle w:val="TableContents"/>
              <w:bidi w:val="0"/>
              <w:spacing w:before="0" w:after="283"/>
              <w:jc w:val="right"/>
              <w:rPr/>
            </w:pPr>
            <w:r>
              <w:rPr/>
              <w:t>65,010</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pPr>
            <w:r>
              <w:rPr/>
              <w:t> </w:t>
            </w:r>
          </w:p>
        </w:tc>
        <w:tc>
          <w:tcPr>
            <w:tcW w:w="1008" w:type="dxa"/>
            <w:tcBorders/>
            <w:shd w:fill="CCEEFF" w:val="clear"/>
            <w:vAlign w:val="center"/>
          </w:tcPr>
          <w:p>
            <w:pPr>
              <w:pStyle w:val="TableContents"/>
              <w:bidi w:val="0"/>
              <w:spacing w:before="0" w:after="283"/>
              <w:jc w:val="right"/>
              <w:rPr/>
            </w:pPr>
            <w:r>
              <w:rPr/>
              <w:t>65,057</w:t>
            </w:r>
          </w:p>
        </w:tc>
        <w:tc>
          <w:tcPr>
            <w:tcW w:w="231" w:type="dxa"/>
            <w:tcBorders/>
            <w:shd w:fill="CCEEFF" w:val="clear"/>
            <w:vAlign w:val="center"/>
          </w:tcPr>
          <w:p>
            <w:pPr>
              <w:pStyle w:val="TableContents"/>
              <w:bidi w:val="0"/>
              <w:spacing w:before="0" w:after="283"/>
              <w:jc w:val="left"/>
              <w:rPr/>
            </w:pPr>
            <w:r>
              <w:rPr/>
              <w:t> </w:t>
            </w:r>
          </w:p>
        </w:tc>
      </w:tr>
      <w:tr>
        <w:trPr/>
        <w:tc>
          <w:tcPr>
            <w:tcW w:w="7092" w:type="dxa"/>
            <w:tcBorders/>
            <w:vAlign w:val="center"/>
          </w:tcPr>
          <w:p>
            <w:pPr>
              <w:pStyle w:val="TableContents"/>
              <w:bidi w:val="0"/>
              <w:spacing w:before="0" w:after="0"/>
              <w:jc w:val="left"/>
              <w:rPr/>
            </w:pPr>
            <w:r>
              <w:rPr/>
              <w:t xml:space="preserve">Intangible assets, net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151" w:type="dxa"/>
            <w:tcBorders/>
            <w:vAlign w:val="center"/>
          </w:tcPr>
          <w:p>
            <w:pPr>
              <w:pStyle w:val="TableContents"/>
              <w:bidi w:val="0"/>
              <w:spacing w:before="0" w:after="283"/>
              <w:jc w:val="right"/>
              <w:rPr/>
            </w:pPr>
            <w:r>
              <w:rPr/>
              <w:t>630</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88" w:type="dxa"/>
            <w:tcBorders/>
            <w:vAlign w:val="center"/>
          </w:tcPr>
          <w:p>
            <w:pPr>
              <w:pStyle w:val="TableContents"/>
              <w:bidi w:val="0"/>
              <w:spacing w:before="0" w:after="283"/>
              <w:jc w:val="left"/>
              <w:rPr/>
            </w:pPr>
            <w:r>
              <w:rPr/>
              <w:t> </w:t>
            </w:r>
          </w:p>
        </w:tc>
        <w:tc>
          <w:tcPr>
            <w:tcW w:w="1008" w:type="dxa"/>
            <w:tcBorders/>
            <w:vAlign w:val="center"/>
          </w:tcPr>
          <w:p>
            <w:pPr>
              <w:pStyle w:val="TableContents"/>
              <w:bidi w:val="0"/>
              <w:spacing w:before="0" w:after="283"/>
              <w:jc w:val="right"/>
              <w:rPr/>
            </w:pPr>
            <w:r>
              <w:rPr/>
              <w:t>632</w:t>
            </w:r>
          </w:p>
        </w:tc>
        <w:tc>
          <w:tcPr>
            <w:tcW w:w="231" w:type="dxa"/>
            <w:tcBorders/>
            <w:vAlign w:val="center"/>
          </w:tcPr>
          <w:p>
            <w:pPr>
              <w:pStyle w:val="TableContents"/>
              <w:bidi w:val="0"/>
              <w:spacing w:before="0" w:after="283"/>
              <w:jc w:val="left"/>
              <w:rPr/>
            </w:pPr>
            <w:r>
              <w:rPr/>
              <w:t> </w:t>
            </w:r>
          </w:p>
        </w:tc>
      </w:tr>
      <w:tr>
        <w:trPr/>
        <w:tc>
          <w:tcPr>
            <w:tcW w:w="7092" w:type="dxa"/>
            <w:tcBorders/>
            <w:shd w:fill="CCEEFF" w:val="clear"/>
            <w:vAlign w:val="center"/>
          </w:tcPr>
          <w:p>
            <w:pPr>
              <w:pStyle w:val="TableContents"/>
              <w:bidi w:val="0"/>
              <w:spacing w:before="0" w:after="0"/>
              <w:jc w:val="left"/>
              <w:rPr/>
            </w:pPr>
            <w:r>
              <w:rPr/>
              <w:t xml:space="preserve">Goodwill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151" w:type="dxa"/>
            <w:tcBorders/>
            <w:shd w:fill="CCEEFF" w:val="clear"/>
            <w:vAlign w:val="center"/>
          </w:tcPr>
          <w:p>
            <w:pPr>
              <w:pStyle w:val="TableContents"/>
              <w:bidi w:val="0"/>
              <w:spacing w:before="0" w:after="283"/>
              <w:jc w:val="right"/>
              <w:rPr/>
            </w:pPr>
            <w:r>
              <w:rPr/>
              <w:t>3,530</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pPr>
            <w:r>
              <w:rPr/>
              <w:t> </w:t>
            </w:r>
          </w:p>
        </w:tc>
        <w:tc>
          <w:tcPr>
            <w:tcW w:w="1008" w:type="dxa"/>
            <w:tcBorders/>
            <w:shd w:fill="CCEEFF" w:val="clear"/>
            <w:vAlign w:val="center"/>
          </w:tcPr>
          <w:p>
            <w:pPr>
              <w:pStyle w:val="TableContents"/>
              <w:bidi w:val="0"/>
              <w:spacing w:before="0" w:after="283"/>
              <w:jc w:val="right"/>
              <w:rPr/>
            </w:pPr>
            <w:r>
              <w:rPr/>
              <w:t>3,530</w:t>
            </w:r>
          </w:p>
        </w:tc>
        <w:tc>
          <w:tcPr>
            <w:tcW w:w="231" w:type="dxa"/>
            <w:tcBorders/>
            <w:shd w:fill="CCEEFF" w:val="clear"/>
            <w:vAlign w:val="center"/>
          </w:tcPr>
          <w:p>
            <w:pPr>
              <w:pStyle w:val="TableContents"/>
              <w:bidi w:val="0"/>
              <w:spacing w:before="0" w:after="283"/>
              <w:jc w:val="left"/>
              <w:rPr/>
            </w:pPr>
            <w:r>
              <w:rPr/>
              <w:t> </w:t>
            </w:r>
          </w:p>
        </w:tc>
      </w:tr>
      <w:tr>
        <w:trPr/>
        <w:tc>
          <w:tcPr>
            <w:tcW w:w="7092" w:type="dxa"/>
            <w:tcBorders/>
            <w:vAlign w:val="center"/>
          </w:tcPr>
          <w:p>
            <w:pPr>
              <w:pStyle w:val="TableContents"/>
              <w:bidi w:val="0"/>
              <w:spacing w:before="0" w:after="0"/>
              <w:jc w:val="left"/>
              <w:rPr/>
            </w:pPr>
            <w:r>
              <w:rPr/>
              <w:t xml:space="preserve">Deferred tax assets, net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151" w:type="dxa"/>
            <w:tcBorders/>
            <w:vAlign w:val="center"/>
          </w:tcPr>
          <w:p>
            <w:pPr>
              <w:pStyle w:val="TableContents"/>
              <w:bidi w:val="0"/>
              <w:spacing w:before="0" w:after="283"/>
              <w:jc w:val="right"/>
              <w:rPr/>
            </w:pPr>
            <w:r>
              <w:rPr/>
              <w:t>69,969</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88" w:type="dxa"/>
            <w:tcBorders/>
            <w:vAlign w:val="center"/>
          </w:tcPr>
          <w:p>
            <w:pPr>
              <w:pStyle w:val="TableContents"/>
              <w:bidi w:val="0"/>
              <w:spacing w:before="0" w:after="283"/>
              <w:jc w:val="left"/>
              <w:rPr/>
            </w:pPr>
            <w:r>
              <w:rPr/>
              <w:t> </w:t>
            </w:r>
          </w:p>
        </w:tc>
        <w:tc>
          <w:tcPr>
            <w:tcW w:w="1008" w:type="dxa"/>
            <w:tcBorders/>
            <w:vAlign w:val="center"/>
          </w:tcPr>
          <w:p>
            <w:pPr>
              <w:pStyle w:val="TableContents"/>
              <w:bidi w:val="0"/>
              <w:spacing w:before="0" w:after="283"/>
              <w:jc w:val="right"/>
              <w:rPr/>
            </w:pPr>
            <w:r>
              <w:rPr/>
              <w:t>73,261</w:t>
            </w:r>
          </w:p>
        </w:tc>
        <w:tc>
          <w:tcPr>
            <w:tcW w:w="231" w:type="dxa"/>
            <w:tcBorders/>
            <w:vAlign w:val="center"/>
          </w:tcPr>
          <w:p>
            <w:pPr>
              <w:pStyle w:val="TableContents"/>
              <w:bidi w:val="0"/>
              <w:spacing w:before="0" w:after="283"/>
              <w:jc w:val="left"/>
              <w:rPr/>
            </w:pPr>
            <w:r>
              <w:rPr/>
              <w:t> </w:t>
            </w:r>
          </w:p>
        </w:tc>
      </w:tr>
      <w:tr>
        <w:trPr/>
        <w:tc>
          <w:tcPr>
            <w:tcW w:w="7092" w:type="dxa"/>
            <w:tcBorders/>
            <w:shd w:fill="CCEEFF" w:val="clear"/>
            <w:vAlign w:val="center"/>
          </w:tcPr>
          <w:p>
            <w:pPr>
              <w:pStyle w:val="TableContents"/>
              <w:bidi w:val="0"/>
              <w:spacing w:before="0" w:after="0"/>
              <w:jc w:val="left"/>
              <w:rPr/>
            </w:pPr>
            <w:r>
              <w:rPr/>
              <w:t xml:space="preserve">Right-of-use assets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151" w:type="dxa"/>
            <w:tcBorders/>
            <w:shd w:fill="CCEEFF" w:val="clear"/>
            <w:vAlign w:val="center"/>
          </w:tcPr>
          <w:p>
            <w:pPr>
              <w:pStyle w:val="TableContents"/>
              <w:bidi w:val="0"/>
              <w:spacing w:before="0" w:after="283"/>
              <w:jc w:val="right"/>
              <w:rPr/>
            </w:pPr>
            <w:r>
              <w:rPr/>
              <w:t>6,402</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pPr>
            <w:r>
              <w:rPr/>
              <w:t> </w:t>
            </w:r>
          </w:p>
        </w:tc>
        <w:tc>
          <w:tcPr>
            <w:tcW w:w="1008" w:type="dxa"/>
            <w:tcBorders/>
            <w:shd w:fill="CCEEFF" w:val="clear"/>
            <w:vAlign w:val="center"/>
          </w:tcPr>
          <w:p>
            <w:pPr>
              <w:pStyle w:val="TableContents"/>
              <w:bidi w:val="0"/>
              <w:spacing w:before="0" w:after="283"/>
              <w:jc w:val="right"/>
              <w:rPr/>
            </w:pPr>
            <w:r>
              <w:rPr/>
              <w:t>6,650</w:t>
            </w:r>
          </w:p>
        </w:tc>
        <w:tc>
          <w:tcPr>
            <w:tcW w:w="231" w:type="dxa"/>
            <w:tcBorders/>
            <w:shd w:fill="CCEEFF" w:val="clear"/>
            <w:vAlign w:val="center"/>
          </w:tcPr>
          <w:p>
            <w:pPr>
              <w:pStyle w:val="TableContents"/>
              <w:bidi w:val="0"/>
              <w:spacing w:before="0" w:after="283"/>
              <w:jc w:val="left"/>
              <w:rPr/>
            </w:pPr>
            <w:r>
              <w:rPr/>
              <w:t> </w:t>
            </w:r>
          </w:p>
        </w:tc>
      </w:tr>
      <w:tr>
        <w:trPr/>
        <w:tc>
          <w:tcPr>
            <w:tcW w:w="7092" w:type="dxa"/>
            <w:tcBorders/>
            <w:vAlign w:val="center"/>
          </w:tcPr>
          <w:p>
            <w:pPr>
              <w:pStyle w:val="TableContents"/>
              <w:bidi w:val="0"/>
              <w:spacing w:before="0" w:after="0"/>
              <w:jc w:val="left"/>
              <w:rPr/>
            </w:pPr>
            <w:r>
              <w:rPr/>
              <w:t xml:space="preserve">Deposits and other assets </w:t>
            </w:r>
          </w:p>
        </w:tc>
        <w:tc>
          <w:tcPr>
            <w:tcW w:w="90" w:type="dxa"/>
            <w:tcBorders/>
            <w:vAlign w:val="center"/>
          </w:tcPr>
          <w:p>
            <w:pPr>
              <w:pStyle w:val="TableContents"/>
              <w:bidi w:val="0"/>
              <w:spacing w:before="0" w:after="283"/>
              <w:jc w:val="lef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1151" w:type="dxa"/>
            <w:tcBorders>
              <w:bottom w:val="single" w:sz="12" w:space="0" w:color="000000"/>
            </w:tcBorders>
            <w:tcMar>
              <w:bottom w:w="28" w:type="dxa"/>
            </w:tcMar>
            <w:vAlign w:val="center"/>
          </w:tcPr>
          <w:p>
            <w:pPr>
              <w:pStyle w:val="TableContents"/>
              <w:bidi w:val="0"/>
              <w:spacing w:before="0" w:after="283"/>
              <w:jc w:val="right"/>
              <w:rPr/>
            </w:pPr>
            <w:r>
              <w:rPr/>
              <w:t>8,470</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right"/>
              <w:rPr/>
            </w:pPr>
            <w:r>
              <w:rPr/>
              <w:t> </w:t>
            </w:r>
          </w:p>
        </w:tc>
        <w:tc>
          <w:tcPr>
            <w:tcW w:w="188" w:type="dxa"/>
            <w:tcBorders>
              <w:bottom w:val="single" w:sz="12" w:space="0" w:color="000000"/>
            </w:tcBorders>
            <w:tcMar>
              <w:bottom w:w="28" w:type="dxa"/>
            </w:tcMar>
            <w:vAlign w:val="center"/>
          </w:tcPr>
          <w:p>
            <w:pPr>
              <w:pStyle w:val="TableContents"/>
              <w:bidi w:val="0"/>
              <w:spacing w:before="0" w:after="283"/>
              <w:jc w:val="left"/>
              <w:rPr/>
            </w:pPr>
            <w:r>
              <w:rPr/>
              <w:t> </w:t>
            </w:r>
          </w:p>
        </w:tc>
        <w:tc>
          <w:tcPr>
            <w:tcW w:w="1008" w:type="dxa"/>
            <w:tcBorders>
              <w:bottom w:val="single" w:sz="12" w:space="0" w:color="000000"/>
            </w:tcBorders>
            <w:tcMar>
              <w:bottom w:w="28" w:type="dxa"/>
            </w:tcMar>
            <w:vAlign w:val="center"/>
          </w:tcPr>
          <w:p>
            <w:pPr>
              <w:pStyle w:val="TableContents"/>
              <w:bidi w:val="0"/>
              <w:spacing w:before="0" w:after="283"/>
              <w:jc w:val="right"/>
              <w:rPr/>
            </w:pPr>
            <w:r>
              <w:rPr/>
              <w:t>8,600</w:t>
            </w:r>
          </w:p>
        </w:tc>
        <w:tc>
          <w:tcPr>
            <w:tcW w:w="231" w:type="dxa"/>
            <w:tcBorders/>
            <w:vAlign w:val="center"/>
          </w:tcPr>
          <w:p>
            <w:pPr>
              <w:pStyle w:val="TableContents"/>
              <w:bidi w:val="0"/>
              <w:spacing w:before="0" w:after="283"/>
              <w:jc w:val="left"/>
              <w:rPr/>
            </w:pPr>
            <w:r>
              <w:rPr/>
              <w:t> </w:t>
            </w:r>
          </w:p>
        </w:tc>
      </w:tr>
      <w:tr>
        <w:trPr/>
        <w:tc>
          <w:tcPr>
            <w:tcW w:w="7092" w:type="dxa"/>
            <w:tcBorders/>
            <w:shd w:fill="CCEEFF" w:val="clear"/>
            <w:vAlign w:val="center"/>
          </w:tcPr>
          <w:p>
            <w:pPr>
              <w:pStyle w:val="TableContents"/>
              <w:bidi w:val="0"/>
              <w:spacing w:before="0" w:after="0"/>
              <w:jc w:val="left"/>
              <w:rPr/>
            </w:pPr>
            <w:r>
              <w:rPr>
                <w:b/>
              </w:rPr>
              <w:t>TOTAL ASSETS</w:t>
            </w:r>
            <w:r>
              <w:rPr/>
              <w:t xml:space="preserve">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double" w:sz="8" w:space="0" w:color="000000"/>
            </w:tcBorders>
            <w:shd w:fill="CCEEFF" w:val="clear"/>
            <w:tcMar>
              <w:bottom w:w="28" w:type="dxa"/>
            </w:tcMar>
            <w:vAlign w:val="center"/>
          </w:tcPr>
          <w:p>
            <w:pPr>
              <w:pStyle w:val="TableContents"/>
              <w:bidi w:val="0"/>
              <w:spacing w:before="0" w:after="283"/>
              <w:jc w:val="left"/>
              <w:rPr/>
            </w:pPr>
            <w:r>
              <w:rPr/>
              <w:t>$</w:t>
            </w:r>
          </w:p>
        </w:tc>
        <w:tc>
          <w:tcPr>
            <w:tcW w:w="1151" w:type="dxa"/>
            <w:tcBorders>
              <w:bottom w:val="double" w:sz="8" w:space="0" w:color="000000"/>
            </w:tcBorders>
            <w:shd w:fill="CCEEFF" w:val="clear"/>
            <w:tcMar>
              <w:bottom w:w="28" w:type="dxa"/>
            </w:tcMar>
            <w:vAlign w:val="center"/>
          </w:tcPr>
          <w:p>
            <w:pPr>
              <w:pStyle w:val="TableContents"/>
              <w:bidi w:val="0"/>
              <w:spacing w:before="0" w:after="283"/>
              <w:jc w:val="right"/>
              <w:rPr/>
            </w:pPr>
            <w:r>
              <w:rPr/>
              <w:t>665,184</w:t>
            </w:r>
          </w:p>
        </w:tc>
        <w:tc>
          <w:tcPr>
            <w:tcW w:w="185" w:type="dxa"/>
            <w:tcBorders>
              <w:bottom w:val="double" w:sz="8"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88" w:type="dxa"/>
            <w:tcBorders>
              <w:bottom w:val="double" w:sz="8" w:space="0" w:color="000000"/>
            </w:tcBorders>
            <w:shd w:fill="CCEEFF" w:val="clear"/>
            <w:tcMar>
              <w:bottom w:w="28" w:type="dxa"/>
            </w:tcMar>
            <w:vAlign w:val="center"/>
          </w:tcPr>
          <w:p>
            <w:pPr>
              <w:pStyle w:val="TableContents"/>
              <w:bidi w:val="0"/>
              <w:spacing w:before="0" w:after="283"/>
              <w:jc w:val="left"/>
              <w:rPr/>
            </w:pPr>
            <w:r>
              <w:rPr/>
              <w:t>$</w:t>
            </w:r>
          </w:p>
        </w:tc>
        <w:tc>
          <w:tcPr>
            <w:tcW w:w="1008" w:type="dxa"/>
            <w:tcBorders>
              <w:bottom w:val="double" w:sz="8" w:space="0" w:color="000000"/>
            </w:tcBorders>
            <w:shd w:fill="CCEEFF" w:val="clear"/>
            <w:tcMar>
              <w:bottom w:w="28" w:type="dxa"/>
            </w:tcMar>
            <w:vAlign w:val="center"/>
          </w:tcPr>
          <w:p>
            <w:pPr>
              <w:pStyle w:val="TableContents"/>
              <w:bidi w:val="0"/>
              <w:spacing w:before="0" w:after="283"/>
              <w:jc w:val="right"/>
              <w:rPr/>
            </w:pPr>
            <w:r>
              <w:rPr/>
              <w:t>624,242</w:t>
            </w:r>
          </w:p>
        </w:tc>
        <w:tc>
          <w:tcPr>
            <w:tcW w:w="231" w:type="dxa"/>
            <w:tcBorders>
              <w:bottom w:val="double" w:sz="8" w:space="0" w:color="000000"/>
            </w:tcBorders>
            <w:shd w:fill="CCEEFF" w:val="clear"/>
            <w:tcMar>
              <w:bottom w:w="28" w:type="dxa"/>
            </w:tcMar>
            <w:vAlign w:val="center"/>
          </w:tcPr>
          <w:p>
            <w:pPr>
              <w:pStyle w:val="TableContents"/>
              <w:bidi w:val="0"/>
              <w:spacing w:before="0" w:after="283"/>
              <w:jc w:val="left"/>
              <w:rPr/>
            </w:pPr>
            <w:r>
              <w:rPr/>
              <w:t> </w:t>
            </w:r>
          </w:p>
        </w:tc>
      </w:tr>
      <w:tr>
        <w:trPr/>
        <w:tc>
          <w:tcPr>
            <w:tcW w:w="7092"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151"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88" w:type="dxa"/>
            <w:tcBorders/>
            <w:vAlign w:val="center"/>
          </w:tcPr>
          <w:p>
            <w:pPr>
              <w:pStyle w:val="TableContents"/>
              <w:bidi w:val="0"/>
              <w:spacing w:before="0" w:after="283"/>
              <w:jc w:val="left"/>
              <w:rPr/>
            </w:pPr>
            <w:r>
              <w:rPr/>
              <w:t> </w:t>
            </w:r>
          </w:p>
        </w:tc>
        <w:tc>
          <w:tcPr>
            <w:tcW w:w="1008" w:type="dxa"/>
            <w:tcBorders/>
            <w:vAlign w:val="center"/>
          </w:tcPr>
          <w:p>
            <w:pPr>
              <w:pStyle w:val="TableContents"/>
              <w:bidi w:val="0"/>
              <w:spacing w:before="0" w:after="283"/>
              <w:jc w:val="left"/>
              <w:rPr/>
            </w:pPr>
            <w:r>
              <w:rPr/>
              <w:t> </w:t>
            </w:r>
          </w:p>
        </w:tc>
        <w:tc>
          <w:tcPr>
            <w:tcW w:w="231" w:type="dxa"/>
            <w:tcBorders/>
            <w:vAlign w:val="center"/>
          </w:tcPr>
          <w:p>
            <w:pPr>
              <w:pStyle w:val="TableContents"/>
              <w:bidi w:val="0"/>
              <w:spacing w:before="0" w:after="283"/>
              <w:jc w:val="left"/>
              <w:rPr/>
            </w:pPr>
            <w:r>
              <w:rPr/>
              <w:t> </w:t>
            </w:r>
          </w:p>
        </w:tc>
      </w:tr>
      <w:tr>
        <w:trPr/>
        <w:tc>
          <w:tcPr>
            <w:tcW w:w="7092" w:type="dxa"/>
            <w:tcBorders/>
            <w:shd w:fill="CCEEFF" w:val="clear"/>
            <w:vAlign w:val="center"/>
          </w:tcPr>
          <w:p>
            <w:pPr>
              <w:pStyle w:val="TableContents"/>
              <w:bidi w:val="0"/>
              <w:spacing w:before="0" w:after="0"/>
              <w:jc w:val="left"/>
              <w:rPr>
                <w:b/>
              </w:rPr>
            </w:pPr>
            <w:r>
              <w:rPr>
                <w:b/>
              </w:rPr>
              <w:t xml:space="preserve">LIABILITIES AND STOCKHOLDERS' EQUITY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151"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pPr>
            <w:r>
              <w:rPr/>
              <w:t> </w:t>
            </w:r>
          </w:p>
        </w:tc>
        <w:tc>
          <w:tcPr>
            <w:tcW w:w="1008" w:type="dxa"/>
            <w:tcBorders/>
            <w:shd w:fill="CCEEFF" w:val="clear"/>
            <w:vAlign w:val="center"/>
          </w:tcPr>
          <w:p>
            <w:pPr>
              <w:pStyle w:val="TableContents"/>
              <w:bidi w:val="0"/>
              <w:spacing w:before="0" w:after="283"/>
              <w:jc w:val="left"/>
              <w:rPr/>
            </w:pPr>
            <w:r>
              <w:rPr/>
              <w:t> </w:t>
            </w:r>
          </w:p>
        </w:tc>
        <w:tc>
          <w:tcPr>
            <w:tcW w:w="231" w:type="dxa"/>
            <w:tcBorders/>
            <w:shd w:fill="CCEEFF" w:val="clear"/>
            <w:vAlign w:val="center"/>
          </w:tcPr>
          <w:p>
            <w:pPr>
              <w:pStyle w:val="TableContents"/>
              <w:bidi w:val="0"/>
              <w:spacing w:before="0" w:after="283"/>
              <w:jc w:val="left"/>
              <w:rPr/>
            </w:pPr>
            <w:r>
              <w:rPr/>
              <w:t> </w:t>
            </w:r>
          </w:p>
        </w:tc>
      </w:tr>
      <w:tr>
        <w:trPr/>
        <w:tc>
          <w:tcPr>
            <w:tcW w:w="7092" w:type="dxa"/>
            <w:tcBorders/>
            <w:vAlign w:val="center"/>
          </w:tcPr>
          <w:p>
            <w:pPr>
              <w:pStyle w:val="TableContents"/>
              <w:bidi w:val="0"/>
              <w:spacing w:before="0" w:after="0"/>
              <w:jc w:val="left"/>
              <w:rPr/>
            </w:pPr>
            <w:r>
              <w:rPr/>
              <w:t xml:space="preserve">Current liabilities: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151"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88" w:type="dxa"/>
            <w:tcBorders/>
            <w:vAlign w:val="center"/>
          </w:tcPr>
          <w:p>
            <w:pPr>
              <w:pStyle w:val="TableContents"/>
              <w:bidi w:val="0"/>
              <w:spacing w:before="0" w:after="283"/>
              <w:jc w:val="left"/>
              <w:rPr/>
            </w:pPr>
            <w:r>
              <w:rPr/>
              <w:t> </w:t>
            </w:r>
          </w:p>
        </w:tc>
        <w:tc>
          <w:tcPr>
            <w:tcW w:w="1008" w:type="dxa"/>
            <w:tcBorders/>
            <w:vAlign w:val="center"/>
          </w:tcPr>
          <w:p>
            <w:pPr>
              <w:pStyle w:val="TableContents"/>
              <w:bidi w:val="0"/>
              <w:spacing w:before="0" w:after="283"/>
              <w:jc w:val="left"/>
              <w:rPr/>
            </w:pPr>
            <w:r>
              <w:rPr/>
              <w:t> </w:t>
            </w:r>
          </w:p>
        </w:tc>
        <w:tc>
          <w:tcPr>
            <w:tcW w:w="231" w:type="dxa"/>
            <w:tcBorders/>
            <w:vAlign w:val="center"/>
          </w:tcPr>
          <w:p>
            <w:pPr>
              <w:pStyle w:val="TableContents"/>
              <w:bidi w:val="0"/>
              <w:spacing w:before="0" w:after="283"/>
              <w:jc w:val="left"/>
              <w:rPr/>
            </w:pPr>
            <w:r>
              <w:rPr/>
              <w:t> </w:t>
            </w:r>
          </w:p>
        </w:tc>
      </w:tr>
      <w:tr>
        <w:trPr/>
        <w:tc>
          <w:tcPr>
            <w:tcW w:w="7092" w:type="dxa"/>
            <w:tcBorders/>
            <w:shd w:fill="CCEEFF" w:val="clear"/>
            <w:vAlign w:val="center"/>
          </w:tcPr>
          <w:p>
            <w:pPr>
              <w:pStyle w:val="TableContents"/>
              <w:bidi w:val="0"/>
              <w:spacing w:before="0" w:after="0"/>
              <w:jc w:val="left"/>
              <w:rPr/>
            </w:pPr>
            <w:r>
              <w:rPr/>
              <w:t xml:space="preserve">Accounts payable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1151" w:type="dxa"/>
            <w:tcBorders/>
            <w:shd w:fill="CCEEFF" w:val="clear"/>
            <w:vAlign w:val="center"/>
          </w:tcPr>
          <w:p>
            <w:pPr>
              <w:pStyle w:val="TableContents"/>
              <w:bidi w:val="0"/>
              <w:spacing w:before="0" w:after="283"/>
              <w:jc w:val="right"/>
              <w:rPr/>
            </w:pPr>
            <w:r>
              <w:rPr/>
              <w:t>20,523</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pPr>
            <w:r>
              <w:rPr/>
              <w:t>$</w:t>
            </w:r>
          </w:p>
        </w:tc>
        <w:tc>
          <w:tcPr>
            <w:tcW w:w="1008" w:type="dxa"/>
            <w:tcBorders/>
            <w:shd w:fill="CCEEFF" w:val="clear"/>
            <w:vAlign w:val="center"/>
          </w:tcPr>
          <w:p>
            <w:pPr>
              <w:pStyle w:val="TableContents"/>
              <w:bidi w:val="0"/>
              <w:spacing w:before="0" w:after="283"/>
              <w:jc w:val="right"/>
              <w:rPr/>
            </w:pPr>
            <w:r>
              <w:rPr/>
              <w:t>22,519</w:t>
            </w:r>
          </w:p>
        </w:tc>
        <w:tc>
          <w:tcPr>
            <w:tcW w:w="231" w:type="dxa"/>
            <w:tcBorders/>
            <w:shd w:fill="CCEEFF" w:val="clear"/>
            <w:vAlign w:val="center"/>
          </w:tcPr>
          <w:p>
            <w:pPr>
              <w:pStyle w:val="TableContents"/>
              <w:bidi w:val="0"/>
              <w:spacing w:before="0" w:after="283"/>
              <w:jc w:val="left"/>
              <w:rPr/>
            </w:pPr>
            <w:r>
              <w:rPr/>
              <w:t> </w:t>
            </w:r>
          </w:p>
        </w:tc>
      </w:tr>
      <w:tr>
        <w:trPr/>
        <w:tc>
          <w:tcPr>
            <w:tcW w:w="7092" w:type="dxa"/>
            <w:tcBorders/>
            <w:vAlign w:val="center"/>
          </w:tcPr>
          <w:p>
            <w:pPr>
              <w:pStyle w:val="TableContents"/>
              <w:bidi w:val="0"/>
              <w:spacing w:before="0" w:after="0"/>
              <w:jc w:val="left"/>
              <w:rPr/>
            </w:pPr>
            <w:r>
              <w:rPr/>
              <w:t xml:space="preserve">Accrued expenses and other current liabilities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151" w:type="dxa"/>
            <w:tcBorders/>
            <w:vAlign w:val="center"/>
          </w:tcPr>
          <w:p>
            <w:pPr>
              <w:pStyle w:val="TableContents"/>
              <w:bidi w:val="0"/>
              <w:spacing w:before="0" w:after="283"/>
              <w:jc w:val="right"/>
              <w:rPr/>
            </w:pPr>
            <w:r>
              <w:rPr/>
              <w:t>48,561</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88" w:type="dxa"/>
            <w:tcBorders/>
            <w:vAlign w:val="center"/>
          </w:tcPr>
          <w:p>
            <w:pPr>
              <w:pStyle w:val="TableContents"/>
              <w:bidi w:val="0"/>
              <w:spacing w:before="0" w:after="283"/>
              <w:jc w:val="left"/>
              <w:rPr/>
            </w:pPr>
            <w:r>
              <w:rPr/>
              <w:t> </w:t>
            </w:r>
          </w:p>
        </w:tc>
        <w:tc>
          <w:tcPr>
            <w:tcW w:w="1008" w:type="dxa"/>
            <w:tcBorders/>
            <w:vAlign w:val="center"/>
          </w:tcPr>
          <w:p>
            <w:pPr>
              <w:pStyle w:val="TableContents"/>
              <w:bidi w:val="0"/>
              <w:spacing w:before="0" w:after="283"/>
              <w:jc w:val="right"/>
              <w:rPr/>
            </w:pPr>
            <w:r>
              <w:rPr/>
              <w:t>40,466</w:t>
            </w:r>
          </w:p>
        </w:tc>
        <w:tc>
          <w:tcPr>
            <w:tcW w:w="231" w:type="dxa"/>
            <w:tcBorders/>
            <w:vAlign w:val="center"/>
          </w:tcPr>
          <w:p>
            <w:pPr>
              <w:pStyle w:val="TableContents"/>
              <w:bidi w:val="0"/>
              <w:spacing w:before="0" w:after="283"/>
              <w:jc w:val="left"/>
              <w:rPr/>
            </w:pPr>
            <w:r>
              <w:rPr/>
              <w:t> </w:t>
            </w:r>
          </w:p>
        </w:tc>
      </w:tr>
      <w:tr>
        <w:trPr/>
        <w:tc>
          <w:tcPr>
            <w:tcW w:w="7092" w:type="dxa"/>
            <w:tcBorders/>
            <w:shd w:fill="CCEEFF" w:val="clear"/>
            <w:vAlign w:val="center"/>
          </w:tcPr>
          <w:p>
            <w:pPr>
              <w:pStyle w:val="TableContents"/>
              <w:bidi w:val="0"/>
              <w:spacing w:before="0" w:after="0"/>
              <w:jc w:val="left"/>
              <w:rPr/>
            </w:pPr>
            <w:r>
              <w:rPr/>
              <w:t xml:space="preserve">Current portion of long-term debt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151" w:type="dxa"/>
            <w:tcBorders/>
            <w:shd w:fill="CCEEFF" w:val="clear"/>
            <w:vAlign w:val="center"/>
          </w:tcPr>
          <w:p>
            <w:pPr>
              <w:pStyle w:val="TableContents"/>
              <w:bidi w:val="0"/>
              <w:spacing w:before="0" w:after="283"/>
              <w:jc w:val="right"/>
              <w:rPr/>
            </w:pPr>
            <w:r>
              <w:rPr/>
              <w:t>3,281</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pPr>
            <w:r>
              <w:rPr/>
              <w:t> </w:t>
            </w:r>
          </w:p>
        </w:tc>
        <w:tc>
          <w:tcPr>
            <w:tcW w:w="1008" w:type="dxa"/>
            <w:tcBorders/>
            <w:shd w:fill="CCEEFF" w:val="clear"/>
            <w:vAlign w:val="center"/>
          </w:tcPr>
          <w:p>
            <w:pPr>
              <w:pStyle w:val="TableContents"/>
              <w:bidi w:val="0"/>
              <w:spacing w:before="0" w:after="283"/>
              <w:jc w:val="right"/>
              <w:rPr/>
            </w:pPr>
            <w:r>
              <w:rPr/>
              <w:t>2,813</w:t>
            </w:r>
          </w:p>
        </w:tc>
        <w:tc>
          <w:tcPr>
            <w:tcW w:w="231" w:type="dxa"/>
            <w:tcBorders/>
            <w:shd w:fill="CCEEFF" w:val="clear"/>
            <w:vAlign w:val="center"/>
          </w:tcPr>
          <w:p>
            <w:pPr>
              <w:pStyle w:val="TableContents"/>
              <w:bidi w:val="0"/>
              <w:spacing w:before="0" w:after="283"/>
              <w:jc w:val="left"/>
              <w:rPr/>
            </w:pPr>
            <w:r>
              <w:rPr/>
              <w:t> </w:t>
            </w:r>
          </w:p>
        </w:tc>
      </w:tr>
      <w:tr>
        <w:trPr/>
        <w:tc>
          <w:tcPr>
            <w:tcW w:w="7092" w:type="dxa"/>
            <w:tcBorders/>
            <w:vAlign w:val="center"/>
          </w:tcPr>
          <w:p>
            <w:pPr>
              <w:pStyle w:val="TableContents"/>
              <w:bidi w:val="0"/>
              <w:spacing w:before="0" w:after="0"/>
              <w:jc w:val="left"/>
              <w:rPr/>
            </w:pPr>
            <w:r>
              <w:rPr/>
              <w:t xml:space="preserve">Current portion of lease obligations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151" w:type="dxa"/>
            <w:tcBorders/>
            <w:vAlign w:val="center"/>
          </w:tcPr>
          <w:p>
            <w:pPr>
              <w:pStyle w:val="TableContents"/>
              <w:bidi w:val="0"/>
              <w:spacing w:before="0" w:after="283"/>
              <w:jc w:val="right"/>
              <w:rPr/>
            </w:pPr>
            <w:r>
              <w:rPr/>
              <w:t>1,176</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88" w:type="dxa"/>
            <w:tcBorders/>
            <w:vAlign w:val="center"/>
          </w:tcPr>
          <w:p>
            <w:pPr>
              <w:pStyle w:val="TableContents"/>
              <w:bidi w:val="0"/>
              <w:spacing w:before="0" w:after="283"/>
              <w:jc w:val="left"/>
              <w:rPr/>
            </w:pPr>
            <w:r>
              <w:rPr/>
              <w:t> </w:t>
            </w:r>
          </w:p>
        </w:tc>
        <w:tc>
          <w:tcPr>
            <w:tcW w:w="1008" w:type="dxa"/>
            <w:tcBorders/>
            <w:vAlign w:val="center"/>
          </w:tcPr>
          <w:p>
            <w:pPr>
              <w:pStyle w:val="TableContents"/>
              <w:bidi w:val="0"/>
              <w:spacing w:before="0" w:after="283"/>
              <w:jc w:val="right"/>
              <w:rPr/>
            </w:pPr>
            <w:r>
              <w:rPr/>
              <w:t>1,096</w:t>
            </w:r>
          </w:p>
        </w:tc>
        <w:tc>
          <w:tcPr>
            <w:tcW w:w="231" w:type="dxa"/>
            <w:tcBorders/>
            <w:vAlign w:val="center"/>
          </w:tcPr>
          <w:p>
            <w:pPr>
              <w:pStyle w:val="TableContents"/>
              <w:bidi w:val="0"/>
              <w:spacing w:before="0" w:after="283"/>
              <w:jc w:val="left"/>
              <w:rPr/>
            </w:pPr>
            <w:r>
              <w:rPr/>
              <w:t> </w:t>
            </w:r>
          </w:p>
        </w:tc>
      </w:tr>
      <w:tr>
        <w:trPr/>
        <w:tc>
          <w:tcPr>
            <w:tcW w:w="7092" w:type="dxa"/>
            <w:tcBorders/>
            <w:shd w:fill="CCEEFF" w:val="clear"/>
            <w:vAlign w:val="center"/>
          </w:tcPr>
          <w:p>
            <w:pPr>
              <w:pStyle w:val="TableContents"/>
              <w:bidi w:val="0"/>
              <w:spacing w:before="0" w:after="0"/>
              <w:jc w:val="left"/>
              <w:rPr/>
            </w:pPr>
            <w:r>
              <w:rPr/>
              <w:t xml:space="preserve">Liabilities held for sale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51"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18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88"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08" w:type="dxa"/>
            <w:tcBorders>
              <w:bottom w:val="single" w:sz="12" w:space="0" w:color="000000"/>
            </w:tcBorders>
            <w:shd w:fill="CCEEFF" w:val="clear"/>
            <w:tcMar>
              <w:bottom w:w="28" w:type="dxa"/>
            </w:tcMar>
            <w:vAlign w:val="center"/>
          </w:tcPr>
          <w:p>
            <w:pPr>
              <w:pStyle w:val="TableContents"/>
              <w:bidi w:val="0"/>
              <w:spacing w:before="0" w:after="283"/>
              <w:jc w:val="right"/>
              <w:rPr/>
            </w:pPr>
            <w:r>
              <w:rPr/>
              <w:t>2,647</w:t>
            </w:r>
          </w:p>
        </w:tc>
        <w:tc>
          <w:tcPr>
            <w:tcW w:w="23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r>
      <w:tr>
        <w:trPr/>
        <w:tc>
          <w:tcPr>
            <w:tcW w:w="7092" w:type="dxa"/>
            <w:tcBorders/>
            <w:vAlign w:val="center"/>
          </w:tcPr>
          <w:p>
            <w:pPr>
              <w:pStyle w:val="TableContents"/>
              <w:bidi w:val="0"/>
              <w:spacing w:before="0" w:after="0"/>
              <w:jc w:val="left"/>
              <w:rPr/>
            </w:pPr>
            <w:r>
              <w:rPr/>
              <w:t xml:space="preserve">Total current liabilities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151" w:type="dxa"/>
            <w:tcBorders/>
            <w:vAlign w:val="center"/>
          </w:tcPr>
          <w:p>
            <w:pPr>
              <w:pStyle w:val="TableContents"/>
              <w:bidi w:val="0"/>
              <w:spacing w:before="0" w:after="283"/>
              <w:jc w:val="right"/>
              <w:rPr/>
            </w:pPr>
            <w:r>
              <w:rPr/>
              <w:t>73,541</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88" w:type="dxa"/>
            <w:tcBorders/>
            <w:vAlign w:val="center"/>
          </w:tcPr>
          <w:p>
            <w:pPr>
              <w:pStyle w:val="TableContents"/>
              <w:bidi w:val="0"/>
              <w:spacing w:before="0" w:after="283"/>
              <w:jc w:val="left"/>
              <w:rPr/>
            </w:pPr>
            <w:r>
              <w:rPr/>
              <w:t> </w:t>
            </w:r>
          </w:p>
        </w:tc>
        <w:tc>
          <w:tcPr>
            <w:tcW w:w="1008" w:type="dxa"/>
            <w:tcBorders/>
            <w:vAlign w:val="center"/>
          </w:tcPr>
          <w:p>
            <w:pPr>
              <w:pStyle w:val="TableContents"/>
              <w:bidi w:val="0"/>
              <w:spacing w:before="0" w:after="283"/>
              <w:jc w:val="right"/>
              <w:rPr/>
            </w:pPr>
            <w:r>
              <w:rPr/>
              <w:t>69,541</w:t>
            </w:r>
          </w:p>
        </w:tc>
        <w:tc>
          <w:tcPr>
            <w:tcW w:w="231" w:type="dxa"/>
            <w:tcBorders/>
            <w:vAlign w:val="center"/>
          </w:tcPr>
          <w:p>
            <w:pPr>
              <w:pStyle w:val="TableContents"/>
              <w:bidi w:val="0"/>
              <w:spacing w:before="0" w:after="283"/>
              <w:jc w:val="left"/>
              <w:rPr/>
            </w:pPr>
            <w:r>
              <w:rPr/>
              <w:t> </w:t>
            </w:r>
          </w:p>
        </w:tc>
      </w:tr>
      <w:tr>
        <w:trPr/>
        <w:tc>
          <w:tcPr>
            <w:tcW w:w="7092" w:type="dxa"/>
            <w:tcBorders/>
            <w:shd w:fill="CCEEFF" w:val="clear"/>
            <w:vAlign w:val="center"/>
          </w:tcPr>
          <w:p>
            <w:pPr>
              <w:pStyle w:val="TableContents"/>
              <w:bidi w:val="0"/>
              <w:spacing w:before="0" w:after="0"/>
              <w:jc w:val="left"/>
              <w:rPr/>
            </w:pPr>
            <w:r>
              <w:rPr/>
              <w:t xml:space="preserve">Long-term debt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151" w:type="dxa"/>
            <w:tcBorders/>
            <w:shd w:fill="CCEEFF" w:val="clear"/>
            <w:vAlign w:val="center"/>
          </w:tcPr>
          <w:p>
            <w:pPr>
              <w:pStyle w:val="TableContents"/>
              <w:bidi w:val="0"/>
              <w:spacing w:before="0" w:after="283"/>
              <w:jc w:val="right"/>
              <w:rPr/>
            </w:pPr>
            <w:r>
              <w:rPr/>
              <w:t>193,584</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pPr>
            <w:r>
              <w:rPr/>
              <w:t> </w:t>
            </w:r>
          </w:p>
        </w:tc>
        <w:tc>
          <w:tcPr>
            <w:tcW w:w="1008" w:type="dxa"/>
            <w:tcBorders/>
            <w:shd w:fill="CCEEFF" w:val="clear"/>
            <w:vAlign w:val="center"/>
          </w:tcPr>
          <w:p>
            <w:pPr>
              <w:pStyle w:val="TableContents"/>
              <w:bidi w:val="0"/>
              <w:spacing w:before="0" w:after="283"/>
              <w:jc w:val="right"/>
              <w:rPr/>
            </w:pPr>
            <w:r>
              <w:rPr/>
              <w:t>69,330</w:t>
            </w:r>
          </w:p>
        </w:tc>
        <w:tc>
          <w:tcPr>
            <w:tcW w:w="231" w:type="dxa"/>
            <w:tcBorders/>
            <w:shd w:fill="CCEEFF" w:val="clear"/>
            <w:vAlign w:val="center"/>
          </w:tcPr>
          <w:p>
            <w:pPr>
              <w:pStyle w:val="TableContents"/>
              <w:bidi w:val="0"/>
              <w:spacing w:before="0" w:after="283"/>
              <w:jc w:val="left"/>
              <w:rPr/>
            </w:pPr>
            <w:r>
              <w:rPr/>
              <w:t> </w:t>
            </w:r>
          </w:p>
        </w:tc>
      </w:tr>
      <w:tr>
        <w:trPr/>
        <w:tc>
          <w:tcPr>
            <w:tcW w:w="7092" w:type="dxa"/>
            <w:tcBorders/>
            <w:vAlign w:val="center"/>
          </w:tcPr>
          <w:p>
            <w:pPr>
              <w:pStyle w:val="TableContents"/>
              <w:bidi w:val="0"/>
              <w:spacing w:before="0" w:after="0"/>
              <w:jc w:val="left"/>
              <w:rPr/>
            </w:pPr>
            <w:r>
              <w:rPr/>
              <w:t xml:space="preserve">Deferred revenue, net of current portion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151" w:type="dxa"/>
            <w:tcBorders/>
            <w:vAlign w:val="center"/>
          </w:tcPr>
          <w:p>
            <w:pPr>
              <w:pStyle w:val="TableContents"/>
              <w:bidi w:val="0"/>
              <w:spacing w:before="0" w:after="283"/>
              <w:jc w:val="right"/>
              <w:rPr/>
            </w:pPr>
            <w:r>
              <w:rPr/>
              <w:t>1,369</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88" w:type="dxa"/>
            <w:tcBorders/>
            <w:vAlign w:val="center"/>
          </w:tcPr>
          <w:p>
            <w:pPr>
              <w:pStyle w:val="TableContents"/>
              <w:bidi w:val="0"/>
              <w:spacing w:before="0" w:after="283"/>
              <w:jc w:val="left"/>
              <w:rPr/>
            </w:pPr>
            <w:r>
              <w:rPr/>
              <w:t> </w:t>
            </w:r>
          </w:p>
        </w:tc>
        <w:tc>
          <w:tcPr>
            <w:tcW w:w="1008" w:type="dxa"/>
            <w:tcBorders/>
            <w:vAlign w:val="center"/>
          </w:tcPr>
          <w:p>
            <w:pPr>
              <w:pStyle w:val="TableContents"/>
              <w:bidi w:val="0"/>
              <w:spacing w:before="0" w:after="283"/>
              <w:jc w:val="right"/>
              <w:rPr/>
            </w:pPr>
            <w:r>
              <w:rPr/>
              <w:t>1,405</w:t>
            </w:r>
          </w:p>
        </w:tc>
        <w:tc>
          <w:tcPr>
            <w:tcW w:w="231" w:type="dxa"/>
            <w:tcBorders/>
            <w:vAlign w:val="center"/>
          </w:tcPr>
          <w:p>
            <w:pPr>
              <w:pStyle w:val="TableContents"/>
              <w:bidi w:val="0"/>
              <w:spacing w:before="0" w:after="283"/>
              <w:jc w:val="left"/>
              <w:rPr/>
            </w:pPr>
            <w:r>
              <w:rPr/>
              <w:t> </w:t>
            </w:r>
          </w:p>
        </w:tc>
      </w:tr>
      <w:tr>
        <w:trPr/>
        <w:tc>
          <w:tcPr>
            <w:tcW w:w="7092" w:type="dxa"/>
            <w:tcBorders/>
            <w:shd w:fill="CCEEFF" w:val="clear"/>
            <w:vAlign w:val="center"/>
          </w:tcPr>
          <w:p>
            <w:pPr>
              <w:pStyle w:val="TableContents"/>
              <w:bidi w:val="0"/>
              <w:spacing w:before="0" w:after="0"/>
              <w:jc w:val="left"/>
              <w:rPr/>
            </w:pPr>
            <w:r>
              <w:rPr/>
              <w:t xml:space="preserve">Lease obligations, net of current portion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51" w:type="dxa"/>
            <w:tcBorders>
              <w:bottom w:val="single" w:sz="12" w:space="0" w:color="000000"/>
            </w:tcBorders>
            <w:shd w:fill="CCEEFF" w:val="clear"/>
            <w:tcMar>
              <w:bottom w:w="28" w:type="dxa"/>
            </w:tcMar>
            <w:vAlign w:val="center"/>
          </w:tcPr>
          <w:p>
            <w:pPr>
              <w:pStyle w:val="TableContents"/>
              <w:bidi w:val="0"/>
              <w:spacing w:before="0" w:after="283"/>
              <w:jc w:val="right"/>
              <w:rPr/>
            </w:pPr>
            <w:r>
              <w:rPr/>
              <w:t>6,365</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88"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08" w:type="dxa"/>
            <w:tcBorders>
              <w:bottom w:val="single" w:sz="12" w:space="0" w:color="000000"/>
            </w:tcBorders>
            <w:shd w:fill="CCEEFF" w:val="clear"/>
            <w:tcMar>
              <w:bottom w:w="28" w:type="dxa"/>
            </w:tcMar>
            <w:vAlign w:val="center"/>
          </w:tcPr>
          <w:p>
            <w:pPr>
              <w:pStyle w:val="TableContents"/>
              <w:bidi w:val="0"/>
              <w:spacing w:before="0" w:after="283"/>
              <w:jc w:val="right"/>
              <w:rPr/>
            </w:pPr>
            <w:r>
              <w:rPr/>
              <w:t>6,646</w:t>
            </w:r>
          </w:p>
        </w:tc>
        <w:tc>
          <w:tcPr>
            <w:tcW w:w="231" w:type="dxa"/>
            <w:tcBorders/>
            <w:shd w:fill="CCEEFF" w:val="clear"/>
            <w:vAlign w:val="center"/>
          </w:tcPr>
          <w:p>
            <w:pPr>
              <w:pStyle w:val="TableContents"/>
              <w:bidi w:val="0"/>
              <w:spacing w:before="0" w:after="283"/>
              <w:jc w:val="left"/>
              <w:rPr/>
            </w:pPr>
            <w:r>
              <w:rPr/>
              <w:t> </w:t>
            </w:r>
          </w:p>
        </w:tc>
      </w:tr>
      <w:tr>
        <w:trPr/>
        <w:tc>
          <w:tcPr>
            <w:tcW w:w="7092" w:type="dxa"/>
            <w:tcBorders/>
            <w:vAlign w:val="center"/>
          </w:tcPr>
          <w:p>
            <w:pPr>
              <w:pStyle w:val="TableContents"/>
              <w:bidi w:val="0"/>
              <w:spacing w:before="0" w:after="0"/>
              <w:jc w:val="left"/>
              <w:rPr/>
            </w:pPr>
            <w:r>
              <w:rPr>
                <w:b/>
              </w:rPr>
              <w:t>TOTAL LIABILITIES</w:t>
            </w:r>
            <w:r>
              <w:rPr/>
              <w:t xml:space="preserve"> </w:t>
            </w:r>
          </w:p>
        </w:tc>
        <w:tc>
          <w:tcPr>
            <w:tcW w:w="90" w:type="dxa"/>
            <w:tcBorders/>
            <w:vAlign w:val="center"/>
          </w:tcPr>
          <w:p>
            <w:pPr>
              <w:pStyle w:val="TableContents"/>
              <w:bidi w:val="0"/>
              <w:spacing w:before="0" w:after="283"/>
              <w:jc w:val="lef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w:t>
            </w:r>
          </w:p>
        </w:tc>
        <w:tc>
          <w:tcPr>
            <w:tcW w:w="1151" w:type="dxa"/>
            <w:tcBorders>
              <w:bottom w:val="single" w:sz="12" w:space="0" w:color="000000"/>
            </w:tcBorders>
            <w:tcMar>
              <w:bottom w:w="28" w:type="dxa"/>
            </w:tcMar>
            <w:vAlign w:val="center"/>
          </w:tcPr>
          <w:p>
            <w:pPr>
              <w:pStyle w:val="TableContents"/>
              <w:bidi w:val="0"/>
              <w:spacing w:before="0" w:after="283"/>
              <w:jc w:val="right"/>
              <w:rPr/>
            </w:pPr>
            <w:r>
              <w:rPr/>
              <w:t>274,859</w:t>
            </w:r>
          </w:p>
        </w:tc>
        <w:tc>
          <w:tcPr>
            <w:tcW w:w="185" w:type="dxa"/>
            <w:tcBorders>
              <w:bottom w:val="single" w:sz="12" w:space="0" w:color="000000"/>
            </w:tcBorders>
            <w:tcMar>
              <w:bottom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88" w:type="dxa"/>
            <w:tcBorders>
              <w:bottom w:val="single" w:sz="12" w:space="0" w:color="000000"/>
            </w:tcBorders>
            <w:tcMar>
              <w:bottom w:w="28" w:type="dxa"/>
            </w:tcMar>
            <w:vAlign w:val="center"/>
          </w:tcPr>
          <w:p>
            <w:pPr>
              <w:pStyle w:val="TableContents"/>
              <w:bidi w:val="0"/>
              <w:spacing w:before="0" w:after="283"/>
              <w:jc w:val="left"/>
              <w:rPr/>
            </w:pPr>
            <w:r>
              <w:rPr/>
              <w:t>$</w:t>
            </w:r>
          </w:p>
        </w:tc>
        <w:tc>
          <w:tcPr>
            <w:tcW w:w="1008" w:type="dxa"/>
            <w:tcBorders>
              <w:bottom w:val="single" w:sz="12" w:space="0" w:color="000000"/>
            </w:tcBorders>
            <w:tcMar>
              <w:bottom w:w="28" w:type="dxa"/>
            </w:tcMar>
            <w:vAlign w:val="center"/>
          </w:tcPr>
          <w:p>
            <w:pPr>
              <w:pStyle w:val="TableContents"/>
              <w:bidi w:val="0"/>
              <w:spacing w:before="0" w:after="283"/>
              <w:jc w:val="right"/>
              <w:rPr/>
            </w:pPr>
            <w:r>
              <w:rPr/>
              <w:t>146,922</w:t>
            </w:r>
          </w:p>
        </w:tc>
        <w:tc>
          <w:tcPr>
            <w:tcW w:w="231" w:type="dxa"/>
            <w:tcBorders>
              <w:bottom w:val="single" w:sz="12" w:space="0" w:color="000000"/>
            </w:tcBorders>
            <w:tcMar>
              <w:bottom w:w="28" w:type="dxa"/>
            </w:tcMar>
            <w:vAlign w:val="center"/>
          </w:tcPr>
          <w:p>
            <w:pPr>
              <w:pStyle w:val="TableContents"/>
              <w:bidi w:val="0"/>
              <w:spacing w:before="0" w:after="283"/>
              <w:jc w:val="left"/>
              <w:rPr/>
            </w:pPr>
            <w:r>
              <w:rPr/>
              <w:t> </w:t>
            </w:r>
          </w:p>
        </w:tc>
      </w:tr>
      <w:tr>
        <w:trPr/>
        <w:tc>
          <w:tcPr>
            <w:tcW w:w="7092"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151"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pPr>
            <w:r>
              <w:rPr/>
              <w:t> </w:t>
            </w:r>
          </w:p>
        </w:tc>
        <w:tc>
          <w:tcPr>
            <w:tcW w:w="1008" w:type="dxa"/>
            <w:tcBorders/>
            <w:shd w:fill="CCEEFF" w:val="clear"/>
            <w:vAlign w:val="center"/>
          </w:tcPr>
          <w:p>
            <w:pPr>
              <w:pStyle w:val="TableContents"/>
              <w:bidi w:val="0"/>
              <w:spacing w:before="0" w:after="283"/>
              <w:jc w:val="left"/>
              <w:rPr/>
            </w:pPr>
            <w:r>
              <w:rPr/>
              <w:t> </w:t>
            </w:r>
          </w:p>
        </w:tc>
        <w:tc>
          <w:tcPr>
            <w:tcW w:w="231" w:type="dxa"/>
            <w:tcBorders/>
            <w:shd w:fill="CCEEFF" w:val="clear"/>
            <w:vAlign w:val="center"/>
          </w:tcPr>
          <w:p>
            <w:pPr>
              <w:pStyle w:val="TableContents"/>
              <w:bidi w:val="0"/>
              <w:spacing w:before="0" w:after="283"/>
              <w:jc w:val="left"/>
              <w:rPr/>
            </w:pPr>
            <w:r>
              <w:rPr/>
              <w:t> </w:t>
            </w:r>
          </w:p>
        </w:tc>
      </w:tr>
      <w:tr>
        <w:trPr/>
        <w:tc>
          <w:tcPr>
            <w:tcW w:w="7092" w:type="dxa"/>
            <w:tcBorders/>
            <w:vAlign w:val="center"/>
          </w:tcPr>
          <w:p>
            <w:pPr>
              <w:pStyle w:val="TableContents"/>
              <w:bidi w:val="0"/>
              <w:spacing w:before="0" w:after="0"/>
              <w:jc w:val="left"/>
              <w:rPr/>
            </w:pPr>
            <w:r>
              <w:rPr>
                <w:b/>
              </w:rPr>
              <w:t>COMMITMENTS AND CONTINGENCIES</w:t>
            </w:r>
            <w:r>
              <w:rPr/>
              <w:t xml:space="preserve">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151" w:type="dxa"/>
            <w:tcBorders/>
            <w:vAlign w:val="center"/>
          </w:tcPr>
          <w:p>
            <w:pPr>
              <w:pStyle w:val="TableContents"/>
              <w:bidi w:val="0"/>
              <w:spacing w:before="0" w:after="0"/>
              <w:jc w:val="right"/>
              <w:rPr/>
            </w:pPr>
            <w:r>
              <w:rPr/>
              <w:t>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88" w:type="dxa"/>
            <w:tcBorders/>
            <w:vAlign w:val="center"/>
          </w:tcPr>
          <w:p>
            <w:pPr>
              <w:pStyle w:val="TableContents"/>
              <w:bidi w:val="0"/>
              <w:spacing w:before="0" w:after="283"/>
              <w:jc w:val="left"/>
              <w:rPr/>
            </w:pPr>
            <w:r>
              <w:rPr/>
              <w:t> </w:t>
            </w:r>
          </w:p>
        </w:tc>
        <w:tc>
          <w:tcPr>
            <w:tcW w:w="1008" w:type="dxa"/>
            <w:tcBorders/>
            <w:vAlign w:val="center"/>
          </w:tcPr>
          <w:p>
            <w:pPr>
              <w:pStyle w:val="TableContents"/>
              <w:bidi w:val="0"/>
              <w:spacing w:before="0" w:after="0"/>
              <w:jc w:val="right"/>
              <w:rPr/>
            </w:pPr>
            <w:r>
              <w:rPr/>
              <w:t> </w:t>
            </w:r>
          </w:p>
        </w:tc>
        <w:tc>
          <w:tcPr>
            <w:tcW w:w="231" w:type="dxa"/>
            <w:tcBorders/>
            <w:vAlign w:val="center"/>
          </w:tcPr>
          <w:p>
            <w:pPr>
              <w:pStyle w:val="TableContents"/>
              <w:bidi w:val="0"/>
              <w:spacing w:before="0" w:after="283"/>
              <w:jc w:val="left"/>
              <w:rPr/>
            </w:pPr>
            <w:r>
              <w:rPr/>
              <w:t> </w:t>
            </w:r>
          </w:p>
        </w:tc>
      </w:tr>
      <w:tr>
        <w:trPr/>
        <w:tc>
          <w:tcPr>
            <w:tcW w:w="7092"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151" w:type="dxa"/>
            <w:tcBorders/>
            <w:shd w:fill="CCEEFF" w:val="clear"/>
            <w:vAlign w:val="center"/>
          </w:tcPr>
          <w:p>
            <w:pPr>
              <w:pStyle w:val="TableContents"/>
              <w:bidi w:val="0"/>
              <w:spacing w:before="0" w:after="283"/>
              <w:jc w:val="right"/>
              <w:rPr/>
            </w:pPr>
            <w:r>
              <w:rPr/>
              <w:t> </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pPr>
            <w:r>
              <w:rPr/>
              <w:t> </w:t>
            </w:r>
          </w:p>
        </w:tc>
        <w:tc>
          <w:tcPr>
            <w:tcW w:w="1008" w:type="dxa"/>
            <w:tcBorders/>
            <w:shd w:fill="CCEEFF" w:val="clear"/>
            <w:vAlign w:val="center"/>
          </w:tcPr>
          <w:p>
            <w:pPr>
              <w:pStyle w:val="TableContents"/>
              <w:bidi w:val="0"/>
              <w:spacing w:before="0" w:after="283"/>
              <w:jc w:val="right"/>
              <w:rPr/>
            </w:pPr>
            <w:r>
              <w:rPr/>
              <w:t> </w:t>
            </w:r>
          </w:p>
        </w:tc>
        <w:tc>
          <w:tcPr>
            <w:tcW w:w="231" w:type="dxa"/>
            <w:tcBorders/>
            <w:shd w:fill="CCEEFF" w:val="clear"/>
            <w:vAlign w:val="center"/>
          </w:tcPr>
          <w:p>
            <w:pPr>
              <w:pStyle w:val="TableContents"/>
              <w:bidi w:val="0"/>
              <w:spacing w:before="0" w:after="283"/>
              <w:jc w:val="left"/>
              <w:rPr/>
            </w:pPr>
            <w:r>
              <w:rPr/>
              <w:t> </w:t>
            </w:r>
          </w:p>
        </w:tc>
      </w:tr>
      <w:tr>
        <w:trPr/>
        <w:tc>
          <w:tcPr>
            <w:tcW w:w="7092" w:type="dxa"/>
            <w:tcBorders/>
            <w:vAlign w:val="center"/>
          </w:tcPr>
          <w:p>
            <w:pPr>
              <w:pStyle w:val="TableContents"/>
              <w:bidi w:val="0"/>
              <w:spacing w:before="0" w:after="0"/>
              <w:jc w:val="left"/>
              <w:rPr>
                <w:b/>
              </w:rPr>
            </w:pPr>
            <w:r>
              <w:rPr>
                <w:b/>
              </w:rPr>
              <w:t xml:space="preserve">STOCKHOLDERS' EQUITY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151"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88" w:type="dxa"/>
            <w:tcBorders/>
            <w:vAlign w:val="center"/>
          </w:tcPr>
          <w:p>
            <w:pPr>
              <w:pStyle w:val="TableContents"/>
              <w:bidi w:val="0"/>
              <w:spacing w:before="0" w:after="283"/>
              <w:jc w:val="left"/>
              <w:rPr/>
            </w:pPr>
            <w:r>
              <w:rPr/>
              <w:t> </w:t>
            </w:r>
          </w:p>
        </w:tc>
        <w:tc>
          <w:tcPr>
            <w:tcW w:w="1008" w:type="dxa"/>
            <w:tcBorders/>
            <w:vAlign w:val="center"/>
          </w:tcPr>
          <w:p>
            <w:pPr>
              <w:pStyle w:val="TableContents"/>
              <w:bidi w:val="0"/>
              <w:spacing w:before="0" w:after="283"/>
              <w:jc w:val="left"/>
              <w:rPr/>
            </w:pPr>
            <w:r>
              <w:rPr/>
              <w:t> </w:t>
            </w:r>
          </w:p>
        </w:tc>
        <w:tc>
          <w:tcPr>
            <w:tcW w:w="231" w:type="dxa"/>
            <w:tcBorders/>
            <w:vAlign w:val="center"/>
          </w:tcPr>
          <w:p>
            <w:pPr>
              <w:pStyle w:val="TableContents"/>
              <w:bidi w:val="0"/>
              <w:spacing w:before="0" w:after="283"/>
              <w:jc w:val="left"/>
              <w:rPr/>
            </w:pPr>
            <w:r>
              <w:rPr/>
              <w:t> </w:t>
            </w:r>
          </w:p>
        </w:tc>
      </w:tr>
      <w:tr>
        <w:trPr/>
        <w:tc>
          <w:tcPr>
            <w:tcW w:w="7092" w:type="dxa"/>
            <w:tcBorders/>
            <w:shd w:fill="CCEEFF" w:val="clear"/>
            <w:vAlign w:val="center"/>
          </w:tcPr>
          <w:p>
            <w:pPr>
              <w:pStyle w:val="TableContents"/>
              <w:bidi w:val="0"/>
              <w:spacing w:before="0" w:after="283"/>
              <w:jc w:val="left"/>
              <w:rPr>
                <w:spacing w:val="0"/>
              </w:rPr>
            </w:pPr>
            <w:r>
              <w:rPr>
                <w:spacing w:val="0"/>
              </w:rPr>
              <w:t>Preferred Stock, $0.0001 par value, 10,000,000 shares authorized, no shares issued and outstanding</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151" w:type="dxa"/>
            <w:tcBorders/>
            <w:shd w:fill="CCEEFF" w:val="clear"/>
            <w:vAlign w:val="center"/>
          </w:tcPr>
          <w:p>
            <w:pPr>
              <w:pStyle w:val="TableContents"/>
              <w:bidi w:val="0"/>
              <w:spacing w:before="0" w:after="283"/>
              <w:jc w:val="right"/>
              <w:rPr/>
            </w:pPr>
            <w:r>
              <w:rPr/>
              <w:t>-</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pPr>
            <w:r>
              <w:rPr/>
              <w:t> </w:t>
            </w:r>
          </w:p>
        </w:tc>
        <w:tc>
          <w:tcPr>
            <w:tcW w:w="1008" w:type="dxa"/>
            <w:tcBorders/>
            <w:shd w:fill="CCEEFF" w:val="clear"/>
            <w:vAlign w:val="center"/>
          </w:tcPr>
          <w:p>
            <w:pPr>
              <w:pStyle w:val="TableContents"/>
              <w:bidi w:val="0"/>
              <w:spacing w:before="0" w:after="283"/>
              <w:jc w:val="right"/>
              <w:rPr/>
            </w:pPr>
            <w:r>
              <w:rPr/>
              <w:t>-</w:t>
            </w:r>
          </w:p>
        </w:tc>
        <w:tc>
          <w:tcPr>
            <w:tcW w:w="231" w:type="dxa"/>
            <w:tcBorders/>
            <w:shd w:fill="CCEEFF" w:val="clear"/>
            <w:vAlign w:val="center"/>
          </w:tcPr>
          <w:p>
            <w:pPr>
              <w:pStyle w:val="TableContents"/>
              <w:bidi w:val="0"/>
              <w:spacing w:before="0" w:after="283"/>
              <w:ind w:left="0" w:right="0" w:hanging="150"/>
              <w:jc w:val="left"/>
              <w:rPr/>
            </w:pPr>
            <w:r>
              <w:rPr/>
              <w:t> </w:t>
            </w:r>
          </w:p>
        </w:tc>
      </w:tr>
      <w:tr>
        <w:trPr/>
        <w:tc>
          <w:tcPr>
            <w:tcW w:w="7092" w:type="dxa"/>
            <w:tcBorders/>
            <w:vAlign w:val="center"/>
          </w:tcPr>
          <w:p>
            <w:pPr>
              <w:pStyle w:val="TableContents"/>
              <w:bidi w:val="0"/>
              <w:spacing w:before="0" w:after="0"/>
              <w:jc w:val="left"/>
              <w:rPr/>
            </w:pPr>
            <w:r>
              <w:rPr/>
              <w:t>Common Stock - voting, $0.0001 par value, 300,000,000 shares authorized, </w:t>
            </w:r>
            <w:r>
              <w:rPr>
                <w:spacing w:val="0"/>
              </w:rPr>
              <w:t>March 31, 2026: 240,962,203 issued and 232,288,977 outstanding; December 31, 2025: 239,793,566 issued and 237,874,496 outstanding</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151" w:type="dxa"/>
            <w:tcBorders/>
            <w:vAlign w:val="center"/>
          </w:tcPr>
          <w:p>
            <w:pPr>
              <w:pStyle w:val="TableContents"/>
              <w:bidi w:val="0"/>
              <w:spacing w:before="0" w:after="283"/>
              <w:jc w:val="right"/>
              <w:rPr/>
            </w:pPr>
            <w:r>
              <w:rPr/>
              <w:t>24</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88" w:type="dxa"/>
            <w:tcBorders/>
            <w:vAlign w:val="center"/>
          </w:tcPr>
          <w:p>
            <w:pPr>
              <w:pStyle w:val="TableContents"/>
              <w:bidi w:val="0"/>
              <w:spacing w:before="0" w:after="283"/>
              <w:jc w:val="left"/>
              <w:rPr/>
            </w:pPr>
            <w:r>
              <w:rPr/>
              <w:t> </w:t>
            </w:r>
          </w:p>
        </w:tc>
        <w:tc>
          <w:tcPr>
            <w:tcW w:w="1008" w:type="dxa"/>
            <w:tcBorders/>
            <w:vAlign w:val="center"/>
          </w:tcPr>
          <w:p>
            <w:pPr>
              <w:pStyle w:val="TableContents"/>
              <w:bidi w:val="0"/>
              <w:spacing w:before="0" w:after="283"/>
              <w:jc w:val="right"/>
              <w:rPr/>
            </w:pPr>
            <w:r>
              <w:rPr/>
              <w:t>24</w:t>
            </w:r>
          </w:p>
        </w:tc>
        <w:tc>
          <w:tcPr>
            <w:tcW w:w="231" w:type="dxa"/>
            <w:tcBorders/>
            <w:vAlign w:val="center"/>
          </w:tcPr>
          <w:p>
            <w:pPr>
              <w:pStyle w:val="TableContents"/>
              <w:bidi w:val="0"/>
              <w:spacing w:before="0" w:after="283"/>
              <w:ind w:left="0" w:right="0" w:hanging="150"/>
              <w:jc w:val="left"/>
              <w:rPr/>
            </w:pPr>
            <w:r>
              <w:rPr/>
              <w:t> </w:t>
            </w:r>
          </w:p>
        </w:tc>
      </w:tr>
      <w:tr>
        <w:trPr/>
        <w:tc>
          <w:tcPr>
            <w:tcW w:w="7092" w:type="dxa"/>
            <w:tcBorders/>
            <w:shd w:fill="CCEEFF" w:val="clear"/>
            <w:vAlign w:val="center"/>
          </w:tcPr>
          <w:p>
            <w:pPr>
              <w:pStyle w:val="TableContents"/>
              <w:bidi w:val="0"/>
              <w:spacing w:before="0" w:after="0"/>
              <w:jc w:val="left"/>
              <w:rPr/>
            </w:pPr>
            <w:r>
              <w:rPr/>
              <w:t xml:space="preserve">Treasury stock, at cost, 8,673,226 and 1,919,070 shares as of March 31, 2026 and December 31, 2025, respectively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151" w:type="dxa"/>
            <w:tcBorders/>
            <w:shd w:fill="CCEEFF" w:val="clear"/>
            <w:vAlign w:val="center"/>
          </w:tcPr>
          <w:p>
            <w:pPr>
              <w:pStyle w:val="TableContents"/>
              <w:bidi w:val="0"/>
              <w:spacing w:before="0" w:after="283"/>
              <w:jc w:val="right"/>
              <w:rPr/>
            </w:pPr>
            <w:r>
              <w:rPr/>
              <w:t>(143,170</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pPr>
            <w:r>
              <w:rPr/>
              <w:t> </w:t>
            </w:r>
          </w:p>
        </w:tc>
        <w:tc>
          <w:tcPr>
            <w:tcW w:w="1008" w:type="dxa"/>
            <w:tcBorders/>
            <w:shd w:fill="CCEEFF" w:val="clear"/>
            <w:vAlign w:val="center"/>
          </w:tcPr>
          <w:p>
            <w:pPr>
              <w:pStyle w:val="TableContents"/>
              <w:bidi w:val="0"/>
              <w:spacing w:before="0" w:after="283"/>
              <w:jc w:val="right"/>
              <w:rPr/>
            </w:pPr>
            <w:r>
              <w:rPr/>
              <w:t>(32,090</w:t>
            </w:r>
          </w:p>
        </w:tc>
        <w:tc>
          <w:tcPr>
            <w:tcW w:w="231" w:type="dxa"/>
            <w:tcBorders/>
            <w:shd w:fill="CCEEFF" w:val="clear"/>
            <w:vAlign w:val="center"/>
          </w:tcPr>
          <w:p>
            <w:pPr>
              <w:pStyle w:val="TableContents"/>
              <w:bidi w:val="0"/>
              <w:spacing w:before="0" w:after="283"/>
              <w:jc w:val="left"/>
              <w:rPr/>
            </w:pPr>
            <w:r>
              <w:rPr/>
              <w:t>) </w:t>
            </w:r>
          </w:p>
        </w:tc>
      </w:tr>
      <w:tr>
        <w:trPr/>
        <w:tc>
          <w:tcPr>
            <w:tcW w:w="7092" w:type="dxa"/>
            <w:tcBorders/>
            <w:vAlign w:val="center"/>
          </w:tcPr>
          <w:p>
            <w:pPr>
              <w:pStyle w:val="TableContents"/>
              <w:bidi w:val="0"/>
              <w:spacing w:before="0" w:after="0"/>
              <w:jc w:val="left"/>
              <w:rPr/>
            </w:pPr>
            <w:r>
              <w:rPr/>
              <w:t xml:space="preserve">Additional paid-in capital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151" w:type="dxa"/>
            <w:tcBorders/>
            <w:vAlign w:val="center"/>
          </w:tcPr>
          <w:p>
            <w:pPr>
              <w:pStyle w:val="TableContents"/>
              <w:bidi w:val="0"/>
              <w:spacing w:before="0" w:after="283"/>
              <w:jc w:val="right"/>
              <w:rPr/>
            </w:pPr>
            <w:r>
              <w:rPr/>
              <w:t>649,796</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88" w:type="dxa"/>
            <w:tcBorders/>
            <w:vAlign w:val="center"/>
          </w:tcPr>
          <w:p>
            <w:pPr>
              <w:pStyle w:val="TableContents"/>
              <w:bidi w:val="0"/>
              <w:spacing w:before="0" w:after="283"/>
              <w:jc w:val="left"/>
              <w:rPr/>
            </w:pPr>
            <w:r>
              <w:rPr/>
              <w:t> </w:t>
            </w:r>
          </w:p>
        </w:tc>
        <w:tc>
          <w:tcPr>
            <w:tcW w:w="1008" w:type="dxa"/>
            <w:tcBorders/>
            <w:vAlign w:val="center"/>
          </w:tcPr>
          <w:p>
            <w:pPr>
              <w:pStyle w:val="TableContents"/>
              <w:bidi w:val="0"/>
              <w:spacing w:before="0" w:after="283"/>
              <w:jc w:val="right"/>
              <w:rPr/>
            </w:pPr>
            <w:r>
              <w:rPr/>
              <w:t>671,039</w:t>
            </w:r>
          </w:p>
        </w:tc>
        <w:tc>
          <w:tcPr>
            <w:tcW w:w="231" w:type="dxa"/>
            <w:tcBorders/>
            <w:vAlign w:val="center"/>
          </w:tcPr>
          <w:p>
            <w:pPr>
              <w:pStyle w:val="TableContents"/>
              <w:bidi w:val="0"/>
              <w:spacing w:before="0" w:after="283"/>
              <w:jc w:val="left"/>
              <w:rPr/>
            </w:pPr>
            <w:r>
              <w:rPr/>
              <w:t> </w:t>
            </w:r>
          </w:p>
        </w:tc>
      </w:tr>
      <w:tr>
        <w:trPr/>
        <w:tc>
          <w:tcPr>
            <w:tcW w:w="7092" w:type="dxa"/>
            <w:tcBorders/>
            <w:shd w:fill="CCEEFF" w:val="clear"/>
            <w:vAlign w:val="center"/>
          </w:tcPr>
          <w:p>
            <w:pPr>
              <w:pStyle w:val="TableContents"/>
              <w:bidi w:val="0"/>
              <w:spacing w:before="0" w:after="0"/>
              <w:jc w:val="left"/>
              <w:rPr/>
            </w:pPr>
            <w:r>
              <w:rPr/>
              <w:t xml:space="preserve">Accumulated deficit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51" w:type="dxa"/>
            <w:tcBorders>
              <w:bottom w:val="single" w:sz="12" w:space="0" w:color="000000"/>
            </w:tcBorders>
            <w:shd w:fill="CCEEFF" w:val="clear"/>
            <w:tcMar>
              <w:bottom w:w="28" w:type="dxa"/>
            </w:tcMar>
            <w:vAlign w:val="center"/>
          </w:tcPr>
          <w:p>
            <w:pPr>
              <w:pStyle w:val="TableContents"/>
              <w:bidi w:val="0"/>
              <w:spacing w:before="0" w:after="283"/>
              <w:jc w:val="right"/>
              <w:rPr/>
            </w:pPr>
            <w:r>
              <w:rPr/>
              <w:t>(116,325</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88"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08" w:type="dxa"/>
            <w:tcBorders>
              <w:bottom w:val="single" w:sz="12" w:space="0" w:color="000000"/>
            </w:tcBorders>
            <w:shd w:fill="CCEEFF" w:val="clear"/>
            <w:tcMar>
              <w:bottom w:w="28" w:type="dxa"/>
            </w:tcMar>
            <w:vAlign w:val="center"/>
          </w:tcPr>
          <w:p>
            <w:pPr>
              <w:pStyle w:val="TableContents"/>
              <w:bidi w:val="0"/>
              <w:spacing w:before="0" w:after="283"/>
              <w:jc w:val="right"/>
              <w:rPr/>
            </w:pPr>
            <w:r>
              <w:rPr/>
              <w:t>(161,653</w:t>
            </w:r>
          </w:p>
        </w:tc>
        <w:tc>
          <w:tcPr>
            <w:tcW w:w="231" w:type="dxa"/>
            <w:tcBorders/>
            <w:shd w:fill="CCEEFF" w:val="clear"/>
            <w:vAlign w:val="center"/>
          </w:tcPr>
          <w:p>
            <w:pPr>
              <w:pStyle w:val="TableContents"/>
              <w:bidi w:val="0"/>
              <w:spacing w:before="0" w:after="283"/>
              <w:jc w:val="left"/>
              <w:rPr/>
            </w:pPr>
            <w:r>
              <w:rPr/>
              <w:t>) </w:t>
            </w:r>
          </w:p>
        </w:tc>
      </w:tr>
      <w:tr>
        <w:trPr/>
        <w:tc>
          <w:tcPr>
            <w:tcW w:w="7092" w:type="dxa"/>
            <w:tcBorders/>
            <w:vAlign w:val="center"/>
          </w:tcPr>
          <w:p>
            <w:pPr>
              <w:pStyle w:val="TableContents"/>
              <w:bidi w:val="0"/>
              <w:spacing w:before="0" w:after="0"/>
              <w:jc w:val="left"/>
              <w:rPr>
                <w:b/>
              </w:rPr>
            </w:pPr>
            <w:r>
              <w:rPr>
                <w:b/>
              </w:rPr>
              <w:t xml:space="preserve">TOTAL STOCKHOLDERS' EQUITY </w:t>
            </w:r>
          </w:p>
        </w:tc>
        <w:tc>
          <w:tcPr>
            <w:tcW w:w="90" w:type="dxa"/>
            <w:tcBorders/>
            <w:vAlign w:val="center"/>
          </w:tcPr>
          <w:p>
            <w:pPr>
              <w:pStyle w:val="TableContents"/>
              <w:bidi w:val="0"/>
              <w:spacing w:before="0" w:after="283"/>
              <w:jc w:val="lef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1151" w:type="dxa"/>
            <w:tcBorders>
              <w:bottom w:val="single" w:sz="12" w:space="0" w:color="000000"/>
            </w:tcBorders>
            <w:tcMar>
              <w:bottom w:w="28" w:type="dxa"/>
            </w:tcMar>
            <w:vAlign w:val="center"/>
          </w:tcPr>
          <w:p>
            <w:pPr>
              <w:pStyle w:val="TableContents"/>
              <w:bidi w:val="0"/>
              <w:spacing w:before="0" w:after="283"/>
              <w:jc w:val="right"/>
              <w:rPr/>
            </w:pPr>
            <w:r>
              <w:rPr/>
              <w:t>390,325</w:t>
            </w:r>
          </w:p>
        </w:tc>
        <w:tc>
          <w:tcPr>
            <w:tcW w:w="185" w:type="dxa"/>
            <w:tcBorders>
              <w:bottom w:val="single" w:sz="12" w:space="0" w:color="000000"/>
            </w:tcBorders>
            <w:tcMar>
              <w:bottom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88" w:type="dxa"/>
            <w:tcBorders>
              <w:bottom w:val="single" w:sz="12" w:space="0" w:color="000000"/>
            </w:tcBorders>
            <w:tcMar>
              <w:bottom w:w="28" w:type="dxa"/>
            </w:tcMar>
            <w:vAlign w:val="center"/>
          </w:tcPr>
          <w:p>
            <w:pPr>
              <w:pStyle w:val="TableContents"/>
              <w:bidi w:val="0"/>
              <w:spacing w:before="0" w:after="283"/>
              <w:jc w:val="left"/>
              <w:rPr/>
            </w:pPr>
            <w:r>
              <w:rPr/>
              <w:t> </w:t>
            </w:r>
          </w:p>
        </w:tc>
        <w:tc>
          <w:tcPr>
            <w:tcW w:w="1008" w:type="dxa"/>
            <w:tcBorders>
              <w:bottom w:val="single" w:sz="12" w:space="0" w:color="000000"/>
            </w:tcBorders>
            <w:tcMar>
              <w:bottom w:w="28" w:type="dxa"/>
            </w:tcMar>
            <w:vAlign w:val="center"/>
          </w:tcPr>
          <w:p>
            <w:pPr>
              <w:pStyle w:val="TableContents"/>
              <w:bidi w:val="0"/>
              <w:spacing w:before="0" w:after="283"/>
              <w:jc w:val="right"/>
              <w:rPr/>
            </w:pPr>
            <w:r>
              <w:rPr/>
              <w:t>477,320</w:t>
            </w:r>
          </w:p>
        </w:tc>
        <w:tc>
          <w:tcPr>
            <w:tcW w:w="231" w:type="dxa"/>
            <w:tcBorders>
              <w:bottom w:val="single" w:sz="12" w:space="0" w:color="000000"/>
            </w:tcBorders>
            <w:tcMar>
              <w:bottom w:w="28" w:type="dxa"/>
            </w:tcMar>
            <w:vAlign w:val="center"/>
          </w:tcPr>
          <w:p>
            <w:pPr>
              <w:pStyle w:val="TableContents"/>
              <w:bidi w:val="0"/>
              <w:spacing w:before="0" w:after="283"/>
              <w:jc w:val="left"/>
              <w:rPr/>
            </w:pPr>
            <w:r>
              <w:rPr/>
              <w:t> </w:t>
            </w:r>
          </w:p>
        </w:tc>
      </w:tr>
      <w:tr>
        <w:trPr/>
        <w:tc>
          <w:tcPr>
            <w:tcW w:w="7092" w:type="dxa"/>
            <w:tcBorders/>
            <w:shd w:fill="CCEEFF" w:val="clear"/>
            <w:vAlign w:val="center"/>
          </w:tcPr>
          <w:p>
            <w:pPr>
              <w:pStyle w:val="TableContents"/>
              <w:bidi w:val="0"/>
              <w:spacing w:before="0" w:after="0"/>
              <w:jc w:val="left"/>
              <w:rPr>
                <w:b/>
              </w:rPr>
            </w:pPr>
            <w:r>
              <w:rPr>
                <w:b/>
              </w:rPr>
              <w:t xml:space="preserve">TOTAL LIABILITIES AND STOCKHOLDERS' EQUITY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double" w:sz="8" w:space="0" w:color="000000"/>
            </w:tcBorders>
            <w:shd w:fill="CCEEFF" w:val="clear"/>
            <w:tcMar>
              <w:bottom w:w="28" w:type="dxa"/>
            </w:tcMar>
            <w:vAlign w:val="center"/>
          </w:tcPr>
          <w:p>
            <w:pPr>
              <w:pStyle w:val="TableContents"/>
              <w:bidi w:val="0"/>
              <w:spacing w:before="0" w:after="283"/>
              <w:jc w:val="left"/>
              <w:rPr/>
            </w:pPr>
            <w:r>
              <w:rPr/>
              <w:t>$</w:t>
            </w:r>
          </w:p>
        </w:tc>
        <w:tc>
          <w:tcPr>
            <w:tcW w:w="1151" w:type="dxa"/>
            <w:tcBorders>
              <w:bottom w:val="double" w:sz="8" w:space="0" w:color="000000"/>
            </w:tcBorders>
            <w:shd w:fill="CCEEFF" w:val="clear"/>
            <w:tcMar>
              <w:bottom w:w="28" w:type="dxa"/>
            </w:tcMar>
            <w:vAlign w:val="center"/>
          </w:tcPr>
          <w:p>
            <w:pPr>
              <w:pStyle w:val="TableContents"/>
              <w:bidi w:val="0"/>
              <w:spacing w:before="0" w:after="283"/>
              <w:jc w:val="right"/>
              <w:rPr/>
            </w:pPr>
            <w:r>
              <w:rPr/>
              <w:t>665,184</w:t>
            </w:r>
          </w:p>
        </w:tc>
        <w:tc>
          <w:tcPr>
            <w:tcW w:w="185" w:type="dxa"/>
            <w:tcBorders>
              <w:bottom w:val="double" w:sz="8"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88" w:type="dxa"/>
            <w:tcBorders>
              <w:bottom w:val="double" w:sz="8" w:space="0" w:color="000000"/>
            </w:tcBorders>
            <w:shd w:fill="CCEEFF" w:val="clear"/>
            <w:tcMar>
              <w:bottom w:w="28" w:type="dxa"/>
            </w:tcMar>
            <w:vAlign w:val="center"/>
          </w:tcPr>
          <w:p>
            <w:pPr>
              <w:pStyle w:val="TableContents"/>
              <w:bidi w:val="0"/>
              <w:spacing w:before="0" w:after="283"/>
              <w:jc w:val="left"/>
              <w:rPr/>
            </w:pPr>
            <w:r>
              <w:rPr/>
              <w:t>$</w:t>
            </w:r>
          </w:p>
        </w:tc>
        <w:tc>
          <w:tcPr>
            <w:tcW w:w="1008" w:type="dxa"/>
            <w:tcBorders>
              <w:bottom w:val="double" w:sz="8" w:space="0" w:color="000000"/>
            </w:tcBorders>
            <w:shd w:fill="CCEEFF" w:val="clear"/>
            <w:tcMar>
              <w:bottom w:w="28" w:type="dxa"/>
            </w:tcMar>
            <w:vAlign w:val="center"/>
          </w:tcPr>
          <w:p>
            <w:pPr>
              <w:pStyle w:val="TableContents"/>
              <w:bidi w:val="0"/>
              <w:spacing w:before="0" w:after="283"/>
              <w:jc w:val="right"/>
              <w:rPr/>
            </w:pPr>
            <w:r>
              <w:rPr/>
              <w:t>624,242</w:t>
            </w:r>
          </w:p>
        </w:tc>
        <w:tc>
          <w:tcPr>
            <w:tcW w:w="231" w:type="dxa"/>
            <w:tcBorders>
              <w:bottom w:val="double" w:sz="8" w:space="0" w:color="000000"/>
            </w:tcBorders>
            <w:shd w:fill="CCEEFF" w:val="clear"/>
            <w:tcMar>
              <w:bottom w:w="28" w:type="dxa"/>
            </w:tcMar>
            <w:vAlign w:val="center"/>
          </w:tcPr>
          <w:p>
            <w:pPr>
              <w:pStyle w:val="TableContents"/>
              <w:bidi w:val="0"/>
              <w:spacing w:before="0" w:after="283"/>
              <w:jc w:val="left"/>
              <w:rPr/>
            </w:pPr>
            <w:r>
              <w:rPr/>
              <w:t> </w:t>
            </w:r>
          </w:p>
        </w:tc>
      </w:tr>
    </w:tbl>
    <w:p>
      <w:pPr>
        <w:pStyle w:val="TextBody"/>
        <w:bidi w:val="0"/>
        <w:spacing w:before="0" w:after="0"/>
        <w:jc w:val="both"/>
        <w:rPr/>
      </w:pPr>
      <w:r>
        <w:rPr/>
        <w:t xml:space="preserve">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The accompanying notes are an integral part of these condensed consolidated financial statements. </w:t>
      </w:r>
    </w:p>
    <w:p>
      <w:pPr>
        <w:pStyle w:val="TextBody"/>
        <w:bidi w:val="0"/>
        <w:spacing w:before="0" w:after="0"/>
        <w:ind w:left="0" w:right="0" w:hanging="0"/>
        <w:jc w:val="center"/>
        <w:rPr/>
      </w:pPr>
      <w:r>
        <w:rPr/>
        <w:t xml:space="preserve">  </w:t>
      </w:r>
    </w:p>
    <w:p>
      <w:pPr>
        <w:pStyle w:val="TextBody"/>
        <w:bidi w:val="0"/>
        <w:spacing w:before="150" w:after="15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t>1</w:t>
      </w:r>
    </w:p>
    <w:p>
      <w:pPr>
        <w:pStyle w:val="HorizontalLine"/>
        <w:bidi w:val="0"/>
        <w:spacing w:before="150" w:after="150"/>
        <w:jc w:val="left"/>
        <w:rPr/>
      </w:pPr>
      <w:r>
        <w:rPr/>
      </w:r>
    </w:p>
    <w:p>
      <w:pPr>
        <w:pStyle w:val="TextBody"/>
        <w:bidi w:val="0"/>
        <w:spacing w:before="150" w:after="150"/>
        <w:jc w:val="left"/>
        <w:rPr/>
      </w:pPr>
      <w:hyperlink w:anchor="index">
        <w:r>
          <w:rPr>
            <w:rStyle w:val="InternetLink"/>
            <w:rFonts w:ascii="TimesNewRoman;Times New Roman;Times;Baskerville;Georgia;serif" w:hAnsi="TimesNewRoman;Times New Roman;Times;Baskerville;Georgia;serif"/>
            <w:b w:val="false"/>
            <w:i/>
            <w:caps w:val="false"/>
            <w:smallCaps w:val="false"/>
            <w:strike w:val="false"/>
            <w:dstrike w:val="false"/>
            <w:sz w:val="16"/>
            <w:u w:val="none"/>
            <w:effect w:val="none"/>
          </w:rPr>
          <w:t>Index</w:t>
        </w:r>
      </w:hyperlink>
    </w:p>
    <w:p>
      <w:pPr>
        <w:pStyle w:val="TextBody"/>
        <w:bidi w:val="0"/>
        <w:spacing w:before="0" w:after="0"/>
        <w:jc w:val="center"/>
        <w:rPr>
          <w:rFonts w:ascii="Times New Roman" w:hAnsi="Times New Roman"/>
          <w:sz w:val="20"/>
        </w:rPr>
      </w:pPr>
      <w:r>
        <w:rPr>
          <w:rFonts w:ascii="Times New Roman" w:hAnsi="Times New Roman"/>
          <w:b/>
          <w:sz w:val="20"/>
        </w:rPr>
        <w:t>ADMA BIOLOGICS, INC. AND SUBSIDIARIES</w:t>
      </w:r>
      <w:r>
        <w:rPr>
          <w:rFonts w:ascii="Times New Roman" w:hAnsi="Times New Roman"/>
          <w:sz w:val="20"/>
        </w:rPr>
        <w:t xml:space="preserve"> </w:t>
      </w:r>
    </w:p>
    <w:p>
      <w:pPr>
        <w:pStyle w:val="TextBody"/>
        <w:bidi w:val="0"/>
        <w:spacing w:before="0" w:after="0"/>
        <w:jc w:val="center"/>
        <w:rPr>
          <w:rFonts w:ascii="Times New Roman" w:hAnsi="Times New Roman"/>
          <w:sz w:val="20"/>
        </w:rPr>
      </w:pPr>
      <w:bookmarkStart w:id="6" w:name="cso"/>
      <w:bookmarkEnd w:id="6"/>
      <w:r>
        <w:rPr>
          <w:rFonts w:ascii="Times New Roman" w:hAnsi="Times New Roman"/>
          <w:b/>
          <w:sz w:val="20"/>
        </w:rPr>
        <w:t>CONDENSED CONSOLIDATED STATEMENTS OF OPERATIONS</w:t>
      </w:r>
      <w:r>
        <w:rPr>
          <w:rFonts w:ascii="Times New Roman" w:hAnsi="Times New Roman"/>
          <w:sz w:val="20"/>
        </w:rPr>
        <w:t xml:space="preserve"> </w:t>
      </w:r>
    </w:p>
    <w:p>
      <w:pPr>
        <w:pStyle w:val="TextBody"/>
        <w:bidi w:val="0"/>
        <w:spacing w:before="0" w:after="0"/>
        <w:jc w:val="center"/>
        <w:rPr>
          <w:rFonts w:ascii="Times New Roman" w:hAnsi="Times New Roman"/>
          <w:sz w:val="20"/>
        </w:rPr>
      </w:pPr>
      <w:r>
        <w:rPr>
          <w:rFonts w:ascii="Times New Roman" w:hAnsi="Times New Roman"/>
          <w:b/>
          <w:sz w:val="20"/>
        </w:rPr>
        <w:t>(Unaudited)</w:t>
      </w:r>
      <w:r>
        <w:rPr>
          <w:rFonts w:ascii="Times New Roman" w:hAnsi="Times New Roman"/>
          <w:sz w:val="20"/>
        </w:rPr>
        <w:t xml:space="preserve"> </w:t>
      </w:r>
    </w:p>
    <w:p>
      <w:pPr>
        <w:pStyle w:val="TextBody"/>
        <w:bidi w:val="0"/>
        <w:spacing w:before="0" w:after="0"/>
        <w:jc w:val="center"/>
        <w:rPr/>
      </w:pPr>
      <w:r>
        <w:rPr/>
        <w:t> </w:t>
      </w:r>
    </w:p>
    <w:tbl>
      <w:tblPr>
        <w:tblW w:w="10205" w:type="dxa"/>
        <w:jc w:val="left"/>
        <w:tblInd w:w="0" w:type="dxa"/>
        <w:tblLayout w:type="fixed"/>
        <w:tblCellMar>
          <w:top w:w="0" w:type="dxa"/>
          <w:left w:w="0" w:type="dxa"/>
          <w:bottom w:w="0" w:type="dxa"/>
          <w:right w:w="0" w:type="dxa"/>
        </w:tblCellMar>
      </w:tblPr>
      <w:tblGrid>
        <w:gridCol w:w="6288"/>
        <w:gridCol w:w="90"/>
        <w:gridCol w:w="170"/>
        <w:gridCol w:w="1250"/>
        <w:gridCol w:w="185"/>
        <w:gridCol w:w="90"/>
        <w:gridCol w:w="170"/>
        <w:gridCol w:w="1745"/>
        <w:gridCol w:w="217"/>
      </w:tblGrid>
      <w:tr>
        <w:trPr/>
        <w:tc>
          <w:tcPr>
            <w:tcW w:w="6288"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250"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745" w:type="dxa"/>
            <w:tcBorders/>
            <w:vAlign w:val="center"/>
          </w:tcPr>
          <w:p>
            <w:pPr>
              <w:pStyle w:val="TableContents"/>
              <w:bidi w:val="0"/>
              <w:spacing w:before="0" w:after="283"/>
              <w:jc w:val="left"/>
              <w:rPr/>
            </w:pPr>
            <w:r>
              <w:rPr/>
              <w:t> </w:t>
            </w:r>
          </w:p>
        </w:tc>
        <w:tc>
          <w:tcPr>
            <w:tcW w:w="217" w:type="dxa"/>
            <w:tcBorders/>
            <w:vAlign w:val="center"/>
          </w:tcPr>
          <w:p>
            <w:pPr>
              <w:pStyle w:val="TableContents"/>
              <w:bidi w:val="0"/>
              <w:spacing w:before="0" w:after="283"/>
              <w:jc w:val="left"/>
              <w:rPr/>
            </w:pPr>
            <w:r>
              <w:rPr/>
              <w:t> </w:t>
            </w:r>
          </w:p>
        </w:tc>
      </w:tr>
      <w:tr>
        <w:trPr/>
        <w:tc>
          <w:tcPr>
            <w:tcW w:w="6288"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r>
          </w:p>
        </w:tc>
        <w:tc>
          <w:tcPr>
            <w:tcW w:w="3610" w:type="dxa"/>
            <w:gridSpan w:val="6"/>
            <w:tcBorders>
              <w:bottom w:val="single" w:sz="12" w:space="0" w:color="000000"/>
            </w:tcBorders>
            <w:tcMar>
              <w:bottom w:w="28" w:type="dxa"/>
            </w:tcMar>
            <w:vAlign w:val="center"/>
          </w:tcPr>
          <w:p>
            <w:pPr>
              <w:pStyle w:val="TableContents"/>
              <w:bidi w:val="0"/>
              <w:spacing w:before="0" w:after="283"/>
              <w:jc w:val="center"/>
              <w:rPr/>
            </w:pPr>
            <w:r>
              <w:rPr>
                <w:b/>
                <w:spacing w:val="0"/>
              </w:rPr>
              <w:t>Three Months Ended March 31,</w:t>
            </w:r>
            <w:r>
              <w:rPr/>
              <w:t xml:space="preserve"> </w:t>
            </w:r>
          </w:p>
        </w:tc>
        <w:tc>
          <w:tcPr>
            <w:tcW w:w="217" w:type="dxa"/>
            <w:tcBorders/>
            <w:vAlign w:val="center"/>
          </w:tcPr>
          <w:p>
            <w:pPr>
              <w:pStyle w:val="TableContents"/>
              <w:bidi w:val="0"/>
              <w:spacing w:before="0" w:after="283"/>
              <w:jc w:val="center"/>
              <w:rPr/>
            </w:pPr>
            <w:r>
              <w:rPr/>
              <w:t> </w:t>
            </w:r>
          </w:p>
        </w:tc>
      </w:tr>
      <w:tr>
        <w:trPr/>
        <w:tc>
          <w:tcPr>
            <w:tcW w:w="6288"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center"/>
              <w:rPr/>
            </w:pPr>
            <w:r>
              <w:rPr/>
              <w:t> </w:t>
            </w:r>
          </w:p>
        </w:tc>
        <w:tc>
          <w:tcPr>
            <w:tcW w:w="1420" w:type="dxa"/>
            <w:gridSpan w:val="2"/>
            <w:tcBorders>
              <w:bottom w:val="single" w:sz="12" w:space="0" w:color="000000"/>
            </w:tcBorders>
            <w:tcMar>
              <w:bottom w:w="28" w:type="dxa"/>
            </w:tcMar>
            <w:vAlign w:val="center"/>
          </w:tcPr>
          <w:p>
            <w:pPr>
              <w:pStyle w:val="TableContents"/>
              <w:bidi w:val="0"/>
              <w:spacing w:before="0" w:after="283"/>
              <w:jc w:val="center"/>
              <w:rPr/>
            </w:pPr>
            <w:r>
              <w:rPr>
                <w:b/>
              </w:rPr>
              <w:t>2026</w:t>
            </w:r>
            <w:r>
              <w:rPr/>
              <w:t xml:space="preserve"> </w:t>
            </w:r>
          </w:p>
        </w:tc>
        <w:tc>
          <w:tcPr>
            <w:tcW w:w="185"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915" w:type="dxa"/>
            <w:gridSpan w:val="2"/>
            <w:tcBorders>
              <w:bottom w:val="single" w:sz="12" w:space="0" w:color="000000"/>
            </w:tcBorders>
            <w:tcMar>
              <w:bottom w:w="28" w:type="dxa"/>
            </w:tcMar>
            <w:vAlign w:val="center"/>
          </w:tcPr>
          <w:p>
            <w:pPr>
              <w:pStyle w:val="TableContents"/>
              <w:bidi w:val="0"/>
              <w:spacing w:before="0" w:after="283"/>
              <w:jc w:val="center"/>
              <w:rPr/>
            </w:pPr>
            <w:r>
              <w:rPr>
                <w:b/>
              </w:rPr>
              <w:t>2025</w:t>
            </w:r>
            <w:r>
              <w:rPr/>
              <w:t xml:space="preserve"> </w:t>
            </w:r>
          </w:p>
        </w:tc>
        <w:tc>
          <w:tcPr>
            <w:tcW w:w="217" w:type="dxa"/>
            <w:tcBorders/>
            <w:vAlign w:val="center"/>
          </w:tcPr>
          <w:p>
            <w:pPr>
              <w:pStyle w:val="TableContents"/>
              <w:bidi w:val="0"/>
              <w:spacing w:before="0" w:after="283"/>
              <w:ind w:left="0" w:right="0" w:hanging="150"/>
              <w:jc w:val="center"/>
              <w:rPr/>
            </w:pPr>
            <w:r>
              <w:rPr/>
              <w:t> </w:t>
            </w:r>
          </w:p>
        </w:tc>
      </w:tr>
      <w:tr>
        <w:trPr/>
        <w:tc>
          <w:tcPr>
            <w:tcW w:w="6288" w:type="dxa"/>
            <w:tcBorders/>
            <w:vAlign w:val="center"/>
          </w:tcPr>
          <w:p>
            <w:pPr>
              <w:pStyle w:val="TableContents"/>
              <w:bidi w:val="0"/>
              <w:spacing w:before="0" w:after="0"/>
              <w:jc w:val="left"/>
              <w:rPr/>
            </w:pPr>
            <w:r>
              <w:rPr>
                <w:i/>
              </w:rPr>
              <w:t>(In thousands, except share and per share data)</w:t>
            </w:r>
            <w:r>
              <w:rPr/>
              <w:t xml:space="preserve"> </w:t>
            </w:r>
          </w:p>
        </w:tc>
        <w:tc>
          <w:tcPr>
            <w:tcW w:w="3917" w:type="dxa"/>
            <w:gridSpan w:val="8"/>
            <w:tcBorders/>
            <w:vAlign w:val="center"/>
          </w:tcPr>
          <w:p>
            <w:pPr>
              <w:pStyle w:val="TableContents"/>
              <w:bidi w:val="0"/>
              <w:spacing w:before="0" w:after="283"/>
              <w:ind w:left="0" w:right="0" w:hanging="150"/>
              <w:jc w:val="center"/>
              <w:rPr/>
            </w:pPr>
            <w:r>
              <w:rPr/>
              <w:t> </w:t>
            </w:r>
          </w:p>
        </w:tc>
      </w:tr>
      <w:tr>
        <w:trPr/>
        <w:tc>
          <w:tcPr>
            <w:tcW w:w="6288" w:type="dxa"/>
            <w:tcBorders/>
            <w:shd w:fill="CCEEFF" w:val="clear"/>
            <w:vAlign w:val="center"/>
          </w:tcPr>
          <w:p>
            <w:pPr>
              <w:pStyle w:val="TableContents"/>
              <w:bidi w:val="0"/>
              <w:spacing w:before="0" w:after="0"/>
              <w:jc w:val="left"/>
              <w:rPr/>
            </w:pPr>
            <w:r>
              <w:rPr>
                <w:b/>
              </w:rPr>
              <w:t>REVENUES</w:t>
            </w:r>
            <w:r>
              <w:rPr/>
              <w:t xml:space="preserve">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1250" w:type="dxa"/>
            <w:tcBorders/>
            <w:shd w:fill="CCEEFF" w:val="clear"/>
            <w:vAlign w:val="center"/>
          </w:tcPr>
          <w:p>
            <w:pPr>
              <w:pStyle w:val="TableContents"/>
              <w:bidi w:val="0"/>
              <w:spacing w:before="0" w:after="283"/>
              <w:jc w:val="right"/>
              <w:rPr/>
            </w:pPr>
            <w:r>
              <w:rPr/>
              <w:t>114,493</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1745" w:type="dxa"/>
            <w:tcBorders/>
            <w:shd w:fill="CCEEFF" w:val="clear"/>
            <w:vAlign w:val="center"/>
          </w:tcPr>
          <w:p>
            <w:pPr>
              <w:pStyle w:val="TableContents"/>
              <w:bidi w:val="0"/>
              <w:spacing w:before="0" w:after="283"/>
              <w:jc w:val="right"/>
              <w:rPr/>
            </w:pPr>
            <w:r>
              <w:rPr/>
              <w:t>114,802</w:t>
            </w:r>
          </w:p>
        </w:tc>
        <w:tc>
          <w:tcPr>
            <w:tcW w:w="217" w:type="dxa"/>
            <w:tcBorders/>
            <w:shd w:fill="CCEEFF" w:val="clear"/>
            <w:vAlign w:val="center"/>
          </w:tcPr>
          <w:p>
            <w:pPr>
              <w:pStyle w:val="TableContents"/>
              <w:bidi w:val="0"/>
              <w:spacing w:before="0" w:after="283"/>
              <w:ind w:left="0" w:right="0" w:hanging="150"/>
              <w:jc w:val="left"/>
              <w:rPr/>
            </w:pPr>
            <w:r>
              <w:rPr/>
              <w:t> </w:t>
            </w:r>
          </w:p>
        </w:tc>
      </w:tr>
      <w:tr>
        <w:trPr/>
        <w:tc>
          <w:tcPr>
            <w:tcW w:w="6288" w:type="dxa"/>
            <w:tcBorders/>
            <w:vAlign w:val="center"/>
          </w:tcPr>
          <w:p>
            <w:pPr>
              <w:pStyle w:val="TableContents"/>
              <w:bidi w:val="0"/>
              <w:spacing w:before="0" w:after="0"/>
              <w:jc w:val="left"/>
              <w:rPr/>
            </w:pPr>
            <w:r>
              <w:rPr/>
              <w:t xml:space="preserve">Cost of product revenue </w:t>
            </w:r>
          </w:p>
        </w:tc>
        <w:tc>
          <w:tcPr>
            <w:tcW w:w="90" w:type="dxa"/>
            <w:tcBorders/>
            <w:vAlign w:val="center"/>
          </w:tcPr>
          <w:p>
            <w:pPr>
              <w:pStyle w:val="TableContents"/>
              <w:bidi w:val="0"/>
              <w:spacing w:before="0" w:after="283"/>
              <w:jc w:val="lef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1250" w:type="dxa"/>
            <w:tcBorders>
              <w:bottom w:val="single" w:sz="12" w:space="0" w:color="000000"/>
            </w:tcBorders>
            <w:tcMar>
              <w:bottom w:w="28" w:type="dxa"/>
            </w:tcMar>
            <w:vAlign w:val="center"/>
          </w:tcPr>
          <w:p>
            <w:pPr>
              <w:pStyle w:val="TableContents"/>
              <w:bidi w:val="0"/>
              <w:spacing w:before="0" w:after="283"/>
              <w:jc w:val="right"/>
              <w:rPr/>
            </w:pPr>
            <w:r>
              <w:rPr/>
              <w:t>33,743</w:t>
            </w:r>
          </w:p>
        </w:tc>
        <w:tc>
          <w:tcPr>
            <w:tcW w:w="185" w:type="dxa"/>
            <w:tcBorders>
              <w:bottom w:val="single" w:sz="12" w:space="0" w:color="000000"/>
            </w:tcBorders>
            <w:tcMar>
              <w:bottom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1745" w:type="dxa"/>
            <w:tcBorders>
              <w:bottom w:val="single" w:sz="12" w:space="0" w:color="000000"/>
            </w:tcBorders>
            <w:tcMar>
              <w:bottom w:w="28" w:type="dxa"/>
            </w:tcMar>
            <w:vAlign w:val="center"/>
          </w:tcPr>
          <w:p>
            <w:pPr>
              <w:pStyle w:val="TableContents"/>
              <w:bidi w:val="0"/>
              <w:spacing w:before="0" w:after="283"/>
              <w:jc w:val="right"/>
              <w:rPr/>
            </w:pPr>
            <w:r>
              <w:rPr/>
              <w:t>53,705</w:t>
            </w:r>
          </w:p>
        </w:tc>
        <w:tc>
          <w:tcPr>
            <w:tcW w:w="217" w:type="dxa"/>
            <w:tcBorders>
              <w:bottom w:val="single" w:sz="12" w:space="0" w:color="000000"/>
            </w:tcBorders>
            <w:tcMar>
              <w:bottom w:w="28" w:type="dxa"/>
            </w:tcMar>
            <w:vAlign w:val="center"/>
          </w:tcPr>
          <w:p>
            <w:pPr>
              <w:pStyle w:val="TableContents"/>
              <w:bidi w:val="0"/>
              <w:spacing w:before="0" w:after="283"/>
              <w:ind w:left="0" w:right="0" w:hanging="150"/>
              <w:jc w:val="left"/>
              <w:rPr/>
            </w:pPr>
            <w:r>
              <w:rPr/>
              <w:t> </w:t>
            </w:r>
          </w:p>
        </w:tc>
      </w:tr>
      <w:tr>
        <w:trPr/>
        <w:tc>
          <w:tcPr>
            <w:tcW w:w="6288" w:type="dxa"/>
            <w:tcBorders/>
            <w:shd w:fill="CCEEFF" w:val="clear"/>
            <w:vAlign w:val="center"/>
          </w:tcPr>
          <w:p>
            <w:pPr>
              <w:pStyle w:val="TableContents"/>
              <w:bidi w:val="0"/>
              <w:spacing w:before="0" w:after="0"/>
              <w:jc w:val="left"/>
              <w:rPr/>
            </w:pPr>
            <w:r>
              <w:rPr>
                <w:b/>
              </w:rPr>
              <w:t>Gross profit</w:t>
            </w:r>
            <w:r>
              <w:rPr/>
              <w:t xml:space="preserve">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50" w:type="dxa"/>
            <w:tcBorders>
              <w:bottom w:val="single" w:sz="12" w:space="0" w:color="000000"/>
            </w:tcBorders>
            <w:shd w:fill="CCEEFF" w:val="clear"/>
            <w:tcMar>
              <w:bottom w:w="28" w:type="dxa"/>
            </w:tcMar>
            <w:vAlign w:val="center"/>
          </w:tcPr>
          <w:p>
            <w:pPr>
              <w:pStyle w:val="TableContents"/>
              <w:bidi w:val="0"/>
              <w:spacing w:before="0" w:after="283"/>
              <w:jc w:val="right"/>
              <w:rPr/>
            </w:pPr>
            <w:r>
              <w:rPr/>
              <w:t>80,750</w:t>
            </w:r>
          </w:p>
        </w:tc>
        <w:tc>
          <w:tcPr>
            <w:tcW w:w="18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745" w:type="dxa"/>
            <w:tcBorders>
              <w:bottom w:val="single" w:sz="12" w:space="0" w:color="000000"/>
            </w:tcBorders>
            <w:shd w:fill="CCEEFF" w:val="clear"/>
            <w:tcMar>
              <w:bottom w:w="28" w:type="dxa"/>
            </w:tcMar>
            <w:vAlign w:val="center"/>
          </w:tcPr>
          <w:p>
            <w:pPr>
              <w:pStyle w:val="TableContents"/>
              <w:bidi w:val="0"/>
              <w:spacing w:before="0" w:after="283"/>
              <w:jc w:val="right"/>
              <w:rPr/>
            </w:pPr>
            <w:r>
              <w:rPr/>
              <w:t>61,097</w:t>
            </w:r>
          </w:p>
        </w:tc>
        <w:tc>
          <w:tcPr>
            <w:tcW w:w="217" w:type="dxa"/>
            <w:tcBorders>
              <w:bottom w:val="single" w:sz="12" w:space="0" w:color="000000"/>
            </w:tcBorders>
            <w:shd w:fill="CCEEFF" w:val="clear"/>
            <w:tcMar>
              <w:bottom w:w="28" w:type="dxa"/>
            </w:tcMar>
            <w:vAlign w:val="center"/>
          </w:tcPr>
          <w:p>
            <w:pPr>
              <w:pStyle w:val="TableContents"/>
              <w:bidi w:val="0"/>
              <w:spacing w:before="0" w:after="283"/>
              <w:ind w:left="0" w:right="0" w:hanging="150"/>
              <w:jc w:val="left"/>
              <w:rPr/>
            </w:pPr>
            <w:r>
              <w:rPr/>
              <w:t> </w:t>
            </w:r>
          </w:p>
        </w:tc>
      </w:tr>
      <w:tr>
        <w:trPr/>
        <w:tc>
          <w:tcPr>
            <w:tcW w:w="6288"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right"/>
              <w:rPr/>
            </w:pPr>
            <w:r>
              <w:rPr/>
              <w:t> </w:t>
            </w:r>
          </w:p>
        </w:tc>
        <w:tc>
          <w:tcPr>
            <w:tcW w:w="1250" w:type="dxa"/>
            <w:tcBorders/>
            <w:vAlign w:val="center"/>
          </w:tcPr>
          <w:p>
            <w:pPr>
              <w:pStyle w:val="TableContents"/>
              <w:bidi w:val="0"/>
              <w:spacing w:before="0" w:after="283"/>
              <w:jc w:val="right"/>
              <w:rPr/>
            </w:pPr>
            <w:r>
              <w:rPr/>
              <w:t> </w:t>
            </w:r>
          </w:p>
        </w:tc>
        <w:tc>
          <w:tcPr>
            <w:tcW w:w="185"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right"/>
              <w:rPr/>
            </w:pPr>
            <w:r>
              <w:rPr/>
              <w:t> </w:t>
            </w:r>
          </w:p>
        </w:tc>
        <w:tc>
          <w:tcPr>
            <w:tcW w:w="1745" w:type="dxa"/>
            <w:tcBorders/>
            <w:vAlign w:val="center"/>
          </w:tcPr>
          <w:p>
            <w:pPr>
              <w:pStyle w:val="TableContents"/>
              <w:bidi w:val="0"/>
              <w:spacing w:before="0" w:after="283"/>
              <w:jc w:val="right"/>
              <w:rPr/>
            </w:pPr>
            <w:r>
              <w:rPr/>
              <w:t> </w:t>
            </w:r>
          </w:p>
        </w:tc>
        <w:tc>
          <w:tcPr>
            <w:tcW w:w="217" w:type="dxa"/>
            <w:tcBorders/>
            <w:vAlign w:val="center"/>
          </w:tcPr>
          <w:p>
            <w:pPr>
              <w:pStyle w:val="TableContents"/>
              <w:bidi w:val="0"/>
              <w:spacing w:before="0" w:after="283"/>
              <w:ind w:left="0" w:right="0" w:hanging="150"/>
              <w:jc w:val="right"/>
              <w:rPr/>
            </w:pPr>
            <w:r>
              <w:rPr/>
              <w:t> </w:t>
            </w:r>
          </w:p>
        </w:tc>
      </w:tr>
      <w:tr>
        <w:trPr/>
        <w:tc>
          <w:tcPr>
            <w:tcW w:w="6288" w:type="dxa"/>
            <w:tcBorders/>
            <w:shd w:fill="CCEEFF" w:val="clear"/>
            <w:vAlign w:val="center"/>
          </w:tcPr>
          <w:p>
            <w:pPr>
              <w:pStyle w:val="TableContents"/>
              <w:bidi w:val="0"/>
              <w:spacing w:before="0" w:after="0"/>
              <w:jc w:val="left"/>
              <w:rPr/>
            </w:pPr>
            <w:r>
              <w:rPr>
                <w:b/>
              </w:rPr>
              <w:t>OPERATING EXPENSES:</w:t>
            </w:r>
            <w:r>
              <w:rPr/>
              <w:t xml:space="preserve"> </w:t>
            </w:r>
          </w:p>
        </w:tc>
        <w:tc>
          <w:tcPr>
            <w:tcW w:w="90"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right"/>
              <w:rPr/>
            </w:pPr>
            <w:r>
              <w:rPr/>
              <w:t> </w:t>
            </w:r>
          </w:p>
        </w:tc>
        <w:tc>
          <w:tcPr>
            <w:tcW w:w="1250" w:type="dxa"/>
            <w:tcBorders/>
            <w:shd w:fill="CCEEFF" w:val="clear"/>
            <w:vAlign w:val="center"/>
          </w:tcPr>
          <w:p>
            <w:pPr>
              <w:pStyle w:val="TableContents"/>
              <w:bidi w:val="0"/>
              <w:spacing w:before="0" w:after="283"/>
              <w:jc w:val="right"/>
              <w:rPr/>
            </w:pPr>
            <w:r>
              <w:rPr/>
              <w:t> </w:t>
            </w:r>
          </w:p>
        </w:tc>
        <w:tc>
          <w:tcPr>
            <w:tcW w:w="185" w:type="dxa"/>
            <w:tcBorders/>
            <w:shd w:fill="CCEEFF" w:val="clear"/>
            <w:vAlign w:val="center"/>
          </w:tcPr>
          <w:p>
            <w:pPr>
              <w:pStyle w:val="TableContents"/>
              <w:bidi w:val="0"/>
              <w:spacing w:before="0" w:after="283"/>
              <w:jc w:val="right"/>
              <w:rPr/>
            </w:pPr>
            <w:r>
              <w:rPr/>
              <w:t> </w:t>
            </w:r>
          </w:p>
        </w:tc>
        <w:tc>
          <w:tcPr>
            <w:tcW w:w="90"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right"/>
              <w:rPr/>
            </w:pPr>
            <w:r>
              <w:rPr/>
              <w:t> </w:t>
            </w:r>
          </w:p>
        </w:tc>
        <w:tc>
          <w:tcPr>
            <w:tcW w:w="1745" w:type="dxa"/>
            <w:tcBorders/>
            <w:shd w:fill="CCEEFF" w:val="clear"/>
            <w:vAlign w:val="center"/>
          </w:tcPr>
          <w:p>
            <w:pPr>
              <w:pStyle w:val="TableContents"/>
              <w:bidi w:val="0"/>
              <w:spacing w:before="0" w:after="283"/>
              <w:jc w:val="right"/>
              <w:rPr/>
            </w:pPr>
            <w:r>
              <w:rPr/>
              <w:t> </w:t>
            </w:r>
          </w:p>
        </w:tc>
        <w:tc>
          <w:tcPr>
            <w:tcW w:w="217" w:type="dxa"/>
            <w:tcBorders/>
            <w:shd w:fill="CCEEFF" w:val="clear"/>
            <w:vAlign w:val="center"/>
          </w:tcPr>
          <w:p>
            <w:pPr>
              <w:pStyle w:val="TableContents"/>
              <w:bidi w:val="0"/>
              <w:spacing w:before="0" w:after="283"/>
              <w:ind w:left="0" w:right="0" w:hanging="150"/>
              <w:jc w:val="right"/>
              <w:rPr/>
            </w:pPr>
            <w:r>
              <w:rPr/>
              <w:t> </w:t>
            </w:r>
          </w:p>
        </w:tc>
      </w:tr>
      <w:tr>
        <w:trPr/>
        <w:tc>
          <w:tcPr>
            <w:tcW w:w="6288" w:type="dxa"/>
            <w:tcBorders/>
            <w:vAlign w:val="center"/>
          </w:tcPr>
          <w:p>
            <w:pPr>
              <w:pStyle w:val="TableContents"/>
              <w:bidi w:val="0"/>
              <w:spacing w:before="0" w:after="0"/>
              <w:jc w:val="left"/>
              <w:rPr/>
            </w:pPr>
            <w:r>
              <w:rPr/>
              <w:t xml:space="preserve">Research and development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250" w:type="dxa"/>
            <w:tcBorders/>
            <w:vAlign w:val="center"/>
          </w:tcPr>
          <w:p>
            <w:pPr>
              <w:pStyle w:val="TableContents"/>
              <w:bidi w:val="0"/>
              <w:spacing w:before="0" w:after="283"/>
              <w:jc w:val="right"/>
              <w:rPr/>
            </w:pPr>
            <w:r>
              <w:rPr/>
              <w:t>2,597</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745" w:type="dxa"/>
            <w:tcBorders/>
            <w:vAlign w:val="center"/>
          </w:tcPr>
          <w:p>
            <w:pPr>
              <w:pStyle w:val="TableContents"/>
              <w:bidi w:val="0"/>
              <w:spacing w:before="0" w:after="283"/>
              <w:jc w:val="right"/>
              <w:rPr/>
            </w:pPr>
            <w:r>
              <w:rPr/>
              <w:t>826</w:t>
            </w:r>
          </w:p>
        </w:tc>
        <w:tc>
          <w:tcPr>
            <w:tcW w:w="217" w:type="dxa"/>
            <w:tcBorders/>
            <w:vAlign w:val="center"/>
          </w:tcPr>
          <w:p>
            <w:pPr>
              <w:pStyle w:val="TableContents"/>
              <w:bidi w:val="0"/>
              <w:spacing w:before="0" w:after="283"/>
              <w:ind w:left="0" w:right="0" w:hanging="150"/>
              <w:jc w:val="left"/>
              <w:rPr/>
            </w:pPr>
            <w:r>
              <w:rPr/>
              <w:t> </w:t>
            </w:r>
          </w:p>
        </w:tc>
      </w:tr>
      <w:tr>
        <w:trPr/>
        <w:tc>
          <w:tcPr>
            <w:tcW w:w="6288" w:type="dxa"/>
            <w:tcBorders/>
            <w:shd w:fill="CCEEFF" w:val="clear"/>
            <w:vAlign w:val="center"/>
          </w:tcPr>
          <w:p>
            <w:pPr>
              <w:pStyle w:val="TableContents"/>
              <w:bidi w:val="0"/>
              <w:spacing w:before="0" w:after="0"/>
              <w:jc w:val="left"/>
              <w:rPr/>
            </w:pPr>
            <w:r>
              <w:rPr/>
              <w:t xml:space="preserve">Plasma center operating expenses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250" w:type="dxa"/>
            <w:tcBorders/>
            <w:shd w:fill="CCEEFF" w:val="clear"/>
            <w:vAlign w:val="center"/>
          </w:tcPr>
          <w:p>
            <w:pPr>
              <w:pStyle w:val="TableContents"/>
              <w:bidi w:val="0"/>
              <w:spacing w:before="0" w:after="283"/>
              <w:jc w:val="right"/>
              <w:rPr/>
            </w:pPr>
            <w:r>
              <w:rPr/>
              <w:t>1,062</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745" w:type="dxa"/>
            <w:tcBorders/>
            <w:shd w:fill="CCEEFF" w:val="clear"/>
            <w:vAlign w:val="center"/>
          </w:tcPr>
          <w:p>
            <w:pPr>
              <w:pStyle w:val="TableContents"/>
              <w:bidi w:val="0"/>
              <w:spacing w:before="0" w:after="283"/>
              <w:jc w:val="right"/>
              <w:rPr/>
            </w:pPr>
            <w:r>
              <w:rPr/>
              <w:t>1,286</w:t>
            </w:r>
          </w:p>
        </w:tc>
        <w:tc>
          <w:tcPr>
            <w:tcW w:w="217" w:type="dxa"/>
            <w:tcBorders/>
            <w:shd w:fill="CCEEFF" w:val="clear"/>
            <w:vAlign w:val="center"/>
          </w:tcPr>
          <w:p>
            <w:pPr>
              <w:pStyle w:val="TableContents"/>
              <w:bidi w:val="0"/>
              <w:spacing w:before="0" w:after="283"/>
              <w:ind w:left="0" w:right="0" w:hanging="150"/>
              <w:jc w:val="left"/>
              <w:rPr/>
            </w:pPr>
            <w:r>
              <w:rPr/>
              <w:t> </w:t>
            </w:r>
          </w:p>
        </w:tc>
      </w:tr>
      <w:tr>
        <w:trPr/>
        <w:tc>
          <w:tcPr>
            <w:tcW w:w="6288" w:type="dxa"/>
            <w:tcBorders/>
            <w:vAlign w:val="center"/>
          </w:tcPr>
          <w:p>
            <w:pPr>
              <w:pStyle w:val="TableContents"/>
              <w:bidi w:val="0"/>
              <w:spacing w:before="0" w:after="0"/>
              <w:jc w:val="left"/>
              <w:rPr/>
            </w:pPr>
            <w:r>
              <w:rPr/>
              <w:t xml:space="preserve">Amortization of intangible assets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250" w:type="dxa"/>
            <w:tcBorders/>
            <w:vAlign w:val="center"/>
          </w:tcPr>
          <w:p>
            <w:pPr>
              <w:pStyle w:val="TableContents"/>
              <w:bidi w:val="0"/>
              <w:spacing w:before="0" w:after="283"/>
              <w:jc w:val="right"/>
              <w:rPr/>
            </w:pPr>
            <w:r>
              <w:rPr/>
              <w:t>55</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745" w:type="dxa"/>
            <w:tcBorders/>
            <w:vAlign w:val="center"/>
          </w:tcPr>
          <w:p>
            <w:pPr>
              <w:pStyle w:val="TableContents"/>
              <w:bidi w:val="0"/>
              <w:spacing w:before="0" w:after="283"/>
              <w:jc w:val="right"/>
              <w:rPr/>
            </w:pPr>
            <w:r>
              <w:rPr/>
              <w:t>25</w:t>
            </w:r>
          </w:p>
        </w:tc>
        <w:tc>
          <w:tcPr>
            <w:tcW w:w="217" w:type="dxa"/>
            <w:tcBorders/>
            <w:vAlign w:val="center"/>
          </w:tcPr>
          <w:p>
            <w:pPr>
              <w:pStyle w:val="TableContents"/>
              <w:bidi w:val="0"/>
              <w:spacing w:before="0" w:after="283"/>
              <w:ind w:left="0" w:right="0" w:hanging="150"/>
              <w:jc w:val="left"/>
              <w:rPr/>
            </w:pPr>
            <w:r>
              <w:rPr/>
              <w:t> </w:t>
            </w:r>
          </w:p>
        </w:tc>
      </w:tr>
      <w:tr>
        <w:trPr/>
        <w:tc>
          <w:tcPr>
            <w:tcW w:w="6288" w:type="dxa"/>
            <w:tcBorders/>
            <w:shd w:fill="CCEEFF" w:val="clear"/>
            <w:vAlign w:val="center"/>
          </w:tcPr>
          <w:p>
            <w:pPr>
              <w:pStyle w:val="TableContents"/>
              <w:bidi w:val="0"/>
              <w:spacing w:before="0" w:after="0"/>
              <w:jc w:val="left"/>
              <w:rPr/>
            </w:pPr>
            <w:r>
              <w:rPr/>
              <w:t xml:space="preserve">Gain on sale of plasma centers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250" w:type="dxa"/>
            <w:tcBorders/>
            <w:shd w:fill="CCEEFF" w:val="clear"/>
            <w:vAlign w:val="center"/>
          </w:tcPr>
          <w:p>
            <w:pPr>
              <w:pStyle w:val="TableContents"/>
              <w:bidi w:val="0"/>
              <w:spacing w:before="0" w:after="283"/>
              <w:jc w:val="right"/>
              <w:rPr/>
            </w:pPr>
            <w:r>
              <w:rPr/>
              <w:t>(7,980</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745" w:type="dxa"/>
            <w:tcBorders/>
            <w:shd w:fill="CCEEFF" w:val="clear"/>
            <w:vAlign w:val="center"/>
          </w:tcPr>
          <w:p>
            <w:pPr>
              <w:pStyle w:val="TableContents"/>
              <w:bidi w:val="0"/>
              <w:spacing w:before="0" w:after="283"/>
              <w:jc w:val="right"/>
              <w:rPr/>
            </w:pPr>
            <w:r>
              <w:rPr/>
              <w:t>                           </w:t>
            </w:r>
            <w:r>
              <w:rPr/>
              <w:t>-</w:t>
            </w:r>
          </w:p>
        </w:tc>
        <w:tc>
          <w:tcPr>
            <w:tcW w:w="217" w:type="dxa"/>
            <w:tcBorders/>
            <w:shd w:fill="CCEEFF" w:val="clear"/>
            <w:vAlign w:val="center"/>
          </w:tcPr>
          <w:p>
            <w:pPr>
              <w:pStyle w:val="TableContents"/>
              <w:bidi w:val="0"/>
              <w:spacing w:before="0" w:after="283"/>
              <w:ind w:left="0" w:right="0" w:hanging="150"/>
              <w:jc w:val="left"/>
              <w:rPr/>
            </w:pPr>
            <w:r>
              <w:rPr/>
              <w:t> </w:t>
            </w:r>
          </w:p>
        </w:tc>
      </w:tr>
      <w:tr>
        <w:trPr/>
        <w:tc>
          <w:tcPr>
            <w:tcW w:w="6288" w:type="dxa"/>
            <w:tcBorders/>
            <w:vAlign w:val="center"/>
          </w:tcPr>
          <w:p>
            <w:pPr>
              <w:pStyle w:val="TableContents"/>
              <w:bidi w:val="0"/>
              <w:spacing w:before="0" w:after="0"/>
              <w:jc w:val="left"/>
              <w:rPr/>
            </w:pPr>
            <w:r>
              <w:rPr/>
              <w:t xml:space="preserve">Selling, general and administrative </w:t>
            </w:r>
          </w:p>
        </w:tc>
        <w:tc>
          <w:tcPr>
            <w:tcW w:w="90" w:type="dxa"/>
            <w:tcBorders/>
            <w:vAlign w:val="center"/>
          </w:tcPr>
          <w:p>
            <w:pPr>
              <w:pStyle w:val="TableContents"/>
              <w:bidi w:val="0"/>
              <w:spacing w:before="0" w:after="283"/>
              <w:jc w:val="lef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1250" w:type="dxa"/>
            <w:tcBorders>
              <w:bottom w:val="single" w:sz="12" w:space="0" w:color="000000"/>
            </w:tcBorders>
            <w:tcMar>
              <w:bottom w:w="28" w:type="dxa"/>
            </w:tcMar>
            <w:vAlign w:val="center"/>
          </w:tcPr>
          <w:p>
            <w:pPr>
              <w:pStyle w:val="TableContents"/>
              <w:bidi w:val="0"/>
              <w:spacing w:before="0" w:after="283"/>
              <w:jc w:val="right"/>
              <w:rPr/>
            </w:pPr>
            <w:r>
              <w:rPr/>
              <w:t>26,742</w:t>
            </w:r>
          </w:p>
        </w:tc>
        <w:tc>
          <w:tcPr>
            <w:tcW w:w="185" w:type="dxa"/>
            <w:tcBorders>
              <w:bottom w:val="single" w:sz="12" w:space="0" w:color="000000"/>
            </w:tcBorders>
            <w:tcMar>
              <w:bottom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1745" w:type="dxa"/>
            <w:tcBorders>
              <w:bottom w:val="single" w:sz="12" w:space="0" w:color="000000"/>
            </w:tcBorders>
            <w:tcMar>
              <w:bottom w:w="28" w:type="dxa"/>
            </w:tcMar>
            <w:vAlign w:val="center"/>
          </w:tcPr>
          <w:p>
            <w:pPr>
              <w:pStyle w:val="TableContents"/>
              <w:bidi w:val="0"/>
              <w:spacing w:before="0" w:after="283"/>
              <w:jc w:val="right"/>
              <w:rPr/>
            </w:pPr>
            <w:r>
              <w:rPr/>
              <w:t>24,079</w:t>
            </w:r>
          </w:p>
        </w:tc>
        <w:tc>
          <w:tcPr>
            <w:tcW w:w="217" w:type="dxa"/>
            <w:tcBorders>
              <w:bottom w:val="single" w:sz="12" w:space="0" w:color="000000"/>
            </w:tcBorders>
            <w:tcMar>
              <w:bottom w:w="28" w:type="dxa"/>
            </w:tcMar>
            <w:vAlign w:val="center"/>
          </w:tcPr>
          <w:p>
            <w:pPr>
              <w:pStyle w:val="TableContents"/>
              <w:bidi w:val="0"/>
              <w:spacing w:before="0" w:after="283"/>
              <w:ind w:left="0" w:right="0" w:hanging="150"/>
              <w:jc w:val="left"/>
              <w:rPr/>
            </w:pPr>
            <w:r>
              <w:rPr/>
              <w:t> </w:t>
            </w:r>
          </w:p>
        </w:tc>
      </w:tr>
      <w:tr>
        <w:trPr/>
        <w:tc>
          <w:tcPr>
            <w:tcW w:w="6288" w:type="dxa"/>
            <w:tcBorders/>
            <w:shd w:fill="CCEEFF" w:val="clear"/>
            <w:vAlign w:val="center"/>
          </w:tcPr>
          <w:p>
            <w:pPr>
              <w:pStyle w:val="TableContents"/>
              <w:bidi w:val="0"/>
              <w:spacing w:before="0" w:after="0"/>
              <w:jc w:val="left"/>
              <w:rPr/>
            </w:pPr>
            <w:r>
              <w:rPr>
                <w:b/>
              </w:rPr>
              <w:t>Total operating expenses</w:t>
            </w:r>
            <w:r>
              <w:rPr/>
              <w:t xml:space="preserve"> </w:t>
            </w:r>
          </w:p>
        </w:tc>
        <w:tc>
          <w:tcPr>
            <w:tcW w:w="90" w:type="dxa"/>
            <w:tcBorders/>
            <w:shd w:fill="CCEEFF" w:val="clear"/>
            <w:vAlign w:val="center"/>
          </w:tcPr>
          <w:p>
            <w:pPr>
              <w:pStyle w:val="TableContents"/>
              <w:bidi w:val="0"/>
              <w:spacing w:before="0" w:after="283"/>
              <w:jc w:val="righ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50" w:type="dxa"/>
            <w:tcBorders>
              <w:bottom w:val="single" w:sz="12" w:space="0" w:color="000000"/>
            </w:tcBorders>
            <w:shd w:fill="CCEEFF" w:val="clear"/>
            <w:tcMar>
              <w:bottom w:w="28" w:type="dxa"/>
            </w:tcMar>
            <w:vAlign w:val="center"/>
          </w:tcPr>
          <w:p>
            <w:pPr>
              <w:pStyle w:val="TableContents"/>
              <w:bidi w:val="0"/>
              <w:spacing w:before="0" w:after="283"/>
              <w:jc w:val="right"/>
              <w:rPr/>
            </w:pPr>
            <w:r>
              <w:rPr/>
              <w:t>22,476</w:t>
            </w:r>
          </w:p>
        </w:tc>
        <w:tc>
          <w:tcPr>
            <w:tcW w:w="18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righ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745" w:type="dxa"/>
            <w:tcBorders>
              <w:bottom w:val="single" w:sz="12" w:space="0" w:color="000000"/>
            </w:tcBorders>
            <w:shd w:fill="CCEEFF" w:val="clear"/>
            <w:tcMar>
              <w:bottom w:w="28" w:type="dxa"/>
            </w:tcMar>
            <w:vAlign w:val="center"/>
          </w:tcPr>
          <w:p>
            <w:pPr>
              <w:pStyle w:val="TableContents"/>
              <w:bidi w:val="0"/>
              <w:spacing w:before="0" w:after="283"/>
              <w:jc w:val="right"/>
              <w:rPr/>
            </w:pPr>
            <w:r>
              <w:rPr/>
              <w:t>26,216</w:t>
            </w:r>
          </w:p>
        </w:tc>
        <w:tc>
          <w:tcPr>
            <w:tcW w:w="217" w:type="dxa"/>
            <w:tcBorders>
              <w:bottom w:val="single" w:sz="12" w:space="0" w:color="000000"/>
            </w:tcBorders>
            <w:shd w:fill="CCEEFF" w:val="clear"/>
            <w:tcMar>
              <w:bottom w:w="28" w:type="dxa"/>
            </w:tcMar>
            <w:vAlign w:val="center"/>
          </w:tcPr>
          <w:p>
            <w:pPr>
              <w:pStyle w:val="TableContents"/>
              <w:bidi w:val="0"/>
              <w:spacing w:before="0" w:after="283"/>
              <w:ind w:left="0" w:right="0" w:hanging="150"/>
              <w:jc w:val="left"/>
              <w:rPr/>
            </w:pPr>
            <w:r>
              <w:rPr/>
              <w:t> </w:t>
            </w:r>
          </w:p>
        </w:tc>
      </w:tr>
      <w:tr>
        <w:trPr/>
        <w:tc>
          <w:tcPr>
            <w:tcW w:w="6288"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right"/>
              <w:rPr/>
            </w:pPr>
            <w:r>
              <w:rPr/>
              <w:t> </w:t>
            </w:r>
          </w:p>
        </w:tc>
        <w:tc>
          <w:tcPr>
            <w:tcW w:w="1250" w:type="dxa"/>
            <w:tcBorders/>
            <w:vAlign w:val="center"/>
          </w:tcPr>
          <w:p>
            <w:pPr>
              <w:pStyle w:val="TableContents"/>
              <w:bidi w:val="0"/>
              <w:spacing w:before="0" w:after="283"/>
              <w:jc w:val="right"/>
              <w:rPr/>
            </w:pPr>
            <w:r>
              <w:rPr/>
              <w:t> </w:t>
            </w:r>
          </w:p>
        </w:tc>
        <w:tc>
          <w:tcPr>
            <w:tcW w:w="185"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right"/>
              <w:rPr/>
            </w:pPr>
            <w:r>
              <w:rPr/>
              <w:t> </w:t>
            </w:r>
          </w:p>
        </w:tc>
        <w:tc>
          <w:tcPr>
            <w:tcW w:w="1745" w:type="dxa"/>
            <w:tcBorders/>
            <w:vAlign w:val="center"/>
          </w:tcPr>
          <w:p>
            <w:pPr>
              <w:pStyle w:val="TableContents"/>
              <w:bidi w:val="0"/>
              <w:spacing w:before="0" w:after="283"/>
              <w:jc w:val="right"/>
              <w:rPr/>
            </w:pPr>
            <w:r>
              <w:rPr/>
              <w:t> </w:t>
            </w:r>
          </w:p>
        </w:tc>
        <w:tc>
          <w:tcPr>
            <w:tcW w:w="217" w:type="dxa"/>
            <w:tcBorders/>
            <w:vAlign w:val="center"/>
          </w:tcPr>
          <w:p>
            <w:pPr>
              <w:pStyle w:val="TableContents"/>
              <w:bidi w:val="0"/>
              <w:spacing w:before="0" w:after="283"/>
              <w:ind w:left="0" w:right="0" w:hanging="150"/>
              <w:jc w:val="right"/>
              <w:rPr/>
            </w:pPr>
            <w:r>
              <w:rPr/>
              <w:t> </w:t>
            </w:r>
          </w:p>
        </w:tc>
      </w:tr>
      <w:tr>
        <w:trPr/>
        <w:tc>
          <w:tcPr>
            <w:tcW w:w="6288" w:type="dxa"/>
            <w:tcBorders/>
            <w:shd w:fill="CCEEFF" w:val="clear"/>
            <w:vAlign w:val="center"/>
          </w:tcPr>
          <w:p>
            <w:pPr>
              <w:pStyle w:val="TableContents"/>
              <w:bidi w:val="0"/>
              <w:spacing w:before="0" w:after="0"/>
              <w:jc w:val="left"/>
              <w:rPr/>
            </w:pPr>
            <w:r>
              <w:rPr>
                <w:b/>
              </w:rPr>
              <w:t>INCOME FROM OPERATIONS</w:t>
            </w:r>
            <w:r>
              <w:rPr/>
              <w:t xml:space="preserve">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50" w:type="dxa"/>
            <w:tcBorders>
              <w:bottom w:val="single" w:sz="12" w:space="0" w:color="000000"/>
            </w:tcBorders>
            <w:shd w:fill="CCEEFF" w:val="clear"/>
            <w:tcMar>
              <w:bottom w:w="28" w:type="dxa"/>
            </w:tcMar>
            <w:vAlign w:val="center"/>
          </w:tcPr>
          <w:p>
            <w:pPr>
              <w:pStyle w:val="TableContents"/>
              <w:bidi w:val="0"/>
              <w:spacing w:before="0" w:after="283"/>
              <w:jc w:val="right"/>
              <w:rPr/>
            </w:pPr>
            <w:r>
              <w:rPr/>
              <w:t>58,274</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745" w:type="dxa"/>
            <w:tcBorders>
              <w:bottom w:val="single" w:sz="12" w:space="0" w:color="000000"/>
            </w:tcBorders>
            <w:shd w:fill="CCEEFF" w:val="clear"/>
            <w:tcMar>
              <w:bottom w:w="28" w:type="dxa"/>
            </w:tcMar>
            <w:vAlign w:val="center"/>
          </w:tcPr>
          <w:p>
            <w:pPr>
              <w:pStyle w:val="TableContents"/>
              <w:bidi w:val="0"/>
              <w:spacing w:before="0" w:after="283"/>
              <w:jc w:val="right"/>
              <w:rPr/>
            </w:pPr>
            <w:r>
              <w:rPr/>
              <w:t>34,881</w:t>
            </w:r>
          </w:p>
        </w:tc>
        <w:tc>
          <w:tcPr>
            <w:tcW w:w="217" w:type="dxa"/>
            <w:tcBorders/>
            <w:shd w:fill="CCEEFF" w:val="clear"/>
            <w:vAlign w:val="center"/>
          </w:tcPr>
          <w:p>
            <w:pPr>
              <w:pStyle w:val="TableContents"/>
              <w:bidi w:val="0"/>
              <w:spacing w:before="0" w:after="283"/>
              <w:ind w:left="0" w:right="0" w:hanging="150"/>
              <w:jc w:val="left"/>
              <w:rPr/>
            </w:pPr>
            <w:r>
              <w:rPr/>
              <w:t> </w:t>
            </w:r>
          </w:p>
        </w:tc>
      </w:tr>
      <w:tr>
        <w:trPr/>
        <w:tc>
          <w:tcPr>
            <w:tcW w:w="6288"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right"/>
              <w:rPr/>
            </w:pPr>
            <w:r>
              <w:rPr/>
              <w:t> </w:t>
            </w:r>
          </w:p>
        </w:tc>
        <w:tc>
          <w:tcPr>
            <w:tcW w:w="1250" w:type="dxa"/>
            <w:tcBorders/>
            <w:vAlign w:val="center"/>
          </w:tcPr>
          <w:p>
            <w:pPr>
              <w:pStyle w:val="TableContents"/>
              <w:bidi w:val="0"/>
              <w:spacing w:before="0" w:after="283"/>
              <w:jc w:val="right"/>
              <w:rPr/>
            </w:pPr>
            <w:r>
              <w:rPr/>
              <w:t> </w:t>
            </w:r>
          </w:p>
        </w:tc>
        <w:tc>
          <w:tcPr>
            <w:tcW w:w="185"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right"/>
              <w:rPr/>
            </w:pPr>
            <w:r>
              <w:rPr/>
              <w:t> </w:t>
            </w:r>
          </w:p>
        </w:tc>
        <w:tc>
          <w:tcPr>
            <w:tcW w:w="1745" w:type="dxa"/>
            <w:tcBorders/>
            <w:vAlign w:val="center"/>
          </w:tcPr>
          <w:p>
            <w:pPr>
              <w:pStyle w:val="TableContents"/>
              <w:bidi w:val="0"/>
              <w:spacing w:before="0" w:after="283"/>
              <w:jc w:val="right"/>
              <w:rPr/>
            </w:pPr>
            <w:r>
              <w:rPr/>
              <w:t> </w:t>
            </w:r>
          </w:p>
        </w:tc>
        <w:tc>
          <w:tcPr>
            <w:tcW w:w="217" w:type="dxa"/>
            <w:tcBorders/>
            <w:vAlign w:val="center"/>
          </w:tcPr>
          <w:p>
            <w:pPr>
              <w:pStyle w:val="TableContents"/>
              <w:bidi w:val="0"/>
              <w:spacing w:before="0" w:after="283"/>
              <w:ind w:left="0" w:right="0" w:hanging="150"/>
              <w:jc w:val="right"/>
              <w:rPr/>
            </w:pPr>
            <w:r>
              <w:rPr/>
              <w:t> </w:t>
            </w:r>
          </w:p>
        </w:tc>
      </w:tr>
      <w:tr>
        <w:trPr/>
        <w:tc>
          <w:tcPr>
            <w:tcW w:w="6288" w:type="dxa"/>
            <w:tcBorders/>
            <w:shd w:fill="CCEEFF" w:val="clear"/>
            <w:vAlign w:val="center"/>
          </w:tcPr>
          <w:p>
            <w:pPr>
              <w:pStyle w:val="TableContents"/>
              <w:bidi w:val="0"/>
              <w:spacing w:before="0" w:after="0"/>
              <w:jc w:val="left"/>
              <w:rPr/>
            </w:pPr>
            <w:r>
              <w:rPr>
                <w:b/>
              </w:rPr>
              <w:t>OTHER INCOME (EXPENSE):</w:t>
            </w:r>
            <w:r>
              <w:rPr/>
              <w:t xml:space="preserve">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250"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745" w:type="dxa"/>
            <w:tcBorders/>
            <w:shd w:fill="CCEEFF" w:val="clear"/>
            <w:vAlign w:val="center"/>
          </w:tcPr>
          <w:p>
            <w:pPr>
              <w:pStyle w:val="TableContents"/>
              <w:bidi w:val="0"/>
              <w:spacing w:before="0" w:after="283"/>
              <w:jc w:val="left"/>
              <w:rPr/>
            </w:pPr>
            <w:r>
              <w:rPr/>
              <w:t> </w:t>
            </w:r>
          </w:p>
        </w:tc>
        <w:tc>
          <w:tcPr>
            <w:tcW w:w="217" w:type="dxa"/>
            <w:tcBorders/>
            <w:shd w:fill="CCEEFF" w:val="clear"/>
            <w:vAlign w:val="center"/>
          </w:tcPr>
          <w:p>
            <w:pPr>
              <w:pStyle w:val="TableContents"/>
              <w:bidi w:val="0"/>
              <w:spacing w:before="0" w:after="283"/>
              <w:ind w:left="0" w:right="0" w:hanging="150"/>
              <w:jc w:val="left"/>
              <w:rPr/>
            </w:pPr>
            <w:r>
              <w:rPr/>
              <w:t> </w:t>
            </w:r>
          </w:p>
        </w:tc>
      </w:tr>
      <w:tr>
        <w:trPr/>
        <w:tc>
          <w:tcPr>
            <w:tcW w:w="6288" w:type="dxa"/>
            <w:tcBorders/>
            <w:vAlign w:val="center"/>
          </w:tcPr>
          <w:p>
            <w:pPr>
              <w:pStyle w:val="TableContents"/>
              <w:bidi w:val="0"/>
              <w:spacing w:before="0" w:after="283"/>
              <w:jc w:val="left"/>
              <w:rPr/>
            </w:pPr>
            <w:r>
              <w:rPr/>
              <w:t>Interest and other income</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250" w:type="dxa"/>
            <w:tcBorders/>
            <w:vAlign w:val="center"/>
          </w:tcPr>
          <w:p>
            <w:pPr>
              <w:pStyle w:val="TableContents"/>
              <w:bidi w:val="0"/>
              <w:spacing w:before="0" w:after="283"/>
              <w:jc w:val="right"/>
              <w:rPr>
                <w:spacing w:val="0"/>
              </w:rPr>
            </w:pPr>
            <w:r>
              <w:rPr>
                <w:spacing w:val="0"/>
              </w:rPr>
              <w:t>1,093</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745" w:type="dxa"/>
            <w:tcBorders/>
            <w:vAlign w:val="center"/>
          </w:tcPr>
          <w:p>
            <w:pPr>
              <w:pStyle w:val="TableContents"/>
              <w:bidi w:val="0"/>
              <w:spacing w:before="0" w:after="283"/>
              <w:jc w:val="right"/>
              <w:rPr>
                <w:spacing w:val="0"/>
              </w:rPr>
            </w:pPr>
            <w:r>
              <w:rPr>
                <w:spacing w:val="0"/>
              </w:rPr>
              <w:t>608</w:t>
            </w:r>
          </w:p>
        </w:tc>
        <w:tc>
          <w:tcPr>
            <w:tcW w:w="217" w:type="dxa"/>
            <w:tcBorders/>
            <w:vAlign w:val="center"/>
          </w:tcPr>
          <w:p>
            <w:pPr>
              <w:pStyle w:val="TableContents"/>
              <w:bidi w:val="0"/>
              <w:spacing w:before="0" w:after="283"/>
              <w:ind w:left="0" w:right="0" w:hanging="150"/>
              <w:jc w:val="left"/>
              <w:rPr/>
            </w:pPr>
            <w:r>
              <w:rPr/>
              <w:t> </w:t>
            </w:r>
          </w:p>
        </w:tc>
      </w:tr>
      <w:tr>
        <w:trPr/>
        <w:tc>
          <w:tcPr>
            <w:tcW w:w="6288" w:type="dxa"/>
            <w:tcBorders/>
            <w:shd w:fill="CCEEFF" w:val="clear"/>
            <w:vAlign w:val="center"/>
          </w:tcPr>
          <w:p>
            <w:pPr>
              <w:pStyle w:val="TableContents"/>
              <w:bidi w:val="0"/>
              <w:spacing w:before="0" w:after="0"/>
              <w:jc w:val="left"/>
              <w:rPr/>
            </w:pPr>
            <w:r>
              <w:rPr/>
              <w:t xml:space="preserve">Interest expense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250" w:type="dxa"/>
            <w:tcBorders/>
            <w:shd w:fill="CCEEFF" w:val="clear"/>
            <w:vAlign w:val="center"/>
          </w:tcPr>
          <w:p>
            <w:pPr>
              <w:pStyle w:val="TableContents"/>
              <w:bidi w:val="0"/>
              <w:spacing w:before="0" w:after="283"/>
              <w:jc w:val="right"/>
              <w:rPr/>
            </w:pPr>
            <w:r>
              <w:rPr/>
              <w:t>(2,100</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745" w:type="dxa"/>
            <w:tcBorders/>
            <w:shd w:fill="CCEEFF" w:val="clear"/>
            <w:vAlign w:val="center"/>
          </w:tcPr>
          <w:p>
            <w:pPr>
              <w:pStyle w:val="TableContents"/>
              <w:bidi w:val="0"/>
              <w:spacing w:before="0" w:after="283"/>
              <w:jc w:val="right"/>
              <w:rPr/>
            </w:pPr>
            <w:r>
              <w:rPr/>
              <w:t>(1,975</w:t>
            </w:r>
          </w:p>
        </w:tc>
        <w:tc>
          <w:tcPr>
            <w:tcW w:w="217" w:type="dxa"/>
            <w:tcBorders/>
            <w:shd w:fill="CCEEFF" w:val="clear"/>
            <w:vAlign w:val="center"/>
          </w:tcPr>
          <w:p>
            <w:pPr>
              <w:pStyle w:val="TableContents"/>
              <w:bidi w:val="0"/>
              <w:spacing w:before="0" w:after="283"/>
              <w:ind w:left="0" w:right="0" w:hanging="150"/>
              <w:jc w:val="left"/>
              <w:rPr/>
            </w:pPr>
            <w:r>
              <w:rPr/>
              <w:t>) </w:t>
            </w:r>
          </w:p>
        </w:tc>
      </w:tr>
      <w:tr>
        <w:trPr/>
        <w:tc>
          <w:tcPr>
            <w:tcW w:w="6288" w:type="dxa"/>
            <w:tcBorders/>
            <w:vAlign w:val="center"/>
          </w:tcPr>
          <w:p>
            <w:pPr>
              <w:pStyle w:val="TableContents"/>
              <w:bidi w:val="0"/>
              <w:spacing w:before="0" w:after="0"/>
              <w:jc w:val="left"/>
              <w:rPr/>
            </w:pPr>
            <w:r>
              <w:rPr/>
              <w:t xml:space="preserve">Other expense </w:t>
            </w:r>
          </w:p>
        </w:tc>
        <w:tc>
          <w:tcPr>
            <w:tcW w:w="90" w:type="dxa"/>
            <w:tcBorders/>
            <w:vAlign w:val="center"/>
          </w:tcPr>
          <w:p>
            <w:pPr>
              <w:pStyle w:val="TableContents"/>
              <w:bidi w:val="0"/>
              <w:spacing w:before="0" w:after="283"/>
              <w:jc w:val="lef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1250" w:type="dxa"/>
            <w:tcBorders>
              <w:bottom w:val="single" w:sz="12" w:space="0" w:color="000000"/>
            </w:tcBorders>
            <w:tcMar>
              <w:bottom w:w="28" w:type="dxa"/>
            </w:tcMar>
            <w:vAlign w:val="center"/>
          </w:tcPr>
          <w:p>
            <w:pPr>
              <w:pStyle w:val="TableContents"/>
              <w:bidi w:val="0"/>
              <w:spacing w:before="0" w:after="283"/>
              <w:jc w:val="right"/>
              <w:rPr/>
            </w:pPr>
            <w:r>
              <w:rPr/>
              <w:t>(140</w:t>
            </w:r>
          </w:p>
        </w:tc>
        <w:tc>
          <w:tcPr>
            <w:tcW w:w="185" w:type="dxa"/>
            <w:tcBorders>
              <w:bottom w:val="single" w:sz="12" w:space="0" w:color="000000"/>
            </w:tcBorders>
            <w:tcMar>
              <w:bottom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1745" w:type="dxa"/>
            <w:tcBorders>
              <w:bottom w:val="single" w:sz="12" w:space="0" w:color="000000"/>
            </w:tcBorders>
            <w:tcMar>
              <w:bottom w:w="28" w:type="dxa"/>
            </w:tcMar>
            <w:vAlign w:val="center"/>
          </w:tcPr>
          <w:p>
            <w:pPr>
              <w:pStyle w:val="TableContents"/>
              <w:bidi w:val="0"/>
              <w:spacing w:before="0" w:after="283"/>
              <w:jc w:val="right"/>
              <w:rPr/>
            </w:pPr>
            <w:r>
              <w:rPr/>
              <w:t>(64</w:t>
            </w:r>
          </w:p>
        </w:tc>
        <w:tc>
          <w:tcPr>
            <w:tcW w:w="217" w:type="dxa"/>
            <w:tcBorders>
              <w:bottom w:val="single" w:sz="12" w:space="0" w:color="000000"/>
            </w:tcBorders>
            <w:tcMar>
              <w:bottom w:w="28" w:type="dxa"/>
            </w:tcMar>
            <w:vAlign w:val="center"/>
          </w:tcPr>
          <w:p>
            <w:pPr>
              <w:pStyle w:val="TableContents"/>
              <w:bidi w:val="0"/>
              <w:spacing w:before="0" w:after="283"/>
              <w:ind w:left="0" w:right="0" w:hanging="150"/>
              <w:jc w:val="left"/>
              <w:rPr/>
            </w:pPr>
            <w:r>
              <w:rPr/>
              <w:t>) </w:t>
            </w:r>
          </w:p>
        </w:tc>
      </w:tr>
      <w:tr>
        <w:trPr/>
        <w:tc>
          <w:tcPr>
            <w:tcW w:w="6288" w:type="dxa"/>
            <w:tcBorders/>
            <w:shd w:fill="CCEEFF" w:val="clear"/>
            <w:vAlign w:val="center"/>
          </w:tcPr>
          <w:p>
            <w:pPr>
              <w:pStyle w:val="TableContents"/>
              <w:bidi w:val="0"/>
              <w:spacing w:before="0" w:after="0"/>
              <w:jc w:val="left"/>
              <w:rPr/>
            </w:pPr>
            <w:r>
              <w:rPr>
                <w:b/>
              </w:rPr>
              <w:t>Other income (expense), net</w:t>
            </w:r>
            <w:r>
              <w:rPr/>
              <w:t xml:space="preserve"> </w:t>
            </w:r>
          </w:p>
        </w:tc>
        <w:tc>
          <w:tcPr>
            <w:tcW w:w="90" w:type="dxa"/>
            <w:tcBorders/>
            <w:shd w:fill="CCEEFF" w:val="clear"/>
            <w:vAlign w:val="center"/>
          </w:tcPr>
          <w:p>
            <w:pPr>
              <w:pStyle w:val="TableContents"/>
              <w:bidi w:val="0"/>
              <w:spacing w:before="0" w:after="283"/>
              <w:jc w:val="righ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50" w:type="dxa"/>
            <w:tcBorders>
              <w:bottom w:val="single" w:sz="12" w:space="0" w:color="000000"/>
            </w:tcBorders>
            <w:shd w:fill="CCEEFF" w:val="clear"/>
            <w:tcMar>
              <w:bottom w:w="28" w:type="dxa"/>
            </w:tcMar>
            <w:vAlign w:val="center"/>
          </w:tcPr>
          <w:p>
            <w:pPr>
              <w:pStyle w:val="TableContents"/>
              <w:bidi w:val="0"/>
              <w:spacing w:before="0" w:after="283"/>
              <w:jc w:val="right"/>
              <w:rPr/>
            </w:pPr>
            <w:r>
              <w:rPr/>
              <w:t>(1,147</w:t>
            </w:r>
          </w:p>
        </w:tc>
        <w:tc>
          <w:tcPr>
            <w:tcW w:w="18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righ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745" w:type="dxa"/>
            <w:tcBorders>
              <w:bottom w:val="single" w:sz="12" w:space="0" w:color="000000"/>
            </w:tcBorders>
            <w:shd w:fill="CCEEFF" w:val="clear"/>
            <w:tcMar>
              <w:bottom w:w="28" w:type="dxa"/>
            </w:tcMar>
            <w:vAlign w:val="center"/>
          </w:tcPr>
          <w:p>
            <w:pPr>
              <w:pStyle w:val="TableContents"/>
              <w:bidi w:val="0"/>
              <w:spacing w:before="0" w:after="283"/>
              <w:jc w:val="right"/>
              <w:rPr/>
            </w:pPr>
            <w:r>
              <w:rPr/>
              <w:t>(1,431</w:t>
            </w:r>
          </w:p>
        </w:tc>
        <w:tc>
          <w:tcPr>
            <w:tcW w:w="217" w:type="dxa"/>
            <w:tcBorders>
              <w:bottom w:val="single" w:sz="12" w:space="0" w:color="000000"/>
            </w:tcBorders>
            <w:shd w:fill="CCEEFF" w:val="clear"/>
            <w:tcMar>
              <w:bottom w:w="28" w:type="dxa"/>
            </w:tcMar>
            <w:vAlign w:val="center"/>
          </w:tcPr>
          <w:p>
            <w:pPr>
              <w:pStyle w:val="TableContents"/>
              <w:bidi w:val="0"/>
              <w:spacing w:before="0" w:after="283"/>
              <w:ind w:left="0" w:right="0" w:hanging="150"/>
              <w:jc w:val="left"/>
              <w:rPr/>
            </w:pPr>
            <w:r>
              <w:rPr/>
              <w:t>) </w:t>
            </w:r>
          </w:p>
        </w:tc>
      </w:tr>
      <w:tr>
        <w:trPr/>
        <w:tc>
          <w:tcPr>
            <w:tcW w:w="6288"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250"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745" w:type="dxa"/>
            <w:tcBorders/>
            <w:vAlign w:val="center"/>
          </w:tcPr>
          <w:p>
            <w:pPr>
              <w:pStyle w:val="TableContents"/>
              <w:bidi w:val="0"/>
              <w:spacing w:before="0" w:after="283"/>
              <w:jc w:val="left"/>
              <w:rPr/>
            </w:pPr>
            <w:r>
              <w:rPr/>
              <w:t> </w:t>
            </w:r>
          </w:p>
        </w:tc>
        <w:tc>
          <w:tcPr>
            <w:tcW w:w="217" w:type="dxa"/>
            <w:tcBorders/>
            <w:vAlign w:val="center"/>
          </w:tcPr>
          <w:p>
            <w:pPr>
              <w:pStyle w:val="TableContents"/>
              <w:bidi w:val="0"/>
              <w:spacing w:before="0" w:after="283"/>
              <w:ind w:left="0" w:right="0" w:hanging="150"/>
              <w:jc w:val="left"/>
              <w:rPr/>
            </w:pPr>
            <w:r>
              <w:rPr/>
              <w:t> </w:t>
            </w:r>
          </w:p>
        </w:tc>
      </w:tr>
      <w:tr>
        <w:trPr/>
        <w:tc>
          <w:tcPr>
            <w:tcW w:w="6288" w:type="dxa"/>
            <w:tcBorders/>
            <w:shd w:fill="CCEEFF" w:val="clear"/>
            <w:vAlign w:val="center"/>
          </w:tcPr>
          <w:p>
            <w:pPr>
              <w:pStyle w:val="TableContents"/>
              <w:bidi w:val="0"/>
              <w:spacing w:before="0" w:after="0"/>
              <w:jc w:val="left"/>
              <w:rPr/>
            </w:pPr>
            <w:r>
              <w:rPr>
                <w:b/>
              </w:rPr>
              <w:t>INCOME BEFORE INCOME TAXES</w:t>
            </w:r>
            <w:r>
              <w:rPr/>
              <w:t xml:space="preserve">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250" w:type="dxa"/>
            <w:tcBorders/>
            <w:shd w:fill="CCEEFF" w:val="clear"/>
            <w:vAlign w:val="center"/>
          </w:tcPr>
          <w:p>
            <w:pPr>
              <w:pStyle w:val="TableContents"/>
              <w:bidi w:val="0"/>
              <w:spacing w:before="0" w:after="283"/>
              <w:jc w:val="right"/>
              <w:rPr/>
            </w:pPr>
            <w:r>
              <w:rPr/>
              <w:t>57,127</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745" w:type="dxa"/>
            <w:tcBorders/>
            <w:shd w:fill="CCEEFF" w:val="clear"/>
            <w:vAlign w:val="center"/>
          </w:tcPr>
          <w:p>
            <w:pPr>
              <w:pStyle w:val="TableContents"/>
              <w:bidi w:val="0"/>
              <w:spacing w:before="0" w:after="283"/>
              <w:jc w:val="right"/>
              <w:rPr/>
            </w:pPr>
            <w:r>
              <w:rPr/>
              <w:t>33,450</w:t>
            </w:r>
          </w:p>
        </w:tc>
        <w:tc>
          <w:tcPr>
            <w:tcW w:w="217" w:type="dxa"/>
            <w:tcBorders/>
            <w:shd w:fill="CCEEFF" w:val="clear"/>
            <w:vAlign w:val="center"/>
          </w:tcPr>
          <w:p>
            <w:pPr>
              <w:pStyle w:val="TableContents"/>
              <w:bidi w:val="0"/>
              <w:spacing w:before="0" w:after="283"/>
              <w:ind w:left="0" w:right="0" w:hanging="150"/>
              <w:jc w:val="left"/>
              <w:rPr/>
            </w:pPr>
            <w:r>
              <w:rPr/>
              <w:t> </w:t>
            </w:r>
          </w:p>
        </w:tc>
      </w:tr>
      <w:tr>
        <w:trPr/>
        <w:tc>
          <w:tcPr>
            <w:tcW w:w="6288"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250"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745" w:type="dxa"/>
            <w:tcBorders/>
            <w:vAlign w:val="center"/>
          </w:tcPr>
          <w:p>
            <w:pPr>
              <w:pStyle w:val="TableContents"/>
              <w:bidi w:val="0"/>
              <w:spacing w:before="0" w:after="283"/>
              <w:jc w:val="left"/>
              <w:rPr/>
            </w:pPr>
            <w:r>
              <w:rPr/>
              <w:t> </w:t>
            </w:r>
          </w:p>
        </w:tc>
        <w:tc>
          <w:tcPr>
            <w:tcW w:w="217" w:type="dxa"/>
            <w:tcBorders/>
            <w:vAlign w:val="center"/>
          </w:tcPr>
          <w:p>
            <w:pPr>
              <w:pStyle w:val="TableContents"/>
              <w:bidi w:val="0"/>
              <w:spacing w:before="0" w:after="283"/>
              <w:ind w:left="0" w:right="0" w:hanging="150"/>
              <w:jc w:val="left"/>
              <w:rPr/>
            </w:pPr>
            <w:r>
              <w:rPr/>
              <w:t> </w:t>
            </w:r>
          </w:p>
        </w:tc>
      </w:tr>
      <w:tr>
        <w:trPr/>
        <w:tc>
          <w:tcPr>
            <w:tcW w:w="6288" w:type="dxa"/>
            <w:tcBorders/>
            <w:shd w:fill="CCEEFF" w:val="clear"/>
            <w:vAlign w:val="center"/>
          </w:tcPr>
          <w:p>
            <w:pPr>
              <w:pStyle w:val="TableContents"/>
              <w:bidi w:val="0"/>
              <w:spacing w:before="0" w:after="0"/>
              <w:jc w:val="left"/>
              <w:rPr/>
            </w:pPr>
            <w:r>
              <w:rPr/>
              <w:t xml:space="preserve">Provision for income taxes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250" w:type="dxa"/>
            <w:tcBorders/>
            <w:shd w:fill="CCEEFF" w:val="clear"/>
            <w:vAlign w:val="center"/>
          </w:tcPr>
          <w:p>
            <w:pPr>
              <w:pStyle w:val="TableContents"/>
              <w:bidi w:val="0"/>
              <w:spacing w:before="0" w:after="283"/>
              <w:jc w:val="right"/>
              <w:rPr/>
            </w:pPr>
            <w:r>
              <w:rPr/>
              <w:t>11,799</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745" w:type="dxa"/>
            <w:tcBorders/>
            <w:shd w:fill="CCEEFF" w:val="clear"/>
            <w:vAlign w:val="center"/>
          </w:tcPr>
          <w:p>
            <w:pPr>
              <w:pStyle w:val="TableContents"/>
              <w:bidi w:val="0"/>
              <w:spacing w:before="0" w:after="283"/>
              <w:jc w:val="right"/>
              <w:rPr/>
            </w:pPr>
            <w:r>
              <w:rPr/>
              <w:t>6,546</w:t>
            </w:r>
          </w:p>
        </w:tc>
        <w:tc>
          <w:tcPr>
            <w:tcW w:w="217" w:type="dxa"/>
            <w:tcBorders/>
            <w:shd w:fill="CCEEFF" w:val="clear"/>
            <w:vAlign w:val="center"/>
          </w:tcPr>
          <w:p>
            <w:pPr>
              <w:pStyle w:val="TableContents"/>
              <w:bidi w:val="0"/>
              <w:spacing w:before="0" w:after="283"/>
              <w:ind w:left="0" w:right="0" w:hanging="150"/>
              <w:jc w:val="left"/>
              <w:rPr/>
            </w:pPr>
            <w:r>
              <w:rPr/>
              <w:t> </w:t>
            </w:r>
          </w:p>
        </w:tc>
      </w:tr>
      <w:tr>
        <w:trPr/>
        <w:tc>
          <w:tcPr>
            <w:tcW w:w="6288"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1250" w:type="dxa"/>
            <w:tcBorders>
              <w:bottom w:val="single" w:sz="12" w:space="0" w:color="000000"/>
            </w:tcBorders>
            <w:tcMar>
              <w:bottom w:w="28" w:type="dxa"/>
            </w:tcMar>
            <w:vAlign w:val="center"/>
          </w:tcPr>
          <w:p>
            <w:pPr>
              <w:pStyle w:val="TableContents"/>
              <w:bidi w:val="0"/>
              <w:spacing w:before="0" w:after="283"/>
              <w:jc w:val="right"/>
              <w:rPr/>
            </w:pPr>
            <w:r>
              <w:rPr/>
              <w:t> </w:t>
            </w:r>
          </w:p>
        </w:tc>
        <w:tc>
          <w:tcPr>
            <w:tcW w:w="185" w:type="dxa"/>
            <w:tcBorders>
              <w:bottom w:val="single" w:sz="12" w:space="0" w:color="000000"/>
            </w:tcBorders>
            <w:tcMar>
              <w:bottom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1745" w:type="dxa"/>
            <w:tcBorders>
              <w:bottom w:val="single" w:sz="12" w:space="0" w:color="000000"/>
            </w:tcBorders>
            <w:tcMar>
              <w:bottom w:w="28" w:type="dxa"/>
            </w:tcMar>
            <w:vAlign w:val="center"/>
          </w:tcPr>
          <w:p>
            <w:pPr>
              <w:pStyle w:val="TableContents"/>
              <w:bidi w:val="0"/>
              <w:spacing w:before="0" w:after="283"/>
              <w:jc w:val="right"/>
              <w:rPr/>
            </w:pPr>
            <w:r>
              <w:rPr/>
              <w:t> </w:t>
            </w:r>
          </w:p>
        </w:tc>
        <w:tc>
          <w:tcPr>
            <w:tcW w:w="217" w:type="dxa"/>
            <w:tcBorders>
              <w:bottom w:val="single" w:sz="12" w:space="0" w:color="000000"/>
            </w:tcBorders>
            <w:tcMar>
              <w:bottom w:w="28" w:type="dxa"/>
            </w:tcMar>
            <w:vAlign w:val="center"/>
          </w:tcPr>
          <w:p>
            <w:pPr>
              <w:pStyle w:val="TableContents"/>
              <w:bidi w:val="0"/>
              <w:spacing w:before="0" w:after="283"/>
              <w:ind w:left="0" w:right="0" w:hanging="150"/>
              <w:jc w:val="left"/>
              <w:rPr/>
            </w:pPr>
            <w:r>
              <w:rPr/>
              <w:t> </w:t>
            </w:r>
          </w:p>
        </w:tc>
      </w:tr>
      <w:tr>
        <w:trPr/>
        <w:tc>
          <w:tcPr>
            <w:tcW w:w="6288" w:type="dxa"/>
            <w:tcBorders/>
            <w:shd w:fill="CCEEFF" w:val="clear"/>
            <w:vAlign w:val="center"/>
          </w:tcPr>
          <w:p>
            <w:pPr>
              <w:pStyle w:val="TableContents"/>
              <w:bidi w:val="0"/>
              <w:spacing w:before="0" w:after="0"/>
              <w:jc w:val="left"/>
              <w:rPr/>
            </w:pPr>
            <w:r>
              <w:rPr>
                <w:b/>
              </w:rPr>
              <w:t>NET INCOME</w:t>
            </w:r>
            <w:r>
              <w:rPr/>
              <w:t xml:space="preserve">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double" w:sz="8" w:space="0" w:color="000000"/>
            </w:tcBorders>
            <w:shd w:fill="CCEEFF" w:val="clear"/>
            <w:tcMar>
              <w:bottom w:w="28" w:type="dxa"/>
            </w:tcMar>
            <w:vAlign w:val="center"/>
          </w:tcPr>
          <w:p>
            <w:pPr>
              <w:pStyle w:val="TableContents"/>
              <w:bidi w:val="0"/>
              <w:spacing w:before="0" w:after="283"/>
              <w:jc w:val="left"/>
              <w:rPr/>
            </w:pPr>
            <w:r>
              <w:rPr/>
              <w:t>$</w:t>
            </w:r>
          </w:p>
        </w:tc>
        <w:tc>
          <w:tcPr>
            <w:tcW w:w="1250" w:type="dxa"/>
            <w:tcBorders>
              <w:bottom w:val="double" w:sz="8" w:space="0" w:color="000000"/>
            </w:tcBorders>
            <w:shd w:fill="CCEEFF" w:val="clear"/>
            <w:tcMar>
              <w:bottom w:w="28" w:type="dxa"/>
            </w:tcMar>
            <w:vAlign w:val="center"/>
          </w:tcPr>
          <w:p>
            <w:pPr>
              <w:pStyle w:val="TableContents"/>
              <w:bidi w:val="0"/>
              <w:spacing w:before="0" w:after="283"/>
              <w:jc w:val="right"/>
              <w:rPr/>
            </w:pPr>
            <w:r>
              <w:rPr/>
              <w:t>45,328</w:t>
            </w:r>
          </w:p>
        </w:tc>
        <w:tc>
          <w:tcPr>
            <w:tcW w:w="185" w:type="dxa"/>
            <w:tcBorders>
              <w:bottom w:val="double" w:sz="8"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double" w:sz="8" w:space="0" w:color="000000"/>
            </w:tcBorders>
            <w:shd w:fill="CCEEFF" w:val="clear"/>
            <w:tcMar>
              <w:bottom w:w="28" w:type="dxa"/>
            </w:tcMar>
            <w:vAlign w:val="center"/>
          </w:tcPr>
          <w:p>
            <w:pPr>
              <w:pStyle w:val="TableContents"/>
              <w:bidi w:val="0"/>
              <w:spacing w:before="0" w:after="283"/>
              <w:jc w:val="left"/>
              <w:rPr/>
            </w:pPr>
            <w:r>
              <w:rPr/>
              <w:t>$</w:t>
            </w:r>
          </w:p>
        </w:tc>
        <w:tc>
          <w:tcPr>
            <w:tcW w:w="1745" w:type="dxa"/>
            <w:tcBorders>
              <w:bottom w:val="double" w:sz="8" w:space="0" w:color="000000"/>
            </w:tcBorders>
            <w:shd w:fill="CCEEFF" w:val="clear"/>
            <w:tcMar>
              <w:bottom w:w="28" w:type="dxa"/>
            </w:tcMar>
            <w:vAlign w:val="center"/>
          </w:tcPr>
          <w:p>
            <w:pPr>
              <w:pStyle w:val="TableContents"/>
              <w:bidi w:val="0"/>
              <w:spacing w:before="0" w:after="283"/>
              <w:jc w:val="right"/>
              <w:rPr/>
            </w:pPr>
            <w:r>
              <w:rPr/>
              <w:t>26,904</w:t>
            </w:r>
          </w:p>
        </w:tc>
        <w:tc>
          <w:tcPr>
            <w:tcW w:w="217" w:type="dxa"/>
            <w:tcBorders>
              <w:bottom w:val="double" w:sz="8" w:space="0" w:color="000000"/>
            </w:tcBorders>
            <w:shd w:fill="CCEEFF" w:val="clear"/>
            <w:tcMar>
              <w:bottom w:w="28" w:type="dxa"/>
            </w:tcMar>
            <w:vAlign w:val="center"/>
          </w:tcPr>
          <w:p>
            <w:pPr>
              <w:pStyle w:val="TableContents"/>
              <w:bidi w:val="0"/>
              <w:spacing w:before="0" w:after="283"/>
              <w:ind w:left="0" w:right="0" w:hanging="150"/>
              <w:jc w:val="left"/>
              <w:rPr/>
            </w:pPr>
            <w:r>
              <w:rPr/>
              <w:t> </w:t>
            </w:r>
          </w:p>
        </w:tc>
      </w:tr>
      <w:tr>
        <w:trPr/>
        <w:tc>
          <w:tcPr>
            <w:tcW w:w="6288"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250"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745" w:type="dxa"/>
            <w:tcBorders/>
            <w:vAlign w:val="center"/>
          </w:tcPr>
          <w:p>
            <w:pPr>
              <w:pStyle w:val="TableContents"/>
              <w:bidi w:val="0"/>
              <w:spacing w:before="0" w:after="283"/>
              <w:jc w:val="left"/>
              <w:rPr/>
            </w:pPr>
            <w:r>
              <w:rPr/>
              <w:t> </w:t>
            </w:r>
          </w:p>
        </w:tc>
        <w:tc>
          <w:tcPr>
            <w:tcW w:w="217" w:type="dxa"/>
            <w:tcBorders/>
            <w:vAlign w:val="center"/>
          </w:tcPr>
          <w:p>
            <w:pPr>
              <w:pStyle w:val="TableContents"/>
              <w:bidi w:val="0"/>
              <w:spacing w:before="0" w:after="283"/>
              <w:ind w:left="0" w:right="0" w:hanging="150"/>
              <w:jc w:val="left"/>
              <w:rPr/>
            </w:pPr>
            <w:r>
              <w:rPr/>
              <w:t> </w:t>
            </w:r>
          </w:p>
        </w:tc>
      </w:tr>
      <w:tr>
        <w:trPr/>
        <w:tc>
          <w:tcPr>
            <w:tcW w:w="6288" w:type="dxa"/>
            <w:tcBorders/>
            <w:shd w:fill="CCEEFF" w:val="clear"/>
            <w:vAlign w:val="center"/>
          </w:tcPr>
          <w:p>
            <w:pPr>
              <w:pStyle w:val="TableContents"/>
              <w:bidi w:val="0"/>
              <w:spacing w:before="0" w:after="0"/>
              <w:jc w:val="left"/>
              <w:rPr/>
            </w:pPr>
            <w:r>
              <w:rPr>
                <w:b/>
              </w:rPr>
              <w:t>BASIC EARNINGS PER COMMON SHARE</w:t>
            </w:r>
            <w:r>
              <w:rPr/>
              <w:t xml:space="preserve">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double" w:sz="8" w:space="0" w:color="000000"/>
            </w:tcBorders>
            <w:shd w:fill="CCEEFF" w:val="clear"/>
            <w:tcMar>
              <w:bottom w:w="28" w:type="dxa"/>
            </w:tcMar>
            <w:vAlign w:val="center"/>
          </w:tcPr>
          <w:p>
            <w:pPr>
              <w:pStyle w:val="TableContents"/>
              <w:bidi w:val="0"/>
              <w:spacing w:before="0" w:after="283"/>
              <w:jc w:val="left"/>
              <w:rPr/>
            </w:pPr>
            <w:r>
              <w:rPr/>
              <w:t>$</w:t>
            </w:r>
          </w:p>
        </w:tc>
        <w:tc>
          <w:tcPr>
            <w:tcW w:w="1250" w:type="dxa"/>
            <w:tcBorders>
              <w:bottom w:val="double" w:sz="8" w:space="0" w:color="000000"/>
            </w:tcBorders>
            <w:shd w:fill="CCEEFF" w:val="clear"/>
            <w:tcMar>
              <w:bottom w:w="28" w:type="dxa"/>
            </w:tcMar>
            <w:vAlign w:val="center"/>
          </w:tcPr>
          <w:p>
            <w:pPr>
              <w:pStyle w:val="TableContents"/>
              <w:bidi w:val="0"/>
              <w:spacing w:before="0" w:after="283"/>
              <w:jc w:val="right"/>
              <w:rPr/>
            </w:pPr>
            <w:r>
              <w:rPr/>
              <w:t>0.19</w:t>
            </w:r>
          </w:p>
        </w:tc>
        <w:tc>
          <w:tcPr>
            <w:tcW w:w="185" w:type="dxa"/>
            <w:tcBorders>
              <w:bottom w:val="double" w:sz="8"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double" w:sz="8" w:space="0" w:color="000000"/>
            </w:tcBorders>
            <w:shd w:fill="CCEEFF" w:val="clear"/>
            <w:tcMar>
              <w:bottom w:w="28" w:type="dxa"/>
            </w:tcMar>
            <w:vAlign w:val="center"/>
          </w:tcPr>
          <w:p>
            <w:pPr>
              <w:pStyle w:val="TableContents"/>
              <w:bidi w:val="0"/>
              <w:spacing w:before="0" w:after="283"/>
              <w:jc w:val="left"/>
              <w:rPr/>
            </w:pPr>
            <w:r>
              <w:rPr/>
              <w:t>$</w:t>
            </w:r>
          </w:p>
        </w:tc>
        <w:tc>
          <w:tcPr>
            <w:tcW w:w="1745" w:type="dxa"/>
            <w:tcBorders>
              <w:bottom w:val="double" w:sz="8" w:space="0" w:color="000000"/>
            </w:tcBorders>
            <w:shd w:fill="CCEEFF" w:val="clear"/>
            <w:tcMar>
              <w:bottom w:w="28" w:type="dxa"/>
            </w:tcMar>
            <w:vAlign w:val="center"/>
          </w:tcPr>
          <w:p>
            <w:pPr>
              <w:pStyle w:val="TableContents"/>
              <w:bidi w:val="0"/>
              <w:spacing w:before="0" w:after="283"/>
              <w:jc w:val="right"/>
              <w:rPr/>
            </w:pPr>
            <w:r>
              <w:rPr/>
              <w:t>0.11</w:t>
            </w:r>
          </w:p>
        </w:tc>
        <w:tc>
          <w:tcPr>
            <w:tcW w:w="217" w:type="dxa"/>
            <w:tcBorders>
              <w:bottom w:val="double" w:sz="8" w:space="0" w:color="000000"/>
            </w:tcBorders>
            <w:shd w:fill="CCEEFF" w:val="clear"/>
            <w:tcMar>
              <w:bottom w:w="28" w:type="dxa"/>
            </w:tcMar>
            <w:vAlign w:val="center"/>
          </w:tcPr>
          <w:p>
            <w:pPr>
              <w:pStyle w:val="TableContents"/>
              <w:bidi w:val="0"/>
              <w:spacing w:before="0" w:after="283"/>
              <w:ind w:left="0" w:right="0" w:hanging="150"/>
              <w:jc w:val="left"/>
              <w:rPr/>
            </w:pPr>
            <w:r>
              <w:rPr/>
              <w:t> </w:t>
            </w:r>
          </w:p>
        </w:tc>
      </w:tr>
      <w:tr>
        <w:trPr/>
        <w:tc>
          <w:tcPr>
            <w:tcW w:w="6288" w:type="dxa"/>
            <w:tcBorders/>
            <w:vAlign w:val="center"/>
          </w:tcPr>
          <w:p>
            <w:pPr>
              <w:pStyle w:val="TableContents"/>
              <w:bidi w:val="0"/>
              <w:spacing w:before="0" w:after="0"/>
              <w:jc w:val="left"/>
              <w:rPr/>
            </w:pPr>
            <w:r>
              <w:rPr>
                <w:b/>
              </w:rPr>
              <w:t>DILUTED EARNINGS PER COMMON SHARE</w:t>
            </w:r>
            <w:r>
              <w:rPr/>
              <w:t xml:space="preserve"> </w:t>
            </w:r>
          </w:p>
        </w:tc>
        <w:tc>
          <w:tcPr>
            <w:tcW w:w="90" w:type="dxa"/>
            <w:tcBorders/>
            <w:vAlign w:val="center"/>
          </w:tcPr>
          <w:p>
            <w:pPr>
              <w:pStyle w:val="TableContents"/>
              <w:bidi w:val="0"/>
              <w:spacing w:before="0" w:after="283"/>
              <w:jc w:val="left"/>
              <w:rPr/>
            </w:pPr>
            <w:r>
              <w:rPr/>
              <w:t> </w:t>
            </w:r>
          </w:p>
        </w:tc>
        <w:tc>
          <w:tcPr>
            <w:tcW w:w="170" w:type="dxa"/>
            <w:tcBorders>
              <w:bottom w:val="double" w:sz="8" w:space="0" w:color="000000"/>
            </w:tcBorders>
            <w:tcMar>
              <w:bottom w:w="28" w:type="dxa"/>
            </w:tcMar>
            <w:vAlign w:val="center"/>
          </w:tcPr>
          <w:p>
            <w:pPr>
              <w:pStyle w:val="TableContents"/>
              <w:bidi w:val="0"/>
              <w:spacing w:before="0" w:after="283"/>
              <w:jc w:val="left"/>
              <w:rPr/>
            </w:pPr>
            <w:r>
              <w:rPr/>
              <w:t>$</w:t>
            </w:r>
          </w:p>
        </w:tc>
        <w:tc>
          <w:tcPr>
            <w:tcW w:w="1250" w:type="dxa"/>
            <w:tcBorders>
              <w:bottom w:val="double" w:sz="8" w:space="0" w:color="000000"/>
            </w:tcBorders>
            <w:tcMar>
              <w:bottom w:w="28" w:type="dxa"/>
            </w:tcMar>
            <w:vAlign w:val="center"/>
          </w:tcPr>
          <w:p>
            <w:pPr>
              <w:pStyle w:val="TableContents"/>
              <w:bidi w:val="0"/>
              <w:spacing w:before="0" w:after="283"/>
              <w:jc w:val="right"/>
              <w:rPr/>
            </w:pPr>
            <w:r>
              <w:rPr/>
              <w:t>0.19</w:t>
            </w:r>
          </w:p>
        </w:tc>
        <w:tc>
          <w:tcPr>
            <w:tcW w:w="185" w:type="dxa"/>
            <w:tcBorders>
              <w:bottom w:val="double" w:sz="8" w:space="0" w:color="000000"/>
            </w:tcBorders>
            <w:tcMar>
              <w:bottom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double" w:sz="8" w:space="0" w:color="000000"/>
            </w:tcBorders>
            <w:tcMar>
              <w:bottom w:w="28" w:type="dxa"/>
            </w:tcMar>
            <w:vAlign w:val="center"/>
          </w:tcPr>
          <w:p>
            <w:pPr>
              <w:pStyle w:val="TableContents"/>
              <w:bidi w:val="0"/>
              <w:spacing w:before="0" w:after="283"/>
              <w:jc w:val="left"/>
              <w:rPr/>
            </w:pPr>
            <w:r>
              <w:rPr/>
              <w:t>$</w:t>
            </w:r>
          </w:p>
        </w:tc>
        <w:tc>
          <w:tcPr>
            <w:tcW w:w="1745" w:type="dxa"/>
            <w:tcBorders>
              <w:bottom w:val="double" w:sz="8" w:space="0" w:color="000000"/>
            </w:tcBorders>
            <w:tcMar>
              <w:bottom w:w="28" w:type="dxa"/>
            </w:tcMar>
            <w:vAlign w:val="center"/>
          </w:tcPr>
          <w:p>
            <w:pPr>
              <w:pStyle w:val="TableContents"/>
              <w:bidi w:val="0"/>
              <w:spacing w:before="0" w:after="283"/>
              <w:jc w:val="right"/>
              <w:rPr/>
            </w:pPr>
            <w:r>
              <w:rPr/>
              <w:t>0.11</w:t>
            </w:r>
          </w:p>
        </w:tc>
        <w:tc>
          <w:tcPr>
            <w:tcW w:w="217" w:type="dxa"/>
            <w:tcBorders>
              <w:bottom w:val="double" w:sz="8" w:space="0" w:color="000000"/>
            </w:tcBorders>
            <w:tcMar>
              <w:bottom w:w="28" w:type="dxa"/>
            </w:tcMar>
            <w:vAlign w:val="center"/>
          </w:tcPr>
          <w:p>
            <w:pPr>
              <w:pStyle w:val="TableContents"/>
              <w:bidi w:val="0"/>
              <w:spacing w:before="0" w:after="283"/>
              <w:ind w:left="0" w:right="0" w:hanging="150"/>
              <w:jc w:val="left"/>
              <w:rPr/>
            </w:pPr>
            <w:r>
              <w:rPr/>
              <w:t> </w:t>
            </w:r>
          </w:p>
        </w:tc>
      </w:tr>
      <w:tr>
        <w:trPr/>
        <w:tc>
          <w:tcPr>
            <w:tcW w:w="6288"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250"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745" w:type="dxa"/>
            <w:tcBorders/>
            <w:shd w:fill="CCEEFF" w:val="clear"/>
            <w:vAlign w:val="center"/>
          </w:tcPr>
          <w:p>
            <w:pPr>
              <w:pStyle w:val="TableContents"/>
              <w:bidi w:val="0"/>
              <w:spacing w:before="0" w:after="283"/>
              <w:jc w:val="left"/>
              <w:rPr/>
            </w:pPr>
            <w:r>
              <w:rPr/>
              <w:t> </w:t>
            </w:r>
          </w:p>
        </w:tc>
        <w:tc>
          <w:tcPr>
            <w:tcW w:w="217" w:type="dxa"/>
            <w:tcBorders/>
            <w:shd w:fill="CCEEFF" w:val="clear"/>
            <w:vAlign w:val="center"/>
          </w:tcPr>
          <w:p>
            <w:pPr>
              <w:pStyle w:val="TableContents"/>
              <w:bidi w:val="0"/>
              <w:spacing w:before="0" w:after="283"/>
              <w:ind w:left="0" w:right="0" w:hanging="150"/>
              <w:jc w:val="left"/>
              <w:rPr/>
            </w:pPr>
            <w:r>
              <w:rPr/>
              <w:t> </w:t>
            </w:r>
          </w:p>
        </w:tc>
      </w:tr>
      <w:tr>
        <w:trPr/>
        <w:tc>
          <w:tcPr>
            <w:tcW w:w="6288" w:type="dxa"/>
            <w:tcBorders/>
            <w:vAlign w:val="center"/>
          </w:tcPr>
          <w:p>
            <w:pPr>
              <w:pStyle w:val="TableContents"/>
              <w:bidi w:val="0"/>
              <w:spacing w:before="0" w:after="0"/>
              <w:jc w:val="left"/>
              <w:rPr/>
            </w:pPr>
            <w:r>
              <w:rPr>
                <w:b/>
              </w:rPr>
              <w:t>WEIGHTED AVERAGE COMMON SHARES OUTSTANDING:</w:t>
            </w:r>
            <w:r>
              <w:rPr/>
              <w:t xml:space="preserve">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250"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745" w:type="dxa"/>
            <w:tcBorders/>
            <w:vAlign w:val="center"/>
          </w:tcPr>
          <w:p>
            <w:pPr>
              <w:pStyle w:val="TableContents"/>
              <w:bidi w:val="0"/>
              <w:spacing w:before="0" w:after="283"/>
              <w:jc w:val="left"/>
              <w:rPr/>
            </w:pPr>
            <w:r>
              <w:rPr/>
              <w:t> </w:t>
            </w:r>
          </w:p>
        </w:tc>
        <w:tc>
          <w:tcPr>
            <w:tcW w:w="217" w:type="dxa"/>
            <w:tcBorders/>
            <w:vAlign w:val="center"/>
          </w:tcPr>
          <w:p>
            <w:pPr>
              <w:pStyle w:val="TableContents"/>
              <w:bidi w:val="0"/>
              <w:spacing w:before="0" w:after="283"/>
              <w:ind w:left="0" w:right="0" w:hanging="150"/>
              <w:jc w:val="left"/>
              <w:rPr/>
            </w:pPr>
            <w:r>
              <w:rPr/>
              <w:t> </w:t>
            </w:r>
          </w:p>
        </w:tc>
      </w:tr>
      <w:tr>
        <w:trPr/>
        <w:tc>
          <w:tcPr>
            <w:tcW w:w="6288" w:type="dxa"/>
            <w:tcBorders/>
            <w:shd w:fill="CCEEFF" w:val="clear"/>
            <w:vAlign w:val="center"/>
          </w:tcPr>
          <w:p>
            <w:pPr>
              <w:pStyle w:val="TableContents"/>
              <w:bidi w:val="0"/>
              <w:spacing w:before="0" w:after="0"/>
              <w:jc w:val="left"/>
              <w:rPr/>
            </w:pPr>
            <w:r>
              <w:rPr>
                <w:b/>
              </w:rPr>
              <w:t>Basic</w:t>
            </w:r>
            <w:r>
              <w:rPr/>
              <w:t xml:space="preserve"> </w:t>
            </w:r>
          </w:p>
        </w:tc>
        <w:tc>
          <w:tcPr>
            <w:tcW w:w="90" w:type="dxa"/>
            <w:tcBorders/>
            <w:shd w:fill="CCEEFF" w:val="clear"/>
            <w:vAlign w:val="center"/>
          </w:tcPr>
          <w:p>
            <w:pPr>
              <w:pStyle w:val="TableContents"/>
              <w:bidi w:val="0"/>
              <w:spacing w:before="0" w:after="283"/>
              <w:jc w:val="right"/>
              <w:rPr/>
            </w:pPr>
            <w:r>
              <w:rPr/>
              <w:t> </w:t>
            </w:r>
          </w:p>
        </w:tc>
        <w:tc>
          <w:tcPr>
            <w:tcW w:w="170" w:type="dxa"/>
            <w:tcBorders>
              <w:bottom w:val="double" w:sz="8" w:space="0" w:color="000000"/>
            </w:tcBorders>
            <w:shd w:fill="CCEEFF" w:val="clear"/>
            <w:tcMar>
              <w:bottom w:w="28" w:type="dxa"/>
            </w:tcMar>
            <w:vAlign w:val="center"/>
          </w:tcPr>
          <w:p>
            <w:pPr>
              <w:pStyle w:val="TableContents"/>
              <w:bidi w:val="0"/>
              <w:spacing w:before="0" w:after="283"/>
              <w:jc w:val="left"/>
              <w:rPr/>
            </w:pPr>
            <w:r>
              <w:rPr/>
              <w:t> </w:t>
            </w:r>
          </w:p>
        </w:tc>
        <w:tc>
          <w:tcPr>
            <w:tcW w:w="1250" w:type="dxa"/>
            <w:tcBorders>
              <w:bottom w:val="double" w:sz="8" w:space="0" w:color="000000"/>
            </w:tcBorders>
            <w:shd w:fill="CCEEFF" w:val="clear"/>
            <w:tcMar>
              <w:bottom w:w="28" w:type="dxa"/>
            </w:tcMar>
            <w:vAlign w:val="center"/>
          </w:tcPr>
          <w:p>
            <w:pPr>
              <w:pStyle w:val="TableContents"/>
              <w:bidi w:val="0"/>
              <w:spacing w:before="0" w:after="283"/>
              <w:jc w:val="right"/>
              <w:rPr/>
            </w:pPr>
            <w:r>
              <w:rPr/>
              <w:t>236,072,751</w:t>
            </w:r>
          </w:p>
        </w:tc>
        <w:tc>
          <w:tcPr>
            <w:tcW w:w="185" w:type="dxa"/>
            <w:tcBorders>
              <w:bottom w:val="double" w:sz="8"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right"/>
              <w:rPr/>
            </w:pPr>
            <w:r>
              <w:rPr/>
              <w:t> </w:t>
            </w:r>
          </w:p>
        </w:tc>
        <w:tc>
          <w:tcPr>
            <w:tcW w:w="170" w:type="dxa"/>
            <w:tcBorders>
              <w:bottom w:val="double" w:sz="8" w:space="0" w:color="000000"/>
            </w:tcBorders>
            <w:shd w:fill="CCEEFF" w:val="clear"/>
            <w:tcMar>
              <w:bottom w:w="28" w:type="dxa"/>
            </w:tcMar>
            <w:vAlign w:val="center"/>
          </w:tcPr>
          <w:p>
            <w:pPr>
              <w:pStyle w:val="TableContents"/>
              <w:bidi w:val="0"/>
              <w:spacing w:before="0" w:after="283"/>
              <w:jc w:val="left"/>
              <w:rPr/>
            </w:pPr>
            <w:r>
              <w:rPr/>
              <w:t> </w:t>
            </w:r>
          </w:p>
        </w:tc>
        <w:tc>
          <w:tcPr>
            <w:tcW w:w="1745" w:type="dxa"/>
            <w:tcBorders>
              <w:bottom w:val="double" w:sz="8" w:space="0" w:color="000000"/>
            </w:tcBorders>
            <w:shd w:fill="CCEEFF" w:val="clear"/>
            <w:tcMar>
              <w:bottom w:w="28" w:type="dxa"/>
            </w:tcMar>
            <w:vAlign w:val="center"/>
          </w:tcPr>
          <w:p>
            <w:pPr>
              <w:pStyle w:val="TableContents"/>
              <w:bidi w:val="0"/>
              <w:spacing w:before="0" w:after="283"/>
              <w:jc w:val="right"/>
              <w:rPr/>
            </w:pPr>
            <w:r>
              <w:rPr/>
              <w:t>237,775,476</w:t>
            </w:r>
          </w:p>
        </w:tc>
        <w:tc>
          <w:tcPr>
            <w:tcW w:w="217" w:type="dxa"/>
            <w:tcBorders>
              <w:bottom w:val="double" w:sz="8" w:space="0" w:color="000000"/>
            </w:tcBorders>
            <w:shd w:fill="CCEEFF" w:val="clear"/>
            <w:tcMar>
              <w:bottom w:w="28" w:type="dxa"/>
            </w:tcMar>
            <w:vAlign w:val="center"/>
          </w:tcPr>
          <w:p>
            <w:pPr>
              <w:pStyle w:val="TableContents"/>
              <w:bidi w:val="0"/>
              <w:spacing w:before="0" w:after="283"/>
              <w:jc w:val="left"/>
              <w:rPr/>
            </w:pPr>
            <w:r>
              <w:rPr/>
              <w:t> </w:t>
            </w:r>
          </w:p>
        </w:tc>
      </w:tr>
      <w:tr>
        <w:trPr/>
        <w:tc>
          <w:tcPr>
            <w:tcW w:w="6288" w:type="dxa"/>
            <w:tcBorders/>
            <w:vAlign w:val="center"/>
          </w:tcPr>
          <w:p>
            <w:pPr>
              <w:pStyle w:val="TableContents"/>
              <w:bidi w:val="0"/>
              <w:spacing w:before="0" w:after="0"/>
              <w:ind w:left="0" w:right="0" w:hanging="144"/>
              <w:jc w:val="left"/>
              <w:rPr/>
            </w:pPr>
            <w:r>
              <w:rPr>
                <w:b/>
              </w:rPr>
              <w:t>Diluted</w:t>
            </w:r>
            <w:r>
              <w:rPr/>
              <w:t xml:space="preserve"> </w:t>
            </w:r>
          </w:p>
        </w:tc>
        <w:tc>
          <w:tcPr>
            <w:tcW w:w="90" w:type="dxa"/>
            <w:tcBorders/>
            <w:vAlign w:val="center"/>
          </w:tcPr>
          <w:p>
            <w:pPr>
              <w:pStyle w:val="TableContents"/>
              <w:bidi w:val="0"/>
              <w:spacing w:before="0" w:after="283"/>
              <w:jc w:val="right"/>
              <w:rPr/>
            </w:pPr>
            <w:r>
              <w:rPr/>
              <w:t> </w:t>
            </w:r>
          </w:p>
        </w:tc>
        <w:tc>
          <w:tcPr>
            <w:tcW w:w="170" w:type="dxa"/>
            <w:tcBorders>
              <w:bottom w:val="double" w:sz="8" w:space="0" w:color="000000"/>
            </w:tcBorders>
            <w:tcMar>
              <w:bottom w:w="28" w:type="dxa"/>
            </w:tcMar>
            <w:vAlign w:val="center"/>
          </w:tcPr>
          <w:p>
            <w:pPr>
              <w:pStyle w:val="TableContents"/>
              <w:bidi w:val="0"/>
              <w:spacing w:before="0" w:after="283"/>
              <w:jc w:val="left"/>
              <w:rPr/>
            </w:pPr>
            <w:r>
              <w:rPr/>
              <w:t> </w:t>
            </w:r>
          </w:p>
        </w:tc>
        <w:tc>
          <w:tcPr>
            <w:tcW w:w="1250" w:type="dxa"/>
            <w:tcBorders>
              <w:bottom w:val="double" w:sz="8" w:space="0" w:color="000000"/>
            </w:tcBorders>
            <w:tcMar>
              <w:bottom w:w="28" w:type="dxa"/>
            </w:tcMar>
            <w:vAlign w:val="center"/>
          </w:tcPr>
          <w:p>
            <w:pPr>
              <w:pStyle w:val="TableContents"/>
              <w:bidi w:val="0"/>
              <w:spacing w:before="0" w:after="283"/>
              <w:jc w:val="right"/>
              <w:rPr/>
            </w:pPr>
            <w:r>
              <w:rPr/>
              <w:t>239,955,762</w:t>
            </w:r>
          </w:p>
        </w:tc>
        <w:tc>
          <w:tcPr>
            <w:tcW w:w="185" w:type="dxa"/>
            <w:tcBorders>
              <w:bottom w:val="double" w:sz="8" w:space="0" w:color="000000"/>
            </w:tcBorders>
            <w:tcMar>
              <w:bottom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right"/>
              <w:rPr/>
            </w:pPr>
            <w:r>
              <w:rPr/>
              <w:t> </w:t>
            </w:r>
          </w:p>
        </w:tc>
        <w:tc>
          <w:tcPr>
            <w:tcW w:w="170" w:type="dxa"/>
            <w:tcBorders>
              <w:bottom w:val="double" w:sz="8" w:space="0" w:color="000000"/>
            </w:tcBorders>
            <w:tcMar>
              <w:bottom w:w="28" w:type="dxa"/>
            </w:tcMar>
            <w:vAlign w:val="center"/>
          </w:tcPr>
          <w:p>
            <w:pPr>
              <w:pStyle w:val="TableContents"/>
              <w:bidi w:val="0"/>
              <w:spacing w:before="0" w:after="283"/>
              <w:jc w:val="left"/>
              <w:rPr/>
            </w:pPr>
            <w:r>
              <w:rPr/>
              <w:t> </w:t>
            </w:r>
          </w:p>
        </w:tc>
        <w:tc>
          <w:tcPr>
            <w:tcW w:w="1745" w:type="dxa"/>
            <w:tcBorders>
              <w:bottom w:val="double" w:sz="8" w:space="0" w:color="000000"/>
            </w:tcBorders>
            <w:tcMar>
              <w:bottom w:w="28" w:type="dxa"/>
            </w:tcMar>
            <w:vAlign w:val="center"/>
          </w:tcPr>
          <w:p>
            <w:pPr>
              <w:pStyle w:val="TableContents"/>
              <w:bidi w:val="0"/>
              <w:spacing w:before="0" w:after="283"/>
              <w:jc w:val="right"/>
              <w:rPr/>
            </w:pPr>
            <w:r>
              <w:rPr/>
              <w:t>244,676,350</w:t>
            </w:r>
          </w:p>
        </w:tc>
        <w:tc>
          <w:tcPr>
            <w:tcW w:w="217" w:type="dxa"/>
            <w:tcBorders>
              <w:bottom w:val="double" w:sz="8" w:space="0" w:color="000000"/>
            </w:tcBorders>
            <w:tcMar>
              <w:bottom w:w="28" w:type="dxa"/>
            </w:tcMar>
            <w:vAlign w:val="center"/>
          </w:tcPr>
          <w:p>
            <w:pPr>
              <w:pStyle w:val="TableContents"/>
              <w:bidi w:val="0"/>
              <w:spacing w:before="0" w:after="283"/>
              <w:jc w:val="left"/>
              <w:rPr/>
            </w:pPr>
            <w:r>
              <w:rPr/>
              <w:t> </w:t>
            </w:r>
          </w:p>
        </w:tc>
      </w:tr>
    </w:tbl>
    <w:p>
      <w:pPr>
        <w:pStyle w:val="TextBody"/>
        <w:bidi w:val="0"/>
        <w:spacing w:before="0" w:after="0"/>
        <w:jc w:val="left"/>
        <w:rPr/>
      </w:pPr>
      <w:r>
        <w:rPr/>
        <w:t xml:space="preserve">  </w:t>
      </w:r>
    </w:p>
    <w:p>
      <w:pPr>
        <w:pStyle w:val="TextBody"/>
        <w:bidi w:val="0"/>
        <w:spacing w:before="0" w:after="0"/>
        <w:jc w:val="center"/>
        <w:rPr>
          <w:rFonts w:ascii="Times New Roman" w:hAnsi="Times New Roman"/>
          <w:sz w:val="20"/>
        </w:rPr>
      </w:pPr>
      <w:r>
        <w:rPr>
          <w:rFonts w:ascii="Times New Roman" w:hAnsi="Times New Roman"/>
          <w:sz w:val="20"/>
        </w:rPr>
        <w:t xml:space="preserve">The accompanying notes are an integral part of these condensed consolidated financial statements. </w:t>
      </w:r>
    </w:p>
    <w:p>
      <w:pPr>
        <w:pStyle w:val="TextBody"/>
        <w:bidi w:val="0"/>
        <w:spacing w:before="0" w:after="0"/>
        <w:jc w:val="center"/>
        <w:rPr/>
      </w:pPr>
      <w:r>
        <w:rPr/>
        <w:t> </w:t>
      </w:r>
    </w:p>
    <w:p>
      <w:pPr>
        <w:pStyle w:val="TextBody"/>
        <w:bidi w:val="0"/>
        <w:spacing w:before="150" w:after="15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t>2</w:t>
      </w:r>
    </w:p>
    <w:p>
      <w:pPr>
        <w:pStyle w:val="HorizontalLine"/>
        <w:bidi w:val="0"/>
        <w:spacing w:before="150" w:after="150"/>
        <w:jc w:val="left"/>
        <w:rPr/>
      </w:pPr>
      <w:r>
        <w:rPr/>
      </w:r>
    </w:p>
    <w:p>
      <w:pPr>
        <w:pStyle w:val="TextBody"/>
        <w:bidi w:val="0"/>
        <w:spacing w:before="150" w:after="150"/>
        <w:jc w:val="left"/>
        <w:rPr/>
      </w:pPr>
      <w:hyperlink w:anchor="index">
        <w:r>
          <w:rPr>
            <w:rStyle w:val="InternetLink"/>
            <w:rFonts w:ascii="TimesNewRoman;Times New Roman;Times;Baskerville;Georgia;serif" w:hAnsi="TimesNewRoman;Times New Roman;Times;Baskerville;Georgia;serif"/>
            <w:b w:val="false"/>
            <w:i/>
            <w:caps w:val="false"/>
            <w:smallCaps w:val="false"/>
            <w:strike w:val="false"/>
            <w:dstrike w:val="false"/>
            <w:sz w:val="16"/>
            <w:u w:val="none"/>
            <w:effect w:val="none"/>
          </w:rPr>
          <w:t>Index</w:t>
        </w:r>
      </w:hyperlink>
    </w:p>
    <w:p>
      <w:pPr>
        <w:pStyle w:val="TextBody"/>
        <w:bidi w:val="0"/>
        <w:spacing w:before="0" w:after="0"/>
        <w:jc w:val="center"/>
        <w:rPr>
          <w:rFonts w:ascii="Times New Roman" w:hAnsi="Times New Roman"/>
          <w:sz w:val="20"/>
        </w:rPr>
      </w:pPr>
      <w:r>
        <w:rPr>
          <w:rFonts w:ascii="Times New Roman" w:hAnsi="Times New Roman"/>
          <w:b/>
          <w:sz w:val="20"/>
        </w:rPr>
        <w:t>ADMA BIOLOGICS, INC. AND SUBSIDIARIES</w:t>
      </w:r>
      <w:r>
        <w:rPr>
          <w:rFonts w:ascii="Times New Roman" w:hAnsi="Times New Roman"/>
          <w:sz w:val="20"/>
        </w:rPr>
        <w:t xml:space="preserve"> </w:t>
      </w:r>
    </w:p>
    <w:p>
      <w:pPr>
        <w:pStyle w:val="TextBody"/>
        <w:bidi w:val="0"/>
        <w:spacing w:before="0" w:after="0"/>
        <w:ind w:left="0" w:right="0" w:hanging="0"/>
        <w:jc w:val="center"/>
        <w:rPr>
          <w:rFonts w:ascii="Times New Roman" w:hAnsi="Times New Roman"/>
          <w:sz w:val="20"/>
        </w:rPr>
      </w:pPr>
      <w:bookmarkStart w:id="7" w:name="se"/>
      <w:bookmarkEnd w:id="7"/>
      <w:r>
        <w:rPr>
          <w:rFonts w:ascii="Times New Roman" w:hAnsi="Times New Roman"/>
          <w:b/>
          <w:sz w:val="20"/>
        </w:rPr>
        <w:t>CONDENSED CONSOLIDATED STATEMENTS OF CHANGES IN</w:t>
      </w:r>
      <w:r>
        <w:rPr>
          <w:rFonts w:ascii="Times New Roman" w:hAnsi="Times New Roman"/>
          <w:sz w:val="20"/>
        </w:rPr>
        <w:t xml:space="preserve"> </w:t>
      </w:r>
    </w:p>
    <w:p>
      <w:pPr>
        <w:pStyle w:val="TextBody"/>
        <w:bidi w:val="0"/>
        <w:spacing w:before="0" w:after="0"/>
        <w:ind w:left="0" w:right="0" w:hanging="0"/>
        <w:jc w:val="center"/>
        <w:rPr>
          <w:rFonts w:ascii="Times New Roman" w:hAnsi="Times New Roman"/>
          <w:sz w:val="20"/>
        </w:rPr>
      </w:pPr>
      <w:r>
        <w:rPr>
          <w:rFonts w:ascii="Times New Roman" w:hAnsi="Times New Roman"/>
          <w:b/>
          <w:sz w:val="20"/>
        </w:rPr>
        <w:t>STOCKHOLDERS’ EQUITY (Unaudited)</w:t>
      </w:r>
      <w:r>
        <w:rPr>
          <w:rFonts w:ascii="Times New Roman" w:hAnsi="Times New Roman"/>
          <w:sz w:val="20"/>
        </w:rPr>
        <w:t xml:space="preserve"> </w:t>
      </w:r>
    </w:p>
    <w:p>
      <w:pPr>
        <w:pStyle w:val="TextBody"/>
        <w:bidi w:val="0"/>
        <w:spacing w:before="0" w:after="0"/>
        <w:ind w:left="0" w:right="0" w:hanging="0"/>
        <w:jc w:val="center"/>
        <w:rPr/>
      </w:pPr>
      <w:r>
        <w:rPr/>
        <w:t xml:space="preserve">  </w:t>
      </w:r>
    </w:p>
    <w:p>
      <w:pPr>
        <w:pStyle w:val="TextBody"/>
        <w:bidi w:val="0"/>
        <w:spacing w:before="0" w:after="0"/>
        <w:ind w:left="0" w:right="0" w:hanging="0"/>
        <w:jc w:val="center"/>
        <w:rPr>
          <w:rFonts w:ascii="Times New Roman" w:hAnsi="Times New Roman"/>
          <w:sz w:val="20"/>
        </w:rPr>
      </w:pPr>
      <w:r>
        <w:rPr>
          <w:rFonts w:ascii="Times New Roman" w:hAnsi="Times New Roman"/>
          <w:i/>
          <w:sz w:val="20"/>
        </w:rPr>
        <w:t>(In thousands, except share data)</w:t>
      </w:r>
      <w:r>
        <w:rPr>
          <w:rFonts w:ascii="Times New Roman" w:hAnsi="Times New Roman"/>
          <w:sz w:val="20"/>
        </w:rPr>
        <w:t xml:space="preserve"> </w:t>
      </w:r>
    </w:p>
    <w:p>
      <w:pPr>
        <w:pStyle w:val="TextBody"/>
        <w:bidi w:val="0"/>
        <w:spacing w:before="0" w:after="0"/>
        <w:ind w:left="0" w:right="0" w:hanging="0"/>
        <w:jc w:val="right"/>
        <w:rPr/>
      </w:pPr>
      <w:r>
        <w:rPr/>
        <w:t xml:space="preserve">  </w:t>
      </w:r>
    </w:p>
    <w:tbl>
      <w:tblPr>
        <w:tblW w:w="12270" w:type="dxa"/>
        <w:jc w:val="left"/>
        <w:tblInd w:w="0" w:type="dxa"/>
        <w:tblLayout w:type="fixed"/>
        <w:tblCellMar>
          <w:top w:w="0" w:type="dxa"/>
          <w:left w:w="0" w:type="dxa"/>
          <w:bottom w:w="0" w:type="dxa"/>
          <w:right w:w="0" w:type="dxa"/>
        </w:tblCellMar>
      </w:tblPr>
      <w:tblGrid>
        <w:gridCol w:w="1370"/>
        <w:gridCol w:w="90"/>
        <w:gridCol w:w="90"/>
        <w:gridCol w:w="1250"/>
        <w:gridCol w:w="90"/>
        <w:gridCol w:w="90"/>
        <w:gridCol w:w="170"/>
        <w:gridCol w:w="890"/>
        <w:gridCol w:w="90"/>
        <w:gridCol w:w="90"/>
        <w:gridCol w:w="170"/>
        <w:gridCol w:w="1130"/>
        <w:gridCol w:w="185"/>
        <w:gridCol w:w="90"/>
        <w:gridCol w:w="170"/>
        <w:gridCol w:w="1400"/>
        <w:gridCol w:w="185"/>
        <w:gridCol w:w="90"/>
        <w:gridCol w:w="90"/>
        <w:gridCol w:w="1085"/>
        <w:gridCol w:w="185"/>
        <w:gridCol w:w="90"/>
        <w:gridCol w:w="170"/>
        <w:gridCol w:w="905"/>
        <w:gridCol w:w="185"/>
        <w:gridCol w:w="90"/>
        <w:gridCol w:w="170"/>
        <w:gridCol w:w="1430"/>
        <w:gridCol w:w="230"/>
      </w:tblGrid>
      <w:tr>
        <w:trPr/>
        <w:tc>
          <w:tcPr>
            <w:tcW w:w="137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5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400"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85"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05"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43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 </w:t>
            </w:r>
          </w:p>
        </w:tc>
      </w:tr>
      <w:tr>
        <w:trPr/>
        <w:tc>
          <w:tcPr>
            <w:tcW w:w="137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5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400"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85"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05"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43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 </w:t>
            </w:r>
          </w:p>
        </w:tc>
      </w:tr>
      <w:tr>
        <w:trPr/>
        <w:tc>
          <w:tcPr>
            <w:tcW w:w="12040" w:type="dxa"/>
            <w:gridSpan w:val="28"/>
            <w:tcBorders>
              <w:bottom w:val="single" w:sz="12" w:space="0" w:color="000000"/>
            </w:tcBorders>
            <w:tcMar>
              <w:bottom w:w="28" w:type="dxa"/>
            </w:tcMar>
            <w:vAlign w:val="center"/>
          </w:tcPr>
          <w:p>
            <w:pPr>
              <w:pStyle w:val="TableContents"/>
              <w:bidi w:val="0"/>
              <w:spacing w:before="0" w:after="283"/>
              <w:jc w:val="center"/>
              <w:rPr/>
            </w:pPr>
            <w:r>
              <w:rPr>
                <w:b/>
                <w:spacing w:val="0"/>
              </w:rPr>
              <w:t>For the Three Months Ended March 31, 2026</w:t>
            </w:r>
            <w:r>
              <w:rPr/>
              <w:t xml:space="preserve"> </w:t>
            </w:r>
          </w:p>
        </w:tc>
        <w:tc>
          <w:tcPr>
            <w:tcW w:w="230" w:type="dxa"/>
            <w:tcBorders/>
            <w:vAlign w:val="center"/>
          </w:tcPr>
          <w:p>
            <w:pPr>
              <w:pStyle w:val="TableContents"/>
              <w:bidi w:val="0"/>
              <w:spacing w:before="0" w:after="283"/>
              <w:jc w:val="center"/>
              <w:rPr/>
            </w:pPr>
            <w:r>
              <w:rPr/>
              <w:t> </w:t>
            </w:r>
          </w:p>
        </w:tc>
      </w:tr>
      <w:tr>
        <w:trPr/>
        <w:tc>
          <w:tcPr>
            <w:tcW w:w="137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r>
          </w:p>
        </w:tc>
        <w:tc>
          <w:tcPr>
            <w:tcW w:w="2580" w:type="dxa"/>
            <w:gridSpan w:val="6"/>
            <w:tcBorders>
              <w:bottom w:val="single" w:sz="12" w:space="0" w:color="000000"/>
            </w:tcBorders>
            <w:tcMar>
              <w:bottom w:w="28" w:type="dxa"/>
            </w:tcMar>
            <w:vAlign w:val="center"/>
          </w:tcPr>
          <w:p>
            <w:pPr>
              <w:pStyle w:val="TableContents"/>
              <w:bidi w:val="0"/>
              <w:spacing w:before="0" w:after="283"/>
              <w:jc w:val="center"/>
              <w:rPr/>
            </w:pPr>
            <w:r>
              <w:rPr>
                <w:b/>
                <w:spacing w:val="0"/>
              </w:rPr>
              <w:t>Common Stock</w:t>
            </w:r>
            <w:r>
              <w:rPr/>
              <w:t xml:space="preserve"> </w:t>
            </w:r>
          </w:p>
        </w:tc>
        <w:tc>
          <w:tcPr>
            <w:tcW w:w="9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70" w:type="dxa"/>
            <w:tcBorders/>
            <w:vAlign w:val="center"/>
          </w:tcPr>
          <w:p>
            <w:pPr>
              <w:pStyle w:val="TableContents"/>
              <w:bidi w:val="0"/>
              <w:spacing w:before="0" w:after="283"/>
              <w:jc w:val="center"/>
              <w:rPr/>
            </w:pPr>
            <w:r>
              <w:rPr/>
              <w:t> </w:t>
            </w:r>
          </w:p>
        </w:tc>
        <w:tc>
          <w:tcPr>
            <w:tcW w:w="1130" w:type="dxa"/>
            <w:vMerge w:val="restart"/>
            <w:tcBorders>
              <w:bottom w:val="single" w:sz="12" w:space="0" w:color="000000"/>
            </w:tcBorders>
            <w:tcMar>
              <w:bottom w:w="28" w:type="dxa"/>
            </w:tcMar>
            <w:vAlign w:val="center"/>
          </w:tcPr>
          <w:p>
            <w:pPr>
              <w:pStyle w:val="TableContents"/>
              <w:bidi w:val="0"/>
              <w:spacing w:before="0" w:after="283"/>
              <w:jc w:val="center"/>
              <w:rPr>
                <w:b/>
              </w:rPr>
            </w:pPr>
            <w:r>
              <w:rPr>
                <w:b/>
              </w:rPr>
              <w:t xml:space="preserve">Additional </w:t>
              <w:br/>
              <w:t xml:space="preserve">Paid-in </w:t>
              <w:br/>
              <w:t xml:space="preserve">Capital </w:t>
            </w:r>
          </w:p>
        </w:tc>
        <w:tc>
          <w:tcPr>
            <w:tcW w:w="185"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70" w:type="dxa"/>
            <w:tcBorders/>
            <w:vAlign w:val="center"/>
          </w:tcPr>
          <w:p>
            <w:pPr>
              <w:pStyle w:val="TableContents"/>
              <w:bidi w:val="0"/>
              <w:spacing w:before="0" w:after="283"/>
              <w:jc w:val="center"/>
              <w:rPr/>
            </w:pPr>
            <w:r>
              <w:rPr/>
              <w:t> </w:t>
            </w:r>
          </w:p>
        </w:tc>
        <w:tc>
          <w:tcPr>
            <w:tcW w:w="1400" w:type="dxa"/>
            <w:vMerge w:val="restart"/>
            <w:tcBorders>
              <w:bottom w:val="single" w:sz="12" w:space="0" w:color="000000"/>
            </w:tcBorders>
            <w:tcMar>
              <w:bottom w:w="28" w:type="dxa"/>
            </w:tcMar>
            <w:vAlign w:val="center"/>
          </w:tcPr>
          <w:p>
            <w:pPr>
              <w:pStyle w:val="TableContents"/>
              <w:bidi w:val="0"/>
              <w:spacing w:before="0" w:after="283"/>
              <w:jc w:val="center"/>
              <w:rPr>
                <w:b/>
              </w:rPr>
            </w:pPr>
            <w:r>
              <w:rPr>
                <w:b/>
              </w:rPr>
              <w:t xml:space="preserve">Accumulated Deficit </w:t>
            </w:r>
          </w:p>
        </w:tc>
        <w:tc>
          <w:tcPr>
            <w:tcW w:w="185"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r>
          </w:p>
        </w:tc>
        <w:tc>
          <w:tcPr>
            <w:tcW w:w="90" w:type="dxa"/>
            <w:tcBorders>
              <w:bottom w:val="single" w:sz="12" w:space="0" w:color="000000"/>
            </w:tcBorders>
            <w:tcMar>
              <w:bottom w:w="28" w:type="dxa"/>
            </w:tcMar>
            <w:vAlign w:val="center"/>
          </w:tcPr>
          <w:p>
            <w:pPr>
              <w:pStyle w:val="TableContents"/>
              <w:bidi w:val="0"/>
              <w:spacing w:before="0" w:after="283"/>
              <w:jc w:val="center"/>
              <w:rPr/>
            </w:pPr>
            <w:r>
              <w:rPr/>
              <w:t> </w:t>
            </w:r>
          </w:p>
        </w:tc>
        <w:tc>
          <w:tcPr>
            <w:tcW w:w="2435" w:type="dxa"/>
            <w:gridSpan w:val="5"/>
            <w:tcBorders>
              <w:bottom w:val="single" w:sz="12" w:space="0" w:color="000000"/>
            </w:tcBorders>
            <w:tcMar>
              <w:bottom w:w="28" w:type="dxa"/>
            </w:tcMar>
            <w:vAlign w:val="center"/>
          </w:tcPr>
          <w:p>
            <w:pPr>
              <w:pStyle w:val="TableContents"/>
              <w:bidi w:val="0"/>
              <w:spacing w:before="0" w:after="283"/>
              <w:jc w:val="center"/>
              <w:rPr/>
            </w:pPr>
            <w:r>
              <w:rPr>
                <w:b/>
                <w:spacing w:val="0"/>
              </w:rPr>
              <w:t>Treasury Stock</w:t>
            </w:r>
            <w:r>
              <w:rPr/>
              <w:t xml:space="preserve"> </w:t>
            </w:r>
          </w:p>
        </w:tc>
        <w:tc>
          <w:tcPr>
            <w:tcW w:w="185"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70" w:type="dxa"/>
            <w:tcBorders/>
            <w:vAlign w:val="center"/>
          </w:tcPr>
          <w:p>
            <w:pPr>
              <w:pStyle w:val="TableContents"/>
              <w:bidi w:val="0"/>
              <w:spacing w:before="0" w:after="283"/>
              <w:jc w:val="center"/>
              <w:rPr/>
            </w:pPr>
            <w:r>
              <w:rPr/>
              <w:t> </w:t>
            </w:r>
          </w:p>
        </w:tc>
        <w:tc>
          <w:tcPr>
            <w:tcW w:w="1430" w:type="dxa"/>
            <w:vMerge w:val="restart"/>
            <w:tcBorders>
              <w:bottom w:val="single" w:sz="12" w:space="0" w:color="000000"/>
            </w:tcBorders>
            <w:tcMar>
              <w:bottom w:w="28" w:type="dxa"/>
            </w:tcMar>
            <w:vAlign w:val="center"/>
          </w:tcPr>
          <w:p>
            <w:pPr>
              <w:pStyle w:val="TableContents"/>
              <w:bidi w:val="0"/>
              <w:spacing w:before="0" w:after="283"/>
              <w:jc w:val="center"/>
              <w:rPr/>
            </w:pPr>
            <w:r>
              <w:rPr>
                <w:b/>
              </w:rPr>
              <w:t xml:space="preserve">Total </w:t>
              <w:br/>
              <w:t xml:space="preserve">Stockholders' </w:t>
              <w:br/>
              <w:t>Equity</w:t>
            </w:r>
            <w:r>
              <w:rPr/>
              <w:t xml:space="preserve"> </w:t>
            </w:r>
          </w:p>
        </w:tc>
        <w:tc>
          <w:tcPr>
            <w:tcW w:w="230" w:type="dxa"/>
            <w:tcBorders/>
            <w:vAlign w:val="center"/>
          </w:tcPr>
          <w:p>
            <w:pPr>
              <w:pStyle w:val="TableContents"/>
              <w:bidi w:val="0"/>
              <w:spacing w:before="0" w:after="283"/>
              <w:jc w:val="center"/>
              <w:rPr/>
            </w:pPr>
            <w:r>
              <w:rPr/>
              <w:t> </w:t>
            </w:r>
          </w:p>
        </w:tc>
      </w:tr>
      <w:tr>
        <w:trPr/>
        <w:tc>
          <w:tcPr>
            <w:tcW w:w="137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center"/>
              <w:rPr/>
            </w:pPr>
            <w:r>
              <w:rPr/>
              <w:t> </w:t>
            </w:r>
          </w:p>
        </w:tc>
        <w:tc>
          <w:tcPr>
            <w:tcW w:w="90" w:type="dxa"/>
            <w:tcBorders>
              <w:bottom w:val="single" w:sz="12" w:space="0" w:color="000000"/>
            </w:tcBorders>
            <w:tcMar>
              <w:bottom w:w="28" w:type="dxa"/>
            </w:tcMar>
            <w:vAlign w:val="center"/>
          </w:tcPr>
          <w:p>
            <w:pPr>
              <w:pStyle w:val="TableContents"/>
              <w:bidi w:val="0"/>
              <w:spacing w:before="0" w:after="283"/>
              <w:jc w:val="center"/>
              <w:rPr/>
            </w:pPr>
            <w:r>
              <w:rPr/>
              <w:t> </w:t>
            </w:r>
          </w:p>
        </w:tc>
        <w:tc>
          <w:tcPr>
            <w:tcW w:w="1250" w:type="dxa"/>
            <w:tcBorders>
              <w:bottom w:val="single" w:sz="12" w:space="0" w:color="000000"/>
            </w:tcBorders>
            <w:tcMar>
              <w:bottom w:w="28" w:type="dxa"/>
            </w:tcMar>
            <w:vAlign w:val="center"/>
          </w:tcPr>
          <w:p>
            <w:pPr>
              <w:pStyle w:val="TableContents"/>
              <w:bidi w:val="0"/>
              <w:spacing w:before="0" w:after="283"/>
              <w:jc w:val="center"/>
              <w:rPr>
                <w:b/>
              </w:rPr>
            </w:pPr>
            <w:r>
              <w:rPr>
                <w:b/>
              </w:rPr>
              <w:t xml:space="preserve">Shares </w:t>
            </w:r>
          </w:p>
        </w:tc>
        <w:tc>
          <w:tcPr>
            <w:tcW w:w="9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70" w:type="dxa"/>
            <w:tcBorders>
              <w:bottom w:val="single" w:sz="12" w:space="0" w:color="000000"/>
            </w:tcBorders>
            <w:tcMar>
              <w:bottom w:w="28" w:type="dxa"/>
            </w:tcMar>
            <w:vAlign w:val="center"/>
          </w:tcPr>
          <w:p>
            <w:pPr>
              <w:pStyle w:val="TableContents"/>
              <w:bidi w:val="0"/>
              <w:spacing w:before="0" w:after="283"/>
              <w:jc w:val="center"/>
              <w:rPr/>
            </w:pPr>
            <w:r>
              <w:rPr/>
              <w:t> </w:t>
            </w:r>
          </w:p>
        </w:tc>
        <w:tc>
          <w:tcPr>
            <w:tcW w:w="890" w:type="dxa"/>
            <w:tcBorders>
              <w:bottom w:val="single" w:sz="12" w:space="0" w:color="000000"/>
            </w:tcBorders>
            <w:tcMar>
              <w:bottom w:w="28" w:type="dxa"/>
            </w:tcMar>
            <w:vAlign w:val="center"/>
          </w:tcPr>
          <w:p>
            <w:pPr>
              <w:pStyle w:val="TableContents"/>
              <w:bidi w:val="0"/>
              <w:spacing w:before="0" w:after="283"/>
              <w:jc w:val="center"/>
              <w:rPr>
                <w:b/>
              </w:rPr>
            </w:pPr>
            <w:r>
              <w:rPr>
                <w:b/>
              </w:rPr>
              <w:t xml:space="preserve">Amount </w:t>
            </w:r>
          </w:p>
        </w:tc>
        <w:tc>
          <w:tcPr>
            <w:tcW w:w="9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70" w:type="dxa"/>
            <w:tcBorders>
              <w:bottom w:val="single" w:sz="12" w:space="0" w:color="000000"/>
            </w:tcBorders>
            <w:tcMar>
              <w:bottom w:w="28" w:type="dxa"/>
            </w:tcMar>
            <w:vAlign w:val="center"/>
          </w:tcPr>
          <w:p>
            <w:pPr>
              <w:pStyle w:val="TableContents"/>
              <w:bidi w:val="0"/>
              <w:spacing w:before="0" w:after="283"/>
              <w:jc w:val="center"/>
              <w:rPr/>
            </w:pPr>
            <w:r>
              <w:rPr/>
              <w:t> </w:t>
            </w:r>
          </w:p>
        </w:tc>
        <w:tc>
          <w:tcPr>
            <w:tcW w:w="1130" w:type="dxa"/>
            <w:vMerge w:val="continue"/>
            <w:tcBorders>
              <w:bottom w:val="single" w:sz="12" w:space="0" w:color="000000"/>
            </w:tcBorders>
            <w:tcMar>
              <w:bottom w:w="28" w:type="dxa"/>
            </w:tcMar>
            <w:vAlign w:val="center"/>
          </w:tcPr>
          <w:p>
            <w:pPr>
              <w:pStyle w:val="Normal"/>
              <w:bidi w:val="0"/>
              <w:jc w:val="left"/>
              <w:rPr/>
            </w:pPr>
            <w:r>
              <w:rPr/>
            </w:r>
          </w:p>
        </w:tc>
        <w:tc>
          <w:tcPr>
            <w:tcW w:w="185"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70" w:type="dxa"/>
            <w:tcBorders>
              <w:bottom w:val="single" w:sz="12" w:space="0" w:color="000000"/>
            </w:tcBorders>
            <w:tcMar>
              <w:bottom w:w="28" w:type="dxa"/>
            </w:tcMar>
            <w:vAlign w:val="center"/>
          </w:tcPr>
          <w:p>
            <w:pPr>
              <w:pStyle w:val="TableContents"/>
              <w:bidi w:val="0"/>
              <w:spacing w:before="0" w:after="283"/>
              <w:jc w:val="center"/>
              <w:rPr/>
            </w:pPr>
            <w:r>
              <w:rPr/>
              <w:t> </w:t>
            </w:r>
          </w:p>
        </w:tc>
        <w:tc>
          <w:tcPr>
            <w:tcW w:w="1400" w:type="dxa"/>
            <w:vMerge w:val="continue"/>
            <w:tcBorders>
              <w:bottom w:val="single" w:sz="12" w:space="0" w:color="000000"/>
            </w:tcBorders>
            <w:tcMar>
              <w:bottom w:w="28" w:type="dxa"/>
            </w:tcMar>
            <w:vAlign w:val="center"/>
          </w:tcPr>
          <w:p>
            <w:pPr>
              <w:pStyle w:val="Normal"/>
              <w:bidi w:val="0"/>
              <w:jc w:val="left"/>
              <w:rPr/>
            </w:pPr>
            <w:r>
              <w:rPr/>
            </w:r>
          </w:p>
        </w:tc>
        <w:tc>
          <w:tcPr>
            <w:tcW w:w="185"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90" w:type="dxa"/>
            <w:tcBorders>
              <w:bottom w:val="single" w:sz="12" w:space="0" w:color="000000"/>
            </w:tcBorders>
            <w:tcMar>
              <w:bottom w:w="28" w:type="dxa"/>
            </w:tcMar>
            <w:vAlign w:val="center"/>
          </w:tcPr>
          <w:p>
            <w:pPr>
              <w:pStyle w:val="TableContents"/>
              <w:bidi w:val="0"/>
              <w:spacing w:before="0" w:after="283"/>
              <w:jc w:val="center"/>
              <w:rPr/>
            </w:pPr>
            <w:r>
              <w:rPr/>
              <w:t> </w:t>
            </w:r>
          </w:p>
        </w:tc>
        <w:tc>
          <w:tcPr>
            <w:tcW w:w="1085" w:type="dxa"/>
            <w:tcBorders>
              <w:bottom w:val="single" w:sz="12" w:space="0" w:color="000000"/>
            </w:tcBorders>
            <w:tcMar>
              <w:bottom w:w="28" w:type="dxa"/>
            </w:tcMar>
            <w:vAlign w:val="center"/>
          </w:tcPr>
          <w:p>
            <w:pPr>
              <w:pStyle w:val="TableContents"/>
              <w:bidi w:val="0"/>
              <w:spacing w:before="0" w:after="283"/>
              <w:jc w:val="center"/>
              <w:rPr>
                <w:b/>
              </w:rPr>
            </w:pPr>
            <w:r>
              <w:rPr>
                <w:b/>
              </w:rPr>
              <w:t xml:space="preserve">Shares </w:t>
            </w:r>
          </w:p>
        </w:tc>
        <w:tc>
          <w:tcPr>
            <w:tcW w:w="185"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70" w:type="dxa"/>
            <w:tcBorders>
              <w:bottom w:val="single" w:sz="12" w:space="0" w:color="000000"/>
            </w:tcBorders>
            <w:tcMar>
              <w:bottom w:w="28" w:type="dxa"/>
            </w:tcMar>
            <w:vAlign w:val="center"/>
          </w:tcPr>
          <w:p>
            <w:pPr>
              <w:pStyle w:val="TableContents"/>
              <w:bidi w:val="0"/>
              <w:spacing w:before="0" w:after="283"/>
              <w:jc w:val="center"/>
              <w:rPr/>
            </w:pPr>
            <w:r>
              <w:rPr/>
              <w:t> </w:t>
            </w:r>
          </w:p>
        </w:tc>
        <w:tc>
          <w:tcPr>
            <w:tcW w:w="905" w:type="dxa"/>
            <w:tcBorders>
              <w:bottom w:val="single" w:sz="12" w:space="0" w:color="000000"/>
            </w:tcBorders>
            <w:tcMar>
              <w:bottom w:w="28" w:type="dxa"/>
            </w:tcMar>
            <w:vAlign w:val="center"/>
          </w:tcPr>
          <w:p>
            <w:pPr>
              <w:pStyle w:val="TableContents"/>
              <w:bidi w:val="0"/>
              <w:spacing w:before="0" w:after="283"/>
              <w:jc w:val="center"/>
              <w:rPr>
                <w:b/>
              </w:rPr>
            </w:pPr>
            <w:r>
              <w:rPr>
                <w:b/>
              </w:rPr>
              <w:t xml:space="preserve">Amount </w:t>
            </w:r>
          </w:p>
        </w:tc>
        <w:tc>
          <w:tcPr>
            <w:tcW w:w="185"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70" w:type="dxa"/>
            <w:tcBorders>
              <w:bottom w:val="single" w:sz="12" w:space="0" w:color="000000"/>
            </w:tcBorders>
            <w:tcMar>
              <w:bottom w:w="28" w:type="dxa"/>
            </w:tcMar>
            <w:vAlign w:val="center"/>
          </w:tcPr>
          <w:p>
            <w:pPr>
              <w:pStyle w:val="TableContents"/>
              <w:bidi w:val="0"/>
              <w:spacing w:before="0" w:after="283"/>
              <w:jc w:val="center"/>
              <w:rPr/>
            </w:pPr>
            <w:r>
              <w:rPr/>
              <w:t> </w:t>
            </w:r>
          </w:p>
        </w:tc>
        <w:tc>
          <w:tcPr>
            <w:tcW w:w="1430" w:type="dxa"/>
            <w:vMerge w:val="continue"/>
            <w:tcBorders>
              <w:bottom w:val="single" w:sz="12" w:space="0" w:color="000000"/>
            </w:tcBorders>
            <w:tcMar>
              <w:bottom w:w="28" w:type="dxa"/>
            </w:tcMar>
            <w:vAlign w:val="center"/>
          </w:tcPr>
          <w:p>
            <w:pPr>
              <w:pStyle w:val="Normal"/>
              <w:bidi w:val="0"/>
              <w:jc w:val="left"/>
              <w:rPr/>
            </w:pPr>
            <w:r>
              <w:rPr/>
            </w:r>
          </w:p>
        </w:tc>
        <w:tc>
          <w:tcPr>
            <w:tcW w:w="230" w:type="dxa"/>
            <w:tcBorders/>
            <w:vAlign w:val="center"/>
          </w:tcPr>
          <w:p>
            <w:pPr>
              <w:pStyle w:val="TableContents"/>
              <w:bidi w:val="0"/>
              <w:spacing w:before="0" w:after="283"/>
              <w:jc w:val="center"/>
              <w:rPr/>
            </w:pPr>
            <w:r>
              <w:rPr/>
              <w:t> </w:t>
            </w:r>
          </w:p>
        </w:tc>
      </w:tr>
      <w:tr>
        <w:trPr/>
        <w:tc>
          <w:tcPr>
            <w:tcW w:w="1370" w:type="dxa"/>
            <w:tcBorders/>
            <w:shd w:fill="CCEEFF" w:val="clear"/>
            <w:vAlign w:val="center"/>
          </w:tcPr>
          <w:p>
            <w:pPr>
              <w:pStyle w:val="TableContents"/>
              <w:bidi w:val="0"/>
              <w:spacing w:before="0" w:after="0"/>
              <w:jc w:val="left"/>
              <w:rPr/>
            </w:pPr>
            <w:r>
              <w:rPr>
                <w:b/>
              </w:rPr>
              <w:t>Balance at December 31, 2025</w:t>
            </w:r>
            <w:r>
              <w:rPr/>
              <w:t xml:space="preserve"> </w:t>
            </w:r>
          </w:p>
        </w:tc>
        <w:tc>
          <w:tcPr>
            <w:tcW w:w="90" w:type="dxa"/>
            <w:tcBorders/>
            <w:shd w:fill="CCEEFF" w:val="clear"/>
            <w:vAlign w:val="center"/>
          </w:tcPr>
          <w:p>
            <w:pPr>
              <w:pStyle w:val="TableContents"/>
              <w:bidi w:val="0"/>
              <w:spacing w:before="0" w:after="283"/>
              <w:jc w:val="right"/>
              <w:rPr/>
            </w:pPr>
            <w:r>
              <w:rPr/>
              <w:t> </w:t>
            </w:r>
          </w:p>
        </w:tc>
        <w:tc>
          <w:tcPr>
            <w:tcW w:w="90" w:type="dxa"/>
            <w:tcBorders/>
            <w:shd w:fill="CCEEFF" w:val="clear"/>
            <w:vAlign w:val="center"/>
          </w:tcPr>
          <w:p>
            <w:pPr>
              <w:pStyle w:val="TableContents"/>
              <w:bidi w:val="0"/>
              <w:spacing w:before="0" w:after="283"/>
              <w:jc w:val="left"/>
              <w:rPr/>
            </w:pPr>
            <w:r>
              <w:rPr/>
              <w:t> </w:t>
            </w:r>
          </w:p>
        </w:tc>
        <w:tc>
          <w:tcPr>
            <w:tcW w:w="1250" w:type="dxa"/>
            <w:tcBorders/>
            <w:shd w:fill="CCEEFF" w:val="clear"/>
            <w:vAlign w:val="center"/>
          </w:tcPr>
          <w:p>
            <w:pPr>
              <w:pStyle w:val="TableContents"/>
              <w:bidi w:val="0"/>
              <w:spacing w:before="0" w:after="283"/>
              <w:jc w:val="right"/>
              <w:rPr/>
            </w:pPr>
            <w:r>
              <w:rPr/>
              <w:t>239,793,566</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w:t>
            </w:r>
          </w:p>
        </w:tc>
        <w:tc>
          <w:tcPr>
            <w:tcW w:w="890" w:type="dxa"/>
            <w:tcBorders/>
            <w:shd w:fill="CCEEFF" w:val="clear"/>
            <w:vAlign w:val="center"/>
          </w:tcPr>
          <w:p>
            <w:pPr>
              <w:pStyle w:val="TableContents"/>
              <w:bidi w:val="0"/>
              <w:spacing w:before="0" w:after="283"/>
              <w:jc w:val="right"/>
              <w:rPr/>
            </w:pPr>
            <w:r>
              <w:rPr/>
              <w:t>24</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w:t>
            </w:r>
          </w:p>
        </w:tc>
        <w:tc>
          <w:tcPr>
            <w:tcW w:w="1130" w:type="dxa"/>
            <w:tcBorders/>
            <w:shd w:fill="CCEEFF" w:val="clear"/>
            <w:vAlign w:val="center"/>
          </w:tcPr>
          <w:p>
            <w:pPr>
              <w:pStyle w:val="TableContents"/>
              <w:bidi w:val="0"/>
              <w:spacing w:before="0" w:after="283"/>
              <w:jc w:val="right"/>
              <w:rPr/>
            </w:pPr>
            <w:r>
              <w:rPr/>
              <w:t>671,039</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w:t>
            </w:r>
          </w:p>
        </w:tc>
        <w:tc>
          <w:tcPr>
            <w:tcW w:w="1400" w:type="dxa"/>
            <w:tcBorders/>
            <w:shd w:fill="CCEEFF" w:val="clear"/>
            <w:vAlign w:val="center"/>
          </w:tcPr>
          <w:p>
            <w:pPr>
              <w:pStyle w:val="TableContents"/>
              <w:bidi w:val="0"/>
              <w:spacing w:before="0" w:after="283"/>
              <w:jc w:val="right"/>
              <w:rPr/>
            </w:pPr>
            <w:r>
              <w:rPr/>
              <w:t>(161,653</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right"/>
              <w:rPr/>
            </w:pPr>
            <w:r>
              <w:rPr/>
              <w:t> </w:t>
            </w:r>
          </w:p>
        </w:tc>
        <w:tc>
          <w:tcPr>
            <w:tcW w:w="90" w:type="dxa"/>
            <w:tcBorders/>
            <w:shd w:fill="CCEEFF" w:val="clear"/>
            <w:vAlign w:val="center"/>
          </w:tcPr>
          <w:p>
            <w:pPr>
              <w:pStyle w:val="TableContents"/>
              <w:bidi w:val="0"/>
              <w:spacing w:before="0" w:after="283"/>
              <w:jc w:val="left"/>
              <w:rPr/>
            </w:pPr>
            <w:r>
              <w:rPr/>
              <w:t> </w:t>
            </w:r>
          </w:p>
        </w:tc>
        <w:tc>
          <w:tcPr>
            <w:tcW w:w="1085" w:type="dxa"/>
            <w:tcBorders/>
            <w:shd w:fill="CCEEFF" w:val="clear"/>
            <w:vAlign w:val="center"/>
          </w:tcPr>
          <w:p>
            <w:pPr>
              <w:pStyle w:val="TableContents"/>
              <w:bidi w:val="0"/>
              <w:spacing w:before="0" w:after="283"/>
              <w:jc w:val="right"/>
              <w:rPr/>
            </w:pPr>
            <w:r>
              <w:rPr/>
              <w:t>(1,919,070</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w:t>
            </w:r>
          </w:p>
        </w:tc>
        <w:tc>
          <w:tcPr>
            <w:tcW w:w="905" w:type="dxa"/>
            <w:tcBorders/>
            <w:shd w:fill="CCEEFF" w:val="clear"/>
            <w:vAlign w:val="center"/>
          </w:tcPr>
          <w:p>
            <w:pPr>
              <w:pStyle w:val="TableContents"/>
              <w:bidi w:val="0"/>
              <w:spacing w:before="0" w:after="283"/>
              <w:jc w:val="right"/>
              <w:rPr/>
            </w:pPr>
            <w:r>
              <w:rPr/>
              <w:t>(32,090</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w:t>
            </w:r>
          </w:p>
        </w:tc>
        <w:tc>
          <w:tcPr>
            <w:tcW w:w="1430" w:type="dxa"/>
            <w:tcBorders/>
            <w:shd w:fill="CCEEFF" w:val="clear"/>
            <w:vAlign w:val="center"/>
          </w:tcPr>
          <w:p>
            <w:pPr>
              <w:pStyle w:val="TableContents"/>
              <w:bidi w:val="0"/>
              <w:spacing w:before="0" w:after="283"/>
              <w:jc w:val="right"/>
              <w:rPr/>
            </w:pPr>
            <w:r>
              <w:rPr/>
              <w:t>477,320</w:t>
            </w:r>
          </w:p>
        </w:tc>
        <w:tc>
          <w:tcPr>
            <w:tcW w:w="230" w:type="dxa"/>
            <w:tcBorders/>
            <w:shd w:fill="CCEEFF" w:val="clear"/>
            <w:vAlign w:val="center"/>
          </w:tcPr>
          <w:p>
            <w:pPr>
              <w:pStyle w:val="TableContents"/>
              <w:bidi w:val="0"/>
              <w:spacing w:before="0" w:after="283"/>
              <w:jc w:val="left"/>
              <w:rPr/>
            </w:pPr>
            <w:r>
              <w:rPr/>
              <w:t> </w:t>
            </w:r>
          </w:p>
        </w:tc>
      </w:tr>
      <w:tr>
        <w:trPr/>
        <w:tc>
          <w:tcPr>
            <w:tcW w:w="1370" w:type="dxa"/>
            <w:tcBorders/>
            <w:vAlign w:val="center"/>
          </w:tcPr>
          <w:p>
            <w:pPr>
              <w:pStyle w:val="TableContents"/>
              <w:bidi w:val="0"/>
              <w:spacing w:before="0" w:after="0"/>
              <w:jc w:val="left"/>
              <w:rPr/>
            </w:pPr>
            <w:r>
              <w:rPr/>
              <w:t xml:space="preserve">Stock-based compensation </w:t>
            </w:r>
          </w:p>
        </w:tc>
        <w:tc>
          <w:tcPr>
            <w:tcW w:w="90"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1250" w:type="dxa"/>
            <w:tcBorders/>
            <w:vAlign w:val="center"/>
          </w:tcPr>
          <w:p>
            <w:pPr>
              <w:pStyle w:val="TableContents"/>
              <w:bidi w:val="0"/>
              <w:spacing w:before="0" w:after="283"/>
              <w:jc w:val="right"/>
              <w:rPr/>
            </w:pPr>
            <w:r>
              <w:rPr/>
              <w:t xml:space="preserve">-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pPr>
            <w:r>
              <w:rPr/>
              <w:t> </w:t>
            </w:r>
          </w:p>
        </w:tc>
        <w:tc>
          <w:tcPr>
            <w:tcW w:w="890" w:type="dxa"/>
            <w:tcBorders/>
            <w:vAlign w:val="center"/>
          </w:tcPr>
          <w:p>
            <w:pPr>
              <w:pStyle w:val="TableContents"/>
              <w:bidi w:val="0"/>
              <w:spacing w:before="0" w:after="283"/>
              <w:jc w:val="right"/>
              <w:rPr/>
            </w:pPr>
            <w:r>
              <w:rPr/>
              <w:t xml:space="preserve">-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right"/>
              <w:rPr/>
            </w:pPr>
            <w:r>
              <w:rPr/>
              <w:t>6,329</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pPr>
            <w:r>
              <w:rPr/>
              <w:t> </w:t>
            </w:r>
          </w:p>
        </w:tc>
        <w:tc>
          <w:tcPr>
            <w:tcW w:w="1400" w:type="dxa"/>
            <w:tcBorders/>
            <w:vAlign w:val="center"/>
          </w:tcPr>
          <w:p>
            <w:pPr>
              <w:pStyle w:val="TableContents"/>
              <w:bidi w:val="0"/>
              <w:spacing w:before="0" w:after="283"/>
              <w:jc w:val="right"/>
              <w:rPr/>
            </w:pPr>
            <w:r>
              <w:rPr/>
              <w:t xml:space="preserve">-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1085" w:type="dxa"/>
            <w:tcBorders/>
            <w:vAlign w:val="center"/>
          </w:tcPr>
          <w:p>
            <w:pPr>
              <w:pStyle w:val="TableContents"/>
              <w:bidi w:val="0"/>
              <w:spacing w:before="0" w:after="283"/>
              <w:jc w:val="right"/>
              <w:rPr/>
            </w:pPr>
            <w:r>
              <w:rPr/>
              <w:t xml:space="preserve">-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pPr>
            <w:r>
              <w:rPr/>
              <w:t> </w:t>
            </w:r>
          </w:p>
        </w:tc>
        <w:tc>
          <w:tcPr>
            <w:tcW w:w="905" w:type="dxa"/>
            <w:tcBorders/>
            <w:vAlign w:val="center"/>
          </w:tcPr>
          <w:p>
            <w:pPr>
              <w:pStyle w:val="TableContents"/>
              <w:bidi w:val="0"/>
              <w:spacing w:before="0" w:after="283"/>
              <w:jc w:val="right"/>
              <w:rPr/>
            </w:pPr>
            <w:r>
              <w:rPr/>
              <w:t xml:space="preserve">-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pPr>
            <w:r>
              <w:rPr/>
              <w:t> </w:t>
            </w:r>
          </w:p>
        </w:tc>
        <w:tc>
          <w:tcPr>
            <w:tcW w:w="1430" w:type="dxa"/>
            <w:tcBorders/>
            <w:vAlign w:val="center"/>
          </w:tcPr>
          <w:p>
            <w:pPr>
              <w:pStyle w:val="TableContents"/>
              <w:bidi w:val="0"/>
              <w:spacing w:before="0" w:after="283"/>
              <w:jc w:val="right"/>
              <w:rPr/>
            </w:pPr>
            <w:r>
              <w:rPr/>
              <w:t>6,329</w:t>
            </w:r>
          </w:p>
        </w:tc>
        <w:tc>
          <w:tcPr>
            <w:tcW w:w="230" w:type="dxa"/>
            <w:tcBorders/>
            <w:vAlign w:val="center"/>
          </w:tcPr>
          <w:p>
            <w:pPr>
              <w:pStyle w:val="TableContents"/>
              <w:bidi w:val="0"/>
              <w:spacing w:before="0" w:after="283"/>
              <w:jc w:val="left"/>
              <w:rPr/>
            </w:pPr>
            <w:r>
              <w:rPr/>
              <w:t> </w:t>
            </w:r>
          </w:p>
        </w:tc>
      </w:tr>
      <w:tr>
        <w:trPr/>
        <w:tc>
          <w:tcPr>
            <w:tcW w:w="1370" w:type="dxa"/>
            <w:tcBorders/>
            <w:shd w:fill="CCEEFF" w:val="clear"/>
            <w:vAlign w:val="center"/>
          </w:tcPr>
          <w:p>
            <w:pPr>
              <w:pStyle w:val="TableContents"/>
              <w:bidi w:val="0"/>
              <w:spacing w:before="0" w:after="0"/>
              <w:ind w:left="0" w:right="0" w:hanging="0"/>
              <w:jc w:val="left"/>
              <w:rPr>
                <w:sz w:val="20"/>
              </w:rPr>
            </w:pPr>
            <w:r>
              <w:rPr>
                <w:sz w:val="20"/>
              </w:rPr>
              <w:t>Vesting of Restricted Stock Units, net of shares withheld for taxes</w:t>
            </w:r>
          </w:p>
        </w:tc>
        <w:tc>
          <w:tcPr>
            <w:tcW w:w="90" w:type="dxa"/>
            <w:tcBorders/>
            <w:shd w:fill="CCEEFF" w:val="clear"/>
            <w:vAlign w:val="center"/>
          </w:tcPr>
          <w:p>
            <w:pPr>
              <w:pStyle w:val="TableContents"/>
              <w:bidi w:val="0"/>
              <w:spacing w:before="0" w:after="283"/>
              <w:jc w:val="right"/>
              <w:rPr/>
            </w:pPr>
            <w:r>
              <w:rPr/>
              <w:t> </w:t>
            </w:r>
          </w:p>
        </w:tc>
        <w:tc>
          <w:tcPr>
            <w:tcW w:w="90" w:type="dxa"/>
            <w:tcBorders/>
            <w:shd w:fill="CCEEFF" w:val="clear"/>
            <w:vAlign w:val="center"/>
          </w:tcPr>
          <w:p>
            <w:pPr>
              <w:pStyle w:val="TableContents"/>
              <w:bidi w:val="0"/>
              <w:spacing w:before="0" w:after="283"/>
              <w:jc w:val="left"/>
              <w:rPr/>
            </w:pPr>
            <w:r>
              <w:rPr/>
              <w:t> </w:t>
            </w:r>
          </w:p>
        </w:tc>
        <w:tc>
          <w:tcPr>
            <w:tcW w:w="1250" w:type="dxa"/>
            <w:tcBorders/>
            <w:shd w:fill="CCEEFF" w:val="clear"/>
            <w:vAlign w:val="center"/>
          </w:tcPr>
          <w:p>
            <w:pPr>
              <w:pStyle w:val="TableContents"/>
              <w:bidi w:val="0"/>
              <w:spacing w:before="0" w:after="283"/>
              <w:jc w:val="right"/>
              <w:rPr/>
            </w:pPr>
            <w:r>
              <w:rPr/>
              <w:t>979,735</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 </w:t>
            </w:r>
          </w:p>
        </w:tc>
        <w:tc>
          <w:tcPr>
            <w:tcW w:w="890" w:type="dxa"/>
            <w:tcBorders/>
            <w:shd w:fill="CCEEFF" w:val="clear"/>
            <w:vAlign w:val="center"/>
          </w:tcPr>
          <w:p>
            <w:pPr>
              <w:pStyle w:val="TableContents"/>
              <w:bidi w:val="0"/>
              <w:spacing w:before="0" w:after="283"/>
              <w:jc w:val="right"/>
              <w:rPr>
                <w:spacing w:val="0"/>
              </w:rPr>
            </w:pPr>
            <w:r>
              <w:rPr>
                <w:spacing w:val="0"/>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(8,362</w:t>
            </w:r>
          </w:p>
        </w:tc>
        <w:tc>
          <w:tcPr>
            <w:tcW w:w="18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 </w:t>
            </w:r>
          </w:p>
        </w:tc>
        <w:tc>
          <w:tcPr>
            <w:tcW w:w="1400" w:type="dxa"/>
            <w:tcBorders/>
            <w:shd w:fill="CCEEFF" w:val="clear"/>
            <w:vAlign w:val="center"/>
          </w:tcPr>
          <w:p>
            <w:pPr>
              <w:pStyle w:val="TableContents"/>
              <w:bidi w:val="0"/>
              <w:spacing w:before="0" w:after="283"/>
              <w:jc w:val="right"/>
              <w:rPr>
                <w:spacing w:val="0"/>
              </w:rPr>
            </w:pPr>
            <w:r>
              <w:rPr>
                <w:spacing w:val="0"/>
              </w:rPr>
              <w:t>-</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right"/>
              <w:rPr/>
            </w:pPr>
            <w:r>
              <w:rPr/>
              <w:t> </w:t>
            </w:r>
          </w:p>
        </w:tc>
        <w:tc>
          <w:tcPr>
            <w:tcW w:w="90" w:type="dxa"/>
            <w:tcBorders/>
            <w:shd w:fill="CCEEFF" w:val="clear"/>
            <w:vAlign w:val="center"/>
          </w:tcPr>
          <w:p>
            <w:pPr>
              <w:pStyle w:val="TableContents"/>
              <w:bidi w:val="0"/>
              <w:spacing w:before="0" w:after="283"/>
              <w:jc w:val="left"/>
              <w:rPr/>
            </w:pPr>
            <w:r>
              <w:rPr/>
              <w:t> </w:t>
            </w:r>
          </w:p>
        </w:tc>
        <w:tc>
          <w:tcPr>
            <w:tcW w:w="1085" w:type="dxa"/>
            <w:tcBorders/>
            <w:shd w:fill="CCEEFF" w:val="clear"/>
            <w:vAlign w:val="center"/>
          </w:tcPr>
          <w:p>
            <w:pPr>
              <w:pStyle w:val="TableContents"/>
              <w:bidi w:val="0"/>
              <w:spacing w:before="0" w:after="283"/>
              <w:jc w:val="right"/>
              <w:rPr>
                <w:spacing w:val="0"/>
              </w:rPr>
            </w:pPr>
            <w:r>
              <w:rPr>
                <w:spacing w:val="0"/>
              </w:rPr>
              <w:t>-</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spacing w:val="0"/>
              </w:rPr>
            </w:pPr>
            <w:r>
              <w:rPr>
                <w:spacing w:val="0"/>
              </w:rPr>
              <w:t>-</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 </w:t>
            </w:r>
          </w:p>
        </w:tc>
        <w:tc>
          <w:tcPr>
            <w:tcW w:w="1430" w:type="dxa"/>
            <w:tcBorders/>
            <w:shd w:fill="CCEEFF" w:val="clear"/>
            <w:vAlign w:val="center"/>
          </w:tcPr>
          <w:p>
            <w:pPr>
              <w:pStyle w:val="TableContents"/>
              <w:bidi w:val="0"/>
              <w:spacing w:before="0" w:after="283"/>
              <w:jc w:val="right"/>
              <w:rPr/>
            </w:pPr>
            <w:r>
              <w:rPr/>
              <w:t>(8,362</w:t>
            </w:r>
          </w:p>
        </w:tc>
        <w:tc>
          <w:tcPr>
            <w:tcW w:w="230" w:type="dxa"/>
            <w:tcBorders/>
            <w:shd w:fill="CCEEFF" w:val="clear"/>
            <w:vAlign w:val="center"/>
          </w:tcPr>
          <w:p>
            <w:pPr>
              <w:pStyle w:val="TableContents"/>
              <w:bidi w:val="0"/>
              <w:spacing w:before="0" w:after="283"/>
              <w:jc w:val="left"/>
              <w:rPr/>
            </w:pPr>
            <w:r>
              <w:rPr/>
              <w:t>)</w:t>
            </w:r>
          </w:p>
        </w:tc>
      </w:tr>
      <w:tr>
        <w:trPr/>
        <w:tc>
          <w:tcPr>
            <w:tcW w:w="1370" w:type="dxa"/>
            <w:tcBorders/>
            <w:vAlign w:val="center"/>
          </w:tcPr>
          <w:p>
            <w:pPr>
              <w:pStyle w:val="TableContents"/>
              <w:bidi w:val="0"/>
              <w:spacing w:before="0" w:after="0"/>
              <w:jc w:val="left"/>
              <w:rPr/>
            </w:pPr>
            <w:r>
              <w:rPr/>
              <w:t xml:space="preserve">Exercise of stock options </w:t>
            </w:r>
          </w:p>
        </w:tc>
        <w:tc>
          <w:tcPr>
            <w:tcW w:w="90"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1250" w:type="dxa"/>
            <w:tcBorders/>
            <w:vAlign w:val="center"/>
          </w:tcPr>
          <w:p>
            <w:pPr>
              <w:pStyle w:val="TableContents"/>
              <w:bidi w:val="0"/>
              <w:spacing w:before="0" w:after="283"/>
              <w:jc w:val="right"/>
              <w:rPr/>
            </w:pPr>
            <w:r>
              <w:rPr/>
              <w:t>188,902</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pPr>
            <w:r>
              <w:rPr/>
              <w:t> </w:t>
            </w:r>
          </w:p>
        </w:tc>
        <w:tc>
          <w:tcPr>
            <w:tcW w:w="890" w:type="dxa"/>
            <w:tcBorders/>
            <w:vAlign w:val="center"/>
          </w:tcPr>
          <w:p>
            <w:pPr>
              <w:pStyle w:val="TableContents"/>
              <w:bidi w:val="0"/>
              <w:spacing w:before="0" w:after="283"/>
              <w:jc w:val="right"/>
              <w:rPr/>
            </w:pPr>
            <w:r>
              <w:rPr/>
              <w:t xml:space="preserve">-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right"/>
              <w:rPr/>
            </w:pPr>
            <w:r>
              <w:rPr/>
              <w:t>588</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pPr>
            <w:r>
              <w:rPr/>
              <w:t> </w:t>
            </w:r>
          </w:p>
        </w:tc>
        <w:tc>
          <w:tcPr>
            <w:tcW w:w="1400" w:type="dxa"/>
            <w:tcBorders/>
            <w:vAlign w:val="center"/>
          </w:tcPr>
          <w:p>
            <w:pPr>
              <w:pStyle w:val="TableContents"/>
              <w:bidi w:val="0"/>
              <w:spacing w:before="0" w:after="283"/>
              <w:jc w:val="right"/>
              <w:rPr/>
            </w:pPr>
            <w:r>
              <w:rPr/>
              <w:t xml:space="preserve">-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1085" w:type="dxa"/>
            <w:tcBorders/>
            <w:vAlign w:val="center"/>
          </w:tcPr>
          <w:p>
            <w:pPr>
              <w:pStyle w:val="TableContents"/>
              <w:bidi w:val="0"/>
              <w:spacing w:before="0" w:after="283"/>
              <w:jc w:val="right"/>
              <w:rPr/>
            </w:pPr>
            <w:r>
              <w:rPr/>
              <w:t xml:space="preserve">-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pPr>
            <w:r>
              <w:rPr/>
              <w:t> </w:t>
            </w:r>
          </w:p>
        </w:tc>
        <w:tc>
          <w:tcPr>
            <w:tcW w:w="905" w:type="dxa"/>
            <w:tcBorders/>
            <w:vAlign w:val="center"/>
          </w:tcPr>
          <w:p>
            <w:pPr>
              <w:pStyle w:val="TableContents"/>
              <w:bidi w:val="0"/>
              <w:spacing w:before="0" w:after="283"/>
              <w:jc w:val="right"/>
              <w:rPr/>
            </w:pPr>
            <w:r>
              <w:rPr/>
              <w:t xml:space="preserve">-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pPr>
            <w:r>
              <w:rPr/>
              <w:t> </w:t>
            </w:r>
          </w:p>
        </w:tc>
        <w:tc>
          <w:tcPr>
            <w:tcW w:w="1430" w:type="dxa"/>
            <w:tcBorders/>
            <w:vAlign w:val="center"/>
          </w:tcPr>
          <w:p>
            <w:pPr>
              <w:pStyle w:val="TableContents"/>
              <w:bidi w:val="0"/>
              <w:spacing w:before="0" w:after="283"/>
              <w:jc w:val="right"/>
              <w:rPr/>
            </w:pPr>
            <w:r>
              <w:rPr/>
              <w:t>588</w:t>
            </w:r>
          </w:p>
        </w:tc>
        <w:tc>
          <w:tcPr>
            <w:tcW w:w="230" w:type="dxa"/>
            <w:tcBorders/>
            <w:vAlign w:val="center"/>
          </w:tcPr>
          <w:p>
            <w:pPr>
              <w:pStyle w:val="TableContents"/>
              <w:bidi w:val="0"/>
              <w:spacing w:before="0" w:after="283"/>
              <w:jc w:val="left"/>
              <w:rPr/>
            </w:pPr>
            <w:r>
              <w:rPr/>
              <w:t> </w:t>
            </w:r>
          </w:p>
        </w:tc>
      </w:tr>
      <w:tr>
        <w:trPr/>
        <w:tc>
          <w:tcPr>
            <w:tcW w:w="1370" w:type="dxa"/>
            <w:tcBorders/>
            <w:shd w:fill="CCEEFF" w:val="clear"/>
            <w:vAlign w:val="center"/>
          </w:tcPr>
          <w:p>
            <w:pPr>
              <w:pStyle w:val="TableContents"/>
              <w:bidi w:val="0"/>
              <w:spacing w:before="0" w:after="0"/>
              <w:jc w:val="left"/>
              <w:rPr/>
            </w:pPr>
            <w:r>
              <w:rPr/>
              <w:t xml:space="preserve">Acquisition of treasury stock </w:t>
            </w:r>
          </w:p>
        </w:tc>
        <w:tc>
          <w:tcPr>
            <w:tcW w:w="90" w:type="dxa"/>
            <w:tcBorders/>
            <w:shd w:fill="CCEEFF" w:val="clear"/>
            <w:vAlign w:val="center"/>
          </w:tcPr>
          <w:p>
            <w:pPr>
              <w:pStyle w:val="TableContents"/>
              <w:bidi w:val="0"/>
              <w:spacing w:before="0" w:after="283"/>
              <w:jc w:val="right"/>
              <w:rPr/>
            </w:pPr>
            <w:r>
              <w:rPr/>
              <w:t> </w:t>
            </w:r>
          </w:p>
        </w:tc>
        <w:tc>
          <w:tcPr>
            <w:tcW w:w="90" w:type="dxa"/>
            <w:tcBorders/>
            <w:shd w:fill="CCEEFF" w:val="clear"/>
            <w:vAlign w:val="center"/>
          </w:tcPr>
          <w:p>
            <w:pPr>
              <w:pStyle w:val="TableContents"/>
              <w:bidi w:val="0"/>
              <w:spacing w:before="0" w:after="283"/>
              <w:jc w:val="left"/>
              <w:rPr/>
            </w:pPr>
            <w:r>
              <w:rPr/>
              <w:t> </w:t>
            </w:r>
          </w:p>
        </w:tc>
        <w:tc>
          <w:tcPr>
            <w:tcW w:w="1250" w:type="dxa"/>
            <w:tcBorders/>
            <w:shd w:fill="CCEEFF" w:val="clear"/>
            <w:vAlign w:val="center"/>
          </w:tcPr>
          <w:p>
            <w:pPr>
              <w:pStyle w:val="TableContents"/>
              <w:bidi w:val="0"/>
              <w:spacing w:before="0" w:after="283"/>
              <w:jc w:val="right"/>
              <w:rPr/>
            </w:pPr>
            <w:r>
              <w:rPr/>
              <w:t xml:space="preserve">-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 </w:t>
            </w:r>
          </w:p>
        </w:tc>
        <w:tc>
          <w:tcPr>
            <w:tcW w:w="890" w:type="dxa"/>
            <w:tcBorders/>
            <w:shd w:fill="CCEEFF" w:val="clear"/>
            <w:vAlign w:val="center"/>
          </w:tcPr>
          <w:p>
            <w:pPr>
              <w:pStyle w:val="TableContents"/>
              <w:bidi w:val="0"/>
              <w:spacing w:before="0" w:after="283"/>
              <w:jc w:val="right"/>
              <w:rPr/>
            </w:pPr>
            <w:r>
              <w:rPr/>
              <w:t xml:space="preserve">-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(19,798</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 </w:t>
            </w:r>
          </w:p>
        </w:tc>
        <w:tc>
          <w:tcPr>
            <w:tcW w:w="1400" w:type="dxa"/>
            <w:tcBorders/>
            <w:shd w:fill="CCEEFF" w:val="clear"/>
            <w:vAlign w:val="center"/>
          </w:tcPr>
          <w:p>
            <w:pPr>
              <w:pStyle w:val="TableContents"/>
              <w:bidi w:val="0"/>
              <w:spacing w:before="0" w:after="283"/>
              <w:jc w:val="right"/>
              <w:rPr/>
            </w:pPr>
            <w:r>
              <w:rPr/>
              <w:t xml:space="preserve">- </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right"/>
              <w:rPr/>
            </w:pPr>
            <w:r>
              <w:rPr/>
              <w:t> </w:t>
            </w:r>
          </w:p>
        </w:tc>
        <w:tc>
          <w:tcPr>
            <w:tcW w:w="90" w:type="dxa"/>
            <w:tcBorders/>
            <w:shd w:fill="CCEEFF" w:val="clear"/>
            <w:vAlign w:val="center"/>
          </w:tcPr>
          <w:p>
            <w:pPr>
              <w:pStyle w:val="TableContents"/>
              <w:bidi w:val="0"/>
              <w:spacing w:before="0" w:after="283"/>
              <w:jc w:val="left"/>
              <w:rPr/>
            </w:pPr>
            <w:r>
              <w:rPr/>
              <w:t> </w:t>
            </w:r>
          </w:p>
        </w:tc>
        <w:tc>
          <w:tcPr>
            <w:tcW w:w="1085" w:type="dxa"/>
            <w:tcBorders/>
            <w:shd w:fill="CCEEFF" w:val="clear"/>
            <w:vAlign w:val="center"/>
          </w:tcPr>
          <w:p>
            <w:pPr>
              <w:pStyle w:val="TableContents"/>
              <w:bidi w:val="0"/>
              <w:spacing w:before="0" w:after="283"/>
              <w:jc w:val="right"/>
              <w:rPr/>
            </w:pPr>
            <w:r>
              <w:rPr/>
              <w:t>(6,754,156</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pPr>
            <w:r>
              <w:rPr/>
              <w:t>(111,080</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 </w:t>
            </w:r>
          </w:p>
        </w:tc>
        <w:tc>
          <w:tcPr>
            <w:tcW w:w="1430" w:type="dxa"/>
            <w:tcBorders/>
            <w:shd w:fill="CCEEFF" w:val="clear"/>
            <w:vAlign w:val="center"/>
          </w:tcPr>
          <w:p>
            <w:pPr>
              <w:pStyle w:val="TableContents"/>
              <w:bidi w:val="0"/>
              <w:spacing w:before="0" w:after="283"/>
              <w:jc w:val="right"/>
              <w:rPr/>
            </w:pPr>
            <w:r>
              <w:rPr/>
              <w:t>(130,878</w:t>
            </w:r>
          </w:p>
        </w:tc>
        <w:tc>
          <w:tcPr>
            <w:tcW w:w="230" w:type="dxa"/>
            <w:tcBorders/>
            <w:shd w:fill="CCEEFF" w:val="clear"/>
            <w:vAlign w:val="center"/>
          </w:tcPr>
          <w:p>
            <w:pPr>
              <w:pStyle w:val="TableContents"/>
              <w:bidi w:val="0"/>
              <w:spacing w:before="0" w:after="283"/>
              <w:jc w:val="left"/>
              <w:rPr/>
            </w:pPr>
            <w:r>
              <w:rPr/>
              <w:t>) </w:t>
            </w:r>
          </w:p>
        </w:tc>
      </w:tr>
      <w:tr>
        <w:trPr/>
        <w:tc>
          <w:tcPr>
            <w:tcW w:w="1370" w:type="dxa"/>
            <w:tcBorders/>
            <w:vAlign w:val="center"/>
          </w:tcPr>
          <w:p>
            <w:pPr>
              <w:pStyle w:val="TableContents"/>
              <w:bidi w:val="0"/>
              <w:spacing w:before="0" w:after="0"/>
              <w:jc w:val="left"/>
              <w:rPr/>
            </w:pPr>
            <w:r>
              <w:rPr/>
              <w:t xml:space="preserve">Net income </w:t>
            </w:r>
          </w:p>
        </w:tc>
        <w:tc>
          <w:tcPr>
            <w:tcW w:w="90" w:type="dxa"/>
            <w:tcBorders/>
            <w:vAlign w:val="center"/>
          </w:tcPr>
          <w:p>
            <w:pPr>
              <w:pStyle w:val="TableContents"/>
              <w:bidi w:val="0"/>
              <w:spacing w:before="0" w:after="283"/>
              <w:jc w:val="right"/>
              <w:rPr/>
            </w:pPr>
            <w:r>
              <w:rPr/>
              <w:t> </w:t>
            </w:r>
          </w:p>
        </w:tc>
        <w:tc>
          <w:tcPr>
            <w:tcW w:w="90" w:type="dxa"/>
            <w:tcBorders>
              <w:bottom w:val="single" w:sz="12" w:space="0" w:color="000000"/>
            </w:tcBorders>
            <w:tcMar>
              <w:bottom w:w="28" w:type="dxa"/>
            </w:tcMar>
            <w:vAlign w:val="center"/>
          </w:tcPr>
          <w:p>
            <w:pPr>
              <w:pStyle w:val="TableContents"/>
              <w:bidi w:val="0"/>
              <w:spacing w:before="0" w:after="283"/>
              <w:jc w:val="left"/>
              <w:rPr/>
            </w:pPr>
            <w:r>
              <w:rPr/>
              <w:t> </w:t>
            </w:r>
          </w:p>
        </w:tc>
        <w:tc>
          <w:tcPr>
            <w:tcW w:w="1250" w:type="dxa"/>
            <w:tcBorders>
              <w:bottom w:val="single" w:sz="12" w:space="0" w:color="000000"/>
            </w:tcBorders>
            <w:tcMar>
              <w:bottom w:w="28" w:type="dxa"/>
            </w:tcMar>
            <w:vAlign w:val="center"/>
          </w:tcPr>
          <w:p>
            <w:pPr>
              <w:pStyle w:val="TableContents"/>
              <w:bidi w:val="0"/>
              <w:spacing w:before="0" w:after="283"/>
              <w:jc w:val="right"/>
              <w:rPr/>
            </w:pPr>
            <w:r>
              <w:rPr/>
              <w:t xml:space="preserve">- </w:t>
            </w:r>
          </w:p>
        </w:tc>
        <w:tc>
          <w:tcPr>
            <w:tcW w:w="90" w:type="dxa"/>
            <w:tcBorders>
              <w:bottom w:val="single" w:sz="12" w:space="0" w:color="000000"/>
            </w:tcBorders>
            <w:tcMar>
              <w:bottom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righ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890" w:type="dxa"/>
            <w:tcBorders>
              <w:bottom w:val="single" w:sz="12" w:space="0" w:color="000000"/>
            </w:tcBorders>
            <w:tcMar>
              <w:bottom w:w="28" w:type="dxa"/>
            </w:tcMar>
            <w:vAlign w:val="center"/>
          </w:tcPr>
          <w:p>
            <w:pPr>
              <w:pStyle w:val="TableContents"/>
              <w:bidi w:val="0"/>
              <w:spacing w:before="0" w:after="283"/>
              <w:jc w:val="right"/>
              <w:rPr/>
            </w:pPr>
            <w:r>
              <w:rPr/>
              <w:t xml:space="preserve">- </w:t>
            </w:r>
          </w:p>
        </w:tc>
        <w:tc>
          <w:tcPr>
            <w:tcW w:w="90" w:type="dxa"/>
            <w:tcBorders>
              <w:bottom w:val="single" w:sz="12" w:space="0" w:color="000000"/>
            </w:tcBorders>
            <w:tcMar>
              <w:bottom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righ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1130" w:type="dxa"/>
            <w:tcBorders>
              <w:bottom w:val="single" w:sz="12" w:space="0" w:color="000000"/>
            </w:tcBorders>
            <w:tcMar>
              <w:bottom w:w="28" w:type="dxa"/>
            </w:tcMar>
            <w:vAlign w:val="center"/>
          </w:tcPr>
          <w:p>
            <w:pPr>
              <w:pStyle w:val="TableContents"/>
              <w:bidi w:val="0"/>
              <w:spacing w:before="0" w:after="283"/>
              <w:jc w:val="right"/>
              <w:rPr/>
            </w:pPr>
            <w:r>
              <w:rPr/>
              <w:t xml:space="preserve">- </w:t>
            </w:r>
          </w:p>
        </w:tc>
        <w:tc>
          <w:tcPr>
            <w:tcW w:w="185" w:type="dxa"/>
            <w:tcBorders>
              <w:bottom w:val="single" w:sz="12" w:space="0" w:color="000000"/>
            </w:tcBorders>
            <w:tcMar>
              <w:bottom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righ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1400" w:type="dxa"/>
            <w:tcBorders>
              <w:bottom w:val="single" w:sz="12" w:space="0" w:color="000000"/>
            </w:tcBorders>
            <w:tcMar>
              <w:bottom w:w="28" w:type="dxa"/>
            </w:tcMar>
            <w:vAlign w:val="center"/>
          </w:tcPr>
          <w:p>
            <w:pPr>
              <w:pStyle w:val="TableContents"/>
              <w:bidi w:val="0"/>
              <w:spacing w:before="0" w:after="283"/>
              <w:jc w:val="right"/>
              <w:rPr/>
            </w:pPr>
            <w:r>
              <w:rPr/>
              <w:t>45,328</w:t>
            </w:r>
          </w:p>
        </w:tc>
        <w:tc>
          <w:tcPr>
            <w:tcW w:w="185" w:type="dxa"/>
            <w:tcBorders>
              <w:bottom w:val="single" w:sz="12" w:space="0" w:color="000000"/>
            </w:tcBorders>
            <w:tcMar>
              <w:bottom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right"/>
              <w:rPr/>
            </w:pPr>
            <w:r>
              <w:rPr/>
              <w:t> </w:t>
            </w:r>
          </w:p>
        </w:tc>
        <w:tc>
          <w:tcPr>
            <w:tcW w:w="90" w:type="dxa"/>
            <w:tcBorders>
              <w:bottom w:val="single" w:sz="12" w:space="0" w:color="000000"/>
            </w:tcBorders>
            <w:tcMar>
              <w:bottom w:w="28" w:type="dxa"/>
            </w:tcMar>
            <w:vAlign w:val="center"/>
          </w:tcPr>
          <w:p>
            <w:pPr>
              <w:pStyle w:val="TableContents"/>
              <w:bidi w:val="0"/>
              <w:spacing w:before="0" w:after="283"/>
              <w:jc w:val="left"/>
              <w:rPr/>
            </w:pPr>
            <w:r>
              <w:rPr/>
              <w:t> </w:t>
            </w:r>
          </w:p>
        </w:tc>
        <w:tc>
          <w:tcPr>
            <w:tcW w:w="1085" w:type="dxa"/>
            <w:tcBorders>
              <w:bottom w:val="single" w:sz="12" w:space="0" w:color="000000"/>
            </w:tcBorders>
            <w:tcMar>
              <w:bottom w:w="28" w:type="dxa"/>
            </w:tcMar>
            <w:vAlign w:val="center"/>
          </w:tcPr>
          <w:p>
            <w:pPr>
              <w:pStyle w:val="TableContents"/>
              <w:bidi w:val="0"/>
              <w:spacing w:before="0" w:after="283"/>
              <w:jc w:val="right"/>
              <w:rPr/>
            </w:pPr>
            <w:r>
              <w:rPr/>
              <w:t xml:space="preserve">- </w:t>
            </w:r>
          </w:p>
        </w:tc>
        <w:tc>
          <w:tcPr>
            <w:tcW w:w="185" w:type="dxa"/>
            <w:tcBorders>
              <w:bottom w:val="single" w:sz="12" w:space="0" w:color="000000"/>
            </w:tcBorders>
            <w:tcMar>
              <w:bottom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righ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905" w:type="dxa"/>
            <w:tcBorders>
              <w:bottom w:val="single" w:sz="12" w:space="0" w:color="000000"/>
            </w:tcBorders>
            <w:tcMar>
              <w:bottom w:w="28" w:type="dxa"/>
            </w:tcMar>
            <w:vAlign w:val="center"/>
          </w:tcPr>
          <w:p>
            <w:pPr>
              <w:pStyle w:val="TableContents"/>
              <w:bidi w:val="0"/>
              <w:spacing w:before="0" w:after="283"/>
              <w:jc w:val="right"/>
              <w:rPr/>
            </w:pPr>
            <w:r>
              <w:rPr/>
              <w:t xml:space="preserve">- </w:t>
            </w:r>
          </w:p>
        </w:tc>
        <w:tc>
          <w:tcPr>
            <w:tcW w:w="185" w:type="dxa"/>
            <w:tcBorders>
              <w:bottom w:val="single" w:sz="12" w:space="0" w:color="000000"/>
            </w:tcBorders>
            <w:tcMar>
              <w:bottom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righ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1430" w:type="dxa"/>
            <w:tcBorders>
              <w:bottom w:val="single" w:sz="12" w:space="0" w:color="000000"/>
            </w:tcBorders>
            <w:tcMar>
              <w:bottom w:w="28" w:type="dxa"/>
            </w:tcMar>
            <w:vAlign w:val="center"/>
          </w:tcPr>
          <w:p>
            <w:pPr>
              <w:pStyle w:val="TableContents"/>
              <w:bidi w:val="0"/>
              <w:spacing w:before="0" w:after="283"/>
              <w:jc w:val="right"/>
              <w:rPr/>
            </w:pPr>
            <w:r>
              <w:rPr/>
              <w:t>45,328</w:t>
            </w:r>
          </w:p>
        </w:tc>
        <w:tc>
          <w:tcPr>
            <w:tcW w:w="230" w:type="dxa"/>
            <w:tcBorders>
              <w:bottom w:val="single" w:sz="12" w:space="0" w:color="000000"/>
            </w:tcBorders>
            <w:tcMar>
              <w:bottom w:w="28" w:type="dxa"/>
            </w:tcMar>
            <w:vAlign w:val="center"/>
          </w:tcPr>
          <w:p>
            <w:pPr>
              <w:pStyle w:val="TableContents"/>
              <w:bidi w:val="0"/>
              <w:spacing w:before="0" w:after="283"/>
              <w:jc w:val="left"/>
              <w:rPr/>
            </w:pPr>
            <w:r>
              <w:rPr/>
              <w:t> </w:t>
            </w:r>
          </w:p>
        </w:tc>
      </w:tr>
      <w:tr>
        <w:trPr/>
        <w:tc>
          <w:tcPr>
            <w:tcW w:w="1370" w:type="dxa"/>
            <w:tcBorders/>
            <w:shd w:fill="CCEEFF" w:val="clear"/>
            <w:vAlign w:val="center"/>
          </w:tcPr>
          <w:p>
            <w:pPr>
              <w:pStyle w:val="TableContents"/>
              <w:bidi w:val="0"/>
              <w:spacing w:before="0" w:after="0"/>
              <w:jc w:val="left"/>
              <w:rPr/>
            </w:pPr>
            <w:r>
              <w:rPr>
                <w:b/>
              </w:rPr>
              <w:t>Balance at March 31, 2026</w:t>
            </w:r>
            <w:r>
              <w:rPr/>
              <w:t xml:space="preserve"> </w:t>
            </w:r>
          </w:p>
        </w:tc>
        <w:tc>
          <w:tcPr>
            <w:tcW w:w="90" w:type="dxa"/>
            <w:tcBorders/>
            <w:shd w:fill="CCEEFF" w:val="clear"/>
            <w:vAlign w:val="center"/>
          </w:tcPr>
          <w:p>
            <w:pPr>
              <w:pStyle w:val="TableContents"/>
              <w:bidi w:val="0"/>
              <w:spacing w:before="0" w:after="283"/>
              <w:jc w:val="right"/>
              <w:rPr/>
            </w:pPr>
            <w:r>
              <w:rPr/>
              <w:t> </w:t>
            </w:r>
          </w:p>
        </w:tc>
        <w:tc>
          <w:tcPr>
            <w:tcW w:w="90" w:type="dxa"/>
            <w:tcBorders/>
            <w:shd w:fill="CCEEFF" w:val="clear"/>
            <w:vAlign w:val="center"/>
          </w:tcPr>
          <w:p>
            <w:pPr>
              <w:pStyle w:val="TableContents"/>
              <w:bidi w:val="0"/>
              <w:spacing w:before="0" w:after="283"/>
              <w:jc w:val="left"/>
              <w:rPr/>
            </w:pPr>
            <w:r>
              <w:rPr/>
              <w:t> </w:t>
            </w:r>
          </w:p>
        </w:tc>
        <w:tc>
          <w:tcPr>
            <w:tcW w:w="1250" w:type="dxa"/>
            <w:tcBorders/>
            <w:shd w:fill="CCEEFF" w:val="clear"/>
            <w:vAlign w:val="center"/>
          </w:tcPr>
          <w:p>
            <w:pPr>
              <w:pStyle w:val="TableContents"/>
              <w:bidi w:val="0"/>
              <w:spacing w:before="0" w:after="283"/>
              <w:jc w:val="right"/>
              <w:rPr/>
            </w:pPr>
            <w:r>
              <w:rPr/>
              <w:t>240,962,203</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w:t>
            </w:r>
          </w:p>
        </w:tc>
        <w:tc>
          <w:tcPr>
            <w:tcW w:w="890" w:type="dxa"/>
            <w:tcBorders/>
            <w:shd w:fill="CCEEFF" w:val="clear"/>
            <w:vAlign w:val="center"/>
          </w:tcPr>
          <w:p>
            <w:pPr>
              <w:pStyle w:val="TableContents"/>
              <w:bidi w:val="0"/>
              <w:spacing w:before="0" w:after="283"/>
              <w:jc w:val="right"/>
              <w:rPr/>
            </w:pPr>
            <w:r>
              <w:rPr/>
              <w:t>24</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w:t>
            </w:r>
          </w:p>
        </w:tc>
        <w:tc>
          <w:tcPr>
            <w:tcW w:w="1130" w:type="dxa"/>
            <w:tcBorders/>
            <w:shd w:fill="CCEEFF" w:val="clear"/>
            <w:vAlign w:val="center"/>
          </w:tcPr>
          <w:p>
            <w:pPr>
              <w:pStyle w:val="TableContents"/>
              <w:bidi w:val="0"/>
              <w:spacing w:before="0" w:after="283"/>
              <w:jc w:val="right"/>
              <w:rPr/>
            </w:pPr>
            <w:r>
              <w:rPr/>
              <w:t>649,796</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w:t>
            </w:r>
          </w:p>
        </w:tc>
        <w:tc>
          <w:tcPr>
            <w:tcW w:w="1400" w:type="dxa"/>
            <w:tcBorders/>
            <w:shd w:fill="CCEEFF" w:val="clear"/>
            <w:vAlign w:val="center"/>
          </w:tcPr>
          <w:p>
            <w:pPr>
              <w:pStyle w:val="TableContents"/>
              <w:bidi w:val="0"/>
              <w:spacing w:before="0" w:after="283"/>
              <w:jc w:val="right"/>
              <w:rPr/>
            </w:pPr>
            <w:r>
              <w:rPr/>
              <w:t>(116,325</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right"/>
              <w:rPr/>
            </w:pPr>
            <w:r>
              <w:rPr/>
              <w:t> </w:t>
            </w:r>
          </w:p>
        </w:tc>
        <w:tc>
          <w:tcPr>
            <w:tcW w:w="90" w:type="dxa"/>
            <w:tcBorders/>
            <w:shd w:fill="CCEEFF" w:val="clear"/>
            <w:vAlign w:val="center"/>
          </w:tcPr>
          <w:p>
            <w:pPr>
              <w:pStyle w:val="TableContents"/>
              <w:bidi w:val="0"/>
              <w:spacing w:before="0" w:after="283"/>
              <w:jc w:val="left"/>
              <w:rPr/>
            </w:pPr>
            <w:r>
              <w:rPr/>
              <w:t> </w:t>
            </w:r>
          </w:p>
        </w:tc>
        <w:tc>
          <w:tcPr>
            <w:tcW w:w="1085" w:type="dxa"/>
            <w:tcBorders/>
            <w:shd w:fill="CCEEFF" w:val="clear"/>
            <w:vAlign w:val="center"/>
          </w:tcPr>
          <w:p>
            <w:pPr>
              <w:pStyle w:val="TableContents"/>
              <w:bidi w:val="0"/>
              <w:spacing w:before="0" w:after="283"/>
              <w:jc w:val="right"/>
              <w:rPr/>
            </w:pPr>
            <w:r>
              <w:rPr/>
              <w:t>(8,673,226</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w:t>
            </w:r>
          </w:p>
        </w:tc>
        <w:tc>
          <w:tcPr>
            <w:tcW w:w="905" w:type="dxa"/>
            <w:tcBorders/>
            <w:shd w:fill="CCEEFF" w:val="clear"/>
            <w:vAlign w:val="center"/>
          </w:tcPr>
          <w:p>
            <w:pPr>
              <w:pStyle w:val="TableContents"/>
              <w:bidi w:val="0"/>
              <w:spacing w:before="0" w:after="283"/>
              <w:jc w:val="right"/>
              <w:rPr/>
            </w:pPr>
            <w:r>
              <w:rPr/>
              <w:t>(143,170</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w:t>
            </w:r>
          </w:p>
        </w:tc>
        <w:tc>
          <w:tcPr>
            <w:tcW w:w="1430" w:type="dxa"/>
            <w:tcBorders/>
            <w:shd w:fill="CCEEFF" w:val="clear"/>
            <w:vAlign w:val="center"/>
          </w:tcPr>
          <w:p>
            <w:pPr>
              <w:pStyle w:val="TableContents"/>
              <w:bidi w:val="0"/>
              <w:spacing w:before="0" w:after="283"/>
              <w:jc w:val="right"/>
              <w:rPr/>
            </w:pPr>
            <w:r>
              <w:rPr/>
              <w:t>390,325</w:t>
            </w:r>
          </w:p>
        </w:tc>
        <w:tc>
          <w:tcPr>
            <w:tcW w:w="230" w:type="dxa"/>
            <w:tcBorders/>
            <w:shd w:fill="CCEEFF" w:val="clear"/>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11660" w:type="dxa"/>
        <w:jc w:val="left"/>
        <w:tblInd w:w="0" w:type="dxa"/>
        <w:tblLayout w:type="fixed"/>
        <w:tblCellMar>
          <w:top w:w="0" w:type="dxa"/>
          <w:left w:w="0" w:type="dxa"/>
          <w:bottom w:w="0" w:type="dxa"/>
          <w:right w:w="0" w:type="dxa"/>
        </w:tblCellMar>
      </w:tblPr>
      <w:tblGrid>
        <w:gridCol w:w="1370"/>
        <w:gridCol w:w="90"/>
        <w:gridCol w:w="90"/>
        <w:gridCol w:w="1250"/>
        <w:gridCol w:w="90"/>
        <w:gridCol w:w="90"/>
        <w:gridCol w:w="170"/>
        <w:gridCol w:w="890"/>
        <w:gridCol w:w="90"/>
        <w:gridCol w:w="90"/>
        <w:gridCol w:w="170"/>
        <w:gridCol w:w="1190"/>
        <w:gridCol w:w="125"/>
        <w:gridCol w:w="90"/>
        <w:gridCol w:w="170"/>
        <w:gridCol w:w="1400"/>
        <w:gridCol w:w="185"/>
        <w:gridCol w:w="90"/>
        <w:gridCol w:w="90"/>
        <w:gridCol w:w="740"/>
        <w:gridCol w:w="90"/>
        <w:gridCol w:w="90"/>
        <w:gridCol w:w="170"/>
        <w:gridCol w:w="890"/>
        <w:gridCol w:w="90"/>
        <w:gridCol w:w="90"/>
        <w:gridCol w:w="170"/>
        <w:gridCol w:w="1430"/>
        <w:gridCol w:w="170"/>
      </w:tblGrid>
      <w:tr>
        <w:trPr/>
        <w:tc>
          <w:tcPr>
            <w:tcW w:w="137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5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19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400"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74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43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r>
      <w:tr>
        <w:trPr/>
        <w:tc>
          <w:tcPr>
            <w:tcW w:w="11490" w:type="dxa"/>
            <w:gridSpan w:val="28"/>
            <w:tcBorders>
              <w:bottom w:val="single" w:sz="12" w:space="0" w:color="000000"/>
            </w:tcBorders>
            <w:tcMar>
              <w:bottom w:w="28" w:type="dxa"/>
            </w:tcMar>
            <w:vAlign w:val="center"/>
          </w:tcPr>
          <w:p>
            <w:pPr>
              <w:pStyle w:val="TableContents"/>
              <w:bidi w:val="0"/>
              <w:spacing w:before="0" w:after="283"/>
              <w:jc w:val="center"/>
              <w:rPr/>
            </w:pPr>
            <w:r>
              <w:rPr>
                <w:b/>
                <w:spacing w:val="0"/>
              </w:rPr>
              <w:t>For the Three Months Ended March 31, 2025</w:t>
            </w:r>
            <w:r>
              <w:rPr/>
              <w:t xml:space="preserve"> </w:t>
            </w:r>
          </w:p>
        </w:tc>
        <w:tc>
          <w:tcPr>
            <w:tcW w:w="170" w:type="dxa"/>
            <w:tcBorders>
              <w:bottom w:val="single" w:sz="12" w:space="0" w:color="000000"/>
            </w:tcBorders>
            <w:tcMar>
              <w:bottom w:w="28" w:type="dxa"/>
            </w:tcMar>
            <w:vAlign w:val="center"/>
          </w:tcPr>
          <w:p>
            <w:pPr>
              <w:pStyle w:val="TableContents"/>
              <w:bidi w:val="0"/>
              <w:spacing w:before="0" w:after="283"/>
              <w:jc w:val="center"/>
              <w:rPr/>
            </w:pPr>
            <w:r>
              <w:rPr/>
              <w:t> </w:t>
            </w:r>
          </w:p>
        </w:tc>
      </w:tr>
      <w:tr>
        <w:trPr/>
        <w:tc>
          <w:tcPr>
            <w:tcW w:w="137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center"/>
              <w:rPr/>
            </w:pPr>
            <w:r>
              <w:rPr/>
              <w:t> </w:t>
            </w:r>
          </w:p>
        </w:tc>
        <w:tc>
          <w:tcPr>
            <w:tcW w:w="2580" w:type="dxa"/>
            <w:gridSpan w:val="6"/>
            <w:tcBorders>
              <w:bottom w:val="single" w:sz="12" w:space="0" w:color="000000"/>
            </w:tcBorders>
            <w:tcMar>
              <w:bottom w:w="28" w:type="dxa"/>
            </w:tcMar>
            <w:vAlign w:val="center"/>
          </w:tcPr>
          <w:p>
            <w:pPr>
              <w:pStyle w:val="TableContents"/>
              <w:bidi w:val="0"/>
              <w:spacing w:before="0" w:after="283"/>
              <w:jc w:val="center"/>
              <w:rPr/>
            </w:pPr>
            <w:r>
              <w:rPr>
                <w:b/>
                <w:spacing w:val="0"/>
              </w:rPr>
              <w:t>Common Stock</w:t>
            </w:r>
            <w:r>
              <w:rPr/>
              <w:t xml:space="preserve"> </w:t>
            </w:r>
          </w:p>
        </w:tc>
        <w:tc>
          <w:tcPr>
            <w:tcW w:w="9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70" w:type="dxa"/>
            <w:tcBorders/>
            <w:vAlign w:val="center"/>
          </w:tcPr>
          <w:p>
            <w:pPr>
              <w:pStyle w:val="TableContents"/>
              <w:bidi w:val="0"/>
              <w:spacing w:before="0" w:after="283"/>
              <w:jc w:val="center"/>
              <w:rPr/>
            </w:pPr>
            <w:r>
              <w:rPr/>
              <w:t> </w:t>
            </w:r>
          </w:p>
        </w:tc>
        <w:tc>
          <w:tcPr>
            <w:tcW w:w="1190" w:type="dxa"/>
            <w:vMerge w:val="restart"/>
            <w:tcBorders>
              <w:bottom w:val="single" w:sz="12" w:space="0" w:color="000000"/>
            </w:tcBorders>
            <w:tcMar>
              <w:bottom w:w="28" w:type="dxa"/>
            </w:tcMar>
            <w:vAlign w:val="center"/>
          </w:tcPr>
          <w:p>
            <w:pPr>
              <w:pStyle w:val="TableContents"/>
              <w:bidi w:val="0"/>
              <w:spacing w:before="0" w:after="283"/>
              <w:jc w:val="center"/>
              <w:rPr/>
            </w:pPr>
            <w:r>
              <w:rPr/>
              <w:t> </w:t>
            </w:r>
            <w:r>
              <w:rPr>
                <w:b/>
              </w:rPr>
              <w:t>Additional</w:t>
              <w:br/>
              <w:t xml:space="preserve">Paid-in </w:t>
              <w:br/>
              <w:t xml:space="preserve">Capital </w:t>
            </w:r>
          </w:p>
        </w:tc>
        <w:tc>
          <w:tcPr>
            <w:tcW w:w="125"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70" w:type="dxa"/>
            <w:tcBorders/>
            <w:vAlign w:val="center"/>
          </w:tcPr>
          <w:p>
            <w:pPr>
              <w:pStyle w:val="TableContents"/>
              <w:bidi w:val="0"/>
              <w:spacing w:before="0" w:after="283"/>
              <w:jc w:val="center"/>
              <w:rPr/>
            </w:pPr>
            <w:r>
              <w:rPr/>
              <w:t> </w:t>
            </w:r>
          </w:p>
        </w:tc>
        <w:tc>
          <w:tcPr>
            <w:tcW w:w="1400" w:type="dxa"/>
            <w:vMerge w:val="restart"/>
            <w:tcBorders>
              <w:bottom w:val="single" w:sz="12" w:space="0" w:color="000000"/>
            </w:tcBorders>
            <w:tcMar>
              <w:bottom w:w="28" w:type="dxa"/>
            </w:tcMar>
            <w:vAlign w:val="center"/>
          </w:tcPr>
          <w:p>
            <w:pPr>
              <w:pStyle w:val="TableContents"/>
              <w:bidi w:val="0"/>
              <w:spacing w:before="0" w:after="283"/>
              <w:jc w:val="center"/>
              <w:rPr>
                <w:b/>
              </w:rPr>
            </w:pPr>
            <w:r>
              <w:rPr>
                <w:b/>
              </w:rPr>
              <w:t xml:space="preserve">Accumulated Deficit </w:t>
            </w:r>
          </w:p>
        </w:tc>
        <w:tc>
          <w:tcPr>
            <w:tcW w:w="185"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r>
          </w:p>
        </w:tc>
        <w:tc>
          <w:tcPr>
            <w:tcW w:w="90" w:type="dxa"/>
            <w:tcBorders>
              <w:bottom w:val="single" w:sz="12" w:space="0" w:color="000000"/>
            </w:tcBorders>
            <w:tcMar>
              <w:bottom w:w="28" w:type="dxa"/>
            </w:tcMar>
            <w:vAlign w:val="center"/>
          </w:tcPr>
          <w:p>
            <w:pPr>
              <w:pStyle w:val="TableContents"/>
              <w:bidi w:val="0"/>
              <w:spacing w:before="0" w:after="283"/>
              <w:jc w:val="center"/>
              <w:rPr/>
            </w:pPr>
            <w:r>
              <w:rPr/>
              <w:t> </w:t>
            </w:r>
          </w:p>
        </w:tc>
        <w:tc>
          <w:tcPr>
            <w:tcW w:w="1980" w:type="dxa"/>
            <w:gridSpan w:val="5"/>
            <w:tcBorders>
              <w:bottom w:val="single" w:sz="12" w:space="0" w:color="000000"/>
            </w:tcBorders>
            <w:tcMar>
              <w:bottom w:w="28" w:type="dxa"/>
            </w:tcMar>
            <w:vAlign w:val="center"/>
          </w:tcPr>
          <w:p>
            <w:pPr>
              <w:pStyle w:val="TableContents"/>
              <w:bidi w:val="0"/>
              <w:spacing w:before="0" w:after="283"/>
              <w:jc w:val="center"/>
              <w:rPr/>
            </w:pPr>
            <w:r>
              <w:rPr>
                <w:b/>
                <w:spacing w:val="0"/>
              </w:rPr>
              <w:t>Treasury Stock</w:t>
            </w:r>
            <w:r>
              <w:rPr/>
              <w:t xml:space="preserve"> </w:t>
            </w:r>
          </w:p>
        </w:tc>
        <w:tc>
          <w:tcPr>
            <w:tcW w:w="9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70" w:type="dxa"/>
            <w:tcBorders/>
            <w:vAlign w:val="center"/>
          </w:tcPr>
          <w:p>
            <w:pPr>
              <w:pStyle w:val="TableContents"/>
              <w:bidi w:val="0"/>
              <w:spacing w:before="0" w:after="283"/>
              <w:jc w:val="center"/>
              <w:rPr/>
            </w:pPr>
            <w:r>
              <w:rPr/>
              <w:t> </w:t>
            </w:r>
          </w:p>
        </w:tc>
        <w:tc>
          <w:tcPr>
            <w:tcW w:w="1430" w:type="dxa"/>
            <w:vMerge w:val="restart"/>
            <w:tcBorders>
              <w:bottom w:val="single" w:sz="12" w:space="0" w:color="000000"/>
            </w:tcBorders>
            <w:tcMar>
              <w:bottom w:w="28" w:type="dxa"/>
            </w:tcMar>
            <w:vAlign w:val="center"/>
          </w:tcPr>
          <w:p>
            <w:pPr>
              <w:pStyle w:val="TableContents"/>
              <w:bidi w:val="0"/>
              <w:spacing w:before="0" w:after="283"/>
              <w:jc w:val="center"/>
              <w:rPr/>
            </w:pPr>
            <w:r>
              <w:rPr>
                <w:b/>
              </w:rPr>
              <w:t xml:space="preserve">Total </w:t>
              <w:br/>
              <w:t xml:space="preserve">Stockholders' </w:t>
              <w:br/>
              <w:t>Equity</w:t>
            </w:r>
            <w:r>
              <w:rPr/>
              <w:t xml:space="preserve"> </w:t>
            </w:r>
          </w:p>
        </w:tc>
        <w:tc>
          <w:tcPr>
            <w:tcW w:w="170" w:type="dxa"/>
            <w:tcBorders/>
            <w:vAlign w:val="center"/>
          </w:tcPr>
          <w:p>
            <w:pPr>
              <w:pStyle w:val="TableContents"/>
              <w:bidi w:val="0"/>
              <w:spacing w:before="0" w:after="283"/>
              <w:jc w:val="center"/>
              <w:rPr/>
            </w:pPr>
            <w:r>
              <w:rPr/>
              <w:t> </w:t>
            </w:r>
          </w:p>
        </w:tc>
      </w:tr>
      <w:tr>
        <w:trPr/>
        <w:tc>
          <w:tcPr>
            <w:tcW w:w="137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center"/>
              <w:rPr/>
            </w:pPr>
            <w:r>
              <w:rPr/>
              <w:t> </w:t>
            </w:r>
          </w:p>
        </w:tc>
        <w:tc>
          <w:tcPr>
            <w:tcW w:w="90" w:type="dxa"/>
            <w:tcBorders>
              <w:bottom w:val="single" w:sz="12" w:space="0" w:color="000000"/>
            </w:tcBorders>
            <w:tcMar>
              <w:bottom w:w="28" w:type="dxa"/>
            </w:tcMar>
            <w:vAlign w:val="center"/>
          </w:tcPr>
          <w:p>
            <w:pPr>
              <w:pStyle w:val="TableContents"/>
              <w:bidi w:val="0"/>
              <w:spacing w:before="0" w:after="283"/>
              <w:jc w:val="center"/>
              <w:rPr/>
            </w:pPr>
            <w:r>
              <w:rPr/>
              <w:t> </w:t>
            </w:r>
          </w:p>
        </w:tc>
        <w:tc>
          <w:tcPr>
            <w:tcW w:w="1250" w:type="dxa"/>
            <w:tcBorders>
              <w:bottom w:val="single" w:sz="12" w:space="0" w:color="000000"/>
            </w:tcBorders>
            <w:tcMar>
              <w:bottom w:w="28" w:type="dxa"/>
            </w:tcMar>
            <w:vAlign w:val="center"/>
          </w:tcPr>
          <w:p>
            <w:pPr>
              <w:pStyle w:val="TableContents"/>
              <w:bidi w:val="0"/>
              <w:spacing w:before="0" w:after="283"/>
              <w:jc w:val="center"/>
              <w:rPr>
                <w:b/>
              </w:rPr>
            </w:pPr>
            <w:r>
              <w:rPr>
                <w:b/>
              </w:rPr>
              <w:t xml:space="preserve">Shares </w:t>
            </w:r>
          </w:p>
        </w:tc>
        <w:tc>
          <w:tcPr>
            <w:tcW w:w="9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70" w:type="dxa"/>
            <w:tcBorders>
              <w:bottom w:val="single" w:sz="12" w:space="0" w:color="000000"/>
            </w:tcBorders>
            <w:tcMar>
              <w:bottom w:w="28" w:type="dxa"/>
            </w:tcMar>
            <w:vAlign w:val="center"/>
          </w:tcPr>
          <w:p>
            <w:pPr>
              <w:pStyle w:val="TableContents"/>
              <w:bidi w:val="0"/>
              <w:spacing w:before="0" w:after="283"/>
              <w:jc w:val="center"/>
              <w:rPr/>
            </w:pPr>
            <w:r>
              <w:rPr/>
              <w:t> </w:t>
            </w:r>
          </w:p>
        </w:tc>
        <w:tc>
          <w:tcPr>
            <w:tcW w:w="890" w:type="dxa"/>
            <w:tcBorders>
              <w:bottom w:val="single" w:sz="12" w:space="0" w:color="000000"/>
            </w:tcBorders>
            <w:tcMar>
              <w:bottom w:w="28" w:type="dxa"/>
            </w:tcMar>
            <w:vAlign w:val="center"/>
          </w:tcPr>
          <w:p>
            <w:pPr>
              <w:pStyle w:val="TableContents"/>
              <w:bidi w:val="0"/>
              <w:spacing w:before="0" w:after="283"/>
              <w:jc w:val="center"/>
              <w:rPr>
                <w:b/>
              </w:rPr>
            </w:pPr>
            <w:r>
              <w:rPr>
                <w:b/>
              </w:rPr>
              <w:t xml:space="preserve">Amount </w:t>
            </w:r>
          </w:p>
        </w:tc>
        <w:tc>
          <w:tcPr>
            <w:tcW w:w="9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70" w:type="dxa"/>
            <w:tcBorders>
              <w:bottom w:val="single" w:sz="12" w:space="0" w:color="000000"/>
            </w:tcBorders>
            <w:tcMar>
              <w:bottom w:w="28" w:type="dxa"/>
            </w:tcMar>
            <w:vAlign w:val="center"/>
          </w:tcPr>
          <w:p>
            <w:pPr>
              <w:pStyle w:val="TableContents"/>
              <w:bidi w:val="0"/>
              <w:spacing w:before="0" w:after="283"/>
              <w:jc w:val="center"/>
              <w:rPr/>
            </w:pPr>
            <w:r>
              <w:rPr/>
              <w:t> </w:t>
            </w:r>
          </w:p>
        </w:tc>
        <w:tc>
          <w:tcPr>
            <w:tcW w:w="1190" w:type="dxa"/>
            <w:vMerge w:val="continue"/>
            <w:tcBorders>
              <w:bottom w:val="single" w:sz="12" w:space="0" w:color="000000"/>
            </w:tcBorders>
            <w:tcMar>
              <w:bottom w:w="28" w:type="dxa"/>
            </w:tcMar>
            <w:vAlign w:val="center"/>
          </w:tcPr>
          <w:p>
            <w:pPr>
              <w:pStyle w:val="Normal"/>
              <w:bidi w:val="0"/>
              <w:jc w:val="left"/>
              <w:rPr/>
            </w:pPr>
            <w:r>
              <w:rPr/>
            </w:r>
          </w:p>
        </w:tc>
        <w:tc>
          <w:tcPr>
            <w:tcW w:w="125"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70" w:type="dxa"/>
            <w:tcBorders>
              <w:bottom w:val="single" w:sz="12" w:space="0" w:color="000000"/>
            </w:tcBorders>
            <w:tcMar>
              <w:bottom w:w="28" w:type="dxa"/>
            </w:tcMar>
            <w:vAlign w:val="center"/>
          </w:tcPr>
          <w:p>
            <w:pPr>
              <w:pStyle w:val="TableContents"/>
              <w:bidi w:val="0"/>
              <w:spacing w:before="0" w:after="283"/>
              <w:jc w:val="center"/>
              <w:rPr/>
            </w:pPr>
            <w:r>
              <w:rPr/>
              <w:t> </w:t>
            </w:r>
          </w:p>
        </w:tc>
        <w:tc>
          <w:tcPr>
            <w:tcW w:w="1400" w:type="dxa"/>
            <w:vMerge w:val="continue"/>
            <w:tcBorders>
              <w:bottom w:val="single" w:sz="12" w:space="0" w:color="000000"/>
            </w:tcBorders>
            <w:tcMar>
              <w:bottom w:w="28" w:type="dxa"/>
            </w:tcMar>
            <w:vAlign w:val="center"/>
          </w:tcPr>
          <w:p>
            <w:pPr>
              <w:pStyle w:val="Normal"/>
              <w:bidi w:val="0"/>
              <w:jc w:val="left"/>
              <w:rPr/>
            </w:pPr>
            <w:r>
              <w:rPr/>
            </w:r>
          </w:p>
        </w:tc>
        <w:tc>
          <w:tcPr>
            <w:tcW w:w="185"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90" w:type="dxa"/>
            <w:tcBorders>
              <w:bottom w:val="single" w:sz="12" w:space="0" w:color="000000"/>
            </w:tcBorders>
            <w:tcMar>
              <w:bottom w:w="28" w:type="dxa"/>
            </w:tcMar>
            <w:vAlign w:val="center"/>
          </w:tcPr>
          <w:p>
            <w:pPr>
              <w:pStyle w:val="TableContents"/>
              <w:bidi w:val="0"/>
              <w:spacing w:before="0" w:after="283"/>
              <w:jc w:val="center"/>
              <w:rPr/>
            </w:pPr>
            <w:r>
              <w:rPr/>
              <w:t> </w:t>
            </w:r>
          </w:p>
        </w:tc>
        <w:tc>
          <w:tcPr>
            <w:tcW w:w="740" w:type="dxa"/>
            <w:tcBorders>
              <w:bottom w:val="single" w:sz="12" w:space="0" w:color="000000"/>
            </w:tcBorders>
            <w:tcMar>
              <w:bottom w:w="28" w:type="dxa"/>
            </w:tcMar>
            <w:vAlign w:val="center"/>
          </w:tcPr>
          <w:p>
            <w:pPr>
              <w:pStyle w:val="TableContents"/>
              <w:bidi w:val="0"/>
              <w:spacing w:before="0" w:after="283"/>
              <w:jc w:val="center"/>
              <w:rPr>
                <w:b/>
              </w:rPr>
            </w:pPr>
            <w:r>
              <w:rPr>
                <w:b/>
              </w:rPr>
              <w:t xml:space="preserve">Shares </w:t>
            </w:r>
          </w:p>
        </w:tc>
        <w:tc>
          <w:tcPr>
            <w:tcW w:w="9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70" w:type="dxa"/>
            <w:tcBorders>
              <w:bottom w:val="single" w:sz="12" w:space="0" w:color="000000"/>
            </w:tcBorders>
            <w:tcMar>
              <w:bottom w:w="28" w:type="dxa"/>
            </w:tcMar>
            <w:vAlign w:val="center"/>
          </w:tcPr>
          <w:p>
            <w:pPr>
              <w:pStyle w:val="TableContents"/>
              <w:bidi w:val="0"/>
              <w:spacing w:before="0" w:after="283"/>
              <w:jc w:val="center"/>
              <w:rPr/>
            </w:pPr>
            <w:r>
              <w:rPr/>
              <w:t> </w:t>
            </w:r>
          </w:p>
        </w:tc>
        <w:tc>
          <w:tcPr>
            <w:tcW w:w="890" w:type="dxa"/>
            <w:tcBorders>
              <w:bottom w:val="single" w:sz="12" w:space="0" w:color="000000"/>
            </w:tcBorders>
            <w:tcMar>
              <w:bottom w:w="28" w:type="dxa"/>
            </w:tcMar>
            <w:vAlign w:val="center"/>
          </w:tcPr>
          <w:p>
            <w:pPr>
              <w:pStyle w:val="TableContents"/>
              <w:bidi w:val="0"/>
              <w:spacing w:before="0" w:after="283"/>
              <w:jc w:val="center"/>
              <w:rPr>
                <w:b/>
              </w:rPr>
            </w:pPr>
            <w:r>
              <w:rPr>
                <w:b/>
              </w:rPr>
              <w:t xml:space="preserve">Amount </w:t>
            </w:r>
          </w:p>
        </w:tc>
        <w:tc>
          <w:tcPr>
            <w:tcW w:w="9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70" w:type="dxa"/>
            <w:tcBorders>
              <w:bottom w:val="single" w:sz="12" w:space="0" w:color="000000"/>
            </w:tcBorders>
            <w:tcMar>
              <w:bottom w:w="28" w:type="dxa"/>
            </w:tcMar>
            <w:vAlign w:val="center"/>
          </w:tcPr>
          <w:p>
            <w:pPr>
              <w:pStyle w:val="TableContents"/>
              <w:bidi w:val="0"/>
              <w:spacing w:before="0" w:after="283"/>
              <w:jc w:val="center"/>
              <w:rPr/>
            </w:pPr>
            <w:r>
              <w:rPr/>
              <w:t> </w:t>
            </w:r>
          </w:p>
        </w:tc>
        <w:tc>
          <w:tcPr>
            <w:tcW w:w="1430" w:type="dxa"/>
            <w:vMerge w:val="continue"/>
            <w:tcBorders>
              <w:bottom w:val="single" w:sz="12" w:space="0" w:color="000000"/>
            </w:tcBorders>
            <w:tcMar>
              <w:bottom w:w="28" w:type="dxa"/>
            </w:tcMar>
            <w:vAlign w:val="center"/>
          </w:tcPr>
          <w:p>
            <w:pPr>
              <w:pStyle w:val="Normal"/>
              <w:bidi w:val="0"/>
              <w:jc w:val="left"/>
              <w:rPr/>
            </w:pPr>
            <w:r>
              <w:rPr/>
            </w:r>
          </w:p>
        </w:tc>
        <w:tc>
          <w:tcPr>
            <w:tcW w:w="170" w:type="dxa"/>
            <w:tcBorders/>
            <w:vAlign w:val="center"/>
          </w:tcPr>
          <w:p>
            <w:pPr>
              <w:pStyle w:val="TableContents"/>
              <w:bidi w:val="0"/>
              <w:spacing w:before="0" w:after="283"/>
              <w:jc w:val="center"/>
              <w:rPr/>
            </w:pPr>
            <w:r>
              <w:rPr/>
              <w:t> </w:t>
            </w:r>
          </w:p>
        </w:tc>
      </w:tr>
      <w:tr>
        <w:trPr/>
        <w:tc>
          <w:tcPr>
            <w:tcW w:w="1370" w:type="dxa"/>
            <w:tcBorders/>
            <w:shd w:fill="CCEEFF" w:val="clear"/>
            <w:vAlign w:val="center"/>
          </w:tcPr>
          <w:p>
            <w:pPr>
              <w:pStyle w:val="TableContents"/>
              <w:bidi w:val="0"/>
              <w:spacing w:before="0" w:after="0"/>
              <w:jc w:val="left"/>
              <w:rPr/>
            </w:pPr>
            <w:r>
              <w:rPr>
                <w:b/>
              </w:rPr>
              <w:t>Balance at December 31, 2024</w:t>
            </w:r>
            <w:r>
              <w:rPr/>
              <w:t xml:space="preserve"> </w:t>
            </w:r>
          </w:p>
        </w:tc>
        <w:tc>
          <w:tcPr>
            <w:tcW w:w="90" w:type="dxa"/>
            <w:tcBorders/>
            <w:shd w:fill="CCEEFF" w:val="clear"/>
            <w:vAlign w:val="center"/>
          </w:tcPr>
          <w:p>
            <w:pPr>
              <w:pStyle w:val="TableContents"/>
              <w:bidi w:val="0"/>
              <w:spacing w:before="0" w:after="283"/>
              <w:jc w:val="right"/>
              <w:rPr/>
            </w:pPr>
            <w:r>
              <w:rPr/>
              <w:t> </w:t>
            </w:r>
          </w:p>
        </w:tc>
        <w:tc>
          <w:tcPr>
            <w:tcW w:w="90" w:type="dxa"/>
            <w:tcBorders/>
            <w:shd w:fill="CCEEFF" w:val="clear"/>
            <w:vAlign w:val="center"/>
          </w:tcPr>
          <w:p>
            <w:pPr>
              <w:pStyle w:val="TableContents"/>
              <w:bidi w:val="0"/>
              <w:spacing w:before="0" w:after="283"/>
              <w:jc w:val="left"/>
              <w:rPr/>
            </w:pPr>
            <w:r>
              <w:rPr/>
              <w:t> </w:t>
            </w:r>
          </w:p>
        </w:tc>
        <w:tc>
          <w:tcPr>
            <w:tcW w:w="1250" w:type="dxa"/>
            <w:tcBorders/>
            <w:shd w:fill="CCEEFF" w:val="clear"/>
            <w:vAlign w:val="center"/>
          </w:tcPr>
          <w:p>
            <w:pPr>
              <w:pStyle w:val="TableContents"/>
              <w:bidi w:val="0"/>
              <w:spacing w:before="0" w:after="283"/>
              <w:jc w:val="right"/>
              <w:rPr/>
            </w:pPr>
            <w:r>
              <w:rPr/>
              <w:t>236,620,545</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w:t>
            </w:r>
          </w:p>
        </w:tc>
        <w:tc>
          <w:tcPr>
            <w:tcW w:w="890" w:type="dxa"/>
            <w:tcBorders/>
            <w:shd w:fill="CCEEFF" w:val="clear"/>
            <w:vAlign w:val="center"/>
          </w:tcPr>
          <w:p>
            <w:pPr>
              <w:pStyle w:val="TableContents"/>
              <w:bidi w:val="0"/>
              <w:spacing w:before="0" w:after="283"/>
              <w:jc w:val="right"/>
              <w:rPr/>
            </w:pPr>
            <w:r>
              <w:rPr/>
              <w:t>24</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w:t>
            </w:r>
          </w:p>
        </w:tc>
        <w:tc>
          <w:tcPr>
            <w:tcW w:w="1190" w:type="dxa"/>
            <w:tcBorders/>
            <w:shd w:fill="CCEEFF" w:val="clear"/>
            <w:vAlign w:val="center"/>
          </w:tcPr>
          <w:p>
            <w:pPr>
              <w:pStyle w:val="TableContents"/>
              <w:bidi w:val="0"/>
              <w:spacing w:before="0" w:after="283"/>
              <w:jc w:val="right"/>
              <w:rPr/>
            </w:pPr>
            <w:r>
              <w:rPr/>
              <w:t>657,577</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w:t>
            </w:r>
          </w:p>
        </w:tc>
        <w:tc>
          <w:tcPr>
            <w:tcW w:w="1400" w:type="dxa"/>
            <w:tcBorders/>
            <w:shd w:fill="CCEEFF" w:val="clear"/>
            <w:vAlign w:val="center"/>
          </w:tcPr>
          <w:p>
            <w:pPr>
              <w:pStyle w:val="TableContents"/>
              <w:bidi w:val="0"/>
              <w:spacing w:before="0" w:after="283"/>
              <w:jc w:val="right"/>
              <w:rPr/>
            </w:pPr>
            <w:r>
              <w:rPr/>
              <w:t>(308,583</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right"/>
              <w:rPr/>
            </w:pPr>
            <w:r>
              <w:rPr/>
              <w:t> </w:t>
            </w:r>
          </w:p>
        </w:tc>
        <w:tc>
          <w:tcPr>
            <w:tcW w:w="90" w:type="dxa"/>
            <w:tcBorders/>
            <w:shd w:fill="CCEEFF" w:val="clear"/>
            <w:vAlign w:val="center"/>
          </w:tcPr>
          <w:p>
            <w:pPr>
              <w:pStyle w:val="TableContents"/>
              <w:bidi w:val="0"/>
              <w:spacing w:before="0" w:after="283"/>
              <w:jc w:val="left"/>
              <w:rPr/>
            </w:pPr>
            <w:r>
              <w:rPr/>
              <w:t> </w:t>
            </w:r>
          </w:p>
        </w:tc>
        <w:tc>
          <w:tcPr>
            <w:tcW w:w="740" w:type="dxa"/>
            <w:tcBorders/>
            <w:shd w:fill="CCEEFF" w:val="clear"/>
            <w:vAlign w:val="center"/>
          </w:tcPr>
          <w:p>
            <w:pPr>
              <w:pStyle w:val="TableContents"/>
              <w:bidi w:val="0"/>
              <w:spacing w:before="0" w:after="283"/>
              <w:jc w:val="right"/>
              <w:rPr/>
            </w:pPr>
            <w:r>
              <w:rPr/>
              <w:t xml:space="preserve">-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w:t>
            </w:r>
          </w:p>
        </w:tc>
        <w:tc>
          <w:tcPr>
            <w:tcW w:w="890" w:type="dxa"/>
            <w:tcBorders/>
            <w:shd w:fill="CCEEFF" w:val="clear"/>
            <w:vAlign w:val="center"/>
          </w:tcPr>
          <w:p>
            <w:pPr>
              <w:pStyle w:val="TableContents"/>
              <w:bidi w:val="0"/>
              <w:spacing w:before="0" w:after="283"/>
              <w:jc w:val="right"/>
              <w:rPr/>
            </w:pPr>
            <w:r>
              <w:rPr/>
              <w:t xml:space="preserve">-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w:t>
            </w:r>
          </w:p>
        </w:tc>
        <w:tc>
          <w:tcPr>
            <w:tcW w:w="1430" w:type="dxa"/>
            <w:tcBorders/>
            <w:shd w:fill="CCEEFF" w:val="clear"/>
            <w:vAlign w:val="center"/>
          </w:tcPr>
          <w:p>
            <w:pPr>
              <w:pStyle w:val="TableContents"/>
              <w:bidi w:val="0"/>
              <w:spacing w:before="0" w:after="283"/>
              <w:jc w:val="right"/>
              <w:rPr/>
            </w:pPr>
            <w:r>
              <w:rPr/>
              <w:t>349,018</w:t>
            </w:r>
          </w:p>
        </w:tc>
        <w:tc>
          <w:tcPr>
            <w:tcW w:w="170" w:type="dxa"/>
            <w:tcBorders/>
            <w:shd w:fill="CCEEFF" w:val="clear"/>
            <w:vAlign w:val="center"/>
          </w:tcPr>
          <w:p>
            <w:pPr>
              <w:pStyle w:val="TableContents"/>
              <w:bidi w:val="0"/>
              <w:spacing w:before="0" w:after="283"/>
              <w:jc w:val="left"/>
              <w:rPr/>
            </w:pPr>
            <w:r>
              <w:rPr/>
              <w:t> </w:t>
            </w:r>
          </w:p>
        </w:tc>
      </w:tr>
      <w:tr>
        <w:trPr/>
        <w:tc>
          <w:tcPr>
            <w:tcW w:w="1370" w:type="dxa"/>
            <w:tcBorders/>
            <w:vAlign w:val="center"/>
          </w:tcPr>
          <w:p>
            <w:pPr>
              <w:pStyle w:val="TableContents"/>
              <w:bidi w:val="0"/>
              <w:spacing w:before="0" w:after="0"/>
              <w:jc w:val="left"/>
              <w:rPr/>
            </w:pPr>
            <w:r>
              <w:rPr/>
              <w:t xml:space="preserve">Stock-based compensation </w:t>
            </w:r>
          </w:p>
        </w:tc>
        <w:tc>
          <w:tcPr>
            <w:tcW w:w="90"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1250" w:type="dxa"/>
            <w:tcBorders/>
            <w:vAlign w:val="center"/>
          </w:tcPr>
          <w:p>
            <w:pPr>
              <w:pStyle w:val="TableContents"/>
              <w:bidi w:val="0"/>
              <w:spacing w:before="0" w:after="283"/>
              <w:jc w:val="right"/>
              <w:rPr/>
            </w:pPr>
            <w:r>
              <w:rPr/>
              <w:t xml:space="preserve">-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pPr>
            <w:r>
              <w:rPr/>
              <w:t> </w:t>
            </w:r>
          </w:p>
        </w:tc>
        <w:tc>
          <w:tcPr>
            <w:tcW w:w="890" w:type="dxa"/>
            <w:tcBorders/>
            <w:vAlign w:val="center"/>
          </w:tcPr>
          <w:p>
            <w:pPr>
              <w:pStyle w:val="TableContents"/>
              <w:bidi w:val="0"/>
              <w:spacing w:before="0" w:after="283"/>
              <w:jc w:val="right"/>
              <w:rPr/>
            </w:pPr>
            <w:r>
              <w:rPr/>
              <w:t xml:space="preserve">-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pPr>
            <w:r>
              <w:rPr/>
              <w:t> </w:t>
            </w:r>
          </w:p>
        </w:tc>
        <w:tc>
          <w:tcPr>
            <w:tcW w:w="1190" w:type="dxa"/>
            <w:tcBorders/>
            <w:vAlign w:val="center"/>
          </w:tcPr>
          <w:p>
            <w:pPr>
              <w:pStyle w:val="TableContents"/>
              <w:bidi w:val="0"/>
              <w:spacing w:before="0" w:after="283"/>
              <w:jc w:val="right"/>
              <w:rPr/>
            </w:pPr>
            <w:r>
              <w:rPr/>
              <w:t>4,624</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pPr>
            <w:r>
              <w:rPr/>
              <w:t> </w:t>
            </w:r>
          </w:p>
        </w:tc>
        <w:tc>
          <w:tcPr>
            <w:tcW w:w="1400" w:type="dxa"/>
            <w:tcBorders/>
            <w:vAlign w:val="center"/>
          </w:tcPr>
          <w:p>
            <w:pPr>
              <w:pStyle w:val="TableContents"/>
              <w:bidi w:val="0"/>
              <w:spacing w:before="0" w:after="283"/>
              <w:jc w:val="right"/>
              <w:rPr/>
            </w:pPr>
            <w:r>
              <w:rPr/>
              <w:t xml:space="preserve">-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740" w:type="dxa"/>
            <w:tcBorders/>
            <w:vAlign w:val="center"/>
          </w:tcPr>
          <w:p>
            <w:pPr>
              <w:pStyle w:val="TableContents"/>
              <w:bidi w:val="0"/>
              <w:spacing w:before="0" w:after="283"/>
              <w:jc w:val="right"/>
              <w:rPr/>
            </w:pPr>
            <w:r>
              <w:rPr/>
              <w:t xml:space="preserve">-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pPr>
            <w:r>
              <w:rPr/>
              <w:t> </w:t>
            </w:r>
          </w:p>
        </w:tc>
        <w:tc>
          <w:tcPr>
            <w:tcW w:w="890" w:type="dxa"/>
            <w:tcBorders/>
            <w:vAlign w:val="center"/>
          </w:tcPr>
          <w:p>
            <w:pPr>
              <w:pStyle w:val="TableContents"/>
              <w:bidi w:val="0"/>
              <w:spacing w:before="0" w:after="283"/>
              <w:jc w:val="right"/>
              <w:rPr/>
            </w:pPr>
            <w:r>
              <w:rPr/>
              <w:t xml:space="preserve">-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pPr>
            <w:r>
              <w:rPr/>
              <w:t> </w:t>
            </w:r>
          </w:p>
        </w:tc>
        <w:tc>
          <w:tcPr>
            <w:tcW w:w="1430" w:type="dxa"/>
            <w:tcBorders/>
            <w:vAlign w:val="center"/>
          </w:tcPr>
          <w:p>
            <w:pPr>
              <w:pStyle w:val="TableContents"/>
              <w:bidi w:val="0"/>
              <w:spacing w:before="0" w:after="283"/>
              <w:jc w:val="right"/>
              <w:rPr/>
            </w:pPr>
            <w:r>
              <w:rPr/>
              <w:t>4,624</w:t>
            </w:r>
          </w:p>
        </w:tc>
        <w:tc>
          <w:tcPr>
            <w:tcW w:w="170" w:type="dxa"/>
            <w:tcBorders/>
            <w:vAlign w:val="center"/>
          </w:tcPr>
          <w:p>
            <w:pPr>
              <w:pStyle w:val="TableContents"/>
              <w:bidi w:val="0"/>
              <w:spacing w:before="0" w:after="283"/>
              <w:jc w:val="left"/>
              <w:rPr/>
            </w:pPr>
            <w:r>
              <w:rPr/>
              <w:t> </w:t>
            </w:r>
          </w:p>
        </w:tc>
      </w:tr>
      <w:tr>
        <w:trPr/>
        <w:tc>
          <w:tcPr>
            <w:tcW w:w="1370" w:type="dxa"/>
            <w:tcBorders/>
            <w:shd w:fill="CCEEFF" w:val="clear"/>
            <w:vAlign w:val="center"/>
          </w:tcPr>
          <w:p>
            <w:pPr>
              <w:pStyle w:val="TableContents"/>
              <w:bidi w:val="0"/>
              <w:spacing w:before="0" w:after="0"/>
              <w:jc w:val="left"/>
              <w:rPr/>
            </w:pPr>
            <w:r>
              <w:rPr/>
              <w:t xml:space="preserve">Cashless exercise of warrants </w:t>
            </w:r>
          </w:p>
        </w:tc>
        <w:tc>
          <w:tcPr>
            <w:tcW w:w="90" w:type="dxa"/>
            <w:tcBorders/>
            <w:shd w:fill="CCEEFF" w:val="clear"/>
            <w:vAlign w:val="center"/>
          </w:tcPr>
          <w:p>
            <w:pPr>
              <w:pStyle w:val="TableContents"/>
              <w:bidi w:val="0"/>
              <w:spacing w:before="0" w:after="283"/>
              <w:jc w:val="right"/>
              <w:rPr/>
            </w:pPr>
            <w:r>
              <w:rPr/>
              <w:t> </w:t>
            </w:r>
          </w:p>
        </w:tc>
        <w:tc>
          <w:tcPr>
            <w:tcW w:w="90" w:type="dxa"/>
            <w:tcBorders/>
            <w:shd w:fill="CCEEFF" w:val="clear"/>
            <w:vAlign w:val="center"/>
          </w:tcPr>
          <w:p>
            <w:pPr>
              <w:pStyle w:val="TableContents"/>
              <w:bidi w:val="0"/>
              <w:spacing w:before="0" w:after="283"/>
              <w:jc w:val="left"/>
              <w:rPr/>
            </w:pPr>
            <w:r>
              <w:rPr/>
              <w:t> </w:t>
            </w:r>
          </w:p>
        </w:tc>
        <w:tc>
          <w:tcPr>
            <w:tcW w:w="1250" w:type="dxa"/>
            <w:tcBorders/>
            <w:shd w:fill="CCEEFF" w:val="clear"/>
            <w:vAlign w:val="center"/>
          </w:tcPr>
          <w:p>
            <w:pPr>
              <w:pStyle w:val="TableContents"/>
              <w:bidi w:val="0"/>
              <w:spacing w:before="0" w:after="283"/>
              <w:jc w:val="right"/>
              <w:rPr/>
            </w:pPr>
            <w:r>
              <w:rPr/>
              <w:t>866,302</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 </w:t>
            </w:r>
          </w:p>
        </w:tc>
        <w:tc>
          <w:tcPr>
            <w:tcW w:w="890" w:type="dxa"/>
            <w:tcBorders/>
            <w:shd w:fill="CCEEFF" w:val="clear"/>
            <w:vAlign w:val="center"/>
          </w:tcPr>
          <w:p>
            <w:pPr>
              <w:pStyle w:val="TableContents"/>
              <w:bidi w:val="0"/>
              <w:spacing w:before="0" w:after="283"/>
              <w:jc w:val="right"/>
              <w:rPr/>
            </w:pPr>
            <w:r>
              <w:rPr/>
              <w:t xml:space="preserve">-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 </w:t>
            </w:r>
          </w:p>
        </w:tc>
        <w:tc>
          <w:tcPr>
            <w:tcW w:w="1190" w:type="dxa"/>
            <w:tcBorders/>
            <w:shd w:fill="CCEEFF" w:val="clear"/>
            <w:vAlign w:val="center"/>
          </w:tcPr>
          <w:p>
            <w:pPr>
              <w:pStyle w:val="TableContents"/>
              <w:bidi w:val="0"/>
              <w:spacing w:before="0" w:after="283"/>
              <w:jc w:val="right"/>
              <w:rPr/>
            </w:pPr>
            <w:r>
              <w:rPr/>
              <w:t xml:space="preserve">-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 </w:t>
            </w:r>
          </w:p>
        </w:tc>
        <w:tc>
          <w:tcPr>
            <w:tcW w:w="1400" w:type="dxa"/>
            <w:tcBorders/>
            <w:shd w:fill="CCEEFF" w:val="clear"/>
            <w:vAlign w:val="center"/>
          </w:tcPr>
          <w:p>
            <w:pPr>
              <w:pStyle w:val="TableContents"/>
              <w:bidi w:val="0"/>
              <w:spacing w:before="0" w:after="283"/>
              <w:jc w:val="right"/>
              <w:rPr/>
            </w:pPr>
            <w:r>
              <w:rPr/>
              <w:t xml:space="preserve">- </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right"/>
              <w:rPr/>
            </w:pPr>
            <w:r>
              <w:rPr/>
              <w:t> </w:t>
            </w:r>
          </w:p>
        </w:tc>
        <w:tc>
          <w:tcPr>
            <w:tcW w:w="90" w:type="dxa"/>
            <w:tcBorders/>
            <w:shd w:fill="CCEEFF" w:val="clear"/>
            <w:vAlign w:val="center"/>
          </w:tcPr>
          <w:p>
            <w:pPr>
              <w:pStyle w:val="TableContents"/>
              <w:bidi w:val="0"/>
              <w:spacing w:before="0" w:after="283"/>
              <w:jc w:val="left"/>
              <w:rPr/>
            </w:pPr>
            <w:r>
              <w:rPr/>
              <w:t> </w:t>
            </w:r>
          </w:p>
        </w:tc>
        <w:tc>
          <w:tcPr>
            <w:tcW w:w="740" w:type="dxa"/>
            <w:tcBorders/>
            <w:shd w:fill="CCEEFF" w:val="clear"/>
            <w:vAlign w:val="center"/>
          </w:tcPr>
          <w:p>
            <w:pPr>
              <w:pStyle w:val="TableContents"/>
              <w:bidi w:val="0"/>
              <w:spacing w:before="0" w:after="283"/>
              <w:jc w:val="right"/>
              <w:rPr/>
            </w:pPr>
            <w:r>
              <w:rPr/>
              <w:t xml:space="preserve">-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 </w:t>
            </w:r>
          </w:p>
        </w:tc>
        <w:tc>
          <w:tcPr>
            <w:tcW w:w="890" w:type="dxa"/>
            <w:tcBorders/>
            <w:shd w:fill="CCEEFF" w:val="clear"/>
            <w:vAlign w:val="center"/>
          </w:tcPr>
          <w:p>
            <w:pPr>
              <w:pStyle w:val="TableContents"/>
              <w:bidi w:val="0"/>
              <w:spacing w:before="0" w:after="283"/>
              <w:jc w:val="right"/>
              <w:rPr/>
            </w:pPr>
            <w:r>
              <w:rPr/>
              <w:t xml:space="preserve">-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 </w:t>
            </w:r>
          </w:p>
        </w:tc>
        <w:tc>
          <w:tcPr>
            <w:tcW w:w="1430" w:type="dxa"/>
            <w:tcBorders/>
            <w:shd w:fill="CCEEFF" w:val="clear"/>
            <w:vAlign w:val="center"/>
          </w:tcPr>
          <w:p>
            <w:pPr>
              <w:pStyle w:val="TableContents"/>
              <w:bidi w:val="0"/>
              <w:spacing w:before="0" w:after="283"/>
              <w:jc w:val="right"/>
              <w:rPr/>
            </w:pPr>
            <w:r>
              <w:rPr/>
              <w:t xml:space="preserve">- </w:t>
            </w:r>
          </w:p>
        </w:tc>
        <w:tc>
          <w:tcPr>
            <w:tcW w:w="170" w:type="dxa"/>
            <w:tcBorders/>
            <w:shd w:fill="CCEEFF" w:val="clear"/>
            <w:vAlign w:val="center"/>
          </w:tcPr>
          <w:p>
            <w:pPr>
              <w:pStyle w:val="TableContents"/>
              <w:bidi w:val="0"/>
              <w:spacing w:before="0" w:after="283"/>
              <w:jc w:val="left"/>
              <w:rPr/>
            </w:pPr>
            <w:r>
              <w:rPr/>
              <w:t> </w:t>
            </w:r>
          </w:p>
        </w:tc>
      </w:tr>
      <w:tr>
        <w:trPr/>
        <w:tc>
          <w:tcPr>
            <w:tcW w:w="1370" w:type="dxa"/>
            <w:tcBorders/>
            <w:vAlign w:val="center"/>
          </w:tcPr>
          <w:p>
            <w:pPr>
              <w:pStyle w:val="TableContents"/>
              <w:bidi w:val="0"/>
              <w:spacing w:before="0" w:after="0"/>
              <w:ind w:left="0" w:right="0" w:hanging="0"/>
              <w:jc w:val="left"/>
              <w:rPr>
                <w:sz w:val="20"/>
              </w:rPr>
            </w:pPr>
            <w:r>
              <w:rPr>
                <w:sz w:val="20"/>
              </w:rPr>
              <w:t>Vesting of Restricted Stock Units, net of shares withheld for taxes</w:t>
            </w:r>
          </w:p>
        </w:tc>
        <w:tc>
          <w:tcPr>
            <w:tcW w:w="90"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1250" w:type="dxa"/>
            <w:tcBorders/>
            <w:vAlign w:val="center"/>
          </w:tcPr>
          <w:p>
            <w:pPr>
              <w:pStyle w:val="TableContents"/>
              <w:bidi w:val="0"/>
              <w:spacing w:before="0" w:after="283"/>
              <w:jc w:val="right"/>
              <w:rPr/>
            </w:pPr>
            <w:r>
              <w:rPr/>
              <w:t>1,016,005</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pPr>
            <w:r>
              <w:rPr/>
              <w:t> </w:t>
            </w:r>
          </w:p>
        </w:tc>
        <w:tc>
          <w:tcPr>
            <w:tcW w:w="890" w:type="dxa"/>
            <w:tcBorders/>
            <w:vAlign w:val="center"/>
          </w:tcPr>
          <w:p>
            <w:pPr>
              <w:pStyle w:val="TableContents"/>
              <w:bidi w:val="0"/>
              <w:spacing w:before="0" w:after="283"/>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pPr>
            <w:r>
              <w:rPr/>
              <w:t> </w:t>
            </w:r>
          </w:p>
        </w:tc>
        <w:tc>
          <w:tcPr>
            <w:tcW w:w="1190" w:type="dxa"/>
            <w:tcBorders/>
            <w:vAlign w:val="center"/>
          </w:tcPr>
          <w:p>
            <w:pPr>
              <w:pStyle w:val="TableContents"/>
              <w:bidi w:val="0"/>
              <w:spacing w:before="0" w:after="283"/>
              <w:jc w:val="right"/>
              <w:rPr/>
            </w:pPr>
            <w:r>
              <w:rPr/>
              <w:t>(7,228</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pPr>
            <w:r>
              <w:rPr/>
              <w:t> </w:t>
            </w:r>
          </w:p>
        </w:tc>
        <w:tc>
          <w:tcPr>
            <w:tcW w:w="1400" w:type="dxa"/>
            <w:tcBorders/>
            <w:vAlign w:val="center"/>
          </w:tcPr>
          <w:p>
            <w:pPr>
              <w:pStyle w:val="TableContents"/>
              <w:bidi w:val="0"/>
              <w:spacing w:before="0" w:after="283"/>
              <w:jc w:val="right"/>
              <w:rPr>
                <w:spacing w:val="0"/>
              </w:rPr>
            </w:pPr>
            <w:r>
              <w:rPr>
                <w:spacing w:val="0"/>
              </w:rPr>
              <w:t>-</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740" w:type="dxa"/>
            <w:tcBorders/>
            <w:vAlign w:val="center"/>
          </w:tcPr>
          <w:p>
            <w:pPr>
              <w:pStyle w:val="TableContents"/>
              <w:bidi w:val="0"/>
              <w:spacing w:before="0" w:after="283"/>
              <w:jc w:val="right"/>
              <w:rPr>
                <w:spacing w:val="0"/>
              </w:rPr>
            </w:pPr>
            <w:r>
              <w:rPr>
                <w:spacing w:val="0"/>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pPr>
            <w:r>
              <w:rPr/>
              <w:t> </w:t>
            </w:r>
          </w:p>
        </w:tc>
        <w:tc>
          <w:tcPr>
            <w:tcW w:w="890" w:type="dxa"/>
            <w:tcBorders/>
            <w:vAlign w:val="center"/>
          </w:tcPr>
          <w:p>
            <w:pPr>
              <w:pStyle w:val="TableContents"/>
              <w:bidi w:val="0"/>
              <w:spacing w:before="0" w:after="283"/>
              <w:jc w:val="right"/>
              <w:rPr>
                <w:spacing w:val="0"/>
              </w:rPr>
            </w:pPr>
            <w:r>
              <w:rPr>
                <w:spacing w:val="0"/>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pPr>
            <w:r>
              <w:rPr/>
              <w:t> </w:t>
            </w:r>
          </w:p>
        </w:tc>
        <w:tc>
          <w:tcPr>
            <w:tcW w:w="1430" w:type="dxa"/>
            <w:tcBorders/>
            <w:vAlign w:val="center"/>
          </w:tcPr>
          <w:p>
            <w:pPr>
              <w:pStyle w:val="TableContents"/>
              <w:bidi w:val="0"/>
              <w:spacing w:before="0" w:after="283"/>
              <w:jc w:val="right"/>
              <w:rPr/>
            </w:pPr>
            <w:r>
              <w:rPr/>
              <w:t>(7,228</w:t>
            </w:r>
          </w:p>
        </w:tc>
        <w:tc>
          <w:tcPr>
            <w:tcW w:w="170" w:type="dxa"/>
            <w:tcBorders/>
            <w:vAlign w:val="center"/>
          </w:tcPr>
          <w:p>
            <w:pPr>
              <w:pStyle w:val="TableContents"/>
              <w:bidi w:val="0"/>
              <w:spacing w:before="0" w:after="283"/>
              <w:jc w:val="left"/>
              <w:rPr/>
            </w:pPr>
            <w:r>
              <w:rPr/>
              <w:t>)</w:t>
            </w:r>
          </w:p>
        </w:tc>
      </w:tr>
      <w:tr>
        <w:trPr/>
        <w:tc>
          <w:tcPr>
            <w:tcW w:w="1370" w:type="dxa"/>
            <w:tcBorders/>
            <w:shd w:fill="CCEEFF" w:val="clear"/>
            <w:vAlign w:val="center"/>
          </w:tcPr>
          <w:p>
            <w:pPr>
              <w:pStyle w:val="TableContents"/>
              <w:bidi w:val="0"/>
              <w:spacing w:before="0" w:after="0"/>
              <w:jc w:val="left"/>
              <w:rPr/>
            </w:pPr>
            <w:r>
              <w:rPr/>
              <w:t xml:space="preserve">Exercise of stock options </w:t>
            </w:r>
          </w:p>
        </w:tc>
        <w:tc>
          <w:tcPr>
            <w:tcW w:w="90" w:type="dxa"/>
            <w:tcBorders/>
            <w:shd w:fill="CCEEFF" w:val="clear"/>
            <w:vAlign w:val="center"/>
          </w:tcPr>
          <w:p>
            <w:pPr>
              <w:pStyle w:val="TableContents"/>
              <w:bidi w:val="0"/>
              <w:spacing w:before="0" w:after="283"/>
              <w:jc w:val="right"/>
              <w:rPr/>
            </w:pPr>
            <w:r>
              <w:rPr/>
              <w:t> </w:t>
            </w:r>
          </w:p>
        </w:tc>
        <w:tc>
          <w:tcPr>
            <w:tcW w:w="90" w:type="dxa"/>
            <w:tcBorders/>
            <w:shd w:fill="CCEEFF" w:val="clear"/>
            <w:vAlign w:val="center"/>
          </w:tcPr>
          <w:p>
            <w:pPr>
              <w:pStyle w:val="TableContents"/>
              <w:bidi w:val="0"/>
              <w:spacing w:before="0" w:after="283"/>
              <w:jc w:val="left"/>
              <w:rPr/>
            </w:pPr>
            <w:r>
              <w:rPr/>
              <w:t> </w:t>
            </w:r>
          </w:p>
        </w:tc>
        <w:tc>
          <w:tcPr>
            <w:tcW w:w="1250" w:type="dxa"/>
            <w:tcBorders/>
            <w:shd w:fill="CCEEFF" w:val="clear"/>
            <w:vAlign w:val="center"/>
          </w:tcPr>
          <w:p>
            <w:pPr>
              <w:pStyle w:val="TableContents"/>
              <w:bidi w:val="0"/>
              <w:spacing w:before="0" w:after="283"/>
              <w:jc w:val="right"/>
              <w:rPr/>
            </w:pPr>
            <w:r>
              <w:rPr/>
              <w:t>29,400</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 </w:t>
            </w:r>
          </w:p>
        </w:tc>
        <w:tc>
          <w:tcPr>
            <w:tcW w:w="890" w:type="dxa"/>
            <w:tcBorders/>
            <w:shd w:fill="CCEEFF" w:val="clear"/>
            <w:vAlign w:val="center"/>
          </w:tcPr>
          <w:p>
            <w:pPr>
              <w:pStyle w:val="TableContents"/>
              <w:bidi w:val="0"/>
              <w:spacing w:before="0" w:after="283"/>
              <w:jc w:val="right"/>
              <w:rPr/>
            </w:pPr>
            <w:r>
              <w:rPr/>
              <w:t xml:space="preserve">-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 </w:t>
            </w:r>
          </w:p>
        </w:tc>
        <w:tc>
          <w:tcPr>
            <w:tcW w:w="1190" w:type="dxa"/>
            <w:tcBorders/>
            <w:shd w:fill="CCEEFF" w:val="clear"/>
            <w:vAlign w:val="center"/>
          </w:tcPr>
          <w:p>
            <w:pPr>
              <w:pStyle w:val="TableContents"/>
              <w:bidi w:val="0"/>
              <w:spacing w:before="0" w:after="283"/>
              <w:jc w:val="right"/>
              <w:rPr/>
            </w:pPr>
            <w:r>
              <w:rPr/>
              <w:t>101</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 </w:t>
            </w:r>
          </w:p>
        </w:tc>
        <w:tc>
          <w:tcPr>
            <w:tcW w:w="1400" w:type="dxa"/>
            <w:tcBorders/>
            <w:shd w:fill="CCEEFF" w:val="clear"/>
            <w:vAlign w:val="center"/>
          </w:tcPr>
          <w:p>
            <w:pPr>
              <w:pStyle w:val="TableContents"/>
              <w:bidi w:val="0"/>
              <w:spacing w:before="0" w:after="283"/>
              <w:jc w:val="right"/>
              <w:rPr/>
            </w:pPr>
            <w:r>
              <w:rPr/>
              <w:t xml:space="preserve">- </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right"/>
              <w:rPr/>
            </w:pPr>
            <w:r>
              <w:rPr/>
              <w:t> </w:t>
            </w:r>
          </w:p>
        </w:tc>
        <w:tc>
          <w:tcPr>
            <w:tcW w:w="90" w:type="dxa"/>
            <w:tcBorders/>
            <w:shd w:fill="CCEEFF" w:val="clear"/>
            <w:vAlign w:val="center"/>
          </w:tcPr>
          <w:p>
            <w:pPr>
              <w:pStyle w:val="TableContents"/>
              <w:bidi w:val="0"/>
              <w:spacing w:before="0" w:after="283"/>
              <w:jc w:val="left"/>
              <w:rPr/>
            </w:pPr>
            <w:r>
              <w:rPr/>
              <w:t> </w:t>
            </w:r>
          </w:p>
        </w:tc>
        <w:tc>
          <w:tcPr>
            <w:tcW w:w="740" w:type="dxa"/>
            <w:tcBorders/>
            <w:shd w:fill="CCEEFF" w:val="clear"/>
            <w:vAlign w:val="center"/>
          </w:tcPr>
          <w:p>
            <w:pPr>
              <w:pStyle w:val="TableContents"/>
              <w:bidi w:val="0"/>
              <w:spacing w:before="0" w:after="283"/>
              <w:jc w:val="right"/>
              <w:rPr/>
            </w:pPr>
            <w:r>
              <w:rPr/>
              <w:t xml:space="preserve">-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 </w:t>
            </w:r>
          </w:p>
        </w:tc>
        <w:tc>
          <w:tcPr>
            <w:tcW w:w="890" w:type="dxa"/>
            <w:tcBorders/>
            <w:shd w:fill="CCEEFF" w:val="clear"/>
            <w:vAlign w:val="center"/>
          </w:tcPr>
          <w:p>
            <w:pPr>
              <w:pStyle w:val="TableContents"/>
              <w:bidi w:val="0"/>
              <w:spacing w:before="0" w:after="283"/>
              <w:jc w:val="right"/>
              <w:rPr/>
            </w:pPr>
            <w:r>
              <w:rPr/>
              <w:t xml:space="preserve">-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 </w:t>
            </w:r>
          </w:p>
        </w:tc>
        <w:tc>
          <w:tcPr>
            <w:tcW w:w="1430" w:type="dxa"/>
            <w:tcBorders/>
            <w:shd w:fill="CCEEFF" w:val="clear"/>
            <w:vAlign w:val="center"/>
          </w:tcPr>
          <w:p>
            <w:pPr>
              <w:pStyle w:val="TableContents"/>
              <w:bidi w:val="0"/>
              <w:spacing w:before="0" w:after="283"/>
              <w:jc w:val="right"/>
              <w:rPr/>
            </w:pPr>
            <w:r>
              <w:rPr/>
              <w:t>101</w:t>
            </w:r>
          </w:p>
        </w:tc>
        <w:tc>
          <w:tcPr>
            <w:tcW w:w="170" w:type="dxa"/>
            <w:tcBorders/>
            <w:shd w:fill="CCEEFF" w:val="clear"/>
            <w:vAlign w:val="center"/>
          </w:tcPr>
          <w:p>
            <w:pPr>
              <w:pStyle w:val="TableContents"/>
              <w:bidi w:val="0"/>
              <w:spacing w:before="0" w:after="283"/>
              <w:jc w:val="left"/>
              <w:rPr/>
            </w:pPr>
            <w:r>
              <w:rPr/>
              <w:t> </w:t>
            </w:r>
          </w:p>
        </w:tc>
      </w:tr>
      <w:tr>
        <w:trPr/>
        <w:tc>
          <w:tcPr>
            <w:tcW w:w="1370" w:type="dxa"/>
            <w:tcBorders/>
            <w:vAlign w:val="center"/>
          </w:tcPr>
          <w:p>
            <w:pPr>
              <w:pStyle w:val="TableContents"/>
              <w:bidi w:val="0"/>
              <w:spacing w:before="0" w:after="0"/>
              <w:jc w:val="left"/>
              <w:rPr/>
            </w:pPr>
            <w:r>
              <w:rPr/>
              <w:t xml:space="preserve">Net income </w:t>
            </w:r>
          </w:p>
        </w:tc>
        <w:tc>
          <w:tcPr>
            <w:tcW w:w="90" w:type="dxa"/>
            <w:tcBorders/>
            <w:vAlign w:val="center"/>
          </w:tcPr>
          <w:p>
            <w:pPr>
              <w:pStyle w:val="TableContents"/>
              <w:bidi w:val="0"/>
              <w:spacing w:before="0" w:after="283"/>
              <w:jc w:val="right"/>
              <w:rPr/>
            </w:pPr>
            <w:r>
              <w:rPr/>
              <w:t> </w:t>
            </w:r>
          </w:p>
        </w:tc>
        <w:tc>
          <w:tcPr>
            <w:tcW w:w="90" w:type="dxa"/>
            <w:tcBorders>
              <w:bottom w:val="single" w:sz="12" w:space="0" w:color="000000"/>
            </w:tcBorders>
            <w:tcMar>
              <w:bottom w:w="28" w:type="dxa"/>
            </w:tcMar>
            <w:vAlign w:val="center"/>
          </w:tcPr>
          <w:p>
            <w:pPr>
              <w:pStyle w:val="TableContents"/>
              <w:bidi w:val="0"/>
              <w:spacing w:before="0" w:after="283"/>
              <w:jc w:val="left"/>
              <w:rPr/>
            </w:pPr>
            <w:r>
              <w:rPr/>
              <w:t> </w:t>
            </w:r>
          </w:p>
        </w:tc>
        <w:tc>
          <w:tcPr>
            <w:tcW w:w="1250" w:type="dxa"/>
            <w:tcBorders>
              <w:bottom w:val="single" w:sz="12" w:space="0" w:color="000000"/>
            </w:tcBorders>
            <w:tcMar>
              <w:bottom w:w="28" w:type="dxa"/>
            </w:tcMar>
            <w:vAlign w:val="center"/>
          </w:tcPr>
          <w:p>
            <w:pPr>
              <w:pStyle w:val="TableContents"/>
              <w:bidi w:val="0"/>
              <w:spacing w:before="0" w:after="283"/>
              <w:jc w:val="right"/>
              <w:rPr/>
            </w:pPr>
            <w:r>
              <w:rPr/>
              <w:t xml:space="preserve">- </w:t>
            </w:r>
          </w:p>
        </w:tc>
        <w:tc>
          <w:tcPr>
            <w:tcW w:w="90" w:type="dxa"/>
            <w:tcBorders>
              <w:bottom w:val="single" w:sz="12" w:space="0" w:color="000000"/>
            </w:tcBorders>
            <w:tcMar>
              <w:bottom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righ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890" w:type="dxa"/>
            <w:tcBorders>
              <w:bottom w:val="single" w:sz="12" w:space="0" w:color="000000"/>
            </w:tcBorders>
            <w:tcMar>
              <w:bottom w:w="28" w:type="dxa"/>
            </w:tcMar>
            <w:vAlign w:val="center"/>
          </w:tcPr>
          <w:p>
            <w:pPr>
              <w:pStyle w:val="TableContents"/>
              <w:bidi w:val="0"/>
              <w:spacing w:before="0" w:after="283"/>
              <w:jc w:val="right"/>
              <w:rPr/>
            </w:pPr>
            <w:r>
              <w:rPr/>
              <w:t xml:space="preserve">- </w:t>
            </w:r>
          </w:p>
        </w:tc>
        <w:tc>
          <w:tcPr>
            <w:tcW w:w="90" w:type="dxa"/>
            <w:tcBorders>
              <w:bottom w:val="single" w:sz="12" w:space="0" w:color="000000"/>
            </w:tcBorders>
            <w:tcMar>
              <w:bottom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righ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1190" w:type="dxa"/>
            <w:tcBorders>
              <w:bottom w:val="single" w:sz="12" w:space="0" w:color="000000"/>
            </w:tcBorders>
            <w:tcMar>
              <w:bottom w:w="28" w:type="dxa"/>
            </w:tcMar>
            <w:vAlign w:val="center"/>
          </w:tcPr>
          <w:p>
            <w:pPr>
              <w:pStyle w:val="TableContents"/>
              <w:bidi w:val="0"/>
              <w:spacing w:before="0" w:after="283"/>
              <w:jc w:val="right"/>
              <w:rPr/>
            </w:pPr>
            <w:r>
              <w:rPr/>
              <w:t xml:space="preserve">- </w:t>
            </w:r>
          </w:p>
        </w:tc>
        <w:tc>
          <w:tcPr>
            <w:tcW w:w="125" w:type="dxa"/>
            <w:tcBorders>
              <w:bottom w:val="single" w:sz="12" w:space="0" w:color="000000"/>
            </w:tcBorders>
            <w:tcMar>
              <w:bottom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righ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1400" w:type="dxa"/>
            <w:tcBorders>
              <w:bottom w:val="single" w:sz="12" w:space="0" w:color="000000"/>
            </w:tcBorders>
            <w:tcMar>
              <w:bottom w:w="28" w:type="dxa"/>
            </w:tcMar>
            <w:vAlign w:val="center"/>
          </w:tcPr>
          <w:p>
            <w:pPr>
              <w:pStyle w:val="TableContents"/>
              <w:bidi w:val="0"/>
              <w:spacing w:before="0" w:after="283"/>
              <w:jc w:val="right"/>
              <w:rPr/>
            </w:pPr>
            <w:r>
              <w:rPr/>
              <w:t>26,904</w:t>
            </w:r>
          </w:p>
        </w:tc>
        <w:tc>
          <w:tcPr>
            <w:tcW w:w="185" w:type="dxa"/>
            <w:tcBorders>
              <w:bottom w:val="single" w:sz="12" w:space="0" w:color="000000"/>
            </w:tcBorders>
            <w:tcMar>
              <w:bottom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right"/>
              <w:rPr/>
            </w:pPr>
            <w:r>
              <w:rPr/>
              <w:t> </w:t>
            </w:r>
          </w:p>
        </w:tc>
        <w:tc>
          <w:tcPr>
            <w:tcW w:w="90" w:type="dxa"/>
            <w:tcBorders>
              <w:bottom w:val="single" w:sz="12" w:space="0" w:color="000000"/>
            </w:tcBorders>
            <w:tcMar>
              <w:bottom w:w="28" w:type="dxa"/>
            </w:tcMar>
            <w:vAlign w:val="center"/>
          </w:tcPr>
          <w:p>
            <w:pPr>
              <w:pStyle w:val="TableContents"/>
              <w:bidi w:val="0"/>
              <w:spacing w:before="0" w:after="283"/>
              <w:jc w:val="left"/>
              <w:rPr/>
            </w:pPr>
            <w:r>
              <w:rPr/>
              <w:t> </w:t>
            </w:r>
          </w:p>
        </w:tc>
        <w:tc>
          <w:tcPr>
            <w:tcW w:w="740" w:type="dxa"/>
            <w:tcBorders>
              <w:bottom w:val="single" w:sz="12" w:space="0" w:color="000000"/>
            </w:tcBorders>
            <w:tcMar>
              <w:bottom w:w="28" w:type="dxa"/>
            </w:tcMar>
            <w:vAlign w:val="center"/>
          </w:tcPr>
          <w:p>
            <w:pPr>
              <w:pStyle w:val="TableContents"/>
              <w:bidi w:val="0"/>
              <w:spacing w:before="0" w:after="283"/>
              <w:jc w:val="right"/>
              <w:rPr/>
            </w:pPr>
            <w:r>
              <w:rPr/>
              <w:t xml:space="preserve">- </w:t>
            </w:r>
          </w:p>
        </w:tc>
        <w:tc>
          <w:tcPr>
            <w:tcW w:w="90" w:type="dxa"/>
            <w:tcBorders>
              <w:bottom w:val="single" w:sz="12" w:space="0" w:color="000000"/>
            </w:tcBorders>
            <w:tcMar>
              <w:bottom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righ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890" w:type="dxa"/>
            <w:tcBorders>
              <w:bottom w:val="single" w:sz="12" w:space="0" w:color="000000"/>
            </w:tcBorders>
            <w:tcMar>
              <w:bottom w:w="28" w:type="dxa"/>
            </w:tcMar>
            <w:vAlign w:val="center"/>
          </w:tcPr>
          <w:p>
            <w:pPr>
              <w:pStyle w:val="TableContents"/>
              <w:bidi w:val="0"/>
              <w:spacing w:before="0" w:after="283"/>
              <w:jc w:val="right"/>
              <w:rPr/>
            </w:pPr>
            <w:r>
              <w:rPr/>
              <w:t xml:space="preserve">- </w:t>
            </w:r>
          </w:p>
        </w:tc>
        <w:tc>
          <w:tcPr>
            <w:tcW w:w="90" w:type="dxa"/>
            <w:tcBorders>
              <w:bottom w:val="single" w:sz="12" w:space="0" w:color="000000"/>
            </w:tcBorders>
            <w:tcMar>
              <w:bottom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righ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1430" w:type="dxa"/>
            <w:tcBorders>
              <w:bottom w:val="single" w:sz="12" w:space="0" w:color="000000"/>
            </w:tcBorders>
            <w:tcMar>
              <w:bottom w:w="28" w:type="dxa"/>
            </w:tcMar>
            <w:vAlign w:val="center"/>
          </w:tcPr>
          <w:p>
            <w:pPr>
              <w:pStyle w:val="TableContents"/>
              <w:bidi w:val="0"/>
              <w:spacing w:before="0" w:after="283"/>
              <w:jc w:val="right"/>
              <w:rPr/>
            </w:pPr>
            <w:r>
              <w:rPr/>
              <w:t>26,904</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r>
      <w:tr>
        <w:trPr/>
        <w:tc>
          <w:tcPr>
            <w:tcW w:w="1370" w:type="dxa"/>
            <w:tcBorders/>
            <w:shd w:fill="CCEEFF" w:val="clear"/>
            <w:vAlign w:val="center"/>
          </w:tcPr>
          <w:p>
            <w:pPr>
              <w:pStyle w:val="TableContents"/>
              <w:bidi w:val="0"/>
              <w:spacing w:before="0" w:after="0"/>
              <w:jc w:val="left"/>
              <w:rPr/>
            </w:pPr>
            <w:r>
              <w:rPr>
                <w:b/>
              </w:rPr>
              <w:t>Balance at March 31, 2025</w:t>
            </w:r>
            <w:r>
              <w:rPr/>
              <w:t xml:space="preserve"> </w:t>
            </w:r>
          </w:p>
        </w:tc>
        <w:tc>
          <w:tcPr>
            <w:tcW w:w="90" w:type="dxa"/>
            <w:tcBorders/>
            <w:shd w:fill="CCEEFF" w:val="clear"/>
            <w:vAlign w:val="center"/>
          </w:tcPr>
          <w:p>
            <w:pPr>
              <w:pStyle w:val="TableContents"/>
              <w:bidi w:val="0"/>
              <w:spacing w:before="0" w:after="283"/>
              <w:jc w:val="right"/>
              <w:rPr/>
            </w:pPr>
            <w:r>
              <w:rPr/>
              <w:t> </w:t>
            </w:r>
          </w:p>
        </w:tc>
        <w:tc>
          <w:tcPr>
            <w:tcW w:w="90" w:type="dxa"/>
            <w:tcBorders/>
            <w:shd w:fill="CCEEFF" w:val="clear"/>
            <w:vAlign w:val="center"/>
          </w:tcPr>
          <w:p>
            <w:pPr>
              <w:pStyle w:val="TableContents"/>
              <w:bidi w:val="0"/>
              <w:spacing w:before="0" w:after="283"/>
              <w:jc w:val="left"/>
              <w:rPr/>
            </w:pPr>
            <w:r>
              <w:rPr/>
              <w:t> </w:t>
            </w:r>
          </w:p>
        </w:tc>
        <w:tc>
          <w:tcPr>
            <w:tcW w:w="1250" w:type="dxa"/>
            <w:tcBorders/>
            <w:shd w:fill="CCEEFF" w:val="clear"/>
            <w:vAlign w:val="center"/>
          </w:tcPr>
          <w:p>
            <w:pPr>
              <w:pStyle w:val="TableContents"/>
              <w:bidi w:val="0"/>
              <w:spacing w:before="0" w:after="283"/>
              <w:jc w:val="right"/>
              <w:rPr/>
            </w:pPr>
            <w:r>
              <w:rPr/>
              <w:t>238,532,252</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w:t>
            </w:r>
          </w:p>
        </w:tc>
        <w:tc>
          <w:tcPr>
            <w:tcW w:w="890" w:type="dxa"/>
            <w:tcBorders/>
            <w:shd w:fill="CCEEFF" w:val="clear"/>
            <w:vAlign w:val="center"/>
          </w:tcPr>
          <w:p>
            <w:pPr>
              <w:pStyle w:val="TableContents"/>
              <w:bidi w:val="0"/>
              <w:spacing w:before="0" w:after="283"/>
              <w:jc w:val="right"/>
              <w:rPr/>
            </w:pPr>
            <w:r>
              <w:rPr/>
              <w:t>24</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w:t>
            </w:r>
          </w:p>
        </w:tc>
        <w:tc>
          <w:tcPr>
            <w:tcW w:w="1190" w:type="dxa"/>
            <w:tcBorders/>
            <w:shd w:fill="CCEEFF" w:val="clear"/>
            <w:vAlign w:val="center"/>
          </w:tcPr>
          <w:p>
            <w:pPr>
              <w:pStyle w:val="TableContents"/>
              <w:bidi w:val="0"/>
              <w:spacing w:before="0" w:after="283"/>
              <w:jc w:val="right"/>
              <w:rPr/>
            </w:pPr>
            <w:r>
              <w:rPr/>
              <w:t>655,074</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w:t>
            </w:r>
          </w:p>
        </w:tc>
        <w:tc>
          <w:tcPr>
            <w:tcW w:w="1400" w:type="dxa"/>
            <w:tcBorders/>
            <w:shd w:fill="CCEEFF" w:val="clear"/>
            <w:vAlign w:val="center"/>
          </w:tcPr>
          <w:p>
            <w:pPr>
              <w:pStyle w:val="TableContents"/>
              <w:bidi w:val="0"/>
              <w:spacing w:before="0" w:after="283"/>
              <w:jc w:val="right"/>
              <w:rPr/>
            </w:pPr>
            <w:r>
              <w:rPr/>
              <w:t>(281,679</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right"/>
              <w:rPr/>
            </w:pPr>
            <w:r>
              <w:rPr/>
              <w:t> </w:t>
            </w:r>
          </w:p>
        </w:tc>
        <w:tc>
          <w:tcPr>
            <w:tcW w:w="90" w:type="dxa"/>
            <w:tcBorders/>
            <w:shd w:fill="CCEEFF" w:val="clear"/>
            <w:vAlign w:val="center"/>
          </w:tcPr>
          <w:p>
            <w:pPr>
              <w:pStyle w:val="TableContents"/>
              <w:bidi w:val="0"/>
              <w:spacing w:before="0" w:after="283"/>
              <w:jc w:val="left"/>
              <w:rPr/>
            </w:pPr>
            <w:r>
              <w:rPr/>
              <w:t> </w:t>
            </w:r>
          </w:p>
        </w:tc>
        <w:tc>
          <w:tcPr>
            <w:tcW w:w="740" w:type="dxa"/>
            <w:tcBorders/>
            <w:shd w:fill="CCEEFF" w:val="clear"/>
            <w:vAlign w:val="center"/>
          </w:tcPr>
          <w:p>
            <w:pPr>
              <w:pStyle w:val="TableContents"/>
              <w:bidi w:val="0"/>
              <w:spacing w:before="0" w:after="283"/>
              <w:jc w:val="right"/>
              <w:rPr/>
            </w:pPr>
            <w:r>
              <w:rPr/>
              <w:t xml:space="preserve">-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w:t>
            </w:r>
          </w:p>
        </w:tc>
        <w:tc>
          <w:tcPr>
            <w:tcW w:w="890" w:type="dxa"/>
            <w:tcBorders/>
            <w:shd w:fill="CCEEFF" w:val="clear"/>
            <w:vAlign w:val="center"/>
          </w:tcPr>
          <w:p>
            <w:pPr>
              <w:pStyle w:val="TableContents"/>
              <w:bidi w:val="0"/>
              <w:spacing w:before="0" w:after="283"/>
              <w:jc w:val="right"/>
              <w:rPr/>
            </w:pPr>
            <w:r>
              <w:rPr/>
              <w:t xml:space="preserve">-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w:t>
            </w:r>
          </w:p>
        </w:tc>
        <w:tc>
          <w:tcPr>
            <w:tcW w:w="1430" w:type="dxa"/>
            <w:tcBorders/>
            <w:shd w:fill="CCEEFF" w:val="clear"/>
            <w:vAlign w:val="center"/>
          </w:tcPr>
          <w:p>
            <w:pPr>
              <w:pStyle w:val="TableContents"/>
              <w:bidi w:val="0"/>
              <w:spacing w:before="0" w:after="283"/>
              <w:jc w:val="right"/>
              <w:rPr/>
            </w:pPr>
            <w:r>
              <w:rPr/>
              <w:t>373,419</w:t>
            </w:r>
          </w:p>
        </w:tc>
        <w:tc>
          <w:tcPr>
            <w:tcW w:w="170" w:type="dxa"/>
            <w:tcBorders/>
            <w:shd w:fill="CCEEFF" w:val="clear"/>
            <w:vAlign w:val="center"/>
          </w:tcPr>
          <w:p>
            <w:pPr>
              <w:pStyle w:val="TableContents"/>
              <w:bidi w:val="0"/>
              <w:spacing w:before="0" w:after="283"/>
              <w:jc w:val="left"/>
              <w:rPr/>
            </w:pPr>
            <w:r>
              <w:rPr/>
              <w:t> </w:t>
            </w:r>
          </w:p>
        </w:tc>
      </w:tr>
    </w:tbl>
    <w:p>
      <w:pPr>
        <w:pStyle w:val="TextBody"/>
        <w:bidi w:val="0"/>
        <w:spacing w:before="0" w:after="0"/>
        <w:jc w:val="left"/>
        <w:rPr/>
      </w:pPr>
      <w:r>
        <w:rPr/>
        <w:t xml:space="preserve">  </w:t>
      </w:r>
    </w:p>
    <w:p>
      <w:pPr>
        <w:pStyle w:val="TextBody"/>
        <w:bidi w:val="0"/>
        <w:spacing w:before="0" w:after="0"/>
        <w:jc w:val="center"/>
        <w:rPr>
          <w:rFonts w:ascii="Times New Roman" w:hAnsi="Times New Roman"/>
          <w:sz w:val="20"/>
        </w:rPr>
      </w:pPr>
      <w:r>
        <w:rPr>
          <w:rFonts w:ascii="Times New Roman" w:hAnsi="Times New Roman"/>
          <w:sz w:val="20"/>
        </w:rPr>
        <w:t>The accompanying notes are an integral part of these condensed consolidated financial statements.</w:t>
      </w:r>
    </w:p>
    <w:p>
      <w:pPr>
        <w:pStyle w:val="TextBody"/>
        <w:bidi w:val="0"/>
        <w:spacing w:before="0" w:after="0"/>
        <w:jc w:val="left"/>
        <w:rPr/>
      </w:pPr>
      <w:r>
        <w:rPr/>
        <w:t> </w:t>
      </w:r>
    </w:p>
    <w:p>
      <w:pPr>
        <w:pStyle w:val="TextBody"/>
        <w:bidi w:val="0"/>
        <w:spacing w:before="150" w:after="15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t>3</w:t>
      </w:r>
    </w:p>
    <w:p>
      <w:pPr>
        <w:pStyle w:val="HorizontalLine"/>
        <w:bidi w:val="0"/>
        <w:spacing w:before="150" w:after="150"/>
        <w:jc w:val="left"/>
        <w:rPr/>
      </w:pPr>
      <w:r>
        <w:rPr/>
      </w:r>
    </w:p>
    <w:p>
      <w:pPr>
        <w:pStyle w:val="TextBody"/>
        <w:bidi w:val="0"/>
        <w:spacing w:before="150" w:after="150"/>
        <w:jc w:val="left"/>
        <w:rPr/>
      </w:pPr>
      <w:hyperlink w:anchor="index">
        <w:r>
          <w:rPr>
            <w:rStyle w:val="InternetLink"/>
            <w:rFonts w:ascii="TimesNewRoman;Times New Roman;Times;Baskerville;Georgia;serif" w:hAnsi="TimesNewRoman;Times New Roman;Times;Baskerville;Georgia;serif"/>
            <w:b w:val="false"/>
            <w:i/>
            <w:caps w:val="false"/>
            <w:smallCaps w:val="false"/>
            <w:strike w:val="false"/>
            <w:dstrike w:val="false"/>
            <w:sz w:val="16"/>
            <w:u w:val="none"/>
            <w:effect w:val="none"/>
          </w:rPr>
          <w:t>Index</w:t>
        </w:r>
      </w:hyperlink>
    </w:p>
    <w:p>
      <w:pPr>
        <w:pStyle w:val="TextBody"/>
        <w:bidi w:val="0"/>
        <w:spacing w:before="0" w:after="0"/>
        <w:jc w:val="center"/>
        <w:rPr>
          <w:rFonts w:ascii="Times New Roman" w:hAnsi="Times New Roman"/>
          <w:sz w:val="20"/>
        </w:rPr>
      </w:pPr>
      <w:r>
        <w:rPr>
          <w:rFonts w:ascii="Times New Roman" w:hAnsi="Times New Roman"/>
          <w:b/>
          <w:sz w:val="20"/>
        </w:rPr>
        <w:t>ADMA BIOLOGICS, INC. AND SUBSIDIARIES</w:t>
      </w:r>
      <w:r>
        <w:rPr>
          <w:rFonts w:ascii="Times New Roman" w:hAnsi="Times New Roman"/>
          <w:sz w:val="20"/>
        </w:rPr>
        <w:t xml:space="preserve"> </w:t>
      </w:r>
    </w:p>
    <w:p>
      <w:pPr>
        <w:pStyle w:val="TextBody"/>
        <w:bidi w:val="0"/>
        <w:spacing w:before="0" w:after="0"/>
        <w:jc w:val="center"/>
        <w:rPr>
          <w:rFonts w:ascii="Times New Roman" w:hAnsi="Times New Roman"/>
          <w:b/>
          <w:sz w:val="20"/>
        </w:rPr>
      </w:pPr>
      <w:bookmarkStart w:id="8" w:name="cf"/>
      <w:bookmarkEnd w:id="8"/>
      <w:r>
        <w:rPr>
          <w:rFonts w:ascii="Times New Roman" w:hAnsi="Times New Roman"/>
          <w:b/>
          <w:sz w:val="20"/>
        </w:rPr>
        <w:t>CONDENSED CONSOLIDATED STATEMENTS OF CASH FLOWS </w:t>
      </w:r>
      <w:r>
        <w:rPr>
          <w:rFonts w:ascii="Times New Roman" w:hAnsi="Times New Roman"/>
          <w:b/>
          <w:spacing w:val="0"/>
          <w:sz w:val="20"/>
        </w:rPr>
        <w:t>(Unaudited)</w:t>
      </w:r>
    </w:p>
    <w:p>
      <w:pPr>
        <w:pStyle w:val="TextBody"/>
        <w:bidi w:val="0"/>
        <w:spacing w:before="0" w:after="0"/>
        <w:jc w:val="center"/>
        <w:rPr/>
      </w:pPr>
      <w:r>
        <w:rPr/>
        <w:t> </w:t>
      </w:r>
    </w:p>
    <w:tbl>
      <w:tblPr>
        <w:tblW w:w="5000" w:type="pct"/>
        <w:jc w:val="left"/>
        <w:tblInd w:w="0" w:type="dxa"/>
        <w:tblLayout w:type="fixed"/>
        <w:tblCellMar>
          <w:top w:w="0" w:type="dxa"/>
          <w:left w:w="0" w:type="dxa"/>
          <w:bottom w:w="0" w:type="dxa"/>
          <w:right w:w="0" w:type="dxa"/>
        </w:tblCellMar>
      </w:tblPr>
      <w:tblGrid>
        <w:gridCol w:w="6114"/>
        <w:gridCol w:w="98"/>
        <w:gridCol w:w="270"/>
        <w:gridCol w:w="1442"/>
        <w:gridCol w:w="294"/>
        <w:gridCol w:w="142"/>
        <w:gridCol w:w="270"/>
        <w:gridCol w:w="1322"/>
        <w:gridCol w:w="253"/>
      </w:tblGrid>
      <w:tr>
        <w:trPr/>
        <w:tc>
          <w:tcPr>
            <w:tcW w:w="6114" w:type="dxa"/>
            <w:tcBorders/>
          </w:tcPr>
          <w:p>
            <w:pPr>
              <w:pStyle w:val="TableContents"/>
              <w:bidi w:val="0"/>
              <w:spacing w:before="0" w:after="283"/>
              <w:jc w:val="left"/>
              <w:rPr/>
            </w:pPr>
            <w:r>
              <w:rPr/>
              <w:t> </w:t>
            </w:r>
          </w:p>
        </w:tc>
        <w:tc>
          <w:tcPr>
            <w:tcW w:w="98" w:type="dxa"/>
            <w:tcBorders/>
          </w:tcPr>
          <w:p>
            <w:pPr>
              <w:pStyle w:val="TableContents"/>
              <w:bidi w:val="0"/>
              <w:spacing w:before="0" w:after="0"/>
              <w:ind w:left="0" w:right="0" w:hanging="0"/>
              <w:jc w:val="center"/>
              <w:rPr/>
            </w:pPr>
            <w:r>
              <w:rPr/>
              <w:t> </w:t>
            </w:r>
          </w:p>
        </w:tc>
        <w:tc>
          <w:tcPr>
            <w:tcW w:w="3740" w:type="dxa"/>
            <w:gridSpan w:val="6"/>
            <w:tcBorders>
              <w:bottom w:val="single" w:sz="12" w:space="0" w:color="000000"/>
            </w:tcBorders>
            <w:tcMar>
              <w:bottom w:w="28" w:type="dxa"/>
            </w:tcMar>
          </w:tcPr>
          <w:p>
            <w:pPr>
              <w:pStyle w:val="TableContents"/>
              <w:bidi w:val="0"/>
              <w:spacing w:before="0" w:after="283"/>
              <w:jc w:val="center"/>
              <w:rPr/>
            </w:pPr>
            <w:r>
              <w:rPr>
                <w:b/>
              </w:rPr>
              <w:t>Three Months Ended March 31,</w:t>
            </w:r>
            <w:r>
              <w:rPr/>
              <w:t xml:space="preserve"> </w:t>
            </w:r>
          </w:p>
        </w:tc>
        <w:tc>
          <w:tcPr>
            <w:tcW w:w="253" w:type="dxa"/>
            <w:tcBorders/>
          </w:tcPr>
          <w:p>
            <w:pPr>
              <w:pStyle w:val="TableContents"/>
              <w:bidi w:val="0"/>
              <w:spacing w:before="0" w:after="283"/>
              <w:jc w:val="center"/>
              <w:rPr/>
            </w:pPr>
            <w:r>
              <w:rPr/>
              <w:t> </w:t>
            </w:r>
          </w:p>
        </w:tc>
      </w:tr>
      <w:tr>
        <w:trPr/>
        <w:tc>
          <w:tcPr>
            <w:tcW w:w="6114" w:type="dxa"/>
            <w:tcBorders/>
          </w:tcPr>
          <w:p>
            <w:pPr>
              <w:pStyle w:val="TableContents"/>
              <w:bidi w:val="0"/>
              <w:spacing w:before="0" w:after="283"/>
              <w:jc w:val="left"/>
              <w:rPr/>
            </w:pPr>
            <w:r>
              <w:rPr/>
              <w:t> </w:t>
            </w:r>
          </w:p>
        </w:tc>
        <w:tc>
          <w:tcPr>
            <w:tcW w:w="98" w:type="dxa"/>
            <w:tcBorders/>
          </w:tcPr>
          <w:p>
            <w:pPr>
              <w:pStyle w:val="TableContents"/>
              <w:bidi w:val="0"/>
              <w:spacing w:before="0" w:after="283"/>
              <w:jc w:val="center"/>
              <w:rPr/>
            </w:pPr>
            <w:r>
              <w:rPr/>
              <w:t> </w:t>
            </w:r>
          </w:p>
        </w:tc>
        <w:tc>
          <w:tcPr>
            <w:tcW w:w="270" w:type="dxa"/>
            <w:tcBorders>
              <w:bottom w:val="single" w:sz="12" w:space="0" w:color="000000"/>
            </w:tcBorders>
            <w:tcMar>
              <w:bottom w:w="28" w:type="dxa"/>
            </w:tcMar>
          </w:tcPr>
          <w:p>
            <w:pPr>
              <w:pStyle w:val="TableContents"/>
              <w:bidi w:val="0"/>
              <w:spacing w:before="0" w:after="283"/>
              <w:jc w:val="center"/>
              <w:rPr/>
            </w:pPr>
            <w:r>
              <w:rPr/>
              <w:t> </w:t>
            </w:r>
          </w:p>
        </w:tc>
        <w:tc>
          <w:tcPr>
            <w:tcW w:w="1442" w:type="dxa"/>
            <w:tcBorders>
              <w:bottom w:val="single" w:sz="12" w:space="0" w:color="000000"/>
            </w:tcBorders>
            <w:tcMar>
              <w:bottom w:w="28" w:type="dxa"/>
            </w:tcMar>
          </w:tcPr>
          <w:p>
            <w:pPr>
              <w:pStyle w:val="TableContents"/>
              <w:bidi w:val="0"/>
              <w:spacing w:before="0" w:after="0"/>
              <w:ind w:left="0" w:right="0" w:hanging="0"/>
              <w:jc w:val="center"/>
              <w:rPr>
                <w:b/>
              </w:rPr>
            </w:pPr>
            <w:r>
              <w:rPr>
                <w:b/>
              </w:rPr>
              <w:t>2026</w:t>
            </w:r>
          </w:p>
        </w:tc>
        <w:tc>
          <w:tcPr>
            <w:tcW w:w="294" w:type="dxa"/>
            <w:tcBorders/>
          </w:tcPr>
          <w:p>
            <w:pPr>
              <w:pStyle w:val="TableContents"/>
              <w:bidi w:val="0"/>
              <w:spacing w:before="0" w:after="283"/>
              <w:jc w:val="center"/>
              <w:rPr/>
            </w:pPr>
            <w:r>
              <w:rPr/>
              <w:t> </w:t>
            </w:r>
          </w:p>
        </w:tc>
        <w:tc>
          <w:tcPr>
            <w:tcW w:w="142" w:type="dxa"/>
            <w:tcBorders/>
          </w:tcPr>
          <w:p>
            <w:pPr>
              <w:pStyle w:val="TableContents"/>
              <w:bidi w:val="0"/>
              <w:spacing w:before="0" w:after="283"/>
              <w:jc w:val="center"/>
              <w:rPr/>
            </w:pPr>
            <w:r>
              <w:rPr/>
              <w:t> </w:t>
            </w:r>
          </w:p>
        </w:tc>
        <w:tc>
          <w:tcPr>
            <w:tcW w:w="270" w:type="dxa"/>
            <w:tcBorders>
              <w:bottom w:val="single" w:sz="12" w:space="0" w:color="000000"/>
            </w:tcBorders>
            <w:tcMar>
              <w:bottom w:w="28" w:type="dxa"/>
            </w:tcMar>
          </w:tcPr>
          <w:p>
            <w:pPr>
              <w:pStyle w:val="TableContents"/>
              <w:bidi w:val="0"/>
              <w:spacing w:before="0" w:after="283"/>
              <w:jc w:val="center"/>
              <w:rPr/>
            </w:pPr>
            <w:r>
              <w:rPr/>
              <w:t> </w:t>
            </w:r>
          </w:p>
        </w:tc>
        <w:tc>
          <w:tcPr>
            <w:tcW w:w="1322" w:type="dxa"/>
            <w:tcBorders>
              <w:bottom w:val="single" w:sz="12" w:space="0" w:color="000000"/>
            </w:tcBorders>
            <w:tcMar>
              <w:bottom w:w="28" w:type="dxa"/>
            </w:tcMar>
          </w:tcPr>
          <w:p>
            <w:pPr>
              <w:pStyle w:val="TableContents"/>
              <w:bidi w:val="0"/>
              <w:spacing w:before="0" w:after="0"/>
              <w:ind w:left="0" w:right="0" w:hanging="0"/>
              <w:jc w:val="center"/>
              <w:rPr>
                <w:b/>
              </w:rPr>
            </w:pPr>
            <w:r>
              <w:rPr>
                <w:b/>
              </w:rPr>
              <w:t>2025</w:t>
            </w:r>
          </w:p>
        </w:tc>
        <w:tc>
          <w:tcPr>
            <w:tcW w:w="253" w:type="dxa"/>
            <w:tcBorders/>
          </w:tcPr>
          <w:p>
            <w:pPr>
              <w:pStyle w:val="TableContents"/>
              <w:bidi w:val="0"/>
              <w:spacing w:before="0" w:after="283"/>
              <w:jc w:val="center"/>
              <w:rPr/>
            </w:pPr>
            <w:r>
              <w:rPr/>
              <w:t> </w:t>
            </w:r>
          </w:p>
        </w:tc>
      </w:tr>
      <w:tr>
        <w:trPr/>
        <w:tc>
          <w:tcPr>
            <w:tcW w:w="6114" w:type="dxa"/>
            <w:tcBorders/>
          </w:tcPr>
          <w:p>
            <w:pPr>
              <w:pStyle w:val="TableContents"/>
              <w:bidi w:val="0"/>
              <w:spacing w:before="0" w:after="0"/>
              <w:ind w:left="0" w:right="0" w:hanging="0"/>
              <w:jc w:val="left"/>
              <w:rPr>
                <w:i/>
              </w:rPr>
            </w:pPr>
            <w:r>
              <w:rPr>
                <w:i/>
              </w:rPr>
              <w:t>(In thousands)</w:t>
            </w:r>
          </w:p>
        </w:tc>
        <w:tc>
          <w:tcPr>
            <w:tcW w:w="98" w:type="dxa"/>
            <w:tcBorders/>
          </w:tcPr>
          <w:p>
            <w:pPr>
              <w:pStyle w:val="TableContents"/>
              <w:bidi w:val="0"/>
              <w:spacing w:before="0" w:after="283"/>
              <w:jc w:val="left"/>
              <w:rPr/>
            </w:pPr>
            <w:r>
              <w:rPr/>
              <w:t> </w:t>
            </w:r>
          </w:p>
        </w:tc>
        <w:tc>
          <w:tcPr>
            <w:tcW w:w="270" w:type="dxa"/>
            <w:tcBorders/>
          </w:tcPr>
          <w:p>
            <w:pPr>
              <w:pStyle w:val="TableContents"/>
              <w:bidi w:val="0"/>
              <w:spacing w:before="0" w:after="283"/>
              <w:jc w:val="left"/>
              <w:rPr/>
            </w:pPr>
            <w:r>
              <w:rPr/>
              <w:t> </w:t>
            </w:r>
          </w:p>
        </w:tc>
        <w:tc>
          <w:tcPr>
            <w:tcW w:w="1442" w:type="dxa"/>
            <w:tcBorders/>
          </w:tcPr>
          <w:p>
            <w:pPr>
              <w:pStyle w:val="TableContents"/>
              <w:bidi w:val="0"/>
              <w:spacing w:before="0" w:after="283"/>
              <w:jc w:val="left"/>
              <w:rPr/>
            </w:pPr>
            <w:r>
              <w:rPr/>
              <w:t> </w:t>
            </w:r>
          </w:p>
        </w:tc>
        <w:tc>
          <w:tcPr>
            <w:tcW w:w="294" w:type="dxa"/>
            <w:tcBorders/>
          </w:tcPr>
          <w:p>
            <w:pPr>
              <w:pStyle w:val="TableContents"/>
              <w:bidi w:val="0"/>
              <w:spacing w:before="0" w:after="283"/>
              <w:jc w:val="left"/>
              <w:rPr/>
            </w:pPr>
            <w:r>
              <w:rPr/>
              <w:t> </w:t>
            </w:r>
          </w:p>
        </w:tc>
        <w:tc>
          <w:tcPr>
            <w:tcW w:w="142" w:type="dxa"/>
            <w:tcBorders/>
          </w:tcPr>
          <w:p>
            <w:pPr>
              <w:pStyle w:val="TableContents"/>
              <w:bidi w:val="0"/>
              <w:spacing w:before="0" w:after="283"/>
              <w:jc w:val="left"/>
              <w:rPr/>
            </w:pPr>
            <w:r>
              <w:rPr/>
              <w:t> </w:t>
            </w:r>
          </w:p>
        </w:tc>
        <w:tc>
          <w:tcPr>
            <w:tcW w:w="270" w:type="dxa"/>
            <w:tcBorders/>
          </w:tcPr>
          <w:p>
            <w:pPr>
              <w:pStyle w:val="TableContents"/>
              <w:bidi w:val="0"/>
              <w:spacing w:before="0" w:after="283"/>
              <w:jc w:val="left"/>
              <w:rPr/>
            </w:pPr>
            <w:r>
              <w:rPr/>
              <w:t> </w:t>
            </w:r>
          </w:p>
        </w:tc>
        <w:tc>
          <w:tcPr>
            <w:tcW w:w="1322" w:type="dxa"/>
            <w:tcBorders/>
          </w:tcPr>
          <w:p>
            <w:pPr>
              <w:pStyle w:val="TableContents"/>
              <w:bidi w:val="0"/>
              <w:spacing w:before="0" w:after="283"/>
              <w:jc w:val="left"/>
              <w:rPr/>
            </w:pPr>
            <w:r>
              <w:rPr/>
              <w:t> </w:t>
            </w:r>
          </w:p>
        </w:tc>
        <w:tc>
          <w:tcPr>
            <w:tcW w:w="253" w:type="dxa"/>
            <w:tcBorders/>
          </w:tcPr>
          <w:p>
            <w:pPr>
              <w:pStyle w:val="TableContents"/>
              <w:bidi w:val="0"/>
              <w:spacing w:before="0" w:after="283"/>
              <w:ind w:left="0" w:right="0" w:hanging="150"/>
              <w:jc w:val="left"/>
              <w:rPr/>
            </w:pPr>
            <w:r>
              <w:rPr/>
              <w:t> </w:t>
            </w:r>
          </w:p>
        </w:tc>
      </w:tr>
      <w:tr>
        <w:trPr/>
        <w:tc>
          <w:tcPr>
            <w:tcW w:w="6114" w:type="dxa"/>
            <w:tcBorders/>
          </w:tcPr>
          <w:p>
            <w:pPr>
              <w:pStyle w:val="TableContents"/>
              <w:bidi w:val="0"/>
              <w:spacing w:before="0" w:after="0"/>
              <w:ind w:left="0" w:right="0" w:hanging="150"/>
              <w:jc w:val="left"/>
              <w:rPr>
                <w:b/>
              </w:rPr>
            </w:pPr>
            <w:r>
              <w:rPr>
                <w:b/>
              </w:rPr>
              <w:t>CASH FLOWS FROM OPERATING ACTIVITIES:</w:t>
            </w:r>
          </w:p>
        </w:tc>
        <w:tc>
          <w:tcPr>
            <w:tcW w:w="98" w:type="dxa"/>
            <w:tcBorders/>
          </w:tcPr>
          <w:p>
            <w:pPr>
              <w:pStyle w:val="TableContents"/>
              <w:bidi w:val="0"/>
              <w:spacing w:before="0" w:after="283"/>
              <w:jc w:val="left"/>
              <w:rPr/>
            </w:pPr>
            <w:r>
              <w:rPr/>
              <w:t> </w:t>
            </w:r>
          </w:p>
        </w:tc>
        <w:tc>
          <w:tcPr>
            <w:tcW w:w="270" w:type="dxa"/>
            <w:tcBorders/>
          </w:tcPr>
          <w:p>
            <w:pPr>
              <w:pStyle w:val="TableContents"/>
              <w:bidi w:val="0"/>
              <w:spacing w:before="0" w:after="283"/>
              <w:jc w:val="left"/>
              <w:rPr/>
            </w:pPr>
            <w:r>
              <w:rPr/>
              <w:t> </w:t>
            </w:r>
          </w:p>
        </w:tc>
        <w:tc>
          <w:tcPr>
            <w:tcW w:w="1442" w:type="dxa"/>
            <w:tcBorders/>
          </w:tcPr>
          <w:p>
            <w:pPr>
              <w:pStyle w:val="TableContents"/>
              <w:bidi w:val="0"/>
              <w:spacing w:before="0" w:after="283"/>
              <w:jc w:val="left"/>
              <w:rPr/>
            </w:pPr>
            <w:r>
              <w:rPr/>
              <w:t> </w:t>
            </w:r>
          </w:p>
        </w:tc>
        <w:tc>
          <w:tcPr>
            <w:tcW w:w="294" w:type="dxa"/>
            <w:tcBorders/>
          </w:tcPr>
          <w:p>
            <w:pPr>
              <w:pStyle w:val="TableContents"/>
              <w:bidi w:val="0"/>
              <w:spacing w:before="0" w:after="283"/>
              <w:jc w:val="left"/>
              <w:rPr/>
            </w:pPr>
            <w:r>
              <w:rPr/>
              <w:t> </w:t>
            </w:r>
          </w:p>
        </w:tc>
        <w:tc>
          <w:tcPr>
            <w:tcW w:w="142" w:type="dxa"/>
            <w:tcBorders/>
          </w:tcPr>
          <w:p>
            <w:pPr>
              <w:pStyle w:val="TableContents"/>
              <w:bidi w:val="0"/>
              <w:spacing w:before="0" w:after="283"/>
              <w:jc w:val="left"/>
              <w:rPr/>
            </w:pPr>
            <w:r>
              <w:rPr/>
              <w:t> </w:t>
            </w:r>
          </w:p>
        </w:tc>
        <w:tc>
          <w:tcPr>
            <w:tcW w:w="270" w:type="dxa"/>
            <w:tcBorders/>
          </w:tcPr>
          <w:p>
            <w:pPr>
              <w:pStyle w:val="TableContents"/>
              <w:bidi w:val="0"/>
              <w:spacing w:before="0" w:after="283"/>
              <w:jc w:val="left"/>
              <w:rPr/>
            </w:pPr>
            <w:r>
              <w:rPr/>
              <w:t> </w:t>
            </w:r>
          </w:p>
        </w:tc>
        <w:tc>
          <w:tcPr>
            <w:tcW w:w="1322" w:type="dxa"/>
            <w:tcBorders/>
          </w:tcPr>
          <w:p>
            <w:pPr>
              <w:pStyle w:val="TableContents"/>
              <w:bidi w:val="0"/>
              <w:spacing w:before="0" w:after="283"/>
              <w:jc w:val="left"/>
              <w:rPr/>
            </w:pPr>
            <w:r>
              <w:rPr/>
              <w:t> </w:t>
            </w:r>
          </w:p>
        </w:tc>
        <w:tc>
          <w:tcPr>
            <w:tcW w:w="253" w:type="dxa"/>
            <w:tcBorders/>
          </w:tcPr>
          <w:p>
            <w:pPr>
              <w:pStyle w:val="TableContents"/>
              <w:bidi w:val="0"/>
              <w:spacing w:before="0" w:after="283"/>
              <w:ind w:left="0" w:right="0" w:hanging="150"/>
              <w:jc w:val="left"/>
              <w:rPr/>
            </w:pPr>
            <w:r>
              <w:rPr/>
              <w:t> </w:t>
            </w:r>
          </w:p>
        </w:tc>
      </w:tr>
      <w:tr>
        <w:trPr/>
        <w:tc>
          <w:tcPr>
            <w:tcW w:w="6114" w:type="dxa"/>
            <w:tcBorders/>
            <w:shd w:fill="CCEEFF" w:val="clear"/>
          </w:tcPr>
          <w:p>
            <w:pPr>
              <w:pStyle w:val="TableContents"/>
              <w:bidi w:val="0"/>
              <w:spacing w:before="0" w:after="0"/>
              <w:ind w:left="0" w:right="0" w:hanging="0"/>
              <w:jc w:val="left"/>
              <w:rPr/>
            </w:pPr>
            <w:r>
              <w:rPr/>
              <w:t xml:space="preserve">Net income </w:t>
            </w:r>
          </w:p>
        </w:tc>
        <w:tc>
          <w:tcPr>
            <w:tcW w:w="98" w:type="dxa"/>
            <w:tcBorders/>
            <w:shd w:fill="CCEEFF" w:val="clear"/>
          </w:tcPr>
          <w:p>
            <w:pPr>
              <w:pStyle w:val="TableContents"/>
              <w:bidi w:val="0"/>
              <w:spacing w:before="0" w:after="0"/>
              <w:ind w:left="0" w:right="0" w:hanging="0"/>
              <w:jc w:val="left"/>
              <w:rPr/>
            </w:pPr>
            <w:r>
              <w:rPr/>
              <w:t> </w:t>
            </w:r>
          </w:p>
        </w:tc>
        <w:tc>
          <w:tcPr>
            <w:tcW w:w="270" w:type="dxa"/>
            <w:tcBorders/>
            <w:shd w:fill="CCEEFF" w:val="clear"/>
          </w:tcPr>
          <w:p>
            <w:pPr>
              <w:pStyle w:val="TableContents"/>
              <w:bidi w:val="0"/>
              <w:spacing w:before="0" w:after="0"/>
              <w:ind w:left="0" w:right="0" w:hanging="0"/>
              <w:jc w:val="left"/>
              <w:rPr/>
            </w:pPr>
            <w:r>
              <w:rPr/>
              <w:t>$</w:t>
            </w:r>
          </w:p>
        </w:tc>
        <w:tc>
          <w:tcPr>
            <w:tcW w:w="1442" w:type="dxa"/>
            <w:tcBorders/>
            <w:shd w:fill="CCEEFF" w:val="clear"/>
          </w:tcPr>
          <w:p>
            <w:pPr>
              <w:pStyle w:val="TableContents"/>
              <w:bidi w:val="0"/>
              <w:spacing w:before="0" w:after="0"/>
              <w:ind w:left="0" w:right="0" w:hanging="0"/>
              <w:jc w:val="right"/>
              <w:rPr/>
            </w:pPr>
            <w:r>
              <w:rPr/>
              <w:t>45,328</w:t>
            </w:r>
          </w:p>
        </w:tc>
        <w:tc>
          <w:tcPr>
            <w:tcW w:w="294" w:type="dxa"/>
            <w:tcBorders/>
            <w:shd w:fill="CCEEFF" w:val="clear"/>
          </w:tcPr>
          <w:p>
            <w:pPr>
              <w:pStyle w:val="TableContents"/>
              <w:bidi w:val="0"/>
              <w:spacing w:before="0" w:after="0"/>
              <w:ind w:left="0" w:right="0" w:hanging="0"/>
              <w:jc w:val="left"/>
              <w:rPr/>
            </w:pPr>
            <w:r>
              <w:rPr/>
              <w:t> </w:t>
            </w:r>
          </w:p>
        </w:tc>
        <w:tc>
          <w:tcPr>
            <w:tcW w:w="142" w:type="dxa"/>
            <w:tcBorders/>
            <w:shd w:fill="CCEEFF" w:val="clear"/>
          </w:tcPr>
          <w:p>
            <w:pPr>
              <w:pStyle w:val="TableContents"/>
              <w:bidi w:val="0"/>
              <w:spacing w:before="0" w:after="0"/>
              <w:ind w:left="0" w:right="0" w:hanging="0"/>
              <w:jc w:val="left"/>
              <w:rPr/>
            </w:pPr>
            <w:r>
              <w:rPr/>
              <w:t> </w:t>
            </w:r>
          </w:p>
        </w:tc>
        <w:tc>
          <w:tcPr>
            <w:tcW w:w="270" w:type="dxa"/>
            <w:tcBorders/>
            <w:shd w:fill="CCEEFF" w:val="clear"/>
          </w:tcPr>
          <w:p>
            <w:pPr>
              <w:pStyle w:val="TableContents"/>
              <w:bidi w:val="0"/>
              <w:spacing w:before="0" w:after="0"/>
              <w:ind w:left="0" w:right="0" w:hanging="0"/>
              <w:jc w:val="left"/>
              <w:rPr/>
            </w:pPr>
            <w:r>
              <w:rPr/>
              <w:t>$</w:t>
            </w:r>
          </w:p>
        </w:tc>
        <w:tc>
          <w:tcPr>
            <w:tcW w:w="1322" w:type="dxa"/>
            <w:tcBorders/>
            <w:shd w:fill="CCEEFF" w:val="clear"/>
          </w:tcPr>
          <w:p>
            <w:pPr>
              <w:pStyle w:val="TableContents"/>
              <w:bidi w:val="0"/>
              <w:spacing w:before="0" w:after="0"/>
              <w:ind w:left="0" w:right="0" w:hanging="0"/>
              <w:jc w:val="right"/>
              <w:rPr/>
            </w:pPr>
            <w:r>
              <w:rPr/>
              <w:t>26,904</w:t>
            </w:r>
          </w:p>
        </w:tc>
        <w:tc>
          <w:tcPr>
            <w:tcW w:w="253" w:type="dxa"/>
            <w:tcBorders/>
            <w:shd w:fill="CCEEFF" w:val="clear"/>
          </w:tcPr>
          <w:p>
            <w:pPr>
              <w:pStyle w:val="TableContents"/>
              <w:bidi w:val="0"/>
              <w:spacing w:before="0" w:after="0"/>
              <w:ind w:left="0" w:right="0" w:hanging="150"/>
              <w:jc w:val="left"/>
              <w:rPr/>
            </w:pPr>
            <w:r>
              <w:rPr/>
              <w:t> </w:t>
            </w:r>
          </w:p>
        </w:tc>
      </w:tr>
      <w:tr>
        <w:trPr/>
        <w:tc>
          <w:tcPr>
            <w:tcW w:w="6114" w:type="dxa"/>
            <w:tcBorders/>
          </w:tcPr>
          <w:p>
            <w:pPr>
              <w:pStyle w:val="TableContents"/>
              <w:bidi w:val="0"/>
              <w:spacing w:before="0" w:after="0"/>
              <w:ind w:left="0" w:right="0" w:hanging="150"/>
              <w:jc w:val="left"/>
              <w:rPr/>
            </w:pPr>
            <w:r>
              <w:rPr/>
              <w:t>Adjustments to reconcile net income to net</w:t>
            </w:r>
          </w:p>
        </w:tc>
        <w:tc>
          <w:tcPr>
            <w:tcW w:w="98" w:type="dxa"/>
            <w:tcBorders/>
          </w:tcPr>
          <w:p>
            <w:pPr>
              <w:pStyle w:val="TableContents"/>
              <w:bidi w:val="0"/>
              <w:spacing w:before="0" w:after="283"/>
              <w:jc w:val="left"/>
              <w:rPr/>
            </w:pPr>
            <w:r>
              <w:rPr/>
              <w:t> </w:t>
            </w:r>
          </w:p>
        </w:tc>
        <w:tc>
          <w:tcPr>
            <w:tcW w:w="270" w:type="dxa"/>
            <w:tcBorders/>
          </w:tcPr>
          <w:p>
            <w:pPr>
              <w:pStyle w:val="TableContents"/>
              <w:bidi w:val="0"/>
              <w:spacing w:before="0" w:after="283"/>
              <w:jc w:val="left"/>
              <w:rPr/>
            </w:pPr>
            <w:r>
              <w:rPr/>
              <w:t> </w:t>
            </w:r>
          </w:p>
        </w:tc>
        <w:tc>
          <w:tcPr>
            <w:tcW w:w="1442" w:type="dxa"/>
            <w:tcBorders/>
          </w:tcPr>
          <w:p>
            <w:pPr>
              <w:pStyle w:val="TableContents"/>
              <w:bidi w:val="0"/>
              <w:spacing w:before="0" w:after="283"/>
              <w:jc w:val="left"/>
              <w:rPr/>
            </w:pPr>
            <w:r>
              <w:rPr/>
              <w:t> </w:t>
            </w:r>
          </w:p>
        </w:tc>
        <w:tc>
          <w:tcPr>
            <w:tcW w:w="294" w:type="dxa"/>
            <w:tcBorders/>
          </w:tcPr>
          <w:p>
            <w:pPr>
              <w:pStyle w:val="TableContents"/>
              <w:bidi w:val="0"/>
              <w:spacing w:before="0" w:after="283"/>
              <w:jc w:val="left"/>
              <w:rPr/>
            </w:pPr>
            <w:r>
              <w:rPr/>
              <w:t> </w:t>
            </w:r>
          </w:p>
        </w:tc>
        <w:tc>
          <w:tcPr>
            <w:tcW w:w="142" w:type="dxa"/>
            <w:tcBorders/>
          </w:tcPr>
          <w:p>
            <w:pPr>
              <w:pStyle w:val="TableContents"/>
              <w:bidi w:val="0"/>
              <w:spacing w:before="0" w:after="283"/>
              <w:jc w:val="left"/>
              <w:rPr/>
            </w:pPr>
            <w:r>
              <w:rPr/>
              <w:t> </w:t>
            </w:r>
          </w:p>
        </w:tc>
        <w:tc>
          <w:tcPr>
            <w:tcW w:w="270" w:type="dxa"/>
            <w:tcBorders/>
          </w:tcPr>
          <w:p>
            <w:pPr>
              <w:pStyle w:val="TableContents"/>
              <w:bidi w:val="0"/>
              <w:spacing w:before="0" w:after="283"/>
              <w:jc w:val="left"/>
              <w:rPr/>
            </w:pPr>
            <w:r>
              <w:rPr/>
              <w:t> </w:t>
            </w:r>
          </w:p>
        </w:tc>
        <w:tc>
          <w:tcPr>
            <w:tcW w:w="1322" w:type="dxa"/>
            <w:tcBorders/>
          </w:tcPr>
          <w:p>
            <w:pPr>
              <w:pStyle w:val="TableContents"/>
              <w:bidi w:val="0"/>
              <w:spacing w:before="0" w:after="283"/>
              <w:jc w:val="left"/>
              <w:rPr/>
            </w:pPr>
            <w:r>
              <w:rPr/>
              <w:t> </w:t>
            </w:r>
          </w:p>
        </w:tc>
        <w:tc>
          <w:tcPr>
            <w:tcW w:w="253" w:type="dxa"/>
            <w:tcBorders/>
          </w:tcPr>
          <w:p>
            <w:pPr>
              <w:pStyle w:val="TableContents"/>
              <w:bidi w:val="0"/>
              <w:spacing w:before="0" w:after="283"/>
              <w:ind w:left="0" w:right="0" w:hanging="150"/>
              <w:jc w:val="left"/>
              <w:rPr/>
            </w:pPr>
            <w:r>
              <w:rPr/>
              <w:t> </w:t>
            </w:r>
          </w:p>
        </w:tc>
      </w:tr>
      <w:tr>
        <w:trPr/>
        <w:tc>
          <w:tcPr>
            <w:tcW w:w="6114" w:type="dxa"/>
            <w:tcBorders/>
            <w:shd w:fill="CCEEFF" w:val="clear"/>
          </w:tcPr>
          <w:p>
            <w:pPr>
              <w:pStyle w:val="TableContents"/>
              <w:bidi w:val="0"/>
              <w:spacing w:before="0" w:after="0"/>
              <w:ind w:left="144" w:right="0" w:hanging="150"/>
              <w:jc w:val="left"/>
              <w:rPr/>
            </w:pPr>
            <w:r>
              <w:rPr/>
              <w:t>cash provided by operating activities:</w:t>
            </w:r>
          </w:p>
        </w:tc>
        <w:tc>
          <w:tcPr>
            <w:tcW w:w="98" w:type="dxa"/>
            <w:tcBorders/>
            <w:shd w:fill="CCEEFF" w:val="clear"/>
          </w:tcPr>
          <w:p>
            <w:pPr>
              <w:pStyle w:val="TableContents"/>
              <w:bidi w:val="0"/>
              <w:spacing w:before="0" w:after="283"/>
              <w:jc w:val="left"/>
              <w:rPr/>
            </w:pPr>
            <w:r>
              <w:rPr/>
              <w:t> </w:t>
            </w:r>
          </w:p>
        </w:tc>
        <w:tc>
          <w:tcPr>
            <w:tcW w:w="270" w:type="dxa"/>
            <w:tcBorders/>
            <w:shd w:fill="CCEEFF" w:val="clear"/>
          </w:tcPr>
          <w:p>
            <w:pPr>
              <w:pStyle w:val="TableContents"/>
              <w:bidi w:val="0"/>
              <w:spacing w:before="0" w:after="283"/>
              <w:jc w:val="left"/>
              <w:rPr/>
            </w:pPr>
            <w:r>
              <w:rPr/>
              <w:t> </w:t>
            </w:r>
          </w:p>
        </w:tc>
        <w:tc>
          <w:tcPr>
            <w:tcW w:w="1442" w:type="dxa"/>
            <w:tcBorders/>
            <w:shd w:fill="CCEEFF" w:val="clear"/>
          </w:tcPr>
          <w:p>
            <w:pPr>
              <w:pStyle w:val="TableContents"/>
              <w:bidi w:val="0"/>
              <w:spacing w:before="0" w:after="283"/>
              <w:jc w:val="left"/>
              <w:rPr/>
            </w:pPr>
            <w:r>
              <w:rPr/>
              <w:t> </w:t>
            </w:r>
          </w:p>
        </w:tc>
        <w:tc>
          <w:tcPr>
            <w:tcW w:w="294" w:type="dxa"/>
            <w:tcBorders/>
            <w:shd w:fill="CCEEFF" w:val="clear"/>
          </w:tcPr>
          <w:p>
            <w:pPr>
              <w:pStyle w:val="TableContents"/>
              <w:bidi w:val="0"/>
              <w:spacing w:before="0" w:after="283"/>
              <w:jc w:val="left"/>
              <w:rPr/>
            </w:pPr>
            <w:r>
              <w:rPr/>
              <w:t> </w:t>
            </w:r>
          </w:p>
        </w:tc>
        <w:tc>
          <w:tcPr>
            <w:tcW w:w="142" w:type="dxa"/>
            <w:tcBorders/>
            <w:shd w:fill="CCEEFF" w:val="clear"/>
          </w:tcPr>
          <w:p>
            <w:pPr>
              <w:pStyle w:val="TableContents"/>
              <w:bidi w:val="0"/>
              <w:spacing w:before="0" w:after="283"/>
              <w:jc w:val="left"/>
              <w:rPr/>
            </w:pPr>
            <w:r>
              <w:rPr/>
              <w:t> </w:t>
            </w:r>
          </w:p>
        </w:tc>
        <w:tc>
          <w:tcPr>
            <w:tcW w:w="270" w:type="dxa"/>
            <w:tcBorders/>
            <w:shd w:fill="CCEEFF" w:val="clear"/>
          </w:tcPr>
          <w:p>
            <w:pPr>
              <w:pStyle w:val="TableContents"/>
              <w:bidi w:val="0"/>
              <w:spacing w:before="0" w:after="283"/>
              <w:jc w:val="left"/>
              <w:rPr/>
            </w:pPr>
            <w:r>
              <w:rPr/>
              <w:t> </w:t>
            </w:r>
          </w:p>
        </w:tc>
        <w:tc>
          <w:tcPr>
            <w:tcW w:w="1322" w:type="dxa"/>
            <w:tcBorders/>
            <w:shd w:fill="CCEEFF" w:val="clear"/>
          </w:tcPr>
          <w:p>
            <w:pPr>
              <w:pStyle w:val="TableContents"/>
              <w:bidi w:val="0"/>
              <w:spacing w:before="0" w:after="283"/>
              <w:jc w:val="left"/>
              <w:rPr/>
            </w:pPr>
            <w:r>
              <w:rPr/>
              <w:t> </w:t>
            </w:r>
          </w:p>
        </w:tc>
        <w:tc>
          <w:tcPr>
            <w:tcW w:w="253" w:type="dxa"/>
            <w:tcBorders/>
            <w:shd w:fill="CCEEFF" w:val="clear"/>
          </w:tcPr>
          <w:p>
            <w:pPr>
              <w:pStyle w:val="TableContents"/>
              <w:bidi w:val="0"/>
              <w:spacing w:before="0" w:after="283"/>
              <w:ind w:left="0" w:right="0" w:hanging="150"/>
              <w:jc w:val="left"/>
              <w:rPr/>
            </w:pPr>
            <w:r>
              <w:rPr/>
              <w:t> </w:t>
            </w:r>
          </w:p>
        </w:tc>
      </w:tr>
      <w:tr>
        <w:trPr/>
        <w:tc>
          <w:tcPr>
            <w:tcW w:w="6114" w:type="dxa"/>
            <w:tcBorders/>
          </w:tcPr>
          <w:p>
            <w:pPr>
              <w:pStyle w:val="TableContents"/>
              <w:bidi w:val="0"/>
              <w:spacing w:before="0" w:after="0"/>
              <w:ind w:left="0" w:right="0" w:hanging="0"/>
              <w:jc w:val="left"/>
              <w:rPr/>
            </w:pPr>
            <w:r>
              <w:rPr/>
              <w:t>Depreciation and amortization</w:t>
            </w:r>
          </w:p>
        </w:tc>
        <w:tc>
          <w:tcPr>
            <w:tcW w:w="98" w:type="dxa"/>
            <w:tcBorders/>
          </w:tcPr>
          <w:p>
            <w:pPr>
              <w:pStyle w:val="TableContents"/>
              <w:bidi w:val="0"/>
              <w:spacing w:before="0" w:after="0"/>
              <w:ind w:left="0" w:right="0" w:hanging="0"/>
              <w:jc w:val="left"/>
              <w:rPr/>
            </w:pPr>
            <w:r>
              <w:rPr/>
              <w:t> </w:t>
            </w:r>
          </w:p>
        </w:tc>
        <w:tc>
          <w:tcPr>
            <w:tcW w:w="270" w:type="dxa"/>
            <w:tcBorders/>
          </w:tcPr>
          <w:p>
            <w:pPr>
              <w:pStyle w:val="TableContents"/>
              <w:bidi w:val="0"/>
              <w:spacing w:before="0" w:after="0"/>
              <w:ind w:left="0" w:right="0" w:hanging="0"/>
              <w:jc w:val="left"/>
              <w:rPr/>
            </w:pPr>
            <w:r>
              <w:rPr/>
              <w:t> </w:t>
            </w:r>
          </w:p>
        </w:tc>
        <w:tc>
          <w:tcPr>
            <w:tcW w:w="1442" w:type="dxa"/>
            <w:tcBorders/>
          </w:tcPr>
          <w:p>
            <w:pPr>
              <w:pStyle w:val="TableContents"/>
              <w:bidi w:val="0"/>
              <w:spacing w:before="0" w:after="0"/>
              <w:ind w:left="0" w:right="0" w:hanging="0"/>
              <w:jc w:val="right"/>
              <w:rPr/>
            </w:pPr>
            <w:r>
              <w:rPr/>
              <w:t>1,839</w:t>
            </w:r>
          </w:p>
        </w:tc>
        <w:tc>
          <w:tcPr>
            <w:tcW w:w="294" w:type="dxa"/>
            <w:tcBorders/>
          </w:tcPr>
          <w:p>
            <w:pPr>
              <w:pStyle w:val="TableContents"/>
              <w:bidi w:val="0"/>
              <w:spacing w:before="0" w:after="0"/>
              <w:ind w:left="0" w:right="0" w:hanging="0"/>
              <w:jc w:val="left"/>
              <w:rPr/>
            </w:pPr>
            <w:r>
              <w:rPr/>
              <w:t> </w:t>
            </w:r>
          </w:p>
        </w:tc>
        <w:tc>
          <w:tcPr>
            <w:tcW w:w="142" w:type="dxa"/>
            <w:tcBorders/>
          </w:tcPr>
          <w:p>
            <w:pPr>
              <w:pStyle w:val="TableContents"/>
              <w:bidi w:val="0"/>
              <w:spacing w:before="0" w:after="0"/>
              <w:ind w:left="0" w:right="0" w:hanging="0"/>
              <w:jc w:val="left"/>
              <w:rPr/>
            </w:pPr>
            <w:r>
              <w:rPr/>
              <w:t> </w:t>
            </w:r>
          </w:p>
        </w:tc>
        <w:tc>
          <w:tcPr>
            <w:tcW w:w="270" w:type="dxa"/>
            <w:tcBorders/>
          </w:tcPr>
          <w:p>
            <w:pPr>
              <w:pStyle w:val="TableContents"/>
              <w:bidi w:val="0"/>
              <w:spacing w:before="0" w:after="0"/>
              <w:ind w:left="0" w:right="0" w:hanging="0"/>
              <w:jc w:val="left"/>
              <w:rPr/>
            </w:pPr>
            <w:r>
              <w:rPr/>
              <w:t> </w:t>
            </w:r>
          </w:p>
        </w:tc>
        <w:tc>
          <w:tcPr>
            <w:tcW w:w="1322" w:type="dxa"/>
            <w:tcBorders/>
          </w:tcPr>
          <w:p>
            <w:pPr>
              <w:pStyle w:val="TableContents"/>
              <w:bidi w:val="0"/>
              <w:spacing w:before="0" w:after="0"/>
              <w:ind w:left="0" w:right="0" w:hanging="0"/>
              <w:jc w:val="right"/>
              <w:rPr/>
            </w:pPr>
            <w:r>
              <w:rPr/>
              <w:t>1,969</w:t>
            </w:r>
          </w:p>
        </w:tc>
        <w:tc>
          <w:tcPr>
            <w:tcW w:w="253" w:type="dxa"/>
            <w:tcBorders/>
          </w:tcPr>
          <w:p>
            <w:pPr>
              <w:pStyle w:val="TableContents"/>
              <w:bidi w:val="0"/>
              <w:spacing w:before="0" w:after="0"/>
              <w:ind w:left="0" w:right="0" w:hanging="150"/>
              <w:jc w:val="left"/>
              <w:rPr/>
            </w:pPr>
            <w:r>
              <w:rPr/>
              <w:t> </w:t>
            </w:r>
          </w:p>
        </w:tc>
      </w:tr>
      <w:tr>
        <w:trPr/>
        <w:tc>
          <w:tcPr>
            <w:tcW w:w="6114" w:type="dxa"/>
            <w:tcBorders/>
            <w:shd w:fill="CCEEFF" w:val="clear"/>
          </w:tcPr>
          <w:p>
            <w:pPr>
              <w:pStyle w:val="TableContents"/>
              <w:bidi w:val="0"/>
              <w:spacing w:before="0" w:after="0"/>
              <w:ind w:left="0" w:right="0" w:hanging="0"/>
              <w:jc w:val="left"/>
              <w:rPr/>
            </w:pPr>
            <w:r>
              <w:rPr/>
              <w:t>Gain on sale of plasma centers</w:t>
            </w:r>
          </w:p>
        </w:tc>
        <w:tc>
          <w:tcPr>
            <w:tcW w:w="98" w:type="dxa"/>
            <w:tcBorders/>
            <w:shd w:fill="CCEEFF" w:val="clear"/>
          </w:tcPr>
          <w:p>
            <w:pPr>
              <w:pStyle w:val="TableContents"/>
              <w:bidi w:val="0"/>
              <w:spacing w:before="0" w:after="0"/>
              <w:ind w:left="0" w:right="0" w:hanging="0"/>
              <w:jc w:val="left"/>
              <w:rPr/>
            </w:pPr>
            <w:r>
              <w:rPr/>
              <w:t> </w:t>
            </w:r>
          </w:p>
        </w:tc>
        <w:tc>
          <w:tcPr>
            <w:tcW w:w="270" w:type="dxa"/>
            <w:tcBorders/>
            <w:shd w:fill="CCEEFF" w:val="clear"/>
          </w:tcPr>
          <w:p>
            <w:pPr>
              <w:pStyle w:val="TableContents"/>
              <w:bidi w:val="0"/>
              <w:spacing w:before="0" w:after="0"/>
              <w:ind w:left="0" w:right="0" w:hanging="0"/>
              <w:jc w:val="left"/>
              <w:rPr/>
            </w:pPr>
            <w:r>
              <w:rPr/>
              <w:t> </w:t>
            </w:r>
          </w:p>
        </w:tc>
        <w:tc>
          <w:tcPr>
            <w:tcW w:w="1442" w:type="dxa"/>
            <w:tcBorders/>
            <w:shd w:fill="CCEEFF" w:val="clear"/>
          </w:tcPr>
          <w:p>
            <w:pPr>
              <w:pStyle w:val="TableContents"/>
              <w:bidi w:val="0"/>
              <w:spacing w:before="0" w:after="0"/>
              <w:ind w:left="0" w:right="0" w:hanging="0"/>
              <w:jc w:val="right"/>
              <w:rPr/>
            </w:pPr>
            <w:r>
              <w:rPr/>
              <w:t>(7,980</w:t>
            </w:r>
          </w:p>
        </w:tc>
        <w:tc>
          <w:tcPr>
            <w:tcW w:w="294" w:type="dxa"/>
            <w:tcBorders/>
            <w:shd w:fill="CCEEFF" w:val="clear"/>
          </w:tcPr>
          <w:p>
            <w:pPr>
              <w:pStyle w:val="TableContents"/>
              <w:bidi w:val="0"/>
              <w:spacing w:before="0" w:after="0"/>
              <w:ind w:left="0" w:right="0" w:hanging="0"/>
              <w:jc w:val="left"/>
              <w:rPr/>
            </w:pPr>
            <w:r>
              <w:rPr/>
              <w:t>) </w:t>
            </w:r>
          </w:p>
        </w:tc>
        <w:tc>
          <w:tcPr>
            <w:tcW w:w="142" w:type="dxa"/>
            <w:tcBorders/>
            <w:shd w:fill="CCEEFF" w:val="clear"/>
          </w:tcPr>
          <w:p>
            <w:pPr>
              <w:pStyle w:val="TableContents"/>
              <w:bidi w:val="0"/>
              <w:spacing w:before="0" w:after="0"/>
              <w:ind w:left="0" w:right="0" w:hanging="0"/>
              <w:jc w:val="left"/>
              <w:rPr/>
            </w:pPr>
            <w:r>
              <w:rPr/>
              <w:t> </w:t>
            </w:r>
          </w:p>
        </w:tc>
        <w:tc>
          <w:tcPr>
            <w:tcW w:w="270" w:type="dxa"/>
            <w:tcBorders/>
            <w:shd w:fill="CCEEFF" w:val="clear"/>
          </w:tcPr>
          <w:p>
            <w:pPr>
              <w:pStyle w:val="TableContents"/>
              <w:bidi w:val="0"/>
              <w:spacing w:before="0" w:after="0"/>
              <w:ind w:left="0" w:right="0" w:hanging="0"/>
              <w:jc w:val="left"/>
              <w:rPr/>
            </w:pPr>
            <w:r>
              <w:rPr/>
              <w:t> </w:t>
            </w:r>
          </w:p>
        </w:tc>
        <w:tc>
          <w:tcPr>
            <w:tcW w:w="1322" w:type="dxa"/>
            <w:tcBorders/>
            <w:shd w:fill="CCEEFF" w:val="clear"/>
          </w:tcPr>
          <w:p>
            <w:pPr>
              <w:pStyle w:val="TableContents"/>
              <w:bidi w:val="0"/>
              <w:spacing w:before="0" w:after="0"/>
              <w:ind w:left="0" w:right="0" w:hanging="0"/>
              <w:jc w:val="right"/>
              <w:rPr/>
            </w:pPr>
            <w:r>
              <w:rPr/>
              <w:t>-</w:t>
            </w:r>
          </w:p>
        </w:tc>
        <w:tc>
          <w:tcPr>
            <w:tcW w:w="253" w:type="dxa"/>
            <w:tcBorders/>
            <w:shd w:fill="CCEEFF" w:val="clear"/>
          </w:tcPr>
          <w:p>
            <w:pPr>
              <w:pStyle w:val="TableContents"/>
              <w:bidi w:val="0"/>
              <w:spacing w:before="0" w:after="0"/>
              <w:ind w:left="0" w:right="0" w:hanging="150"/>
              <w:jc w:val="left"/>
              <w:rPr/>
            </w:pPr>
            <w:r>
              <w:rPr/>
              <w:t> </w:t>
            </w:r>
          </w:p>
        </w:tc>
      </w:tr>
      <w:tr>
        <w:trPr/>
        <w:tc>
          <w:tcPr>
            <w:tcW w:w="6114" w:type="dxa"/>
            <w:tcBorders/>
          </w:tcPr>
          <w:p>
            <w:pPr>
              <w:pStyle w:val="TableContents"/>
              <w:bidi w:val="0"/>
              <w:spacing w:before="0" w:after="0"/>
              <w:ind w:left="0" w:right="0" w:hanging="0"/>
              <w:jc w:val="left"/>
              <w:rPr/>
            </w:pPr>
            <w:r>
              <w:rPr/>
              <w:t>Loss on disposal of fixed assets</w:t>
            </w:r>
          </w:p>
        </w:tc>
        <w:tc>
          <w:tcPr>
            <w:tcW w:w="98" w:type="dxa"/>
            <w:tcBorders/>
          </w:tcPr>
          <w:p>
            <w:pPr>
              <w:pStyle w:val="TableContents"/>
              <w:bidi w:val="0"/>
              <w:spacing w:before="0" w:after="0"/>
              <w:ind w:left="0" w:right="0" w:hanging="0"/>
              <w:jc w:val="left"/>
              <w:rPr/>
            </w:pPr>
            <w:r>
              <w:rPr/>
              <w:t> </w:t>
            </w:r>
          </w:p>
        </w:tc>
        <w:tc>
          <w:tcPr>
            <w:tcW w:w="270" w:type="dxa"/>
            <w:tcBorders/>
          </w:tcPr>
          <w:p>
            <w:pPr>
              <w:pStyle w:val="TableContents"/>
              <w:bidi w:val="0"/>
              <w:spacing w:before="0" w:after="0"/>
              <w:ind w:left="0" w:right="0" w:hanging="0"/>
              <w:jc w:val="left"/>
              <w:rPr/>
            </w:pPr>
            <w:r>
              <w:rPr/>
              <w:t> </w:t>
            </w:r>
          </w:p>
        </w:tc>
        <w:tc>
          <w:tcPr>
            <w:tcW w:w="1442" w:type="dxa"/>
            <w:tcBorders/>
          </w:tcPr>
          <w:p>
            <w:pPr>
              <w:pStyle w:val="TableContents"/>
              <w:bidi w:val="0"/>
              <w:spacing w:before="0" w:after="0"/>
              <w:ind w:left="0" w:right="0" w:hanging="0"/>
              <w:jc w:val="right"/>
              <w:rPr/>
            </w:pPr>
            <w:r>
              <w:rPr/>
              <w:t>42</w:t>
            </w:r>
          </w:p>
        </w:tc>
        <w:tc>
          <w:tcPr>
            <w:tcW w:w="294" w:type="dxa"/>
            <w:tcBorders/>
          </w:tcPr>
          <w:p>
            <w:pPr>
              <w:pStyle w:val="TableContents"/>
              <w:bidi w:val="0"/>
              <w:spacing w:before="0" w:after="0"/>
              <w:ind w:left="0" w:right="0" w:hanging="0"/>
              <w:jc w:val="left"/>
              <w:rPr/>
            </w:pPr>
            <w:r>
              <w:rPr/>
              <w:t> </w:t>
            </w:r>
          </w:p>
        </w:tc>
        <w:tc>
          <w:tcPr>
            <w:tcW w:w="142" w:type="dxa"/>
            <w:tcBorders/>
          </w:tcPr>
          <w:p>
            <w:pPr>
              <w:pStyle w:val="TableContents"/>
              <w:bidi w:val="0"/>
              <w:spacing w:before="0" w:after="0"/>
              <w:ind w:left="0" w:right="0" w:hanging="0"/>
              <w:jc w:val="left"/>
              <w:rPr/>
            </w:pPr>
            <w:r>
              <w:rPr/>
              <w:t> </w:t>
            </w:r>
          </w:p>
        </w:tc>
        <w:tc>
          <w:tcPr>
            <w:tcW w:w="270" w:type="dxa"/>
            <w:tcBorders/>
          </w:tcPr>
          <w:p>
            <w:pPr>
              <w:pStyle w:val="TableContents"/>
              <w:bidi w:val="0"/>
              <w:spacing w:before="0" w:after="0"/>
              <w:ind w:left="0" w:right="0" w:hanging="0"/>
              <w:jc w:val="left"/>
              <w:rPr/>
            </w:pPr>
            <w:r>
              <w:rPr/>
              <w:t> </w:t>
            </w:r>
          </w:p>
        </w:tc>
        <w:tc>
          <w:tcPr>
            <w:tcW w:w="1322" w:type="dxa"/>
            <w:tcBorders/>
          </w:tcPr>
          <w:p>
            <w:pPr>
              <w:pStyle w:val="TableContents"/>
              <w:bidi w:val="0"/>
              <w:spacing w:before="0" w:after="0"/>
              <w:ind w:left="0" w:right="0" w:hanging="0"/>
              <w:jc w:val="right"/>
              <w:rPr/>
            </w:pPr>
            <w:r>
              <w:rPr/>
              <w:t>-</w:t>
            </w:r>
          </w:p>
        </w:tc>
        <w:tc>
          <w:tcPr>
            <w:tcW w:w="253" w:type="dxa"/>
            <w:tcBorders/>
          </w:tcPr>
          <w:p>
            <w:pPr>
              <w:pStyle w:val="TableContents"/>
              <w:bidi w:val="0"/>
              <w:spacing w:before="0" w:after="0"/>
              <w:ind w:left="0" w:right="0" w:hanging="150"/>
              <w:jc w:val="left"/>
              <w:rPr/>
            </w:pPr>
            <w:r>
              <w:rPr/>
              <w:t> </w:t>
            </w:r>
          </w:p>
        </w:tc>
      </w:tr>
      <w:tr>
        <w:trPr/>
        <w:tc>
          <w:tcPr>
            <w:tcW w:w="6114" w:type="dxa"/>
            <w:tcBorders/>
            <w:shd w:fill="CCEEFF" w:val="clear"/>
          </w:tcPr>
          <w:p>
            <w:pPr>
              <w:pStyle w:val="TableContents"/>
              <w:bidi w:val="0"/>
              <w:spacing w:before="0" w:after="0"/>
              <w:ind w:left="0" w:right="0" w:hanging="0"/>
              <w:jc w:val="left"/>
              <w:rPr/>
            </w:pPr>
            <w:r>
              <w:rPr/>
              <w:t>Deferred income tax provision</w:t>
            </w:r>
          </w:p>
        </w:tc>
        <w:tc>
          <w:tcPr>
            <w:tcW w:w="98" w:type="dxa"/>
            <w:tcBorders/>
            <w:shd w:fill="CCEEFF" w:val="clear"/>
          </w:tcPr>
          <w:p>
            <w:pPr>
              <w:pStyle w:val="TableContents"/>
              <w:bidi w:val="0"/>
              <w:spacing w:before="0" w:after="0"/>
              <w:ind w:left="0" w:right="0" w:hanging="0"/>
              <w:jc w:val="left"/>
              <w:rPr/>
            </w:pPr>
            <w:r>
              <w:rPr/>
              <w:t> </w:t>
            </w:r>
          </w:p>
        </w:tc>
        <w:tc>
          <w:tcPr>
            <w:tcW w:w="270" w:type="dxa"/>
            <w:tcBorders/>
            <w:shd w:fill="CCEEFF" w:val="clear"/>
          </w:tcPr>
          <w:p>
            <w:pPr>
              <w:pStyle w:val="TableContents"/>
              <w:bidi w:val="0"/>
              <w:spacing w:before="0" w:after="0"/>
              <w:ind w:left="0" w:right="0" w:hanging="0"/>
              <w:jc w:val="left"/>
              <w:rPr/>
            </w:pPr>
            <w:r>
              <w:rPr/>
              <w:t> </w:t>
            </w:r>
          </w:p>
        </w:tc>
        <w:tc>
          <w:tcPr>
            <w:tcW w:w="1442" w:type="dxa"/>
            <w:tcBorders/>
            <w:shd w:fill="CCEEFF" w:val="clear"/>
          </w:tcPr>
          <w:p>
            <w:pPr>
              <w:pStyle w:val="TableContents"/>
              <w:bidi w:val="0"/>
              <w:spacing w:before="0" w:after="0"/>
              <w:ind w:left="0" w:right="0" w:hanging="0"/>
              <w:jc w:val="right"/>
              <w:rPr/>
            </w:pPr>
            <w:r>
              <w:rPr/>
              <w:t>3,292</w:t>
            </w:r>
          </w:p>
        </w:tc>
        <w:tc>
          <w:tcPr>
            <w:tcW w:w="294" w:type="dxa"/>
            <w:tcBorders/>
            <w:shd w:fill="CCEEFF" w:val="clear"/>
          </w:tcPr>
          <w:p>
            <w:pPr>
              <w:pStyle w:val="TableContents"/>
              <w:bidi w:val="0"/>
              <w:spacing w:before="0" w:after="0"/>
              <w:ind w:left="0" w:right="0" w:hanging="0"/>
              <w:jc w:val="left"/>
              <w:rPr/>
            </w:pPr>
            <w:r>
              <w:rPr/>
              <w:t> </w:t>
            </w:r>
          </w:p>
        </w:tc>
        <w:tc>
          <w:tcPr>
            <w:tcW w:w="142" w:type="dxa"/>
            <w:tcBorders/>
            <w:shd w:fill="CCEEFF" w:val="clear"/>
          </w:tcPr>
          <w:p>
            <w:pPr>
              <w:pStyle w:val="TableContents"/>
              <w:bidi w:val="0"/>
              <w:spacing w:before="0" w:after="0"/>
              <w:ind w:left="0" w:right="0" w:hanging="0"/>
              <w:jc w:val="left"/>
              <w:rPr/>
            </w:pPr>
            <w:r>
              <w:rPr/>
              <w:t> </w:t>
            </w:r>
          </w:p>
        </w:tc>
        <w:tc>
          <w:tcPr>
            <w:tcW w:w="270" w:type="dxa"/>
            <w:tcBorders/>
            <w:shd w:fill="CCEEFF" w:val="clear"/>
          </w:tcPr>
          <w:p>
            <w:pPr>
              <w:pStyle w:val="TableContents"/>
              <w:bidi w:val="0"/>
              <w:spacing w:before="0" w:after="0"/>
              <w:ind w:left="0" w:right="0" w:hanging="0"/>
              <w:jc w:val="left"/>
              <w:rPr/>
            </w:pPr>
            <w:r>
              <w:rPr/>
              <w:t> </w:t>
            </w:r>
          </w:p>
        </w:tc>
        <w:tc>
          <w:tcPr>
            <w:tcW w:w="1322" w:type="dxa"/>
            <w:tcBorders/>
            <w:shd w:fill="CCEEFF" w:val="clear"/>
          </w:tcPr>
          <w:p>
            <w:pPr>
              <w:pStyle w:val="TableContents"/>
              <w:bidi w:val="0"/>
              <w:spacing w:before="0" w:after="0"/>
              <w:ind w:left="0" w:right="0" w:hanging="0"/>
              <w:jc w:val="right"/>
              <w:rPr/>
            </w:pPr>
            <w:r>
              <w:rPr/>
              <w:t>3,425</w:t>
            </w:r>
          </w:p>
        </w:tc>
        <w:tc>
          <w:tcPr>
            <w:tcW w:w="253" w:type="dxa"/>
            <w:tcBorders/>
            <w:shd w:fill="CCEEFF" w:val="clear"/>
          </w:tcPr>
          <w:p>
            <w:pPr>
              <w:pStyle w:val="TableContents"/>
              <w:bidi w:val="0"/>
              <w:spacing w:before="0" w:after="0"/>
              <w:ind w:left="0" w:right="0" w:hanging="150"/>
              <w:jc w:val="left"/>
              <w:rPr/>
            </w:pPr>
            <w:r>
              <w:rPr/>
              <w:t> </w:t>
            </w:r>
          </w:p>
        </w:tc>
      </w:tr>
      <w:tr>
        <w:trPr/>
        <w:tc>
          <w:tcPr>
            <w:tcW w:w="6114" w:type="dxa"/>
            <w:tcBorders/>
          </w:tcPr>
          <w:p>
            <w:pPr>
              <w:pStyle w:val="TableContents"/>
              <w:bidi w:val="0"/>
              <w:spacing w:before="0" w:after="0"/>
              <w:ind w:left="0" w:right="0" w:hanging="0"/>
              <w:jc w:val="left"/>
              <w:rPr/>
            </w:pPr>
            <w:r>
              <w:rPr/>
              <w:t>Stock-based compensation</w:t>
            </w:r>
          </w:p>
        </w:tc>
        <w:tc>
          <w:tcPr>
            <w:tcW w:w="98" w:type="dxa"/>
            <w:tcBorders/>
          </w:tcPr>
          <w:p>
            <w:pPr>
              <w:pStyle w:val="TableContents"/>
              <w:bidi w:val="0"/>
              <w:spacing w:before="0" w:after="0"/>
              <w:ind w:left="0" w:right="0" w:hanging="0"/>
              <w:jc w:val="left"/>
              <w:rPr/>
            </w:pPr>
            <w:r>
              <w:rPr/>
              <w:t> </w:t>
            </w:r>
          </w:p>
        </w:tc>
        <w:tc>
          <w:tcPr>
            <w:tcW w:w="270" w:type="dxa"/>
            <w:tcBorders/>
          </w:tcPr>
          <w:p>
            <w:pPr>
              <w:pStyle w:val="TableContents"/>
              <w:bidi w:val="0"/>
              <w:spacing w:before="0" w:after="0"/>
              <w:ind w:left="0" w:right="0" w:hanging="0"/>
              <w:jc w:val="left"/>
              <w:rPr/>
            </w:pPr>
            <w:r>
              <w:rPr/>
              <w:t> </w:t>
            </w:r>
          </w:p>
        </w:tc>
        <w:tc>
          <w:tcPr>
            <w:tcW w:w="1442" w:type="dxa"/>
            <w:tcBorders/>
          </w:tcPr>
          <w:p>
            <w:pPr>
              <w:pStyle w:val="TableContents"/>
              <w:bidi w:val="0"/>
              <w:spacing w:before="0" w:after="0"/>
              <w:ind w:left="0" w:right="0" w:hanging="0"/>
              <w:jc w:val="right"/>
              <w:rPr/>
            </w:pPr>
            <w:r>
              <w:rPr/>
              <w:t>6,329</w:t>
            </w:r>
          </w:p>
        </w:tc>
        <w:tc>
          <w:tcPr>
            <w:tcW w:w="294" w:type="dxa"/>
            <w:tcBorders/>
          </w:tcPr>
          <w:p>
            <w:pPr>
              <w:pStyle w:val="TableContents"/>
              <w:bidi w:val="0"/>
              <w:spacing w:before="0" w:after="0"/>
              <w:ind w:left="0" w:right="0" w:hanging="0"/>
              <w:jc w:val="left"/>
              <w:rPr/>
            </w:pPr>
            <w:r>
              <w:rPr/>
              <w:t> </w:t>
            </w:r>
          </w:p>
        </w:tc>
        <w:tc>
          <w:tcPr>
            <w:tcW w:w="142" w:type="dxa"/>
            <w:tcBorders/>
          </w:tcPr>
          <w:p>
            <w:pPr>
              <w:pStyle w:val="TableContents"/>
              <w:bidi w:val="0"/>
              <w:spacing w:before="0" w:after="0"/>
              <w:ind w:left="0" w:right="0" w:hanging="0"/>
              <w:jc w:val="left"/>
              <w:rPr/>
            </w:pPr>
            <w:r>
              <w:rPr/>
              <w:t> </w:t>
            </w:r>
          </w:p>
        </w:tc>
        <w:tc>
          <w:tcPr>
            <w:tcW w:w="270" w:type="dxa"/>
            <w:tcBorders/>
          </w:tcPr>
          <w:p>
            <w:pPr>
              <w:pStyle w:val="TableContents"/>
              <w:bidi w:val="0"/>
              <w:spacing w:before="0" w:after="0"/>
              <w:ind w:left="0" w:right="0" w:hanging="0"/>
              <w:jc w:val="left"/>
              <w:rPr/>
            </w:pPr>
            <w:r>
              <w:rPr/>
              <w:t> </w:t>
            </w:r>
          </w:p>
        </w:tc>
        <w:tc>
          <w:tcPr>
            <w:tcW w:w="1322" w:type="dxa"/>
            <w:tcBorders/>
          </w:tcPr>
          <w:p>
            <w:pPr>
              <w:pStyle w:val="TableContents"/>
              <w:bidi w:val="0"/>
              <w:spacing w:before="0" w:after="0"/>
              <w:ind w:left="0" w:right="0" w:hanging="0"/>
              <w:jc w:val="right"/>
              <w:rPr/>
            </w:pPr>
            <w:r>
              <w:rPr/>
              <w:t>4,624</w:t>
            </w:r>
          </w:p>
        </w:tc>
        <w:tc>
          <w:tcPr>
            <w:tcW w:w="253" w:type="dxa"/>
            <w:tcBorders/>
          </w:tcPr>
          <w:p>
            <w:pPr>
              <w:pStyle w:val="TableContents"/>
              <w:bidi w:val="0"/>
              <w:spacing w:before="0" w:after="0"/>
              <w:ind w:left="0" w:right="0" w:hanging="150"/>
              <w:jc w:val="left"/>
              <w:rPr/>
            </w:pPr>
            <w:r>
              <w:rPr/>
              <w:t> </w:t>
            </w:r>
          </w:p>
        </w:tc>
      </w:tr>
      <w:tr>
        <w:trPr/>
        <w:tc>
          <w:tcPr>
            <w:tcW w:w="6114" w:type="dxa"/>
            <w:tcBorders/>
            <w:shd w:fill="CCEEFF" w:val="clear"/>
          </w:tcPr>
          <w:p>
            <w:pPr>
              <w:pStyle w:val="TableContents"/>
              <w:bidi w:val="0"/>
              <w:spacing w:before="0" w:after="0"/>
              <w:ind w:left="0" w:right="0" w:hanging="0"/>
              <w:jc w:val="left"/>
              <w:rPr/>
            </w:pPr>
            <w:r>
              <w:rPr/>
              <w:t>Amortization of debt discount</w:t>
            </w:r>
          </w:p>
        </w:tc>
        <w:tc>
          <w:tcPr>
            <w:tcW w:w="98" w:type="dxa"/>
            <w:tcBorders/>
            <w:shd w:fill="CCEEFF" w:val="clear"/>
          </w:tcPr>
          <w:p>
            <w:pPr>
              <w:pStyle w:val="TableContents"/>
              <w:bidi w:val="0"/>
              <w:spacing w:before="0" w:after="0"/>
              <w:ind w:left="0" w:right="0" w:hanging="0"/>
              <w:jc w:val="left"/>
              <w:rPr/>
            </w:pPr>
            <w:r>
              <w:rPr/>
              <w:t> </w:t>
            </w:r>
          </w:p>
        </w:tc>
        <w:tc>
          <w:tcPr>
            <w:tcW w:w="270" w:type="dxa"/>
            <w:tcBorders/>
            <w:shd w:fill="CCEEFF" w:val="clear"/>
          </w:tcPr>
          <w:p>
            <w:pPr>
              <w:pStyle w:val="TableContents"/>
              <w:bidi w:val="0"/>
              <w:spacing w:before="0" w:after="0"/>
              <w:ind w:left="0" w:right="0" w:hanging="0"/>
              <w:jc w:val="left"/>
              <w:rPr/>
            </w:pPr>
            <w:r>
              <w:rPr/>
              <w:t> </w:t>
            </w:r>
          </w:p>
        </w:tc>
        <w:tc>
          <w:tcPr>
            <w:tcW w:w="1442" w:type="dxa"/>
            <w:tcBorders/>
            <w:shd w:fill="CCEEFF" w:val="clear"/>
          </w:tcPr>
          <w:p>
            <w:pPr>
              <w:pStyle w:val="TableContents"/>
              <w:bidi w:val="0"/>
              <w:spacing w:before="0" w:after="0"/>
              <w:ind w:left="0" w:right="0" w:hanging="0"/>
              <w:jc w:val="right"/>
              <w:rPr/>
            </w:pPr>
            <w:r>
              <w:rPr/>
              <w:t>191</w:t>
            </w:r>
          </w:p>
        </w:tc>
        <w:tc>
          <w:tcPr>
            <w:tcW w:w="294" w:type="dxa"/>
            <w:tcBorders/>
            <w:shd w:fill="CCEEFF" w:val="clear"/>
          </w:tcPr>
          <w:p>
            <w:pPr>
              <w:pStyle w:val="TableContents"/>
              <w:bidi w:val="0"/>
              <w:spacing w:before="0" w:after="0"/>
              <w:ind w:left="0" w:right="0" w:hanging="0"/>
              <w:jc w:val="left"/>
              <w:rPr/>
            </w:pPr>
            <w:r>
              <w:rPr/>
              <w:t> </w:t>
            </w:r>
          </w:p>
        </w:tc>
        <w:tc>
          <w:tcPr>
            <w:tcW w:w="142" w:type="dxa"/>
            <w:tcBorders/>
            <w:shd w:fill="CCEEFF" w:val="clear"/>
          </w:tcPr>
          <w:p>
            <w:pPr>
              <w:pStyle w:val="TableContents"/>
              <w:bidi w:val="0"/>
              <w:spacing w:before="0" w:after="0"/>
              <w:ind w:left="0" w:right="0" w:hanging="0"/>
              <w:jc w:val="left"/>
              <w:rPr/>
            </w:pPr>
            <w:r>
              <w:rPr/>
              <w:t> </w:t>
            </w:r>
          </w:p>
        </w:tc>
        <w:tc>
          <w:tcPr>
            <w:tcW w:w="270" w:type="dxa"/>
            <w:tcBorders/>
            <w:shd w:fill="CCEEFF" w:val="clear"/>
          </w:tcPr>
          <w:p>
            <w:pPr>
              <w:pStyle w:val="TableContents"/>
              <w:bidi w:val="0"/>
              <w:spacing w:before="0" w:after="0"/>
              <w:ind w:left="0" w:right="0" w:hanging="0"/>
              <w:jc w:val="left"/>
              <w:rPr/>
            </w:pPr>
            <w:r>
              <w:rPr/>
              <w:t> </w:t>
            </w:r>
          </w:p>
        </w:tc>
        <w:tc>
          <w:tcPr>
            <w:tcW w:w="1322" w:type="dxa"/>
            <w:tcBorders/>
            <w:shd w:fill="CCEEFF" w:val="clear"/>
          </w:tcPr>
          <w:p>
            <w:pPr>
              <w:pStyle w:val="TableContents"/>
              <w:bidi w:val="0"/>
              <w:spacing w:before="0" w:after="0"/>
              <w:ind w:left="0" w:right="0" w:hanging="0"/>
              <w:jc w:val="right"/>
              <w:rPr/>
            </w:pPr>
            <w:r>
              <w:rPr/>
              <w:t>190</w:t>
            </w:r>
          </w:p>
        </w:tc>
        <w:tc>
          <w:tcPr>
            <w:tcW w:w="253" w:type="dxa"/>
            <w:tcBorders/>
            <w:shd w:fill="CCEEFF" w:val="clear"/>
          </w:tcPr>
          <w:p>
            <w:pPr>
              <w:pStyle w:val="TableContents"/>
              <w:bidi w:val="0"/>
              <w:spacing w:before="0" w:after="0"/>
              <w:ind w:left="0" w:right="0" w:hanging="150"/>
              <w:jc w:val="left"/>
              <w:rPr/>
            </w:pPr>
            <w:r>
              <w:rPr/>
              <w:t> </w:t>
            </w:r>
          </w:p>
        </w:tc>
      </w:tr>
      <w:tr>
        <w:trPr/>
        <w:tc>
          <w:tcPr>
            <w:tcW w:w="6114" w:type="dxa"/>
            <w:tcBorders/>
          </w:tcPr>
          <w:p>
            <w:pPr>
              <w:pStyle w:val="TableContents"/>
              <w:bidi w:val="0"/>
              <w:spacing w:before="0" w:after="0"/>
              <w:ind w:left="0" w:right="0" w:hanging="0"/>
              <w:jc w:val="left"/>
              <w:rPr/>
            </w:pPr>
            <w:r>
              <w:rPr/>
              <w:t>Amortization of license revenue</w:t>
            </w:r>
          </w:p>
        </w:tc>
        <w:tc>
          <w:tcPr>
            <w:tcW w:w="98" w:type="dxa"/>
            <w:tcBorders/>
          </w:tcPr>
          <w:p>
            <w:pPr>
              <w:pStyle w:val="TableContents"/>
              <w:bidi w:val="0"/>
              <w:spacing w:before="0" w:after="0"/>
              <w:ind w:left="0" w:right="0" w:hanging="0"/>
              <w:jc w:val="left"/>
              <w:rPr/>
            </w:pPr>
            <w:r>
              <w:rPr/>
              <w:t> </w:t>
            </w:r>
          </w:p>
        </w:tc>
        <w:tc>
          <w:tcPr>
            <w:tcW w:w="270" w:type="dxa"/>
            <w:tcBorders/>
          </w:tcPr>
          <w:p>
            <w:pPr>
              <w:pStyle w:val="TableContents"/>
              <w:bidi w:val="0"/>
              <w:spacing w:before="0" w:after="0"/>
              <w:ind w:left="0" w:right="0" w:hanging="0"/>
              <w:jc w:val="left"/>
              <w:rPr/>
            </w:pPr>
            <w:r>
              <w:rPr/>
              <w:t> </w:t>
            </w:r>
          </w:p>
        </w:tc>
        <w:tc>
          <w:tcPr>
            <w:tcW w:w="1442" w:type="dxa"/>
            <w:tcBorders/>
          </w:tcPr>
          <w:p>
            <w:pPr>
              <w:pStyle w:val="TableContents"/>
              <w:bidi w:val="0"/>
              <w:spacing w:before="0" w:after="0"/>
              <w:ind w:left="0" w:right="0" w:hanging="0"/>
              <w:jc w:val="right"/>
              <w:rPr/>
            </w:pPr>
            <w:r>
              <w:rPr/>
              <w:t>(36</w:t>
            </w:r>
          </w:p>
        </w:tc>
        <w:tc>
          <w:tcPr>
            <w:tcW w:w="294" w:type="dxa"/>
            <w:tcBorders/>
          </w:tcPr>
          <w:p>
            <w:pPr>
              <w:pStyle w:val="TableContents"/>
              <w:bidi w:val="0"/>
              <w:spacing w:before="0" w:after="0"/>
              <w:ind w:left="0" w:right="0" w:hanging="0"/>
              <w:jc w:val="left"/>
              <w:rPr/>
            </w:pPr>
            <w:r>
              <w:rPr/>
              <w:t>) </w:t>
            </w:r>
          </w:p>
        </w:tc>
        <w:tc>
          <w:tcPr>
            <w:tcW w:w="142" w:type="dxa"/>
            <w:tcBorders/>
          </w:tcPr>
          <w:p>
            <w:pPr>
              <w:pStyle w:val="TableContents"/>
              <w:bidi w:val="0"/>
              <w:spacing w:before="0" w:after="0"/>
              <w:ind w:left="0" w:right="0" w:hanging="0"/>
              <w:jc w:val="left"/>
              <w:rPr/>
            </w:pPr>
            <w:r>
              <w:rPr/>
              <w:t> </w:t>
            </w:r>
          </w:p>
        </w:tc>
        <w:tc>
          <w:tcPr>
            <w:tcW w:w="270" w:type="dxa"/>
            <w:tcBorders/>
          </w:tcPr>
          <w:p>
            <w:pPr>
              <w:pStyle w:val="TableContents"/>
              <w:bidi w:val="0"/>
              <w:spacing w:before="0" w:after="0"/>
              <w:ind w:left="0" w:right="0" w:hanging="0"/>
              <w:jc w:val="left"/>
              <w:rPr/>
            </w:pPr>
            <w:r>
              <w:rPr/>
              <w:t> </w:t>
            </w:r>
          </w:p>
        </w:tc>
        <w:tc>
          <w:tcPr>
            <w:tcW w:w="1322" w:type="dxa"/>
            <w:tcBorders/>
          </w:tcPr>
          <w:p>
            <w:pPr>
              <w:pStyle w:val="TableContents"/>
              <w:bidi w:val="0"/>
              <w:spacing w:before="0" w:after="0"/>
              <w:ind w:left="0" w:right="0" w:hanging="0"/>
              <w:jc w:val="right"/>
              <w:rPr/>
            </w:pPr>
            <w:r>
              <w:rPr/>
              <w:t>(36</w:t>
            </w:r>
          </w:p>
        </w:tc>
        <w:tc>
          <w:tcPr>
            <w:tcW w:w="253" w:type="dxa"/>
            <w:tcBorders/>
          </w:tcPr>
          <w:p>
            <w:pPr>
              <w:pStyle w:val="TableContents"/>
              <w:bidi w:val="0"/>
              <w:spacing w:before="0" w:after="0"/>
              <w:ind w:left="0" w:right="0" w:hanging="150"/>
              <w:jc w:val="left"/>
              <w:rPr/>
            </w:pPr>
            <w:r>
              <w:rPr/>
              <w:t>) </w:t>
            </w:r>
          </w:p>
        </w:tc>
      </w:tr>
      <w:tr>
        <w:trPr/>
        <w:tc>
          <w:tcPr>
            <w:tcW w:w="6114" w:type="dxa"/>
            <w:tcBorders/>
            <w:shd w:fill="CCEEFF" w:val="clear"/>
          </w:tcPr>
          <w:p>
            <w:pPr>
              <w:pStyle w:val="TableContents"/>
              <w:bidi w:val="0"/>
              <w:spacing w:before="0" w:after="0"/>
              <w:ind w:left="0" w:right="0" w:hanging="150"/>
              <w:jc w:val="left"/>
              <w:rPr/>
            </w:pPr>
            <w:r>
              <w:rPr/>
              <w:t>Changes in operating assets and liabilities:</w:t>
            </w:r>
          </w:p>
        </w:tc>
        <w:tc>
          <w:tcPr>
            <w:tcW w:w="98" w:type="dxa"/>
            <w:tcBorders/>
            <w:shd w:fill="CCEEFF" w:val="clear"/>
          </w:tcPr>
          <w:p>
            <w:pPr>
              <w:pStyle w:val="TableContents"/>
              <w:bidi w:val="0"/>
              <w:spacing w:before="0" w:after="283"/>
              <w:jc w:val="left"/>
              <w:rPr/>
            </w:pPr>
            <w:r>
              <w:rPr/>
              <w:t> </w:t>
            </w:r>
          </w:p>
        </w:tc>
        <w:tc>
          <w:tcPr>
            <w:tcW w:w="270" w:type="dxa"/>
            <w:tcBorders/>
            <w:shd w:fill="CCEEFF" w:val="clear"/>
          </w:tcPr>
          <w:p>
            <w:pPr>
              <w:pStyle w:val="TableContents"/>
              <w:bidi w:val="0"/>
              <w:spacing w:before="0" w:after="283"/>
              <w:jc w:val="left"/>
              <w:rPr/>
            </w:pPr>
            <w:r>
              <w:rPr/>
              <w:t> </w:t>
            </w:r>
          </w:p>
        </w:tc>
        <w:tc>
          <w:tcPr>
            <w:tcW w:w="1442" w:type="dxa"/>
            <w:tcBorders/>
            <w:shd w:fill="CCEEFF" w:val="clear"/>
          </w:tcPr>
          <w:p>
            <w:pPr>
              <w:pStyle w:val="TableContents"/>
              <w:bidi w:val="0"/>
              <w:spacing w:before="0" w:after="283"/>
              <w:jc w:val="left"/>
              <w:rPr/>
            </w:pPr>
            <w:r>
              <w:rPr/>
              <w:t> </w:t>
            </w:r>
          </w:p>
        </w:tc>
        <w:tc>
          <w:tcPr>
            <w:tcW w:w="294" w:type="dxa"/>
            <w:tcBorders/>
            <w:shd w:fill="CCEEFF" w:val="clear"/>
          </w:tcPr>
          <w:p>
            <w:pPr>
              <w:pStyle w:val="TableContents"/>
              <w:bidi w:val="0"/>
              <w:spacing w:before="0" w:after="283"/>
              <w:jc w:val="left"/>
              <w:rPr/>
            </w:pPr>
            <w:r>
              <w:rPr/>
              <w:t> </w:t>
            </w:r>
          </w:p>
        </w:tc>
        <w:tc>
          <w:tcPr>
            <w:tcW w:w="142" w:type="dxa"/>
            <w:tcBorders/>
            <w:shd w:fill="CCEEFF" w:val="clear"/>
          </w:tcPr>
          <w:p>
            <w:pPr>
              <w:pStyle w:val="TableContents"/>
              <w:bidi w:val="0"/>
              <w:spacing w:before="0" w:after="283"/>
              <w:jc w:val="left"/>
              <w:rPr/>
            </w:pPr>
            <w:r>
              <w:rPr/>
              <w:t> </w:t>
            </w:r>
          </w:p>
        </w:tc>
        <w:tc>
          <w:tcPr>
            <w:tcW w:w="270" w:type="dxa"/>
            <w:tcBorders/>
            <w:shd w:fill="CCEEFF" w:val="clear"/>
          </w:tcPr>
          <w:p>
            <w:pPr>
              <w:pStyle w:val="TableContents"/>
              <w:bidi w:val="0"/>
              <w:spacing w:before="0" w:after="283"/>
              <w:jc w:val="left"/>
              <w:rPr/>
            </w:pPr>
            <w:r>
              <w:rPr/>
              <w:t> </w:t>
            </w:r>
          </w:p>
        </w:tc>
        <w:tc>
          <w:tcPr>
            <w:tcW w:w="1322" w:type="dxa"/>
            <w:tcBorders/>
            <w:shd w:fill="CCEEFF" w:val="clear"/>
          </w:tcPr>
          <w:p>
            <w:pPr>
              <w:pStyle w:val="TableContents"/>
              <w:bidi w:val="0"/>
              <w:spacing w:before="0" w:after="283"/>
              <w:jc w:val="left"/>
              <w:rPr/>
            </w:pPr>
            <w:r>
              <w:rPr/>
              <w:t> </w:t>
            </w:r>
          </w:p>
        </w:tc>
        <w:tc>
          <w:tcPr>
            <w:tcW w:w="253" w:type="dxa"/>
            <w:tcBorders/>
            <w:shd w:fill="CCEEFF" w:val="clear"/>
          </w:tcPr>
          <w:p>
            <w:pPr>
              <w:pStyle w:val="TableContents"/>
              <w:bidi w:val="0"/>
              <w:spacing w:before="0" w:after="283"/>
              <w:ind w:left="0" w:right="0" w:hanging="150"/>
              <w:jc w:val="left"/>
              <w:rPr/>
            </w:pPr>
            <w:r>
              <w:rPr/>
              <w:t> </w:t>
            </w:r>
          </w:p>
        </w:tc>
      </w:tr>
      <w:tr>
        <w:trPr/>
        <w:tc>
          <w:tcPr>
            <w:tcW w:w="6114" w:type="dxa"/>
            <w:tcBorders/>
          </w:tcPr>
          <w:p>
            <w:pPr>
              <w:pStyle w:val="TableContents"/>
              <w:bidi w:val="0"/>
              <w:spacing w:before="0" w:after="0"/>
              <w:ind w:left="0" w:right="0" w:hanging="0"/>
              <w:jc w:val="left"/>
              <w:rPr/>
            </w:pPr>
            <w:r>
              <w:rPr/>
              <w:t>Accounts receivable</w:t>
            </w:r>
          </w:p>
        </w:tc>
        <w:tc>
          <w:tcPr>
            <w:tcW w:w="98" w:type="dxa"/>
            <w:tcBorders/>
          </w:tcPr>
          <w:p>
            <w:pPr>
              <w:pStyle w:val="TableContents"/>
              <w:bidi w:val="0"/>
              <w:spacing w:before="0" w:after="0"/>
              <w:ind w:left="0" w:right="0" w:hanging="0"/>
              <w:jc w:val="left"/>
              <w:rPr/>
            </w:pPr>
            <w:r>
              <w:rPr/>
              <w:t> </w:t>
            </w:r>
          </w:p>
        </w:tc>
        <w:tc>
          <w:tcPr>
            <w:tcW w:w="270" w:type="dxa"/>
            <w:tcBorders/>
          </w:tcPr>
          <w:p>
            <w:pPr>
              <w:pStyle w:val="TableContents"/>
              <w:bidi w:val="0"/>
              <w:spacing w:before="0" w:after="0"/>
              <w:ind w:left="0" w:right="0" w:hanging="0"/>
              <w:jc w:val="left"/>
              <w:rPr/>
            </w:pPr>
            <w:r>
              <w:rPr/>
              <w:t> </w:t>
            </w:r>
          </w:p>
        </w:tc>
        <w:tc>
          <w:tcPr>
            <w:tcW w:w="1442" w:type="dxa"/>
            <w:tcBorders/>
          </w:tcPr>
          <w:p>
            <w:pPr>
              <w:pStyle w:val="TableContents"/>
              <w:bidi w:val="0"/>
              <w:spacing w:before="0" w:after="0"/>
              <w:ind w:left="0" w:right="0" w:hanging="0"/>
              <w:jc w:val="right"/>
              <w:rPr/>
            </w:pPr>
            <w:r>
              <w:rPr/>
              <w:t>22,567</w:t>
            </w:r>
          </w:p>
        </w:tc>
        <w:tc>
          <w:tcPr>
            <w:tcW w:w="294" w:type="dxa"/>
            <w:tcBorders/>
          </w:tcPr>
          <w:p>
            <w:pPr>
              <w:pStyle w:val="TableContents"/>
              <w:bidi w:val="0"/>
              <w:spacing w:before="0" w:after="0"/>
              <w:ind w:left="0" w:right="0" w:hanging="0"/>
              <w:jc w:val="left"/>
              <w:rPr/>
            </w:pPr>
            <w:r>
              <w:rPr/>
              <w:t> </w:t>
            </w:r>
          </w:p>
        </w:tc>
        <w:tc>
          <w:tcPr>
            <w:tcW w:w="142" w:type="dxa"/>
            <w:tcBorders/>
          </w:tcPr>
          <w:p>
            <w:pPr>
              <w:pStyle w:val="TableContents"/>
              <w:bidi w:val="0"/>
              <w:spacing w:before="0" w:after="0"/>
              <w:ind w:left="0" w:right="0" w:hanging="0"/>
              <w:jc w:val="left"/>
              <w:rPr/>
            </w:pPr>
            <w:r>
              <w:rPr/>
              <w:t> </w:t>
            </w:r>
          </w:p>
        </w:tc>
        <w:tc>
          <w:tcPr>
            <w:tcW w:w="270" w:type="dxa"/>
            <w:tcBorders/>
          </w:tcPr>
          <w:p>
            <w:pPr>
              <w:pStyle w:val="TableContents"/>
              <w:bidi w:val="0"/>
              <w:spacing w:before="0" w:after="0"/>
              <w:ind w:left="0" w:right="0" w:hanging="0"/>
              <w:jc w:val="left"/>
              <w:rPr/>
            </w:pPr>
            <w:r>
              <w:rPr/>
              <w:t> </w:t>
            </w:r>
          </w:p>
        </w:tc>
        <w:tc>
          <w:tcPr>
            <w:tcW w:w="1322" w:type="dxa"/>
            <w:tcBorders/>
          </w:tcPr>
          <w:p>
            <w:pPr>
              <w:pStyle w:val="TableContents"/>
              <w:bidi w:val="0"/>
              <w:spacing w:before="0" w:after="0"/>
              <w:ind w:left="0" w:right="0" w:hanging="0"/>
              <w:jc w:val="right"/>
              <w:rPr/>
            </w:pPr>
            <w:r>
              <w:rPr/>
              <w:t>(49,413</w:t>
            </w:r>
          </w:p>
        </w:tc>
        <w:tc>
          <w:tcPr>
            <w:tcW w:w="253" w:type="dxa"/>
            <w:tcBorders/>
          </w:tcPr>
          <w:p>
            <w:pPr>
              <w:pStyle w:val="TableContents"/>
              <w:bidi w:val="0"/>
              <w:spacing w:before="0" w:after="0"/>
              <w:ind w:left="0" w:right="0" w:hanging="150"/>
              <w:jc w:val="left"/>
              <w:rPr/>
            </w:pPr>
            <w:r>
              <w:rPr/>
              <w:t>) </w:t>
            </w:r>
          </w:p>
        </w:tc>
      </w:tr>
      <w:tr>
        <w:trPr/>
        <w:tc>
          <w:tcPr>
            <w:tcW w:w="6114" w:type="dxa"/>
            <w:tcBorders/>
            <w:shd w:fill="CCEEFF" w:val="clear"/>
          </w:tcPr>
          <w:p>
            <w:pPr>
              <w:pStyle w:val="TableContents"/>
              <w:bidi w:val="0"/>
              <w:spacing w:before="0" w:after="0"/>
              <w:ind w:left="0" w:right="0" w:hanging="0"/>
              <w:jc w:val="left"/>
              <w:rPr/>
            </w:pPr>
            <w:r>
              <w:rPr/>
              <w:t>Inventories</w:t>
            </w:r>
          </w:p>
        </w:tc>
        <w:tc>
          <w:tcPr>
            <w:tcW w:w="98" w:type="dxa"/>
            <w:tcBorders/>
            <w:shd w:fill="CCEEFF" w:val="clear"/>
          </w:tcPr>
          <w:p>
            <w:pPr>
              <w:pStyle w:val="TableContents"/>
              <w:bidi w:val="0"/>
              <w:spacing w:before="0" w:after="0"/>
              <w:ind w:left="0" w:right="0" w:hanging="0"/>
              <w:jc w:val="left"/>
              <w:rPr/>
            </w:pPr>
            <w:r>
              <w:rPr/>
              <w:t> </w:t>
            </w:r>
          </w:p>
        </w:tc>
        <w:tc>
          <w:tcPr>
            <w:tcW w:w="270" w:type="dxa"/>
            <w:tcBorders/>
            <w:shd w:fill="CCEEFF" w:val="clear"/>
          </w:tcPr>
          <w:p>
            <w:pPr>
              <w:pStyle w:val="TableContents"/>
              <w:bidi w:val="0"/>
              <w:spacing w:before="0" w:after="0"/>
              <w:ind w:left="0" w:right="0" w:hanging="0"/>
              <w:jc w:val="left"/>
              <w:rPr/>
            </w:pPr>
            <w:r>
              <w:rPr/>
              <w:t> </w:t>
            </w:r>
          </w:p>
        </w:tc>
        <w:tc>
          <w:tcPr>
            <w:tcW w:w="1442" w:type="dxa"/>
            <w:tcBorders/>
            <w:shd w:fill="CCEEFF" w:val="clear"/>
          </w:tcPr>
          <w:p>
            <w:pPr>
              <w:pStyle w:val="TableContents"/>
              <w:bidi w:val="0"/>
              <w:spacing w:before="0" w:after="0"/>
              <w:ind w:left="0" w:right="0" w:hanging="0"/>
              <w:jc w:val="right"/>
              <w:rPr/>
            </w:pPr>
            <w:r>
              <w:rPr/>
              <w:t>(15,633</w:t>
            </w:r>
          </w:p>
        </w:tc>
        <w:tc>
          <w:tcPr>
            <w:tcW w:w="294" w:type="dxa"/>
            <w:tcBorders/>
            <w:shd w:fill="CCEEFF" w:val="clear"/>
          </w:tcPr>
          <w:p>
            <w:pPr>
              <w:pStyle w:val="TableContents"/>
              <w:bidi w:val="0"/>
              <w:spacing w:before="0" w:after="0"/>
              <w:ind w:left="0" w:right="0" w:hanging="0"/>
              <w:jc w:val="left"/>
              <w:rPr/>
            </w:pPr>
            <w:r>
              <w:rPr/>
              <w:t>) </w:t>
            </w:r>
          </w:p>
        </w:tc>
        <w:tc>
          <w:tcPr>
            <w:tcW w:w="142" w:type="dxa"/>
            <w:tcBorders/>
            <w:shd w:fill="CCEEFF" w:val="clear"/>
          </w:tcPr>
          <w:p>
            <w:pPr>
              <w:pStyle w:val="TableContents"/>
              <w:bidi w:val="0"/>
              <w:spacing w:before="0" w:after="0"/>
              <w:ind w:left="0" w:right="0" w:hanging="0"/>
              <w:jc w:val="left"/>
              <w:rPr/>
            </w:pPr>
            <w:r>
              <w:rPr/>
              <w:t> </w:t>
            </w:r>
          </w:p>
        </w:tc>
        <w:tc>
          <w:tcPr>
            <w:tcW w:w="270" w:type="dxa"/>
            <w:tcBorders/>
            <w:shd w:fill="CCEEFF" w:val="clear"/>
          </w:tcPr>
          <w:p>
            <w:pPr>
              <w:pStyle w:val="TableContents"/>
              <w:bidi w:val="0"/>
              <w:spacing w:before="0" w:after="0"/>
              <w:ind w:left="0" w:right="0" w:hanging="0"/>
              <w:jc w:val="left"/>
              <w:rPr/>
            </w:pPr>
            <w:r>
              <w:rPr/>
              <w:t> </w:t>
            </w:r>
          </w:p>
        </w:tc>
        <w:tc>
          <w:tcPr>
            <w:tcW w:w="1322" w:type="dxa"/>
            <w:tcBorders/>
            <w:shd w:fill="CCEEFF" w:val="clear"/>
          </w:tcPr>
          <w:p>
            <w:pPr>
              <w:pStyle w:val="TableContents"/>
              <w:bidi w:val="0"/>
              <w:spacing w:before="0" w:after="0"/>
              <w:ind w:left="0" w:right="0" w:hanging="0"/>
              <w:jc w:val="right"/>
              <w:rPr/>
            </w:pPr>
            <w:r>
              <w:rPr/>
              <w:t>(1,953</w:t>
            </w:r>
          </w:p>
        </w:tc>
        <w:tc>
          <w:tcPr>
            <w:tcW w:w="253" w:type="dxa"/>
            <w:tcBorders/>
            <w:shd w:fill="CCEEFF" w:val="clear"/>
          </w:tcPr>
          <w:p>
            <w:pPr>
              <w:pStyle w:val="TableContents"/>
              <w:bidi w:val="0"/>
              <w:spacing w:before="0" w:after="0"/>
              <w:ind w:left="0" w:right="0" w:hanging="150"/>
              <w:jc w:val="left"/>
              <w:rPr/>
            </w:pPr>
            <w:r>
              <w:rPr/>
              <w:t>) </w:t>
            </w:r>
          </w:p>
        </w:tc>
      </w:tr>
      <w:tr>
        <w:trPr/>
        <w:tc>
          <w:tcPr>
            <w:tcW w:w="6114" w:type="dxa"/>
            <w:tcBorders/>
          </w:tcPr>
          <w:p>
            <w:pPr>
              <w:pStyle w:val="TableContents"/>
              <w:bidi w:val="0"/>
              <w:spacing w:before="0" w:after="0"/>
              <w:ind w:left="0" w:right="0" w:hanging="0"/>
              <w:jc w:val="left"/>
              <w:rPr/>
            </w:pPr>
            <w:r>
              <w:rPr/>
              <w:t>Prepaid expenses and other current assets</w:t>
            </w:r>
          </w:p>
        </w:tc>
        <w:tc>
          <w:tcPr>
            <w:tcW w:w="98" w:type="dxa"/>
            <w:tcBorders/>
          </w:tcPr>
          <w:p>
            <w:pPr>
              <w:pStyle w:val="TableContents"/>
              <w:bidi w:val="0"/>
              <w:spacing w:before="0" w:after="0"/>
              <w:ind w:left="0" w:right="0" w:hanging="0"/>
              <w:jc w:val="left"/>
              <w:rPr/>
            </w:pPr>
            <w:r>
              <w:rPr/>
              <w:t> </w:t>
            </w:r>
          </w:p>
        </w:tc>
        <w:tc>
          <w:tcPr>
            <w:tcW w:w="270" w:type="dxa"/>
            <w:tcBorders/>
          </w:tcPr>
          <w:p>
            <w:pPr>
              <w:pStyle w:val="TableContents"/>
              <w:bidi w:val="0"/>
              <w:spacing w:before="0" w:after="0"/>
              <w:ind w:left="0" w:right="0" w:hanging="0"/>
              <w:jc w:val="left"/>
              <w:rPr/>
            </w:pPr>
            <w:r>
              <w:rPr/>
              <w:t> </w:t>
            </w:r>
          </w:p>
        </w:tc>
        <w:tc>
          <w:tcPr>
            <w:tcW w:w="1442" w:type="dxa"/>
            <w:tcBorders/>
          </w:tcPr>
          <w:p>
            <w:pPr>
              <w:pStyle w:val="TableContents"/>
              <w:bidi w:val="0"/>
              <w:spacing w:before="0" w:after="0"/>
              <w:ind w:left="0" w:right="0" w:hanging="0"/>
              <w:jc w:val="right"/>
              <w:rPr/>
            </w:pPr>
            <w:r>
              <w:rPr/>
              <w:t>(1,601</w:t>
            </w:r>
          </w:p>
        </w:tc>
        <w:tc>
          <w:tcPr>
            <w:tcW w:w="294" w:type="dxa"/>
            <w:tcBorders/>
          </w:tcPr>
          <w:p>
            <w:pPr>
              <w:pStyle w:val="TableContents"/>
              <w:bidi w:val="0"/>
              <w:spacing w:before="0" w:after="0"/>
              <w:ind w:left="0" w:right="0" w:hanging="0"/>
              <w:jc w:val="left"/>
              <w:rPr/>
            </w:pPr>
            <w:r>
              <w:rPr/>
              <w:t>) </w:t>
            </w:r>
          </w:p>
        </w:tc>
        <w:tc>
          <w:tcPr>
            <w:tcW w:w="142" w:type="dxa"/>
            <w:tcBorders/>
          </w:tcPr>
          <w:p>
            <w:pPr>
              <w:pStyle w:val="TableContents"/>
              <w:bidi w:val="0"/>
              <w:spacing w:before="0" w:after="0"/>
              <w:ind w:left="0" w:right="0" w:hanging="0"/>
              <w:jc w:val="left"/>
              <w:rPr/>
            </w:pPr>
            <w:r>
              <w:rPr/>
              <w:t> </w:t>
            </w:r>
          </w:p>
        </w:tc>
        <w:tc>
          <w:tcPr>
            <w:tcW w:w="270" w:type="dxa"/>
            <w:tcBorders/>
          </w:tcPr>
          <w:p>
            <w:pPr>
              <w:pStyle w:val="TableContents"/>
              <w:bidi w:val="0"/>
              <w:spacing w:before="0" w:after="0"/>
              <w:ind w:left="0" w:right="0" w:hanging="0"/>
              <w:jc w:val="left"/>
              <w:rPr/>
            </w:pPr>
            <w:r>
              <w:rPr/>
              <w:t> </w:t>
            </w:r>
          </w:p>
        </w:tc>
        <w:tc>
          <w:tcPr>
            <w:tcW w:w="1322" w:type="dxa"/>
            <w:tcBorders/>
          </w:tcPr>
          <w:p>
            <w:pPr>
              <w:pStyle w:val="TableContents"/>
              <w:bidi w:val="0"/>
              <w:spacing w:before="0" w:after="0"/>
              <w:ind w:left="0" w:right="0" w:hanging="0"/>
              <w:jc w:val="right"/>
              <w:rPr/>
            </w:pPr>
            <w:r>
              <w:rPr/>
              <w:t>(2,596</w:t>
            </w:r>
          </w:p>
        </w:tc>
        <w:tc>
          <w:tcPr>
            <w:tcW w:w="253" w:type="dxa"/>
            <w:tcBorders/>
          </w:tcPr>
          <w:p>
            <w:pPr>
              <w:pStyle w:val="TableContents"/>
              <w:bidi w:val="0"/>
              <w:spacing w:before="0" w:after="0"/>
              <w:ind w:left="0" w:right="0" w:hanging="150"/>
              <w:jc w:val="left"/>
              <w:rPr/>
            </w:pPr>
            <w:r>
              <w:rPr/>
              <w:t>) </w:t>
            </w:r>
          </w:p>
        </w:tc>
      </w:tr>
      <w:tr>
        <w:trPr/>
        <w:tc>
          <w:tcPr>
            <w:tcW w:w="6114" w:type="dxa"/>
            <w:tcBorders/>
            <w:shd w:fill="CCEEFF" w:val="clear"/>
          </w:tcPr>
          <w:p>
            <w:pPr>
              <w:pStyle w:val="TableContents"/>
              <w:bidi w:val="0"/>
              <w:spacing w:before="0" w:after="0"/>
              <w:ind w:left="0" w:right="0" w:hanging="0"/>
              <w:jc w:val="left"/>
              <w:rPr/>
            </w:pPr>
            <w:r>
              <w:rPr/>
              <w:t>Deposits and other assets</w:t>
            </w:r>
          </w:p>
        </w:tc>
        <w:tc>
          <w:tcPr>
            <w:tcW w:w="98" w:type="dxa"/>
            <w:tcBorders/>
            <w:shd w:fill="CCEEFF" w:val="clear"/>
          </w:tcPr>
          <w:p>
            <w:pPr>
              <w:pStyle w:val="TableContents"/>
              <w:bidi w:val="0"/>
              <w:spacing w:before="0" w:after="0"/>
              <w:ind w:left="0" w:right="0" w:hanging="0"/>
              <w:jc w:val="left"/>
              <w:rPr/>
            </w:pPr>
            <w:r>
              <w:rPr/>
              <w:t> </w:t>
            </w:r>
          </w:p>
        </w:tc>
        <w:tc>
          <w:tcPr>
            <w:tcW w:w="270" w:type="dxa"/>
            <w:tcBorders/>
            <w:shd w:fill="CCEEFF" w:val="clear"/>
          </w:tcPr>
          <w:p>
            <w:pPr>
              <w:pStyle w:val="TableContents"/>
              <w:bidi w:val="0"/>
              <w:spacing w:before="0" w:after="0"/>
              <w:ind w:left="0" w:right="0" w:hanging="0"/>
              <w:jc w:val="left"/>
              <w:rPr/>
            </w:pPr>
            <w:r>
              <w:rPr/>
              <w:t> </w:t>
            </w:r>
          </w:p>
        </w:tc>
        <w:tc>
          <w:tcPr>
            <w:tcW w:w="1442" w:type="dxa"/>
            <w:tcBorders/>
            <w:shd w:fill="CCEEFF" w:val="clear"/>
          </w:tcPr>
          <w:p>
            <w:pPr>
              <w:pStyle w:val="TableContents"/>
              <w:bidi w:val="0"/>
              <w:spacing w:before="0" w:after="0"/>
              <w:ind w:left="0" w:right="0" w:hanging="0"/>
              <w:jc w:val="right"/>
              <w:rPr/>
            </w:pPr>
            <w:r>
              <w:rPr/>
              <w:t>379</w:t>
            </w:r>
          </w:p>
        </w:tc>
        <w:tc>
          <w:tcPr>
            <w:tcW w:w="294" w:type="dxa"/>
            <w:tcBorders/>
            <w:shd w:fill="CCEEFF" w:val="clear"/>
          </w:tcPr>
          <w:p>
            <w:pPr>
              <w:pStyle w:val="TableContents"/>
              <w:bidi w:val="0"/>
              <w:spacing w:before="0" w:after="0"/>
              <w:ind w:left="0" w:right="0" w:hanging="0"/>
              <w:jc w:val="left"/>
              <w:rPr/>
            </w:pPr>
            <w:r>
              <w:rPr/>
              <w:t> </w:t>
            </w:r>
          </w:p>
        </w:tc>
        <w:tc>
          <w:tcPr>
            <w:tcW w:w="142" w:type="dxa"/>
            <w:tcBorders/>
            <w:shd w:fill="CCEEFF" w:val="clear"/>
          </w:tcPr>
          <w:p>
            <w:pPr>
              <w:pStyle w:val="TableContents"/>
              <w:bidi w:val="0"/>
              <w:spacing w:before="0" w:after="0"/>
              <w:ind w:left="0" w:right="0" w:hanging="0"/>
              <w:jc w:val="left"/>
              <w:rPr/>
            </w:pPr>
            <w:r>
              <w:rPr/>
              <w:t> </w:t>
            </w:r>
          </w:p>
        </w:tc>
        <w:tc>
          <w:tcPr>
            <w:tcW w:w="270" w:type="dxa"/>
            <w:tcBorders/>
            <w:shd w:fill="CCEEFF" w:val="clear"/>
          </w:tcPr>
          <w:p>
            <w:pPr>
              <w:pStyle w:val="TableContents"/>
              <w:bidi w:val="0"/>
              <w:spacing w:before="0" w:after="0"/>
              <w:ind w:left="0" w:right="0" w:hanging="0"/>
              <w:jc w:val="left"/>
              <w:rPr/>
            </w:pPr>
            <w:r>
              <w:rPr/>
              <w:t> </w:t>
            </w:r>
          </w:p>
        </w:tc>
        <w:tc>
          <w:tcPr>
            <w:tcW w:w="1322" w:type="dxa"/>
            <w:tcBorders/>
            <w:shd w:fill="CCEEFF" w:val="clear"/>
          </w:tcPr>
          <w:p>
            <w:pPr>
              <w:pStyle w:val="TableContents"/>
              <w:bidi w:val="0"/>
              <w:spacing w:before="0" w:after="0"/>
              <w:ind w:left="0" w:right="0" w:hanging="0"/>
              <w:jc w:val="right"/>
              <w:rPr/>
            </w:pPr>
            <w:r>
              <w:rPr/>
              <w:t>120</w:t>
            </w:r>
          </w:p>
        </w:tc>
        <w:tc>
          <w:tcPr>
            <w:tcW w:w="253" w:type="dxa"/>
            <w:tcBorders/>
            <w:shd w:fill="CCEEFF" w:val="clear"/>
          </w:tcPr>
          <w:p>
            <w:pPr>
              <w:pStyle w:val="TableContents"/>
              <w:bidi w:val="0"/>
              <w:spacing w:before="0" w:after="0"/>
              <w:ind w:left="0" w:right="0" w:hanging="150"/>
              <w:jc w:val="left"/>
              <w:rPr/>
            </w:pPr>
            <w:r>
              <w:rPr/>
              <w:t> </w:t>
            </w:r>
          </w:p>
        </w:tc>
      </w:tr>
      <w:tr>
        <w:trPr/>
        <w:tc>
          <w:tcPr>
            <w:tcW w:w="6114" w:type="dxa"/>
            <w:tcBorders/>
          </w:tcPr>
          <w:p>
            <w:pPr>
              <w:pStyle w:val="TableContents"/>
              <w:bidi w:val="0"/>
              <w:spacing w:before="0" w:after="0"/>
              <w:ind w:left="0" w:right="0" w:hanging="0"/>
              <w:jc w:val="left"/>
              <w:rPr/>
            </w:pPr>
            <w:r>
              <w:rPr/>
              <w:t>Accounts payable</w:t>
            </w:r>
          </w:p>
        </w:tc>
        <w:tc>
          <w:tcPr>
            <w:tcW w:w="98" w:type="dxa"/>
            <w:tcBorders/>
          </w:tcPr>
          <w:p>
            <w:pPr>
              <w:pStyle w:val="TableContents"/>
              <w:bidi w:val="0"/>
              <w:spacing w:before="0" w:after="0"/>
              <w:ind w:left="0" w:right="0" w:hanging="0"/>
              <w:jc w:val="left"/>
              <w:rPr/>
            </w:pPr>
            <w:r>
              <w:rPr/>
              <w:t> </w:t>
            </w:r>
          </w:p>
        </w:tc>
        <w:tc>
          <w:tcPr>
            <w:tcW w:w="270" w:type="dxa"/>
            <w:tcBorders/>
          </w:tcPr>
          <w:p>
            <w:pPr>
              <w:pStyle w:val="TableContents"/>
              <w:bidi w:val="0"/>
              <w:spacing w:before="0" w:after="0"/>
              <w:ind w:left="0" w:right="0" w:hanging="0"/>
              <w:jc w:val="left"/>
              <w:rPr/>
            </w:pPr>
            <w:r>
              <w:rPr/>
              <w:t> </w:t>
            </w:r>
          </w:p>
        </w:tc>
        <w:tc>
          <w:tcPr>
            <w:tcW w:w="1442" w:type="dxa"/>
            <w:tcBorders/>
          </w:tcPr>
          <w:p>
            <w:pPr>
              <w:pStyle w:val="TableContents"/>
              <w:bidi w:val="0"/>
              <w:spacing w:before="0" w:after="0"/>
              <w:ind w:left="0" w:right="0" w:hanging="0"/>
              <w:jc w:val="right"/>
              <w:rPr/>
            </w:pPr>
            <w:r>
              <w:rPr/>
              <w:t>(1,233</w:t>
            </w:r>
          </w:p>
        </w:tc>
        <w:tc>
          <w:tcPr>
            <w:tcW w:w="294" w:type="dxa"/>
            <w:tcBorders/>
          </w:tcPr>
          <w:p>
            <w:pPr>
              <w:pStyle w:val="TableContents"/>
              <w:bidi w:val="0"/>
              <w:spacing w:before="0" w:after="0"/>
              <w:ind w:left="0" w:right="0" w:hanging="0"/>
              <w:jc w:val="left"/>
              <w:rPr/>
            </w:pPr>
            <w:r>
              <w:rPr/>
              <w:t>) </w:t>
            </w:r>
          </w:p>
        </w:tc>
        <w:tc>
          <w:tcPr>
            <w:tcW w:w="142" w:type="dxa"/>
            <w:tcBorders/>
          </w:tcPr>
          <w:p>
            <w:pPr>
              <w:pStyle w:val="TableContents"/>
              <w:bidi w:val="0"/>
              <w:spacing w:before="0" w:after="0"/>
              <w:ind w:left="0" w:right="0" w:hanging="0"/>
              <w:jc w:val="left"/>
              <w:rPr/>
            </w:pPr>
            <w:r>
              <w:rPr/>
              <w:t> </w:t>
            </w:r>
          </w:p>
        </w:tc>
        <w:tc>
          <w:tcPr>
            <w:tcW w:w="270" w:type="dxa"/>
            <w:tcBorders/>
          </w:tcPr>
          <w:p>
            <w:pPr>
              <w:pStyle w:val="TableContents"/>
              <w:bidi w:val="0"/>
              <w:spacing w:before="0" w:after="0"/>
              <w:ind w:left="0" w:right="0" w:hanging="0"/>
              <w:jc w:val="left"/>
              <w:rPr/>
            </w:pPr>
            <w:r>
              <w:rPr/>
              <w:t> </w:t>
            </w:r>
          </w:p>
        </w:tc>
        <w:tc>
          <w:tcPr>
            <w:tcW w:w="1322" w:type="dxa"/>
            <w:tcBorders/>
          </w:tcPr>
          <w:p>
            <w:pPr>
              <w:pStyle w:val="TableContents"/>
              <w:bidi w:val="0"/>
              <w:spacing w:before="0" w:after="0"/>
              <w:ind w:left="0" w:right="0" w:hanging="0"/>
              <w:jc w:val="right"/>
              <w:rPr/>
            </w:pPr>
            <w:r>
              <w:rPr/>
              <w:t>142</w:t>
            </w:r>
          </w:p>
        </w:tc>
        <w:tc>
          <w:tcPr>
            <w:tcW w:w="253" w:type="dxa"/>
            <w:tcBorders/>
          </w:tcPr>
          <w:p>
            <w:pPr>
              <w:pStyle w:val="TableContents"/>
              <w:bidi w:val="0"/>
              <w:spacing w:before="0" w:after="0"/>
              <w:ind w:left="0" w:right="0" w:hanging="150"/>
              <w:jc w:val="left"/>
              <w:rPr/>
            </w:pPr>
            <w:r>
              <w:rPr/>
              <w:t> </w:t>
            </w:r>
          </w:p>
        </w:tc>
      </w:tr>
      <w:tr>
        <w:trPr/>
        <w:tc>
          <w:tcPr>
            <w:tcW w:w="6114" w:type="dxa"/>
            <w:tcBorders/>
            <w:shd w:fill="CCEEFF" w:val="clear"/>
          </w:tcPr>
          <w:p>
            <w:pPr>
              <w:pStyle w:val="TableContents"/>
              <w:bidi w:val="0"/>
              <w:spacing w:before="0" w:after="0"/>
              <w:ind w:left="0" w:right="0" w:hanging="0"/>
              <w:jc w:val="left"/>
              <w:rPr/>
            </w:pPr>
            <w:r>
              <w:rPr/>
              <w:t>Accrued expenses</w:t>
            </w:r>
          </w:p>
        </w:tc>
        <w:tc>
          <w:tcPr>
            <w:tcW w:w="98" w:type="dxa"/>
            <w:tcBorders/>
            <w:shd w:fill="CCEEFF" w:val="clear"/>
          </w:tcPr>
          <w:p>
            <w:pPr>
              <w:pStyle w:val="TableContents"/>
              <w:bidi w:val="0"/>
              <w:spacing w:before="0" w:after="0"/>
              <w:ind w:left="0" w:right="0" w:hanging="0"/>
              <w:jc w:val="left"/>
              <w:rPr/>
            </w:pPr>
            <w:r>
              <w:rPr/>
              <w:t> </w:t>
            </w:r>
          </w:p>
        </w:tc>
        <w:tc>
          <w:tcPr>
            <w:tcW w:w="270" w:type="dxa"/>
            <w:tcBorders/>
            <w:shd w:fill="CCEEFF" w:val="clear"/>
          </w:tcPr>
          <w:p>
            <w:pPr>
              <w:pStyle w:val="TableContents"/>
              <w:bidi w:val="0"/>
              <w:spacing w:before="0" w:after="0"/>
              <w:ind w:left="0" w:right="0" w:hanging="0"/>
              <w:jc w:val="left"/>
              <w:rPr/>
            </w:pPr>
            <w:r>
              <w:rPr/>
              <w:t> </w:t>
            </w:r>
          </w:p>
        </w:tc>
        <w:tc>
          <w:tcPr>
            <w:tcW w:w="1442" w:type="dxa"/>
            <w:tcBorders/>
            <w:shd w:fill="CCEEFF" w:val="clear"/>
          </w:tcPr>
          <w:p>
            <w:pPr>
              <w:pStyle w:val="TableContents"/>
              <w:bidi w:val="0"/>
              <w:spacing w:before="0" w:after="0"/>
              <w:ind w:left="0" w:right="0" w:hanging="0"/>
              <w:jc w:val="right"/>
              <w:rPr/>
            </w:pPr>
            <w:r>
              <w:rPr/>
              <w:t>5,105</w:t>
            </w:r>
          </w:p>
        </w:tc>
        <w:tc>
          <w:tcPr>
            <w:tcW w:w="294" w:type="dxa"/>
            <w:tcBorders/>
            <w:shd w:fill="CCEEFF" w:val="clear"/>
          </w:tcPr>
          <w:p>
            <w:pPr>
              <w:pStyle w:val="TableContents"/>
              <w:bidi w:val="0"/>
              <w:spacing w:before="0" w:after="0"/>
              <w:ind w:left="0" w:right="0" w:hanging="0"/>
              <w:jc w:val="left"/>
              <w:rPr/>
            </w:pPr>
            <w:r>
              <w:rPr/>
              <w:t> </w:t>
            </w:r>
          </w:p>
        </w:tc>
        <w:tc>
          <w:tcPr>
            <w:tcW w:w="142" w:type="dxa"/>
            <w:tcBorders/>
            <w:shd w:fill="CCEEFF" w:val="clear"/>
          </w:tcPr>
          <w:p>
            <w:pPr>
              <w:pStyle w:val="TableContents"/>
              <w:bidi w:val="0"/>
              <w:spacing w:before="0" w:after="0"/>
              <w:ind w:left="0" w:right="0" w:hanging="0"/>
              <w:jc w:val="left"/>
              <w:rPr/>
            </w:pPr>
            <w:r>
              <w:rPr/>
              <w:t> </w:t>
            </w:r>
          </w:p>
        </w:tc>
        <w:tc>
          <w:tcPr>
            <w:tcW w:w="270" w:type="dxa"/>
            <w:tcBorders/>
            <w:shd w:fill="CCEEFF" w:val="clear"/>
          </w:tcPr>
          <w:p>
            <w:pPr>
              <w:pStyle w:val="TableContents"/>
              <w:bidi w:val="0"/>
              <w:spacing w:before="0" w:after="0"/>
              <w:ind w:left="0" w:right="0" w:hanging="0"/>
              <w:jc w:val="left"/>
              <w:rPr/>
            </w:pPr>
            <w:r>
              <w:rPr/>
              <w:t> </w:t>
            </w:r>
          </w:p>
        </w:tc>
        <w:tc>
          <w:tcPr>
            <w:tcW w:w="1322" w:type="dxa"/>
            <w:tcBorders/>
            <w:shd w:fill="CCEEFF" w:val="clear"/>
          </w:tcPr>
          <w:p>
            <w:pPr>
              <w:pStyle w:val="TableContents"/>
              <w:bidi w:val="0"/>
              <w:spacing w:before="0" w:after="0"/>
              <w:ind w:left="0" w:right="0" w:hanging="0"/>
              <w:jc w:val="right"/>
              <w:rPr/>
            </w:pPr>
            <w:r>
              <w:rPr/>
              <w:t>(2,401</w:t>
            </w:r>
          </w:p>
        </w:tc>
        <w:tc>
          <w:tcPr>
            <w:tcW w:w="253" w:type="dxa"/>
            <w:tcBorders/>
            <w:shd w:fill="CCEEFF" w:val="clear"/>
          </w:tcPr>
          <w:p>
            <w:pPr>
              <w:pStyle w:val="TableContents"/>
              <w:bidi w:val="0"/>
              <w:spacing w:before="0" w:after="0"/>
              <w:ind w:left="0" w:right="0" w:hanging="150"/>
              <w:jc w:val="left"/>
              <w:rPr/>
            </w:pPr>
            <w:r>
              <w:rPr/>
              <w:t>) </w:t>
            </w:r>
          </w:p>
        </w:tc>
      </w:tr>
      <w:tr>
        <w:trPr/>
        <w:tc>
          <w:tcPr>
            <w:tcW w:w="6114" w:type="dxa"/>
            <w:tcBorders/>
          </w:tcPr>
          <w:p>
            <w:pPr>
              <w:pStyle w:val="TableContents"/>
              <w:bidi w:val="0"/>
              <w:spacing w:before="0" w:after="0"/>
              <w:ind w:left="0" w:right="0" w:hanging="0"/>
              <w:jc w:val="left"/>
              <w:rPr/>
            </w:pPr>
            <w:r>
              <w:rPr/>
              <w:t>Other current and non-current liabilities</w:t>
            </w:r>
          </w:p>
        </w:tc>
        <w:tc>
          <w:tcPr>
            <w:tcW w:w="98" w:type="dxa"/>
            <w:tcBorders/>
          </w:tcPr>
          <w:p>
            <w:pPr>
              <w:pStyle w:val="TableContents"/>
              <w:bidi w:val="0"/>
              <w:spacing w:before="0" w:after="0"/>
              <w:ind w:left="0" w:right="0" w:hanging="0"/>
              <w:jc w:val="left"/>
              <w:rPr/>
            </w:pPr>
            <w:r>
              <w:rPr/>
              <w:t> </w:t>
            </w:r>
          </w:p>
        </w:tc>
        <w:tc>
          <w:tcPr>
            <w:tcW w:w="270" w:type="dxa"/>
            <w:tcBorders>
              <w:bottom w:val="single" w:sz="12" w:space="0" w:color="000000"/>
            </w:tcBorders>
            <w:tcMar>
              <w:bottom w:w="28" w:type="dxa"/>
            </w:tcMar>
          </w:tcPr>
          <w:p>
            <w:pPr>
              <w:pStyle w:val="TableContents"/>
              <w:bidi w:val="0"/>
              <w:spacing w:before="0" w:after="0"/>
              <w:ind w:left="0" w:right="0" w:hanging="0"/>
              <w:jc w:val="left"/>
              <w:rPr/>
            </w:pPr>
            <w:r>
              <w:rPr/>
              <w:t> </w:t>
            </w:r>
          </w:p>
        </w:tc>
        <w:tc>
          <w:tcPr>
            <w:tcW w:w="1442" w:type="dxa"/>
            <w:tcBorders>
              <w:bottom w:val="single" w:sz="12" w:space="0" w:color="000000"/>
            </w:tcBorders>
            <w:tcMar>
              <w:bottom w:w="28" w:type="dxa"/>
            </w:tcMar>
          </w:tcPr>
          <w:p>
            <w:pPr>
              <w:pStyle w:val="TableContents"/>
              <w:bidi w:val="0"/>
              <w:spacing w:before="0" w:after="0"/>
              <w:ind w:left="0" w:right="0" w:hanging="0"/>
              <w:jc w:val="right"/>
              <w:rPr/>
            </w:pPr>
            <w:r>
              <w:rPr/>
              <w:t>(340</w:t>
            </w:r>
          </w:p>
        </w:tc>
        <w:tc>
          <w:tcPr>
            <w:tcW w:w="294" w:type="dxa"/>
            <w:tcBorders>
              <w:bottom w:val="single" w:sz="12" w:space="0" w:color="000000"/>
            </w:tcBorders>
            <w:tcMar>
              <w:bottom w:w="28" w:type="dxa"/>
            </w:tcMar>
          </w:tcPr>
          <w:p>
            <w:pPr>
              <w:pStyle w:val="TableContents"/>
              <w:bidi w:val="0"/>
              <w:spacing w:before="0" w:after="0"/>
              <w:ind w:left="0" w:right="0" w:hanging="0"/>
              <w:jc w:val="left"/>
              <w:rPr/>
            </w:pPr>
            <w:r>
              <w:rPr/>
              <w:t>) </w:t>
            </w:r>
          </w:p>
        </w:tc>
        <w:tc>
          <w:tcPr>
            <w:tcW w:w="142" w:type="dxa"/>
            <w:tcBorders/>
          </w:tcPr>
          <w:p>
            <w:pPr>
              <w:pStyle w:val="TableContents"/>
              <w:bidi w:val="0"/>
              <w:spacing w:before="0" w:after="0"/>
              <w:ind w:left="0" w:right="0" w:hanging="0"/>
              <w:jc w:val="left"/>
              <w:rPr/>
            </w:pPr>
            <w:r>
              <w:rPr/>
              <w:t> </w:t>
            </w:r>
          </w:p>
        </w:tc>
        <w:tc>
          <w:tcPr>
            <w:tcW w:w="270" w:type="dxa"/>
            <w:tcBorders>
              <w:bottom w:val="single" w:sz="12" w:space="0" w:color="000000"/>
            </w:tcBorders>
            <w:tcMar>
              <w:bottom w:w="28" w:type="dxa"/>
            </w:tcMar>
          </w:tcPr>
          <w:p>
            <w:pPr>
              <w:pStyle w:val="TableContents"/>
              <w:bidi w:val="0"/>
              <w:spacing w:before="0" w:after="0"/>
              <w:ind w:left="0" w:right="0" w:hanging="0"/>
              <w:jc w:val="left"/>
              <w:rPr/>
            </w:pPr>
            <w:r>
              <w:rPr/>
              <w:t> </w:t>
            </w:r>
          </w:p>
        </w:tc>
        <w:tc>
          <w:tcPr>
            <w:tcW w:w="1322" w:type="dxa"/>
            <w:tcBorders>
              <w:bottom w:val="single" w:sz="12" w:space="0" w:color="000000"/>
            </w:tcBorders>
            <w:tcMar>
              <w:bottom w:w="28" w:type="dxa"/>
            </w:tcMar>
          </w:tcPr>
          <w:p>
            <w:pPr>
              <w:pStyle w:val="TableContents"/>
              <w:bidi w:val="0"/>
              <w:spacing w:before="0" w:after="0"/>
              <w:ind w:left="0" w:right="0" w:hanging="0"/>
              <w:jc w:val="right"/>
              <w:rPr/>
            </w:pPr>
            <w:r>
              <w:rPr/>
              <w:t>(650</w:t>
            </w:r>
          </w:p>
        </w:tc>
        <w:tc>
          <w:tcPr>
            <w:tcW w:w="253" w:type="dxa"/>
            <w:tcBorders>
              <w:bottom w:val="single" w:sz="12" w:space="0" w:color="000000"/>
            </w:tcBorders>
            <w:tcMar>
              <w:bottom w:w="28" w:type="dxa"/>
            </w:tcMar>
          </w:tcPr>
          <w:p>
            <w:pPr>
              <w:pStyle w:val="TableContents"/>
              <w:bidi w:val="0"/>
              <w:spacing w:before="0" w:after="0"/>
              <w:ind w:left="0" w:right="0" w:hanging="150"/>
              <w:jc w:val="left"/>
              <w:rPr/>
            </w:pPr>
            <w:r>
              <w:rPr/>
              <w:t>) </w:t>
            </w:r>
          </w:p>
        </w:tc>
      </w:tr>
      <w:tr>
        <w:trPr/>
        <w:tc>
          <w:tcPr>
            <w:tcW w:w="6114" w:type="dxa"/>
            <w:tcBorders/>
            <w:shd w:fill="CCEEFF" w:val="clear"/>
          </w:tcPr>
          <w:p>
            <w:pPr>
              <w:pStyle w:val="TableContents"/>
              <w:bidi w:val="0"/>
              <w:spacing w:before="0" w:after="0"/>
              <w:ind w:left="0" w:right="0" w:hanging="0"/>
              <w:jc w:val="left"/>
              <w:rPr/>
            </w:pPr>
            <w:r>
              <w:rPr/>
              <w:t>Net cash provided by (used in) operating activities</w:t>
            </w:r>
          </w:p>
        </w:tc>
        <w:tc>
          <w:tcPr>
            <w:tcW w:w="98" w:type="dxa"/>
            <w:tcBorders/>
            <w:shd w:fill="CCEEFF" w:val="clear"/>
          </w:tcPr>
          <w:p>
            <w:pPr>
              <w:pStyle w:val="TableContents"/>
              <w:bidi w:val="0"/>
              <w:spacing w:before="0" w:after="0"/>
              <w:ind w:left="0" w:right="0" w:hanging="0"/>
              <w:jc w:val="left"/>
              <w:rPr/>
            </w:pPr>
            <w:r>
              <w:rPr/>
              <w:t> </w:t>
            </w:r>
          </w:p>
        </w:tc>
        <w:tc>
          <w:tcPr>
            <w:tcW w:w="270" w:type="dxa"/>
            <w:tcBorders>
              <w:bottom w:val="single" w:sz="12" w:space="0" w:color="000000"/>
            </w:tcBorders>
            <w:shd w:fill="CCEEFF" w:val="clear"/>
            <w:tcMar>
              <w:bottom w:w="28" w:type="dxa"/>
            </w:tcMar>
          </w:tcPr>
          <w:p>
            <w:pPr>
              <w:pStyle w:val="TableContents"/>
              <w:bidi w:val="0"/>
              <w:spacing w:before="0" w:after="0"/>
              <w:ind w:left="0" w:right="0" w:hanging="0"/>
              <w:jc w:val="left"/>
              <w:rPr/>
            </w:pPr>
            <w:r>
              <w:rPr/>
              <w:t> </w:t>
            </w:r>
          </w:p>
        </w:tc>
        <w:tc>
          <w:tcPr>
            <w:tcW w:w="1442" w:type="dxa"/>
            <w:tcBorders>
              <w:bottom w:val="single" w:sz="12" w:space="0" w:color="000000"/>
            </w:tcBorders>
            <w:shd w:fill="CCEEFF" w:val="clear"/>
            <w:tcMar>
              <w:bottom w:w="28" w:type="dxa"/>
            </w:tcMar>
          </w:tcPr>
          <w:p>
            <w:pPr>
              <w:pStyle w:val="TableContents"/>
              <w:bidi w:val="0"/>
              <w:spacing w:before="0" w:after="0"/>
              <w:ind w:left="0" w:right="0" w:hanging="0"/>
              <w:jc w:val="right"/>
              <w:rPr/>
            </w:pPr>
            <w:r>
              <w:rPr/>
              <w:t>58,249</w:t>
            </w:r>
          </w:p>
        </w:tc>
        <w:tc>
          <w:tcPr>
            <w:tcW w:w="294" w:type="dxa"/>
            <w:tcBorders>
              <w:bottom w:val="single" w:sz="12" w:space="0" w:color="000000"/>
            </w:tcBorders>
            <w:shd w:fill="CCEEFF" w:val="clear"/>
            <w:tcMar>
              <w:bottom w:w="28" w:type="dxa"/>
            </w:tcMar>
          </w:tcPr>
          <w:p>
            <w:pPr>
              <w:pStyle w:val="TableContents"/>
              <w:bidi w:val="0"/>
              <w:spacing w:before="0" w:after="0"/>
              <w:ind w:left="0" w:right="0" w:hanging="0"/>
              <w:jc w:val="left"/>
              <w:rPr/>
            </w:pPr>
            <w:r>
              <w:rPr/>
              <w:t> </w:t>
            </w:r>
          </w:p>
        </w:tc>
        <w:tc>
          <w:tcPr>
            <w:tcW w:w="142" w:type="dxa"/>
            <w:tcBorders/>
            <w:shd w:fill="CCEEFF" w:val="clear"/>
          </w:tcPr>
          <w:p>
            <w:pPr>
              <w:pStyle w:val="TableContents"/>
              <w:bidi w:val="0"/>
              <w:spacing w:before="0" w:after="0"/>
              <w:ind w:left="0" w:right="0" w:hanging="0"/>
              <w:jc w:val="left"/>
              <w:rPr/>
            </w:pPr>
            <w:r>
              <w:rPr/>
              <w:t> </w:t>
            </w:r>
          </w:p>
        </w:tc>
        <w:tc>
          <w:tcPr>
            <w:tcW w:w="270" w:type="dxa"/>
            <w:tcBorders>
              <w:bottom w:val="single" w:sz="12" w:space="0" w:color="000000"/>
            </w:tcBorders>
            <w:shd w:fill="CCEEFF" w:val="clear"/>
            <w:tcMar>
              <w:bottom w:w="28" w:type="dxa"/>
            </w:tcMar>
          </w:tcPr>
          <w:p>
            <w:pPr>
              <w:pStyle w:val="TableContents"/>
              <w:bidi w:val="0"/>
              <w:spacing w:before="0" w:after="0"/>
              <w:ind w:left="0" w:right="0" w:hanging="0"/>
              <w:jc w:val="left"/>
              <w:rPr/>
            </w:pPr>
            <w:r>
              <w:rPr/>
              <w:t> </w:t>
            </w:r>
          </w:p>
        </w:tc>
        <w:tc>
          <w:tcPr>
            <w:tcW w:w="1322" w:type="dxa"/>
            <w:tcBorders>
              <w:bottom w:val="single" w:sz="12" w:space="0" w:color="000000"/>
            </w:tcBorders>
            <w:shd w:fill="CCEEFF" w:val="clear"/>
            <w:tcMar>
              <w:bottom w:w="28" w:type="dxa"/>
            </w:tcMar>
          </w:tcPr>
          <w:p>
            <w:pPr>
              <w:pStyle w:val="TableContents"/>
              <w:bidi w:val="0"/>
              <w:spacing w:before="0" w:after="0"/>
              <w:ind w:left="0" w:right="0" w:hanging="0"/>
              <w:jc w:val="right"/>
              <w:rPr/>
            </w:pPr>
            <w:r>
              <w:rPr/>
              <w:t>(19,675</w:t>
            </w:r>
          </w:p>
        </w:tc>
        <w:tc>
          <w:tcPr>
            <w:tcW w:w="253" w:type="dxa"/>
            <w:tcBorders>
              <w:bottom w:val="single" w:sz="12" w:space="0" w:color="000000"/>
            </w:tcBorders>
            <w:shd w:fill="CCEEFF" w:val="clear"/>
            <w:tcMar>
              <w:bottom w:w="28" w:type="dxa"/>
            </w:tcMar>
          </w:tcPr>
          <w:p>
            <w:pPr>
              <w:pStyle w:val="TableContents"/>
              <w:bidi w:val="0"/>
              <w:spacing w:before="0" w:after="0"/>
              <w:ind w:left="0" w:right="0" w:hanging="150"/>
              <w:jc w:val="left"/>
              <w:rPr/>
            </w:pPr>
            <w:r>
              <w:rPr/>
              <w:t>) </w:t>
            </w:r>
          </w:p>
        </w:tc>
      </w:tr>
      <w:tr>
        <w:trPr/>
        <w:tc>
          <w:tcPr>
            <w:tcW w:w="6114" w:type="dxa"/>
            <w:tcBorders/>
          </w:tcPr>
          <w:p>
            <w:pPr>
              <w:pStyle w:val="TableContents"/>
              <w:bidi w:val="0"/>
              <w:spacing w:before="0" w:after="283"/>
              <w:jc w:val="left"/>
              <w:rPr/>
            </w:pPr>
            <w:r>
              <w:rPr/>
              <w:t> </w:t>
            </w:r>
          </w:p>
        </w:tc>
        <w:tc>
          <w:tcPr>
            <w:tcW w:w="98" w:type="dxa"/>
            <w:tcBorders/>
          </w:tcPr>
          <w:p>
            <w:pPr>
              <w:pStyle w:val="TableContents"/>
              <w:bidi w:val="0"/>
              <w:spacing w:before="0" w:after="283"/>
              <w:jc w:val="left"/>
              <w:rPr/>
            </w:pPr>
            <w:r>
              <w:rPr/>
              <w:t> </w:t>
            </w:r>
          </w:p>
        </w:tc>
        <w:tc>
          <w:tcPr>
            <w:tcW w:w="270" w:type="dxa"/>
            <w:tcBorders/>
          </w:tcPr>
          <w:p>
            <w:pPr>
              <w:pStyle w:val="TableContents"/>
              <w:bidi w:val="0"/>
              <w:spacing w:before="0" w:after="283"/>
              <w:jc w:val="left"/>
              <w:rPr/>
            </w:pPr>
            <w:r>
              <w:rPr/>
              <w:t> </w:t>
            </w:r>
          </w:p>
        </w:tc>
        <w:tc>
          <w:tcPr>
            <w:tcW w:w="1442" w:type="dxa"/>
            <w:tcBorders/>
          </w:tcPr>
          <w:p>
            <w:pPr>
              <w:pStyle w:val="TableContents"/>
              <w:bidi w:val="0"/>
              <w:spacing w:before="0" w:after="283"/>
              <w:jc w:val="left"/>
              <w:rPr/>
            </w:pPr>
            <w:r>
              <w:rPr/>
              <w:t> </w:t>
            </w:r>
          </w:p>
        </w:tc>
        <w:tc>
          <w:tcPr>
            <w:tcW w:w="294" w:type="dxa"/>
            <w:tcBorders/>
          </w:tcPr>
          <w:p>
            <w:pPr>
              <w:pStyle w:val="TableContents"/>
              <w:bidi w:val="0"/>
              <w:spacing w:before="0" w:after="283"/>
              <w:jc w:val="left"/>
              <w:rPr/>
            </w:pPr>
            <w:r>
              <w:rPr/>
              <w:t> </w:t>
            </w:r>
          </w:p>
        </w:tc>
        <w:tc>
          <w:tcPr>
            <w:tcW w:w="142" w:type="dxa"/>
            <w:tcBorders/>
          </w:tcPr>
          <w:p>
            <w:pPr>
              <w:pStyle w:val="TableContents"/>
              <w:bidi w:val="0"/>
              <w:spacing w:before="0" w:after="283"/>
              <w:jc w:val="left"/>
              <w:rPr/>
            </w:pPr>
            <w:r>
              <w:rPr/>
              <w:t> </w:t>
            </w:r>
          </w:p>
        </w:tc>
        <w:tc>
          <w:tcPr>
            <w:tcW w:w="270" w:type="dxa"/>
            <w:tcBorders/>
          </w:tcPr>
          <w:p>
            <w:pPr>
              <w:pStyle w:val="TableContents"/>
              <w:bidi w:val="0"/>
              <w:spacing w:before="0" w:after="283"/>
              <w:jc w:val="left"/>
              <w:rPr/>
            </w:pPr>
            <w:r>
              <w:rPr/>
              <w:t> </w:t>
            </w:r>
          </w:p>
        </w:tc>
        <w:tc>
          <w:tcPr>
            <w:tcW w:w="1322" w:type="dxa"/>
            <w:tcBorders/>
          </w:tcPr>
          <w:p>
            <w:pPr>
              <w:pStyle w:val="TableContents"/>
              <w:bidi w:val="0"/>
              <w:spacing w:before="0" w:after="283"/>
              <w:jc w:val="left"/>
              <w:rPr/>
            </w:pPr>
            <w:r>
              <w:rPr/>
              <w:t> </w:t>
            </w:r>
          </w:p>
        </w:tc>
        <w:tc>
          <w:tcPr>
            <w:tcW w:w="253" w:type="dxa"/>
            <w:tcBorders/>
          </w:tcPr>
          <w:p>
            <w:pPr>
              <w:pStyle w:val="TableContents"/>
              <w:bidi w:val="0"/>
              <w:spacing w:before="0" w:after="283"/>
              <w:ind w:left="0" w:right="0" w:hanging="150"/>
              <w:jc w:val="left"/>
              <w:rPr/>
            </w:pPr>
            <w:r>
              <w:rPr/>
              <w:t> </w:t>
            </w:r>
          </w:p>
        </w:tc>
      </w:tr>
      <w:tr>
        <w:trPr/>
        <w:tc>
          <w:tcPr>
            <w:tcW w:w="6114" w:type="dxa"/>
            <w:tcBorders/>
            <w:shd w:fill="CCEEFF" w:val="clear"/>
          </w:tcPr>
          <w:p>
            <w:pPr>
              <w:pStyle w:val="TableContents"/>
              <w:bidi w:val="0"/>
              <w:spacing w:before="0" w:after="0"/>
              <w:ind w:left="0" w:right="0" w:hanging="150"/>
              <w:jc w:val="left"/>
              <w:rPr>
                <w:b/>
              </w:rPr>
            </w:pPr>
            <w:r>
              <w:rPr>
                <w:b/>
              </w:rPr>
              <w:t>CASH FLOWS FROM INVESTING ACTIVITIES:</w:t>
            </w:r>
          </w:p>
        </w:tc>
        <w:tc>
          <w:tcPr>
            <w:tcW w:w="98" w:type="dxa"/>
            <w:tcBorders/>
            <w:shd w:fill="CCEEFF" w:val="clear"/>
          </w:tcPr>
          <w:p>
            <w:pPr>
              <w:pStyle w:val="TableContents"/>
              <w:bidi w:val="0"/>
              <w:spacing w:before="0" w:after="283"/>
              <w:jc w:val="left"/>
              <w:rPr/>
            </w:pPr>
            <w:r>
              <w:rPr/>
              <w:t> </w:t>
            </w:r>
          </w:p>
        </w:tc>
        <w:tc>
          <w:tcPr>
            <w:tcW w:w="270" w:type="dxa"/>
            <w:tcBorders/>
            <w:shd w:fill="CCEEFF" w:val="clear"/>
          </w:tcPr>
          <w:p>
            <w:pPr>
              <w:pStyle w:val="TableContents"/>
              <w:bidi w:val="0"/>
              <w:spacing w:before="0" w:after="283"/>
              <w:jc w:val="left"/>
              <w:rPr/>
            </w:pPr>
            <w:r>
              <w:rPr/>
              <w:t> </w:t>
            </w:r>
          </w:p>
        </w:tc>
        <w:tc>
          <w:tcPr>
            <w:tcW w:w="1442" w:type="dxa"/>
            <w:tcBorders/>
            <w:shd w:fill="CCEEFF" w:val="clear"/>
          </w:tcPr>
          <w:p>
            <w:pPr>
              <w:pStyle w:val="TableContents"/>
              <w:bidi w:val="0"/>
              <w:spacing w:before="0" w:after="283"/>
              <w:jc w:val="left"/>
              <w:rPr/>
            </w:pPr>
            <w:r>
              <w:rPr/>
              <w:t> </w:t>
            </w:r>
          </w:p>
        </w:tc>
        <w:tc>
          <w:tcPr>
            <w:tcW w:w="294" w:type="dxa"/>
            <w:tcBorders/>
            <w:shd w:fill="CCEEFF" w:val="clear"/>
          </w:tcPr>
          <w:p>
            <w:pPr>
              <w:pStyle w:val="TableContents"/>
              <w:bidi w:val="0"/>
              <w:spacing w:before="0" w:after="283"/>
              <w:jc w:val="left"/>
              <w:rPr/>
            </w:pPr>
            <w:r>
              <w:rPr/>
              <w:t> </w:t>
            </w:r>
          </w:p>
        </w:tc>
        <w:tc>
          <w:tcPr>
            <w:tcW w:w="142" w:type="dxa"/>
            <w:tcBorders/>
            <w:shd w:fill="CCEEFF" w:val="clear"/>
          </w:tcPr>
          <w:p>
            <w:pPr>
              <w:pStyle w:val="TableContents"/>
              <w:bidi w:val="0"/>
              <w:spacing w:before="0" w:after="283"/>
              <w:jc w:val="left"/>
              <w:rPr/>
            </w:pPr>
            <w:r>
              <w:rPr/>
              <w:t> </w:t>
            </w:r>
          </w:p>
        </w:tc>
        <w:tc>
          <w:tcPr>
            <w:tcW w:w="270" w:type="dxa"/>
            <w:tcBorders/>
            <w:shd w:fill="CCEEFF" w:val="clear"/>
          </w:tcPr>
          <w:p>
            <w:pPr>
              <w:pStyle w:val="TableContents"/>
              <w:bidi w:val="0"/>
              <w:spacing w:before="0" w:after="283"/>
              <w:jc w:val="left"/>
              <w:rPr/>
            </w:pPr>
            <w:r>
              <w:rPr/>
              <w:t> </w:t>
            </w:r>
          </w:p>
        </w:tc>
        <w:tc>
          <w:tcPr>
            <w:tcW w:w="1322" w:type="dxa"/>
            <w:tcBorders/>
            <w:shd w:fill="CCEEFF" w:val="clear"/>
          </w:tcPr>
          <w:p>
            <w:pPr>
              <w:pStyle w:val="TableContents"/>
              <w:bidi w:val="0"/>
              <w:spacing w:before="0" w:after="283"/>
              <w:jc w:val="left"/>
              <w:rPr/>
            </w:pPr>
            <w:r>
              <w:rPr/>
              <w:t> </w:t>
            </w:r>
          </w:p>
        </w:tc>
        <w:tc>
          <w:tcPr>
            <w:tcW w:w="253" w:type="dxa"/>
            <w:tcBorders/>
            <w:shd w:fill="CCEEFF" w:val="clear"/>
          </w:tcPr>
          <w:p>
            <w:pPr>
              <w:pStyle w:val="TableContents"/>
              <w:bidi w:val="0"/>
              <w:spacing w:before="0" w:after="283"/>
              <w:ind w:left="0" w:right="0" w:hanging="150"/>
              <w:jc w:val="left"/>
              <w:rPr/>
            </w:pPr>
            <w:r>
              <w:rPr/>
              <w:t> </w:t>
            </w:r>
          </w:p>
        </w:tc>
      </w:tr>
      <w:tr>
        <w:trPr/>
        <w:tc>
          <w:tcPr>
            <w:tcW w:w="6114" w:type="dxa"/>
            <w:tcBorders/>
          </w:tcPr>
          <w:p>
            <w:pPr>
              <w:pStyle w:val="TableContents"/>
              <w:bidi w:val="0"/>
              <w:spacing w:before="0" w:after="0"/>
              <w:ind w:left="0" w:right="0" w:hanging="0"/>
              <w:jc w:val="left"/>
              <w:rPr/>
            </w:pPr>
            <w:r>
              <w:rPr/>
              <w:t>Purchase of property and equipment</w:t>
            </w:r>
          </w:p>
        </w:tc>
        <w:tc>
          <w:tcPr>
            <w:tcW w:w="98" w:type="dxa"/>
            <w:tcBorders/>
          </w:tcPr>
          <w:p>
            <w:pPr>
              <w:pStyle w:val="TableContents"/>
              <w:bidi w:val="0"/>
              <w:spacing w:before="0" w:after="0"/>
              <w:ind w:left="0" w:right="0" w:hanging="0"/>
              <w:jc w:val="left"/>
              <w:rPr/>
            </w:pPr>
            <w:r>
              <w:rPr/>
              <w:t> </w:t>
            </w:r>
          </w:p>
        </w:tc>
        <w:tc>
          <w:tcPr>
            <w:tcW w:w="270" w:type="dxa"/>
            <w:tcBorders/>
          </w:tcPr>
          <w:p>
            <w:pPr>
              <w:pStyle w:val="TableContents"/>
              <w:bidi w:val="0"/>
              <w:spacing w:before="0" w:after="0"/>
              <w:ind w:left="0" w:right="0" w:hanging="0"/>
              <w:jc w:val="left"/>
              <w:rPr/>
            </w:pPr>
            <w:r>
              <w:rPr/>
              <w:t> </w:t>
            </w:r>
          </w:p>
        </w:tc>
        <w:tc>
          <w:tcPr>
            <w:tcW w:w="1442" w:type="dxa"/>
            <w:tcBorders/>
          </w:tcPr>
          <w:p>
            <w:pPr>
              <w:pStyle w:val="TableContents"/>
              <w:bidi w:val="0"/>
              <w:spacing w:before="0" w:after="0"/>
              <w:ind w:left="0" w:right="0" w:hanging="0"/>
              <w:jc w:val="right"/>
              <w:rPr/>
            </w:pPr>
            <w:r>
              <w:rPr/>
              <w:t>(2,543</w:t>
            </w:r>
          </w:p>
        </w:tc>
        <w:tc>
          <w:tcPr>
            <w:tcW w:w="294" w:type="dxa"/>
            <w:tcBorders/>
          </w:tcPr>
          <w:p>
            <w:pPr>
              <w:pStyle w:val="TableContents"/>
              <w:bidi w:val="0"/>
              <w:spacing w:before="0" w:after="0"/>
              <w:ind w:left="0" w:right="0" w:hanging="0"/>
              <w:jc w:val="left"/>
              <w:rPr/>
            </w:pPr>
            <w:r>
              <w:rPr/>
              <w:t>) </w:t>
            </w:r>
          </w:p>
        </w:tc>
        <w:tc>
          <w:tcPr>
            <w:tcW w:w="142" w:type="dxa"/>
            <w:tcBorders/>
          </w:tcPr>
          <w:p>
            <w:pPr>
              <w:pStyle w:val="TableContents"/>
              <w:bidi w:val="0"/>
              <w:spacing w:before="0" w:after="0"/>
              <w:ind w:left="0" w:right="0" w:hanging="0"/>
              <w:jc w:val="left"/>
              <w:rPr/>
            </w:pPr>
            <w:r>
              <w:rPr/>
              <w:t> </w:t>
            </w:r>
          </w:p>
        </w:tc>
        <w:tc>
          <w:tcPr>
            <w:tcW w:w="270" w:type="dxa"/>
            <w:tcBorders/>
          </w:tcPr>
          <w:p>
            <w:pPr>
              <w:pStyle w:val="TableContents"/>
              <w:bidi w:val="0"/>
              <w:spacing w:before="0" w:after="0"/>
              <w:ind w:left="0" w:right="0" w:hanging="0"/>
              <w:jc w:val="left"/>
              <w:rPr/>
            </w:pPr>
            <w:r>
              <w:rPr/>
              <w:t> </w:t>
            </w:r>
          </w:p>
        </w:tc>
        <w:tc>
          <w:tcPr>
            <w:tcW w:w="1322" w:type="dxa"/>
            <w:tcBorders/>
          </w:tcPr>
          <w:p>
            <w:pPr>
              <w:pStyle w:val="TableContents"/>
              <w:bidi w:val="0"/>
              <w:spacing w:before="0" w:after="0"/>
              <w:ind w:left="0" w:right="0" w:hanging="0"/>
              <w:jc w:val="right"/>
              <w:rPr/>
            </w:pPr>
            <w:r>
              <w:rPr/>
              <w:t>(4,701</w:t>
            </w:r>
          </w:p>
        </w:tc>
        <w:tc>
          <w:tcPr>
            <w:tcW w:w="253" w:type="dxa"/>
            <w:tcBorders/>
          </w:tcPr>
          <w:p>
            <w:pPr>
              <w:pStyle w:val="TableContents"/>
              <w:bidi w:val="0"/>
              <w:spacing w:before="0" w:after="0"/>
              <w:ind w:left="0" w:right="0" w:hanging="150"/>
              <w:jc w:val="left"/>
              <w:rPr/>
            </w:pPr>
            <w:r>
              <w:rPr/>
              <w:t>) </w:t>
            </w:r>
          </w:p>
        </w:tc>
      </w:tr>
      <w:tr>
        <w:trPr/>
        <w:tc>
          <w:tcPr>
            <w:tcW w:w="6114" w:type="dxa"/>
            <w:tcBorders/>
            <w:shd w:fill="CCEEFF" w:val="clear"/>
          </w:tcPr>
          <w:p>
            <w:pPr>
              <w:pStyle w:val="TableContents"/>
              <w:bidi w:val="0"/>
              <w:spacing w:before="0" w:after="0"/>
              <w:ind w:left="0" w:right="0" w:hanging="0"/>
              <w:jc w:val="left"/>
              <w:rPr/>
            </w:pPr>
            <w:r>
              <w:rPr/>
              <w:t>Acquisition of intangible assets</w:t>
            </w:r>
          </w:p>
        </w:tc>
        <w:tc>
          <w:tcPr>
            <w:tcW w:w="98" w:type="dxa"/>
            <w:tcBorders/>
            <w:shd w:fill="CCEEFF" w:val="clear"/>
          </w:tcPr>
          <w:p>
            <w:pPr>
              <w:pStyle w:val="TableContents"/>
              <w:bidi w:val="0"/>
              <w:spacing w:before="0" w:after="0"/>
              <w:ind w:left="0" w:right="0" w:hanging="0"/>
              <w:jc w:val="left"/>
              <w:rPr/>
            </w:pPr>
            <w:r>
              <w:rPr/>
              <w:t> </w:t>
            </w:r>
          </w:p>
        </w:tc>
        <w:tc>
          <w:tcPr>
            <w:tcW w:w="270" w:type="dxa"/>
            <w:tcBorders/>
            <w:shd w:fill="CCEEFF" w:val="clear"/>
          </w:tcPr>
          <w:p>
            <w:pPr>
              <w:pStyle w:val="TableContents"/>
              <w:bidi w:val="0"/>
              <w:spacing w:before="0" w:after="0"/>
              <w:ind w:left="0" w:right="0" w:hanging="0"/>
              <w:jc w:val="left"/>
              <w:rPr/>
            </w:pPr>
            <w:r>
              <w:rPr/>
              <w:t> </w:t>
            </w:r>
          </w:p>
        </w:tc>
        <w:tc>
          <w:tcPr>
            <w:tcW w:w="1442" w:type="dxa"/>
            <w:tcBorders/>
            <w:shd w:fill="CCEEFF" w:val="clear"/>
          </w:tcPr>
          <w:p>
            <w:pPr>
              <w:pStyle w:val="TableContents"/>
              <w:bidi w:val="0"/>
              <w:spacing w:before="0" w:after="0"/>
              <w:ind w:left="0" w:right="0" w:hanging="0"/>
              <w:jc w:val="right"/>
              <w:rPr/>
            </w:pPr>
            <w:r>
              <w:rPr/>
              <w:t>(53</w:t>
            </w:r>
          </w:p>
        </w:tc>
        <w:tc>
          <w:tcPr>
            <w:tcW w:w="294" w:type="dxa"/>
            <w:tcBorders/>
            <w:shd w:fill="CCEEFF" w:val="clear"/>
          </w:tcPr>
          <w:p>
            <w:pPr>
              <w:pStyle w:val="TableContents"/>
              <w:bidi w:val="0"/>
              <w:spacing w:before="0" w:after="0"/>
              <w:ind w:left="0" w:right="0" w:hanging="0"/>
              <w:jc w:val="left"/>
              <w:rPr/>
            </w:pPr>
            <w:r>
              <w:rPr/>
              <w:t>) </w:t>
            </w:r>
          </w:p>
        </w:tc>
        <w:tc>
          <w:tcPr>
            <w:tcW w:w="142" w:type="dxa"/>
            <w:tcBorders/>
            <w:shd w:fill="CCEEFF" w:val="clear"/>
          </w:tcPr>
          <w:p>
            <w:pPr>
              <w:pStyle w:val="TableContents"/>
              <w:bidi w:val="0"/>
              <w:spacing w:before="0" w:after="0"/>
              <w:ind w:left="0" w:right="0" w:hanging="0"/>
              <w:jc w:val="left"/>
              <w:rPr/>
            </w:pPr>
            <w:r>
              <w:rPr/>
              <w:t> </w:t>
            </w:r>
          </w:p>
        </w:tc>
        <w:tc>
          <w:tcPr>
            <w:tcW w:w="270" w:type="dxa"/>
            <w:tcBorders/>
            <w:shd w:fill="CCEEFF" w:val="clear"/>
          </w:tcPr>
          <w:p>
            <w:pPr>
              <w:pStyle w:val="TableContents"/>
              <w:bidi w:val="0"/>
              <w:spacing w:before="0" w:after="0"/>
              <w:ind w:left="0" w:right="0" w:hanging="0"/>
              <w:jc w:val="left"/>
              <w:rPr/>
            </w:pPr>
            <w:r>
              <w:rPr/>
              <w:t> </w:t>
            </w:r>
          </w:p>
        </w:tc>
        <w:tc>
          <w:tcPr>
            <w:tcW w:w="1322" w:type="dxa"/>
            <w:tcBorders/>
            <w:shd w:fill="CCEEFF" w:val="clear"/>
          </w:tcPr>
          <w:p>
            <w:pPr>
              <w:pStyle w:val="TableContents"/>
              <w:bidi w:val="0"/>
              <w:spacing w:before="0" w:after="0"/>
              <w:ind w:left="0" w:right="0" w:hanging="0"/>
              <w:jc w:val="right"/>
              <w:rPr/>
            </w:pPr>
            <w:r>
              <w:rPr/>
              <w:t>(19</w:t>
            </w:r>
          </w:p>
        </w:tc>
        <w:tc>
          <w:tcPr>
            <w:tcW w:w="253" w:type="dxa"/>
            <w:tcBorders/>
            <w:shd w:fill="CCEEFF" w:val="clear"/>
          </w:tcPr>
          <w:p>
            <w:pPr>
              <w:pStyle w:val="TableContents"/>
              <w:bidi w:val="0"/>
              <w:spacing w:before="0" w:after="0"/>
              <w:ind w:left="0" w:right="0" w:hanging="150"/>
              <w:jc w:val="left"/>
              <w:rPr/>
            </w:pPr>
            <w:r>
              <w:rPr/>
              <w:t>) </w:t>
            </w:r>
          </w:p>
        </w:tc>
      </w:tr>
      <w:tr>
        <w:trPr/>
        <w:tc>
          <w:tcPr>
            <w:tcW w:w="6114" w:type="dxa"/>
            <w:tcBorders/>
          </w:tcPr>
          <w:p>
            <w:pPr>
              <w:pStyle w:val="TableContents"/>
              <w:bidi w:val="0"/>
              <w:spacing w:before="0" w:after="0"/>
              <w:ind w:left="0" w:right="0" w:hanging="0"/>
              <w:jc w:val="left"/>
              <w:rPr/>
            </w:pPr>
            <w:r>
              <w:rPr/>
              <w:t>Proceeds on the sales of assets held for sale</w:t>
            </w:r>
          </w:p>
        </w:tc>
        <w:tc>
          <w:tcPr>
            <w:tcW w:w="98" w:type="dxa"/>
            <w:tcBorders/>
          </w:tcPr>
          <w:p>
            <w:pPr>
              <w:pStyle w:val="TableContents"/>
              <w:bidi w:val="0"/>
              <w:spacing w:before="0" w:after="0"/>
              <w:ind w:left="0" w:right="0" w:hanging="0"/>
              <w:jc w:val="left"/>
              <w:rPr/>
            </w:pPr>
            <w:r>
              <w:rPr/>
              <w:t> </w:t>
            </w:r>
          </w:p>
        </w:tc>
        <w:tc>
          <w:tcPr>
            <w:tcW w:w="270" w:type="dxa"/>
            <w:tcBorders>
              <w:bottom w:val="single" w:sz="12" w:space="0" w:color="000000"/>
            </w:tcBorders>
            <w:tcMar>
              <w:bottom w:w="28" w:type="dxa"/>
            </w:tcMar>
          </w:tcPr>
          <w:p>
            <w:pPr>
              <w:pStyle w:val="TableContents"/>
              <w:bidi w:val="0"/>
              <w:spacing w:before="0" w:after="0"/>
              <w:ind w:left="0" w:right="0" w:hanging="0"/>
              <w:jc w:val="left"/>
              <w:rPr/>
            </w:pPr>
            <w:r>
              <w:rPr/>
              <w:t> </w:t>
            </w:r>
          </w:p>
        </w:tc>
        <w:tc>
          <w:tcPr>
            <w:tcW w:w="1442" w:type="dxa"/>
            <w:tcBorders>
              <w:bottom w:val="single" w:sz="12" w:space="0" w:color="000000"/>
            </w:tcBorders>
            <w:tcMar>
              <w:bottom w:w="28" w:type="dxa"/>
            </w:tcMar>
          </w:tcPr>
          <w:p>
            <w:pPr>
              <w:pStyle w:val="TableContents"/>
              <w:bidi w:val="0"/>
              <w:spacing w:before="0" w:after="0"/>
              <w:ind w:left="0" w:right="0" w:hanging="0"/>
              <w:jc w:val="right"/>
              <w:rPr/>
            </w:pPr>
            <w:r>
              <w:rPr/>
              <w:t>5,000</w:t>
            </w:r>
          </w:p>
        </w:tc>
        <w:tc>
          <w:tcPr>
            <w:tcW w:w="294" w:type="dxa"/>
            <w:tcBorders>
              <w:bottom w:val="single" w:sz="12" w:space="0" w:color="000000"/>
            </w:tcBorders>
            <w:tcMar>
              <w:bottom w:w="28" w:type="dxa"/>
            </w:tcMar>
          </w:tcPr>
          <w:p>
            <w:pPr>
              <w:pStyle w:val="TableContents"/>
              <w:bidi w:val="0"/>
              <w:spacing w:before="0" w:after="0"/>
              <w:ind w:left="0" w:right="0" w:hanging="0"/>
              <w:jc w:val="left"/>
              <w:rPr/>
            </w:pPr>
            <w:r>
              <w:rPr/>
              <w:t> </w:t>
            </w:r>
          </w:p>
        </w:tc>
        <w:tc>
          <w:tcPr>
            <w:tcW w:w="142" w:type="dxa"/>
            <w:tcBorders/>
          </w:tcPr>
          <w:p>
            <w:pPr>
              <w:pStyle w:val="TableContents"/>
              <w:bidi w:val="0"/>
              <w:spacing w:before="0" w:after="0"/>
              <w:ind w:left="0" w:right="0" w:hanging="0"/>
              <w:jc w:val="left"/>
              <w:rPr/>
            </w:pPr>
            <w:r>
              <w:rPr/>
              <w:t> </w:t>
            </w:r>
          </w:p>
        </w:tc>
        <w:tc>
          <w:tcPr>
            <w:tcW w:w="270" w:type="dxa"/>
            <w:tcBorders>
              <w:bottom w:val="single" w:sz="12" w:space="0" w:color="000000"/>
            </w:tcBorders>
            <w:tcMar>
              <w:bottom w:w="28" w:type="dxa"/>
            </w:tcMar>
          </w:tcPr>
          <w:p>
            <w:pPr>
              <w:pStyle w:val="TableContents"/>
              <w:bidi w:val="0"/>
              <w:spacing w:before="0" w:after="0"/>
              <w:ind w:left="0" w:right="0" w:hanging="0"/>
              <w:jc w:val="left"/>
              <w:rPr/>
            </w:pPr>
            <w:r>
              <w:rPr/>
              <w:t> </w:t>
            </w:r>
          </w:p>
        </w:tc>
        <w:tc>
          <w:tcPr>
            <w:tcW w:w="1322" w:type="dxa"/>
            <w:tcBorders>
              <w:bottom w:val="single" w:sz="12" w:space="0" w:color="000000"/>
            </w:tcBorders>
            <w:tcMar>
              <w:bottom w:w="28" w:type="dxa"/>
            </w:tcMar>
          </w:tcPr>
          <w:p>
            <w:pPr>
              <w:pStyle w:val="TableContents"/>
              <w:bidi w:val="0"/>
              <w:spacing w:before="0" w:after="0"/>
              <w:ind w:left="0" w:right="0" w:hanging="0"/>
              <w:jc w:val="right"/>
              <w:rPr/>
            </w:pPr>
            <w:r>
              <w:rPr/>
              <w:t>-</w:t>
            </w:r>
          </w:p>
        </w:tc>
        <w:tc>
          <w:tcPr>
            <w:tcW w:w="253" w:type="dxa"/>
            <w:tcBorders>
              <w:bottom w:val="single" w:sz="12" w:space="0" w:color="000000"/>
            </w:tcBorders>
            <w:tcMar>
              <w:bottom w:w="28" w:type="dxa"/>
            </w:tcMar>
          </w:tcPr>
          <w:p>
            <w:pPr>
              <w:pStyle w:val="TableContents"/>
              <w:bidi w:val="0"/>
              <w:spacing w:before="0" w:after="0"/>
              <w:ind w:left="0" w:right="0" w:hanging="150"/>
              <w:jc w:val="left"/>
              <w:rPr/>
            </w:pPr>
            <w:r>
              <w:rPr/>
              <w:t> </w:t>
            </w:r>
          </w:p>
        </w:tc>
      </w:tr>
      <w:tr>
        <w:trPr/>
        <w:tc>
          <w:tcPr>
            <w:tcW w:w="6114" w:type="dxa"/>
            <w:tcBorders/>
            <w:shd w:fill="CCEEFF" w:val="clear"/>
          </w:tcPr>
          <w:p>
            <w:pPr>
              <w:pStyle w:val="TableContents"/>
              <w:bidi w:val="0"/>
              <w:spacing w:before="0" w:after="0"/>
              <w:ind w:left="0" w:right="0" w:hanging="0"/>
              <w:jc w:val="left"/>
              <w:rPr/>
            </w:pPr>
            <w:r>
              <w:rPr/>
              <w:t>Net cash provided by (used in) investing activities</w:t>
            </w:r>
          </w:p>
        </w:tc>
        <w:tc>
          <w:tcPr>
            <w:tcW w:w="98" w:type="dxa"/>
            <w:tcBorders/>
            <w:shd w:fill="CCEEFF" w:val="clear"/>
          </w:tcPr>
          <w:p>
            <w:pPr>
              <w:pStyle w:val="TableContents"/>
              <w:bidi w:val="0"/>
              <w:spacing w:before="0" w:after="0"/>
              <w:ind w:left="0" w:right="0" w:hanging="0"/>
              <w:jc w:val="left"/>
              <w:rPr/>
            </w:pPr>
            <w:r>
              <w:rPr/>
              <w:t> </w:t>
            </w:r>
          </w:p>
        </w:tc>
        <w:tc>
          <w:tcPr>
            <w:tcW w:w="270" w:type="dxa"/>
            <w:tcBorders>
              <w:bottom w:val="single" w:sz="12" w:space="0" w:color="000000"/>
            </w:tcBorders>
            <w:shd w:fill="CCEEFF" w:val="clear"/>
            <w:tcMar>
              <w:bottom w:w="28" w:type="dxa"/>
            </w:tcMar>
          </w:tcPr>
          <w:p>
            <w:pPr>
              <w:pStyle w:val="TableContents"/>
              <w:bidi w:val="0"/>
              <w:spacing w:before="0" w:after="0"/>
              <w:ind w:left="0" w:right="0" w:hanging="0"/>
              <w:jc w:val="left"/>
              <w:rPr/>
            </w:pPr>
            <w:r>
              <w:rPr/>
              <w:t> </w:t>
            </w:r>
          </w:p>
        </w:tc>
        <w:tc>
          <w:tcPr>
            <w:tcW w:w="1442" w:type="dxa"/>
            <w:tcBorders>
              <w:bottom w:val="single" w:sz="12" w:space="0" w:color="000000"/>
            </w:tcBorders>
            <w:shd w:fill="CCEEFF" w:val="clear"/>
            <w:tcMar>
              <w:bottom w:w="28" w:type="dxa"/>
            </w:tcMar>
          </w:tcPr>
          <w:p>
            <w:pPr>
              <w:pStyle w:val="TableContents"/>
              <w:bidi w:val="0"/>
              <w:spacing w:before="0" w:after="0"/>
              <w:ind w:left="0" w:right="0" w:hanging="0"/>
              <w:jc w:val="right"/>
              <w:rPr/>
            </w:pPr>
            <w:r>
              <w:rPr/>
              <w:t>2,404</w:t>
            </w:r>
          </w:p>
        </w:tc>
        <w:tc>
          <w:tcPr>
            <w:tcW w:w="294" w:type="dxa"/>
            <w:tcBorders>
              <w:bottom w:val="single" w:sz="12" w:space="0" w:color="000000"/>
            </w:tcBorders>
            <w:shd w:fill="CCEEFF" w:val="clear"/>
            <w:tcMar>
              <w:bottom w:w="28" w:type="dxa"/>
            </w:tcMar>
          </w:tcPr>
          <w:p>
            <w:pPr>
              <w:pStyle w:val="TableContents"/>
              <w:bidi w:val="0"/>
              <w:spacing w:before="0" w:after="0"/>
              <w:ind w:left="0" w:right="0" w:hanging="0"/>
              <w:jc w:val="left"/>
              <w:rPr/>
            </w:pPr>
            <w:r>
              <w:rPr/>
              <w:t> </w:t>
            </w:r>
          </w:p>
        </w:tc>
        <w:tc>
          <w:tcPr>
            <w:tcW w:w="142" w:type="dxa"/>
            <w:tcBorders/>
            <w:shd w:fill="CCEEFF" w:val="clear"/>
          </w:tcPr>
          <w:p>
            <w:pPr>
              <w:pStyle w:val="TableContents"/>
              <w:bidi w:val="0"/>
              <w:spacing w:before="0" w:after="0"/>
              <w:ind w:left="0" w:right="0" w:hanging="0"/>
              <w:jc w:val="left"/>
              <w:rPr/>
            </w:pPr>
            <w:r>
              <w:rPr/>
              <w:t> </w:t>
            </w:r>
          </w:p>
        </w:tc>
        <w:tc>
          <w:tcPr>
            <w:tcW w:w="270" w:type="dxa"/>
            <w:tcBorders>
              <w:bottom w:val="single" w:sz="12" w:space="0" w:color="000000"/>
            </w:tcBorders>
            <w:shd w:fill="CCEEFF" w:val="clear"/>
            <w:tcMar>
              <w:bottom w:w="28" w:type="dxa"/>
            </w:tcMar>
          </w:tcPr>
          <w:p>
            <w:pPr>
              <w:pStyle w:val="TableContents"/>
              <w:bidi w:val="0"/>
              <w:spacing w:before="0" w:after="0"/>
              <w:ind w:left="0" w:right="0" w:hanging="0"/>
              <w:jc w:val="left"/>
              <w:rPr/>
            </w:pPr>
            <w:r>
              <w:rPr/>
              <w:t> </w:t>
            </w:r>
          </w:p>
        </w:tc>
        <w:tc>
          <w:tcPr>
            <w:tcW w:w="1322" w:type="dxa"/>
            <w:tcBorders>
              <w:bottom w:val="single" w:sz="12" w:space="0" w:color="000000"/>
            </w:tcBorders>
            <w:shd w:fill="CCEEFF" w:val="clear"/>
            <w:tcMar>
              <w:bottom w:w="28" w:type="dxa"/>
            </w:tcMar>
          </w:tcPr>
          <w:p>
            <w:pPr>
              <w:pStyle w:val="TableContents"/>
              <w:bidi w:val="0"/>
              <w:spacing w:before="0" w:after="0"/>
              <w:ind w:left="0" w:right="0" w:hanging="0"/>
              <w:jc w:val="right"/>
              <w:rPr/>
            </w:pPr>
            <w:r>
              <w:rPr/>
              <w:t>(4,720</w:t>
            </w:r>
          </w:p>
        </w:tc>
        <w:tc>
          <w:tcPr>
            <w:tcW w:w="253" w:type="dxa"/>
            <w:tcBorders>
              <w:bottom w:val="single" w:sz="12" w:space="0" w:color="000000"/>
            </w:tcBorders>
            <w:shd w:fill="CCEEFF" w:val="clear"/>
            <w:tcMar>
              <w:bottom w:w="28" w:type="dxa"/>
            </w:tcMar>
          </w:tcPr>
          <w:p>
            <w:pPr>
              <w:pStyle w:val="TableContents"/>
              <w:bidi w:val="0"/>
              <w:spacing w:before="0" w:after="0"/>
              <w:ind w:left="0" w:right="0" w:hanging="150"/>
              <w:jc w:val="left"/>
              <w:rPr/>
            </w:pPr>
            <w:r>
              <w:rPr/>
              <w:t>) </w:t>
            </w:r>
          </w:p>
        </w:tc>
      </w:tr>
      <w:tr>
        <w:trPr/>
        <w:tc>
          <w:tcPr>
            <w:tcW w:w="6114" w:type="dxa"/>
            <w:tcBorders/>
          </w:tcPr>
          <w:p>
            <w:pPr>
              <w:pStyle w:val="TableContents"/>
              <w:bidi w:val="0"/>
              <w:spacing w:before="0" w:after="283"/>
              <w:jc w:val="left"/>
              <w:rPr/>
            </w:pPr>
            <w:r>
              <w:rPr/>
              <w:t> </w:t>
            </w:r>
          </w:p>
        </w:tc>
        <w:tc>
          <w:tcPr>
            <w:tcW w:w="98" w:type="dxa"/>
            <w:tcBorders/>
          </w:tcPr>
          <w:p>
            <w:pPr>
              <w:pStyle w:val="TableContents"/>
              <w:bidi w:val="0"/>
              <w:spacing w:before="0" w:after="283"/>
              <w:jc w:val="left"/>
              <w:rPr/>
            </w:pPr>
            <w:r>
              <w:rPr/>
              <w:t> </w:t>
            </w:r>
          </w:p>
        </w:tc>
        <w:tc>
          <w:tcPr>
            <w:tcW w:w="270" w:type="dxa"/>
            <w:tcBorders/>
          </w:tcPr>
          <w:p>
            <w:pPr>
              <w:pStyle w:val="TableContents"/>
              <w:bidi w:val="0"/>
              <w:spacing w:before="0" w:after="283"/>
              <w:jc w:val="left"/>
              <w:rPr/>
            </w:pPr>
            <w:r>
              <w:rPr/>
              <w:t> </w:t>
            </w:r>
          </w:p>
        </w:tc>
        <w:tc>
          <w:tcPr>
            <w:tcW w:w="1442" w:type="dxa"/>
            <w:tcBorders/>
          </w:tcPr>
          <w:p>
            <w:pPr>
              <w:pStyle w:val="TableContents"/>
              <w:bidi w:val="0"/>
              <w:spacing w:before="0" w:after="283"/>
              <w:jc w:val="left"/>
              <w:rPr/>
            </w:pPr>
            <w:r>
              <w:rPr/>
              <w:t> </w:t>
            </w:r>
          </w:p>
        </w:tc>
        <w:tc>
          <w:tcPr>
            <w:tcW w:w="294" w:type="dxa"/>
            <w:tcBorders/>
          </w:tcPr>
          <w:p>
            <w:pPr>
              <w:pStyle w:val="TableContents"/>
              <w:bidi w:val="0"/>
              <w:spacing w:before="0" w:after="283"/>
              <w:jc w:val="left"/>
              <w:rPr/>
            </w:pPr>
            <w:r>
              <w:rPr/>
              <w:t> </w:t>
            </w:r>
          </w:p>
        </w:tc>
        <w:tc>
          <w:tcPr>
            <w:tcW w:w="142" w:type="dxa"/>
            <w:tcBorders/>
          </w:tcPr>
          <w:p>
            <w:pPr>
              <w:pStyle w:val="TableContents"/>
              <w:bidi w:val="0"/>
              <w:spacing w:before="0" w:after="283"/>
              <w:jc w:val="left"/>
              <w:rPr/>
            </w:pPr>
            <w:r>
              <w:rPr/>
              <w:t> </w:t>
            </w:r>
          </w:p>
        </w:tc>
        <w:tc>
          <w:tcPr>
            <w:tcW w:w="270" w:type="dxa"/>
            <w:tcBorders/>
          </w:tcPr>
          <w:p>
            <w:pPr>
              <w:pStyle w:val="TableContents"/>
              <w:bidi w:val="0"/>
              <w:spacing w:before="0" w:after="283"/>
              <w:jc w:val="left"/>
              <w:rPr/>
            </w:pPr>
            <w:r>
              <w:rPr/>
              <w:t> </w:t>
            </w:r>
          </w:p>
        </w:tc>
        <w:tc>
          <w:tcPr>
            <w:tcW w:w="1322" w:type="dxa"/>
            <w:tcBorders/>
          </w:tcPr>
          <w:p>
            <w:pPr>
              <w:pStyle w:val="TableContents"/>
              <w:bidi w:val="0"/>
              <w:spacing w:before="0" w:after="283"/>
              <w:jc w:val="left"/>
              <w:rPr/>
            </w:pPr>
            <w:r>
              <w:rPr/>
              <w:t> </w:t>
            </w:r>
          </w:p>
        </w:tc>
        <w:tc>
          <w:tcPr>
            <w:tcW w:w="253" w:type="dxa"/>
            <w:tcBorders/>
          </w:tcPr>
          <w:p>
            <w:pPr>
              <w:pStyle w:val="TableContents"/>
              <w:bidi w:val="0"/>
              <w:spacing w:before="0" w:after="283"/>
              <w:ind w:left="0" w:right="0" w:hanging="150"/>
              <w:jc w:val="left"/>
              <w:rPr/>
            </w:pPr>
            <w:r>
              <w:rPr/>
              <w:t> </w:t>
            </w:r>
          </w:p>
        </w:tc>
      </w:tr>
      <w:tr>
        <w:trPr/>
        <w:tc>
          <w:tcPr>
            <w:tcW w:w="6114" w:type="dxa"/>
            <w:tcBorders/>
            <w:shd w:fill="CCEEFF" w:val="clear"/>
          </w:tcPr>
          <w:p>
            <w:pPr>
              <w:pStyle w:val="TableContents"/>
              <w:bidi w:val="0"/>
              <w:spacing w:before="0" w:after="0"/>
              <w:ind w:left="0" w:right="0" w:hanging="150"/>
              <w:jc w:val="left"/>
              <w:rPr>
                <w:b/>
              </w:rPr>
            </w:pPr>
            <w:r>
              <w:rPr>
                <w:b/>
              </w:rPr>
              <w:t>CASH FLOWS FROM FINANCING ACTIVITIES:</w:t>
            </w:r>
          </w:p>
        </w:tc>
        <w:tc>
          <w:tcPr>
            <w:tcW w:w="98" w:type="dxa"/>
            <w:tcBorders/>
            <w:shd w:fill="CCEEFF" w:val="clear"/>
          </w:tcPr>
          <w:p>
            <w:pPr>
              <w:pStyle w:val="TableContents"/>
              <w:bidi w:val="0"/>
              <w:spacing w:before="0" w:after="283"/>
              <w:jc w:val="left"/>
              <w:rPr/>
            </w:pPr>
            <w:r>
              <w:rPr/>
              <w:t> </w:t>
            </w:r>
          </w:p>
        </w:tc>
        <w:tc>
          <w:tcPr>
            <w:tcW w:w="270" w:type="dxa"/>
            <w:tcBorders/>
            <w:shd w:fill="CCEEFF" w:val="clear"/>
          </w:tcPr>
          <w:p>
            <w:pPr>
              <w:pStyle w:val="TableContents"/>
              <w:bidi w:val="0"/>
              <w:spacing w:before="0" w:after="283"/>
              <w:jc w:val="left"/>
              <w:rPr/>
            </w:pPr>
            <w:r>
              <w:rPr/>
              <w:t> </w:t>
            </w:r>
          </w:p>
        </w:tc>
        <w:tc>
          <w:tcPr>
            <w:tcW w:w="1442" w:type="dxa"/>
            <w:tcBorders/>
            <w:shd w:fill="CCEEFF" w:val="clear"/>
          </w:tcPr>
          <w:p>
            <w:pPr>
              <w:pStyle w:val="TableContents"/>
              <w:bidi w:val="0"/>
              <w:spacing w:before="0" w:after="283"/>
              <w:jc w:val="left"/>
              <w:rPr/>
            </w:pPr>
            <w:r>
              <w:rPr/>
              <w:t> </w:t>
            </w:r>
          </w:p>
        </w:tc>
        <w:tc>
          <w:tcPr>
            <w:tcW w:w="294" w:type="dxa"/>
            <w:tcBorders/>
            <w:shd w:fill="CCEEFF" w:val="clear"/>
          </w:tcPr>
          <w:p>
            <w:pPr>
              <w:pStyle w:val="TableContents"/>
              <w:bidi w:val="0"/>
              <w:spacing w:before="0" w:after="283"/>
              <w:jc w:val="left"/>
              <w:rPr/>
            </w:pPr>
            <w:r>
              <w:rPr/>
              <w:t> </w:t>
            </w:r>
          </w:p>
        </w:tc>
        <w:tc>
          <w:tcPr>
            <w:tcW w:w="142" w:type="dxa"/>
            <w:tcBorders/>
            <w:shd w:fill="CCEEFF" w:val="clear"/>
          </w:tcPr>
          <w:p>
            <w:pPr>
              <w:pStyle w:val="TableContents"/>
              <w:bidi w:val="0"/>
              <w:spacing w:before="0" w:after="283"/>
              <w:jc w:val="left"/>
              <w:rPr/>
            </w:pPr>
            <w:r>
              <w:rPr/>
              <w:t> </w:t>
            </w:r>
          </w:p>
        </w:tc>
        <w:tc>
          <w:tcPr>
            <w:tcW w:w="270" w:type="dxa"/>
            <w:tcBorders/>
            <w:shd w:fill="CCEEFF" w:val="clear"/>
          </w:tcPr>
          <w:p>
            <w:pPr>
              <w:pStyle w:val="TableContents"/>
              <w:bidi w:val="0"/>
              <w:spacing w:before="0" w:after="283"/>
              <w:jc w:val="left"/>
              <w:rPr/>
            </w:pPr>
            <w:r>
              <w:rPr/>
              <w:t> </w:t>
            </w:r>
          </w:p>
        </w:tc>
        <w:tc>
          <w:tcPr>
            <w:tcW w:w="1322" w:type="dxa"/>
            <w:tcBorders/>
            <w:shd w:fill="CCEEFF" w:val="clear"/>
          </w:tcPr>
          <w:p>
            <w:pPr>
              <w:pStyle w:val="TableContents"/>
              <w:bidi w:val="0"/>
              <w:spacing w:before="0" w:after="283"/>
              <w:jc w:val="left"/>
              <w:rPr/>
            </w:pPr>
            <w:r>
              <w:rPr/>
              <w:t> </w:t>
            </w:r>
          </w:p>
        </w:tc>
        <w:tc>
          <w:tcPr>
            <w:tcW w:w="253" w:type="dxa"/>
            <w:tcBorders/>
            <w:shd w:fill="CCEEFF" w:val="clear"/>
          </w:tcPr>
          <w:p>
            <w:pPr>
              <w:pStyle w:val="TableContents"/>
              <w:bidi w:val="0"/>
              <w:spacing w:before="0" w:after="283"/>
              <w:ind w:left="0" w:right="0" w:hanging="150"/>
              <w:jc w:val="left"/>
              <w:rPr/>
            </w:pPr>
            <w:r>
              <w:rPr/>
              <w:t> </w:t>
            </w:r>
          </w:p>
        </w:tc>
      </w:tr>
      <w:tr>
        <w:trPr/>
        <w:tc>
          <w:tcPr>
            <w:tcW w:w="6114" w:type="dxa"/>
            <w:tcBorders/>
          </w:tcPr>
          <w:p>
            <w:pPr>
              <w:pStyle w:val="TableContents"/>
              <w:bidi w:val="0"/>
              <w:spacing w:before="0" w:after="0"/>
              <w:ind w:left="0" w:right="0" w:hanging="0"/>
              <w:jc w:val="left"/>
              <w:rPr/>
            </w:pPr>
            <w:r>
              <w:rPr/>
              <w:t>JPM term loan payments</w:t>
            </w:r>
          </w:p>
        </w:tc>
        <w:tc>
          <w:tcPr>
            <w:tcW w:w="98" w:type="dxa"/>
            <w:tcBorders/>
          </w:tcPr>
          <w:p>
            <w:pPr>
              <w:pStyle w:val="TableContents"/>
              <w:bidi w:val="0"/>
              <w:spacing w:before="0" w:after="0"/>
              <w:ind w:left="0" w:right="0" w:hanging="0"/>
              <w:jc w:val="left"/>
              <w:rPr/>
            </w:pPr>
            <w:r>
              <w:rPr/>
              <w:t> </w:t>
            </w:r>
          </w:p>
        </w:tc>
        <w:tc>
          <w:tcPr>
            <w:tcW w:w="270" w:type="dxa"/>
            <w:tcBorders/>
          </w:tcPr>
          <w:p>
            <w:pPr>
              <w:pStyle w:val="TableContents"/>
              <w:bidi w:val="0"/>
              <w:spacing w:before="0" w:after="0"/>
              <w:ind w:left="0" w:right="0" w:hanging="0"/>
              <w:jc w:val="left"/>
              <w:rPr/>
            </w:pPr>
            <w:r>
              <w:rPr/>
              <w:t> </w:t>
            </w:r>
          </w:p>
        </w:tc>
        <w:tc>
          <w:tcPr>
            <w:tcW w:w="1442" w:type="dxa"/>
            <w:tcBorders/>
          </w:tcPr>
          <w:p>
            <w:pPr>
              <w:pStyle w:val="TableContents"/>
              <w:bidi w:val="0"/>
              <w:spacing w:before="0" w:after="0"/>
              <w:ind w:left="0" w:right="0" w:hanging="0"/>
              <w:jc w:val="right"/>
              <w:rPr/>
            </w:pPr>
            <w:r>
              <w:rPr/>
              <w:t>(469</w:t>
            </w:r>
          </w:p>
        </w:tc>
        <w:tc>
          <w:tcPr>
            <w:tcW w:w="294" w:type="dxa"/>
            <w:tcBorders/>
          </w:tcPr>
          <w:p>
            <w:pPr>
              <w:pStyle w:val="TableContents"/>
              <w:bidi w:val="0"/>
              <w:spacing w:before="0" w:after="0"/>
              <w:ind w:left="0" w:right="0" w:hanging="0"/>
              <w:jc w:val="left"/>
              <w:rPr/>
            </w:pPr>
            <w:r>
              <w:rPr/>
              <w:t>) </w:t>
            </w:r>
          </w:p>
        </w:tc>
        <w:tc>
          <w:tcPr>
            <w:tcW w:w="142" w:type="dxa"/>
            <w:tcBorders/>
          </w:tcPr>
          <w:p>
            <w:pPr>
              <w:pStyle w:val="TableContents"/>
              <w:bidi w:val="0"/>
              <w:spacing w:before="0" w:after="0"/>
              <w:ind w:left="0" w:right="0" w:hanging="0"/>
              <w:jc w:val="left"/>
              <w:rPr/>
            </w:pPr>
            <w:r>
              <w:rPr/>
              <w:t> </w:t>
            </w:r>
          </w:p>
        </w:tc>
        <w:tc>
          <w:tcPr>
            <w:tcW w:w="270" w:type="dxa"/>
            <w:tcBorders/>
          </w:tcPr>
          <w:p>
            <w:pPr>
              <w:pStyle w:val="TableContents"/>
              <w:bidi w:val="0"/>
              <w:spacing w:before="0" w:after="0"/>
              <w:ind w:left="0" w:right="0" w:hanging="0"/>
              <w:jc w:val="left"/>
              <w:rPr/>
            </w:pPr>
            <w:r>
              <w:rPr/>
              <w:t> </w:t>
            </w:r>
          </w:p>
        </w:tc>
        <w:tc>
          <w:tcPr>
            <w:tcW w:w="1322" w:type="dxa"/>
            <w:tcBorders/>
          </w:tcPr>
          <w:p>
            <w:pPr>
              <w:pStyle w:val="TableContents"/>
              <w:bidi w:val="0"/>
              <w:spacing w:before="0" w:after="0"/>
              <w:ind w:left="0" w:right="0" w:hanging="0"/>
              <w:jc w:val="right"/>
              <w:rPr/>
            </w:pPr>
            <w:r>
              <w:rPr/>
              <w:t>-</w:t>
            </w:r>
          </w:p>
        </w:tc>
        <w:tc>
          <w:tcPr>
            <w:tcW w:w="253" w:type="dxa"/>
            <w:tcBorders/>
          </w:tcPr>
          <w:p>
            <w:pPr>
              <w:pStyle w:val="TableContents"/>
              <w:bidi w:val="0"/>
              <w:spacing w:before="0" w:after="0"/>
              <w:ind w:left="0" w:right="0" w:hanging="150"/>
              <w:jc w:val="left"/>
              <w:rPr/>
            </w:pPr>
            <w:r>
              <w:rPr/>
              <w:t> </w:t>
            </w:r>
          </w:p>
        </w:tc>
      </w:tr>
      <w:tr>
        <w:trPr/>
        <w:tc>
          <w:tcPr>
            <w:tcW w:w="6114" w:type="dxa"/>
            <w:tcBorders/>
            <w:shd w:fill="CCEEFF" w:val="clear"/>
          </w:tcPr>
          <w:p>
            <w:pPr>
              <w:pStyle w:val="TableContents"/>
              <w:bidi w:val="0"/>
              <w:spacing w:before="0" w:after="0"/>
              <w:ind w:left="0" w:right="0" w:hanging="0"/>
              <w:jc w:val="left"/>
              <w:rPr/>
            </w:pPr>
            <w:r>
              <w:rPr/>
              <w:t>JPM revolving facility proceeds</w:t>
            </w:r>
          </w:p>
        </w:tc>
        <w:tc>
          <w:tcPr>
            <w:tcW w:w="98" w:type="dxa"/>
            <w:tcBorders/>
            <w:shd w:fill="CCEEFF" w:val="clear"/>
          </w:tcPr>
          <w:p>
            <w:pPr>
              <w:pStyle w:val="TableContents"/>
              <w:bidi w:val="0"/>
              <w:spacing w:before="0" w:after="0"/>
              <w:ind w:left="0" w:right="0" w:hanging="0"/>
              <w:jc w:val="left"/>
              <w:rPr/>
            </w:pPr>
            <w:r>
              <w:rPr/>
              <w:t> </w:t>
            </w:r>
          </w:p>
        </w:tc>
        <w:tc>
          <w:tcPr>
            <w:tcW w:w="270" w:type="dxa"/>
            <w:tcBorders/>
            <w:shd w:fill="CCEEFF" w:val="clear"/>
          </w:tcPr>
          <w:p>
            <w:pPr>
              <w:pStyle w:val="TableContents"/>
              <w:bidi w:val="0"/>
              <w:spacing w:before="0" w:after="0"/>
              <w:ind w:left="0" w:right="0" w:hanging="0"/>
              <w:jc w:val="left"/>
              <w:rPr/>
            </w:pPr>
            <w:r>
              <w:rPr/>
              <w:t> </w:t>
            </w:r>
          </w:p>
        </w:tc>
        <w:tc>
          <w:tcPr>
            <w:tcW w:w="1442" w:type="dxa"/>
            <w:tcBorders/>
            <w:shd w:fill="CCEEFF" w:val="clear"/>
          </w:tcPr>
          <w:p>
            <w:pPr>
              <w:pStyle w:val="TableContents"/>
              <w:bidi w:val="0"/>
              <w:spacing w:before="0" w:after="0"/>
              <w:ind w:left="0" w:right="0" w:hanging="0"/>
              <w:jc w:val="right"/>
              <w:rPr/>
            </w:pPr>
            <w:r>
              <w:rPr/>
              <w:t>125,000</w:t>
            </w:r>
          </w:p>
        </w:tc>
        <w:tc>
          <w:tcPr>
            <w:tcW w:w="294" w:type="dxa"/>
            <w:tcBorders/>
            <w:shd w:fill="CCEEFF" w:val="clear"/>
          </w:tcPr>
          <w:p>
            <w:pPr>
              <w:pStyle w:val="TableContents"/>
              <w:bidi w:val="0"/>
              <w:spacing w:before="0" w:after="0"/>
              <w:ind w:left="0" w:right="0" w:hanging="0"/>
              <w:jc w:val="left"/>
              <w:rPr/>
            </w:pPr>
            <w:r>
              <w:rPr/>
              <w:t> </w:t>
            </w:r>
          </w:p>
        </w:tc>
        <w:tc>
          <w:tcPr>
            <w:tcW w:w="142" w:type="dxa"/>
            <w:tcBorders/>
            <w:shd w:fill="CCEEFF" w:val="clear"/>
          </w:tcPr>
          <w:p>
            <w:pPr>
              <w:pStyle w:val="TableContents"/>
              <w:bidi w:val="0"/>
              <w:spacing w:before="0" w:after="0"/>
              <w:ind w:left="0" w:right="0" w:hanging="0"/>
              <w:jc w:val="left"/>
              <w:rPr/>
            </w:pPr>
            <w:r>
              <w:rPr/>
              <w:t> </w:t>
            </w:r>
          </w:p>
        </w:tc>
        <w:tc>
          <w:tcPr>
            <w:tcW w:w="270" w:type="dxa"/>
            <w:tcBorders/>
            <w:shd w:fill="CCEEFF" w:val="clear"/>
          </w:tcPr>
          <w:p>
            <w:pPr>
              <w:pStyle w:val="TableContents"/>
              <w:bidi w:val="0"/>
              <w:spacing w:before="0" w:after="0"/>
              <w:ind w:left="0" w:right="0" w:hanging="0"/>
              <w:jc w:val="left"/>
              <w:rPr/>
            </w:pPr>
            <w:r>
              <w:rPr/>
              <w:t> </w:t>
            </w:r>
          </w:p>
        </w:tc>
        <w:tc>
          <w:tcPr>
            <w:tcW w:w="1322" w:type="dxa"/>
            <w:tcBorders/>
            <w:shd w:fill="CCEEFF" w:val="clear"/>
          </w:tcPr>
          <w:p>
            <w:pPr>
              <w:pStyle w:val="TableContents"/>
              <w:bidi w:val="0"/>
              <w:spacing w:before="0" w:after="0"/>
              <w:ind w:left="0" w:right="0" w:hanging="0"/>
              <w:jc w:val="right"/>
              <w:rPr/>
            </w:pPr>
            <w:r>
              <w:rPr/>
              <w:t>-</w:t>
            </w:r>
          </w:p>
        </w:tc>
        <w:tc>
          <w:tcPr>
            <w:tcW w:w="253" w:type="dxa"/>
            <w:tcBorders/>
            <w:shd w:fill="CCEEFF" w:val="clear"/>
          </w:tcPr>
          <w:p>
            <w:pPr>
              <w:pStyle w:val="TableContents"/>
              <w:bidi w:val="0"/>
              <w:spacing w:before="0" w:after="0"/>
              <w:ind w:left="0" w:right="0" w:hanging="150"/>
              <w:jc w:val="left"/>
              <w:rPr/>
            </w:pPr>
            <w:r>
              <w:rPr/>
              <w:t> </w:t>
            </w:r>
          </w:p>
        </w:tc>
      </w:tr>
      <w:tr>
        <w:trPr/>
        <w:tc>
          <w:tcPr>
            <w:tcW w:w="6114" w:type="dxa"/>
            <w:tcBorders/>
          </w:tcPr>
          <w:p>
            <w:pPr>
              <w:pStyle w:val="TableContents"/>
              <w:bidi w:val="0"/>
              <w:spacing w:before="0" w:after="0"/>
              <w:ind w:left="0" w:right="0" w:hanging="0"/>
              <w:jc w:val="left"/>
              <w:rPr/>
            </w:pPr>
            <w:r>
              <w:rPr/>
              <w:t>Taxes paid on vested restricted stock units</w:t>
            </w:r>
          </w:p>
        </w:tc>
        <w:tc>
          <w:tcPr>
            <w:tcW w:w="98" w:type="dxa"/>
            <w:tcBorders/>
          </w:tcPr>
          <w:p>
            <w:pPr>
              <w:pStyle w:val="TableContents"/>
              <w:bidi w:val="0"/>
              <w:spacing w:before="0" w:after="0"/>
              <w:ind w:left="0" w:right="0" w:hanging="0"/>
              <w:jc w:val="left"/>
              <w:rPr/>
            </w:pPr>
            <w:r>
              <w:rPr/>
              <w:t> </w:t>
            </w:r>
          </w:p>
        </w:tc>
        <w:tc>
          <w:tcPr>
            <w:tcW w:w="270" w:type="dxa"/>
            <w:tcBorders/>
          </w:tcPr>
          <w:p>
            <w:pPr>
              <w:pStyle w:val="TableContents"/>
              <w:bidi w:val="0"/>
              <w:spacing w:before="0" w:after="0"/>
              <w:ind w:left="0" w:right="0" w:hanging="0"/>
              <w:jc w:val="left"/>
              <w:rPr/>
            </w:pPr>
            <w:r>
              <w:rPr/>
              <w:t> </w:t>
            </w:r>
          </w:p>
        </w:tc>
        <w:tc>
          <w:tcPr>
            <w:tcW w:w="1442" w:type="dxa"/>
            <w:tcBorders/>
          </w:tcPr>
          <w:p>
            <w:pPr>
              <w:pStyle w:val="TableContents"/>
              <w:bidi w:val="0"/>
              <w:spacing w:before="0" w:after="0"/>
              <w:ind w:left="0" w:right="0" w:hanging="0"/>
              <w:jc w:val="right"/>
              <w:rPr/>
            </w:pPr>
            <w:r>
              <w:rPr/>
              <w:t>(5,058</w:t>
            </w:r>
          </w:p>
        </w:tc>
        <w:tc>
          <w:tcPr>
            <w:tcW w:w="294" w:type="dxa"/>
            <w:tcBorders/>
          </w:tcPr>
          <w:p>
            <w:pPr>
              <w:pStyle w:val="TableContents"/>
              <w:bidi w:val="0"/>
              <w:spacing w:before="0" w:after="0"/>
              <w:ind w:left="0" w:right="0" w:hanging="0"/>
              <w:jc w:val="left"/>
              <w:rPr/>
            </w:pPr>
            <w:r>
              <w:rPr/>
              <w:t>) </w:t>
            </w:r>
          </w:p>
        </w:tc>
        <w:tc>
          <w:tcPr>
            <w:tcW w:w="142" w:type="dxa"/>
            <w:tcBorders/>
          </w:tcPr>
          <w:p>
            <w:pPr>
              <w:pStyle w:val="TableContents"/>
              <w:bidi w:val="0"/>
              <w:spacing w:before="0" w:after="0"/>
              <w:ind w:left="0" w:right="0" w:hanging="0"/>
              <w:jc w:val="left"/>
              <w:rPr/>
            </w:pPr>
            <w:r>
              <w:rPr/>
              <w:t> </w:t>
            </w:r>
          </w:p>
        </w:tc>
        <w:tc>
          <w:tcPr>
            <w:tcW w:w="270" w:type="dxa"/>
            <w:tcBorders/>
          </w:tcPr>
          <w:p>
            <w:pPr>
              <w:pStyle w:val="TableContents"/>
              <w:bidi w:val="0"/>
              <w:spacing w:before="0" w:after="0"/>
              <w:ind w:left="0" w:right="0" w:hanging="0"/>
              <w:jc w:val="left"/>
              <w:rPr/>
            </w:pPr>
            <w:r>
              <w:rPr/>
              <w:t> </w:t>
            </w:r>
          </w:p>
        </w:tc>
        <w:tc>
          <w:tcPr>
            <w:tcW w:w="1322" w:type="dxa"/>
            <w:tcBorders/>
          </w:tcPr>
          <w:p>
            <w:pPr>
              <w:pStyle w:val="TableContents"/>
              <w:bidi w:val="0"/>
              <w:spacing w:before="0" w:after="0"/>
              <w:ind w:left="0" w:right="0" w:hanging="0"/>
              <w:jc w:val="right"/>
              <w:rPr/>
            </w:pPr>
            <w:r>
              <w:rPr/>
              <w:t>(7,228</w:t>
            </w:r>
          </w:p>
        </w:tc>
        <w:tc>
          <w:tcPr>
            <w:tcW w:w="253" w:type="dxa"/>
            <w:tcBorders/>
          </w:tcPr>
          <w:p>
            <w:pPr>
              <w:pStyle w:val="TableContents"/>
              <w:bidi w:val="0"/>
              <w:spacing w:before="0" w:after="0"/>
              <w:ind w:left="0" w:right="0" w:hanging="150"/>
              <w:jc w:val="left"/>
              <w:rPr/>
            </w:pPr>
            <w:r>
              <w:rPr/>
              <w:t>) </w:t>
            </w:r>
          </w:p>
        </w:tc>
      </w:tr>
      <w:tr>
        <w:trPr/>
        <w:tc>
          <w:tcPr>
            <w:tcW w:w="6114" w:type="dxa"/>
            <w:tcBorders/>
            <w:shd w:fill="CCEEFF" w:val="clear"/>
          </w:tcPr>
          <w:p>
            <w:pPr>
              <w:pStyle w:val="TableContents"/>
              <w:bidi w:val="0"/>
              <w:spacing w:before="0" w:after="0"/>
              <w:ind w:left="0" w:right="0" w:hanging="0"/>
              <w:jc w:val="left"/>
              <w:rPr/>
            </w:pPr>
            <w:r>
              <w:rPr/>
              <w:t>Net proceeds from the exercise of stock options</w:t>
            </w:r>
          </w:p>
        </w:tc>
        <w:tc>
          <w:tcPr>
            <w:tcW w:w="98" w:type="dxa"/>
            <w:tcBorders/>
            <w:shd w:fill="CCEEFF" w:val="clear"/>
          </w:tcPr>
          <w:p>
            <w:pPr>
              <w:pStyle w:val="TableContents"/>
              <w:bidi w:val="0"/>
              <w:spacing w:before="0" w:after="0"/>
              <w:ind w:left="0" w:right="0" w:hanging="0"/>
              <w:jc w:val="left"/>
              <w:rPr/>
            </w:pPr>
            <w:r>
              <w:rPr/>
              <w:t> </w:t>
            </w:r>
          </w:p>
        </w:tc>
        <w:tc>
          <w:tcPr>
            <w:tcW w:w="270" w:type="dxa"/>
            <w:tcBorders/>
            <w:shd w:fill="CCEEFF" w:val="clear"/>
          </w:tcPr>
          <w:p>
            <w:pPr>
              <w:pStyle w:val="TableContents"/>
              <w:bidi w:val="0"/>
              <w:spacing w:before="0" w:after="0"/>
              <w:ind w:left="0" w:right="0" w:hanging="0"/>
              <w:jc w:val="left"/>
              <w:rPr/>
            </w:pPr>
            <w:r>
              <w:rPr/>
              <w:t> </w:t>
            </w:r>
          </w:p>
        </w:tc>
        <w:tc>
          <w:tcPr>
            <w:tcW w:w="1442" w:type="dxa"/>
            <w:tcBorders/>
            <w:shd w:fill="CCEEFF" w:val="clear"/>
          </w:tcPr>
          <w:p>
            <w:pPr>
              <w:pStyle w:val="TableContents"/>
              <w:bidi w:val="0"/>
              <w:spacing w:before="0" w:after="0"/>
              <w:ind w:left="0" w:right="0" w:hanging="0"/>
              <w:jc w:val="right"/>
              <w:rPr/>
            </w:pPr>
            <w:r>
              <w:rPr/>
              <w:t>588</w:t>
            </w:r>
          </w:p>
        </w:tc>
        <w:tc>
          <w:tcPr>
            <w:tcW w:w="294" w:type="dxa"/>
            <w:tcBorders/>
            <w:shd w:fill="CCEEFF" w:val="clear"/>
          </w:tcPr>
          <w:p>
            <w:pPr>
              <w:pStyle w:val="TableContents"/>
              <w:bidi w:val="0"/>
              <w:spacing w:before="0" w:after="0"/>
              <w:ind w:left="0" w:right="0" w:hanging="0"/>
              <w:jc w:val="left"/>
              <w:rPr/>
            </w:pPr>
            <w:r>
              <w:rPr/>
              <w:t> </w:t>
            </w:r>
          </w:p>
        </w:tc>
        <w:tc>
          <w:tcPr>
            <w:tcW w:w="142" w:type="dxa"/>
            <w:tcBorders/>
            <w:shd w:fill="CCEEFF" w:val="clear"/>
          </w:tcPr>
          <w:p>
            <w:pPr>
              <w:pStyle w:val="TableContents"/>
              <w:bidi w:val="0"/>
              <w:spacing w:before="0" w:after="0"/>
              <w:ind w:left="0" w:right="0" w:hanging="0"/>
              <w:jc w:val="left"/>
              <w:rPr/>
            </w:pPr>
            <w:r>
              <w:rPr/>
              <w:t> </w:t>
            </w:r>
          </w:p>
        </w:tc>
        <w:tc>
          <w:tcPr>
            <w:tcW w:w="270" w:type="dxa"/>
            <w:tcBorders/>
            <w:shd w:fill="CCEEFF" w:val="clear"/>
          </w:tcPr>
          <w:p>
            <w:pPr>
              <w:pStyle w:val="TableContents"/>
              <w:bidi w:val="0"/>
              <w:spacing w:before="0" w:after="0"/>
              <w:ind w:left="0" w:right="0" w:hanging="0"/>
              <w:jc w:val="left"/>
              <w:rPr/>
            </w:pPr>
            <w:r>
              <w:rPr/>
              <w:t> </w:t>
            </w:r>
          </w:p>
        </w:tc>
        <w:tc>
          <w:tcPr>
            <w:tcW w:w="1322" w:type="dxa"/>
            <w:tcBorders/>
            <w:shd w:fill="CCEEFF" w:val="clear"/>
          </w:tcPr>
          <w:p>
            <w:pPr>
              <w:pStyle w:val="TableContents"/>
              <w:bidi w:val="0"/>
              <w:spacing w:before="0" w:after="0"/>
              <w:ind w:left="0" w:right="0" w:hanging="0"/>
              <w:jc w:val="right"/>
              <w:rPr/>
            </w:pPr>
            <w:r>
              <w:rPr/>
              <w:t>101</w:t>
            </w:r>
          </w:p>
        </w:tc>
        <w:tc>
          <w:tcPr>
            <w:tcW w:w="253" w:type="dxa"/>
            <w:tcBorders/>
            <w:shd w:fill="CCEEFF" w:val="clear"/>
          </w:tcPr>
          <w:p>
            <w:pPr>
              <w:pStyle w:val="TableContents"/>
              <w:bidi w:val="0"/>
              <w:spacing w:before="0" w:after="0"/>
              <w:ind w:left="0" w:right="0" w:hanging="150"/>
              <w:jc w:val="left"/>
              <w:rPr/>
            </w:pPr>
            <w:r>
              <w:rPr/>
              <w:t> </w:t>
            </w:r>
          </w:p>
        </w:tc>
      </w:tr>
      <w:tr>
        <w:trPr/>
        <w:tc>
          <w:tcPr>
            <w:tcW w:w="6114" w:type="dxa"/>
            <w:tcBorders/>
          </w:tcPr>
          <w:p>
            <w:pPr>
              <w:pStyle w:val="TableContents"/>
              <w:bidi w:val="0"/>
              <w:spacing w:before="0" w:after="0"/>
              <w:ind w:left="0" w:right="0" w:hanging="0"/>
              <w:jc w:val="left"/>
              <w:rPr/>
            </w:pPr>
            <w:r>
              <w:rPr/>
              <w:t>Acquisition of treasury stock</w:t>
            </w:r>
          </w:p>
        </w:tc>
        <w:tc>
          <w:tcPr>
            <w:tcW w:w="98" w:type="dxa"/>
            <w:tcBorders/>
          </w:tcPr>
          <w:p>
            <w:pPr>
              <w:pStyle w:val="TableContents"/>
              <w:bidi w:val="0"/>
              <w:spacing w:before="0" w:after="0"/>
              <w:ind w:left="0" w:right="0" w:hanging="0"/>
              <w:jc w:val="left"/>
              <w:rPr/>
            </w:pPr>
            <w:r>
              <w:rPr/>
              <w:t> </w:t>
            </w:r>
          </w:p>
        </w:tc>
        <w:tc>
          <w:tcPr>
            <w:tcW w:w="270" w:type="dxa"/>
            <w:tcBorders>
              <w:bottom w:val="single" w:sz="12" w:space="0" w:color="000000"/>
            </w:tcBorders>
            <w:tcMar>
              <w:bottom w:w="28" w:type="dxa"/>
            </w:tcMar>
          </w:tcPr>
          <w:p>
            <w:pPr>
              <w:pStyle w:val="TableContents"/>
              <w:bidi w:val="0"/>
              <w:spacing w:before="0" w:after="0"/>
              <w:ind w:left="0" w:right="0" w:hanging="0"/>
              <w:jc w:val="left"/>
              <w:rPr/>
            </w:pPr>
            <w:r>
              <w:rPr/>
              <w:t> </w:t>
            </w:r>
          </w:p>
        </w:tc>
        <w:tc>
          <w:tcPr>
            <w:tcW w:w="1442" w:type="dxa"/>
            <w:tcBorders>
              <w:bottom w:val="single" w:sz="12" w:space="0" w:color="000000"/>
            </w:tcBorders>
            <w:tcMar>
              <w:bottom w:w="28" w:type="dxa"/>
            </w:tcMar>
          </w:tcPr>
          <w:p>
            <w:pPr>
              <w:pStyle w:val="TableContents"/>
              <w:bidi w:val="0"/>
              <w:spacing w:before="0" w:after="0"/>
              <w:ind w:left="0" w:right="0" w:hanging="0"/>
              <w:jc w:val="right"/>
              <w:rPr/>
            </w:pPr>
            <w:r>
              <w:rPr/>
              <w:t>(130,191</w:t>
            </w:r>
          </w:p>
        </w:tc>
        <w:tc>
          <w:tcPr>
            <w:tcW w:w="294" w:type="dxa"/>
            <w:tcBorders>
              <w:bottom w:val="single" w:sz="12" w:space="0" w:color="000000"/>
            </w:tcBorders>
            <w:tcMar>
              <w:bottom w:w="28" w:type="dxa"/>
            </w:tcMar>
          </w:tcPr>
          <w:p>
            <w:pPr>
              <w:pStyle w:val="TableContents"/>
              <w:bidi w:val="0"/>
              <w:spacing w:before="0" w:after="0"/>
              <w:ind w:left="0" w:right="0" w:hanging="0"/>
              <w:jc w:val="left"/>
              <w:rPr/>
            </w:pPr>
            <w:r>
              <w:rPr/>
              <w:t>) </w:t>
            </w:r>
          </w:p>
        </w:tc>
        <w:tc>
          <w:tcPr>
            <w:tcW w:w="142" w:type="dxa"/>
            <w:tcBorders/>
          </w:tcPr>
          <w:p>
            <w:pPr>
              <w:pStyle w:val="TableContents"/>
              <w:bidi w:val="0"/>
              <w:spacing w:before="0" w:after="0"/>
              <w:ind w:left="0" w:right="0" w:hanging="0"/>
              <w:jc w:val="left"/>
              <w:rPr/>
            </w:pPr>
            <w:r>
              <w:rPr/>
              <w:t> </w:t>
            </w:r>
          </w:p>
        </w:tc>
        <w:tc>
          <w:tcPr>
            <w:tcW w:w="270" w:type="dxa"/>
            <w:tcBorders>
              <w:bottom w:val="single" w:sz="12" w:space="0" w:color="000000"/>
            </w:tcBorders>
            <w:tcMar>
              <w:bottom w:w="28" w:type="dxa"/>
            </w:tcMar>
          </w:tcPr>
          <w:p>
            <w:pPr>
              <w:pStyle w:val="TableContents"/>
              <w:bidi w:val="0"/>
              <w:spacing w:before="0" w:after="0"/>
              <w:ind w:left="0" w:right="0" w:hanging="0"/>
              <w:jc w:val="left"/>
              <w:rPr/>
            </w:pPr>
            <w:r>
              <w:rPr/>
              <w:t> </w:t>
            </w:r>
          </w:p>
        </w:tc>
        <w:tc>
          <w:tcPr>
            <w:tcW w:w="1322" w:type="dxa"/>
            <w:tcBorders>
              <w:bottom w:val="single" w:sz="12" w:space="0" w:color="000000"/>
            </w:tcBorders>
            <w:tcMar>
              <w:bottom w:w="28" w:type="dxa"/>
            </w:tcMar>
          </w:tcPr>
          <w:p>
            <w:pPr>
              <w:pStyle w:val="TableContents"/>
              <w:bidi w:val="0"/>
              <w:spacing w:before="0" w:after="0"/>
              <w:ind w:left="0" w:right="0" w:hanging="0"/>
              <w:jc w:val="right"/>
              <w:rPr/>
            </w:pPr>
            <w:r>
              <w:rPr/>
              <w:t>- </w:t>
            </w:r>
          </w:p>
        </w:tc>
        <w:tc>
          <w:tcPr>
            <w:tcW w:w="253" w:type="dxa"/>
            <w:tcBorders>
              <w:bottom w:val="single" w:sz="12" w:space="0" w:color="000000"/>
            </w:tcBorders>
            <w:tcMar>
              <w:bottom w:w="28" w:type="dxa"/>
            </w:tcMar>
          </w:tcPr>
          <w:p>
            <w:pPr>
              <w:pStyle w:val="TableContents"/>
              <w:bidi w:val="0"/>
              <w:spacing w:before="0" w:after="0"/>
              <w:ind w:left="0" w:right="0" w:hanging="150"/>
              <w:jc w:val="left"/>
              <w:rPr/>
            </w:pPr>
            <w:r>
              <w:rPr/>
              <w:t> </w:t>
            </w:r>
          </w:p>
        </w:tc>
      </w:tr>
      <w:tr>
        <w:trPr/>
        <w:tc>
          <w:tcPr>
            <w:tcW w:w="6114" w:type="dxa"/>
            <w:tcBorders/>
            <w:shd w:fill="CCEEFF" w:val="clear"/>
          </w:tcPr>
          <w:p>
            <w:pPr>
              <w:pStyle w:val="TableContents"/>
              <w:bidi w:val="0"/>
              <w:spacing w:before="0" w:after="0"/>
              <w:ind w:left="0" w:right="0" w:hanging="0"/>
              <w:jc w:val="left"/>
              <w:rPr/>
            </w:pPr>
            <w:r>
              <w:rPr/>
              <w:t>Net cash used in financing activities</w:t>
            </w:r>
          </w:p>
        </w:tc>
        <w:tc>
          <w:tcPr>
            <w:tcW w:w="98" w:type="dxa"/>
            <w:tcBorders/>
            <w:shd w:fill="CCEEFF" w:val="clear"/>
          </w:tcPr>
          <w:p>
            <w:pPr>
              <w:pStyle w:val="TableContents"/>
              <w:bidi w:val="0"/>
              <w:spacing w:before="0" w:after="0"/>
              <w:ind w:left="0" w:right="0" w:hanging="0"/>
              <w:jc w:val="left"/>
              <w:rPr/>
            </w:pPr>
            <w:r>
              <w:rPr/>
              <w:t> </w:t>
            </w:r>
          </w:p>
        </w:tc>
        <w:tc>
          <w:tcPr>
            <w:tcW w:w="270" w:type="dxa"/>
            <w:tcBorders>
              <w:bottom w:val="single" w:sz="12" w:space="0" w:color="000000"/>
            </w:tcBorders>
            <w:shd w:fill="CCEEFF" w:val="clear"/>
            <w:tcMar>
              <w:bottom w:w="28" w:type="dxa"/>
            </w:tcMar>
          </w:tcPr>
          <w:p>
            <w:pPr>
              <w:pStyle w:val="TableContents"/>
              <w:bidi w:val="0"/>
              <w:spacing w:before="0" w:after="0"/>
              <w:ind w:left="0" w:right="0" w:hanging="0"/>
              <w:jc w:val="left"/>
              <w:rPr/>
            </w:pPr>
            <w:r>
              <w:rPr/>
              <w:t> </w:t>
            </w:r>
          </w:p>
        </w:tc>
        <w:tc>
          <w:tcPr>
            <w:tcW w:w="1442" w:type="dxa"/>
            <w:tcBorders>
              <w:bottom w:val="single" w:sz="12" w:space="0" w:color="000000"/>
            </w:tcBorders>
            <w:shd w:fill="CCEEFF" w:val="clear"/>
            <w:tcMar>
              <w:bottom w:w="28" w:type="dxa"/>
            </w:tcMar>
          </w:tcPr>
          <w:p>
            <w:pPr>
              <w:pStyle w:val="TableContents"/>
              <w:bidi w:val="0"/>
              <w:spacing w:before="0" w:after="0"/>
              <w:ind w:left="0" w:right="0" w:hanging="0"/>
              <w:jc w:val="right"/>
              <w:rPr/>
            </w:pPr>
            <w:r>
              <w:rPr/>
              <w:t>(10,130</w:t>
            </w:r>
          </w:p>
        </w:tc>
        <w:tc>
          <w:tcPr>
            <w:tcW w:w="294" w:type="dxa"/>
            <w:tcBorders>
              <w:bottom w:val="single" w:sz="12" w:space="0" w:color="000000"/>
            </w:tcBorders>
            <w:shd w:fill="CCEEFF" w:val="clear"/>
            <w:tcMar>
              <w:bottom w:w="28" w:type="dxa"/>
            </w:tcMar>
          </w:tcPr>
          <w:p>
            <w:pPr>
              <w:pStyle w:val="TableContents"/>
              <w:bidi w:val="0"/>
              <w:spacing w:before="0" w:after="0"/>
              <w:ind w:left="0" w:right="0" w:hanging="0"/>
              <w:jc w:val="left"/>
              <w:rPr/>
            </w:pPr>
            <w:r>
              <w:rPr/>
              <w:t>) </w:t>
            </w:r>
          </w:p>
        </w:tc>
        <w:tc>
          <w:tcPr>
            <w:tcW w:w="142" w:type="dxa"/>
            <w:tcBorders/>
            <w:shd w:fill="CCEEFF" w:val="clear"/>
          </w:tcPr>
          <w:p>
            <w:pPr>
              <w:pStyle w:val="TableContents"/>
              <w:bidi w:val="0"/>
              <w:spacing w:before="0" w:after="0"/>
              <w:ind w:left="0" w:right="0" w:hanging="0"/>
              <w:jc w:val="left"/>
              <w:rPr/>
            </w:pPr>
            <w:r>
              <w:rPr/>
              <w:t> </w:t>
            </w:r>
          </w:p>
        </w:tc>
        <w:tc>
          <w:tcPr>
            <w:tcW w:w="270" w:type="dxa"/>
            <w:tcBorders>
              <w:bottom w:val="single" w:sz="12" w:space="0" w:color="000000"/>
            </w:tcBorders>
            <w:shd w:fill="CCEEFF" w:val="clear"/>
            <w:tcMar>
              <w:bottom w:w="28" w:type="dxa"/>
            </w:tcMar>
          </w:tcPr>
          <w:p>
            <w:pPr>
              <w:pStyle w:val="TableContents"/>
              <w:bidi w:val="0"/>
              <w:spacing w:before="0" w:after="0"/>
              <w:ind w:left="0" w:right="0" w:hanging="0"/>
              <w:jc w:val="left"/>
              <w:rPr/>
            </w:pPr>
            <w:r>
              <w:rPr/>
              <w:t> </w:t>
            </w:r>
          </w:p>
        </w:tc>
        <w:tc>
          <w:tcPr>
            <w:tcW w:w="1322" w:type="dxa"/>
            <w:tcBorders>
              <w:bottom w:val="single" w:sz="12" w:space="0" w:color="000000"/>
            </w:tcBorders>
            <w:shd w:fill="CCEEFF" w:val="clear"/>
            <w:tcMar>
              <w:bottom w:w="28" w:type="dxa"/>
            </w:tcMar>
          </w:tcPr>
          <w:p>
            <w:pPr>
              <w:pStyle w:val="TableContents"/>
              <w:bidi w:val="0"/>
              <w:spacing w:before="0" w:after="0"/>
              <w:ind w:left="0" w:right="0" w:hanging="0"/>
              <w:jc w:val="right"/>
              <w:rPr/>
            </w:pPr>
            <w:r>
              <w:rPr/>
              <w:t>(7,127</w:t>
            </w:r>
          </w:p>
        </w:tc>
        <w:tc>
          <w:tcPr>
            <w:tcW w:w="253" w:type="dxa"/>
            <w:tcBorders>
              <w:bottom w:val="single" w:sz="12" w:space="0" w:color="000000"/>
            </w:tcBorders>
            <w:shd w:fill="CCEEFF" w:val="clear"/>
            <w:tcMar>
              <w:bottom w:w="28" w:type="dxa"/>
            </w:tcMar>
          </w:tcPr>
          <w:p>
            <w:pPr>
              <w:pStyle w:val="TableContents"/>
              <w:bidi w:val="0"/>
              <w:spacing w:before="0" w:after="0"/>
              <w:ind w:left="0" w:right="0" w:hanging="150"/>
              <w:jc w:val="left"/>
              <w:rPr/>
            </w:pPr>
            <w:r>
              <w:rPr/>
              <w:t>) </w:t>
            </w:r>
          </w:p>
        </w:tc>
      </w:tr>
      <w:tr>
        <w:trPr/>
        <w:tc>
          <w:tcPr>
            <w:tcW w:w="6114" w:type="dxa"/>
            <w:tcBorders/>
          </w:tcPr>
          <w:p>
            <w:pPr>
              <w:pStyle w:val="TableContents"/>
              <w:bidi w:val="0"/>
              <w:spacing w:before="0" w:after="283"/>
              <w:jc w:val="left"/>
              <w:rPr/>
            </w:pPr>
            <w:r>
              <w:rPr/>
              <w:t> </w:t>
            </w:r>
          </w:p>
        </w:tc>
        <w:tc>
          <w:tcPr>
            <w:tcW w:w="98" w:type="dxa"/>
            <w:tcBorders/>
          </w:tcPr>
          <w:p>
            <w:pPr>
              <w:pStyle w:val="TableContents"/>
              <w:bidi w:val="0"/>
              <w:spacing w:before="0" w:after="283"/>
              <w:jc w:val="left"/>
              <w:rPr/>
            </w:pPr>
            <w:r>
              <w:rPr/>
              <w:t> </w:t>
            </w:r>
          </w:p>
        </w:tc>
        <w:tc>
          <w:tcPr>
            <w:tcW w:w="270" w:type="dxa"/>
            <w:tcBorders/>
          </w:tcPr>
          <w:p>
            <w:pPr>
              <w:pStyle w:val="TableContents"/>
              <w:bidi w:val="0"/>
              <w:spacing w:before="0" w:after="283"/>
              <w:jc w:val="left"/>
              <w:rPr/>
            </w:pPr>
            <w:r>
              <w:rPr/>
              <w:t> </w:t>
            </w:r>
          </w:p>
        </w:tc>
        <w:tc>
          <w:tcPr>
            <w:tcW w:w="1442" w:type="dxa"/>
            <w:tcBorders/>
          </w:tcPr>
          <w:p>
            <w:pPr>
              <w:pStyle w:val="TableContents"/>
              <w:bidi w:val="0"/>
              <w:spacing w:before="0" w:after="283"/>
              <w:jc w:val="left"/>
              <w:rPr/>
            </w:pPr>
            <w:r>
              <w:rPr/>
              <w:t> </w:t>
            </w:r>
          </w:p>
        </w:tc>
        <w:tc>
          <w:tcPr>
            <w:tcW w:w="294" w:type="dxa"/>
            <w:tcBorders/>
          </w:tcPr>
          <w:p>
            <w:pPr>
              <w:pStyle w:val="TableContents"/>
              <w:bidi w:val="0"/>
              <w:spacing w:before="0" w:after="283"/>
              <w:jc w:val="left"/>
              <w:rPr/>
            </w:pPr>
            <w:r>
              <w:rPr/>
              <w:t> </w:t>
            </w:r>
          </w:p>
        </w:tc>
        <w:tc>
          <w:tcPr>
            <w:tcW w:w="142" w:type="dxa"/>
            <w:tcBorders/>
          </w:tcPr>
          <w:p>
            <w:pPr>
              <w:pStyle w:val="TableContents"/>
              <w:bidi w:val="0"/>
              <w:spacing w:before="0" w:after="283"/>
              <w:jc w:val="left"/>
              <w:rPr/>
            </w:pPr>
            <w:r>
              <w:rPr/>
              <w:t> </w:t>
            </w:r>
          </w:p>
        </w:tc>
        <w:tc>
          <w:tcPr>
            <w:tcW w:w="270" w:type="dxa"/>
            <w:tcBorders/>
          </w:tcPr>
          <w:p>
            <w:pPr>
              <w:pStyle w:val="TableContents"/>
              <w:bidi w:val="0"/>
              <w:spacing w:before="0" w:after="283"/>
              <w:jc w:val="left"/>
              <w:rPr/>
            </w:pPr>
            <w:r>
              <w:rPr/>
              <w:t> </w:t>
            </w:r>
          </w:p>
        </w:tc>
        <w:tc>
          <w:tcPr>
            <w:tcW w:w="1322" w:type="dxa"/>
            <w:tcBorders/>
          </w:tcPr>
          <w:p>
            <w:pPr>
              <w:pStyle w:val="TableContents"/>
              <w:bidi w:val="0"/>
              <w:spacing w:before="0" w:after="283"/>
              <w:jc w:val="left"/>
              <w:rPr/>
            </w:pPr>
            <w:r>
              <w:rPr/>
              <w:t> </w:t>
            </w:r>
          </w:p>
        </w:tc>
        <w:tc>
          <w:tcPr>
            <w:tcW w:w="253" w:type="dxa"/>
            <w:tcBorders/>
          </w:tcPr>
          <w:p>
            <w:pPr>
              <w:pStyle w:val="TableContents"/>
              <w:bidi w:val="0"/>
              <w:spacing w:before="0" w:after="283"/>
              <w:ind w:left="0" w:right="0" w:hanging="150"/>
              <w:jc w:val="left"/>
              <w:rPr/>
            </w:pPr>
            <w:r>
              <w:rPr/>
              <w:t> </w:t>
            </w:r>
          </w:p>
        </w:tc>
      </w:tr>
      <w:tr>
        <w:trPr/>
        <w:tc>
          <w:tcPr>
            <w:tcW w:w="6114" w:type="dxa"/>
            <w:tcBorders/>
            <w:shd w:fill="CCEEFF" w:val="clear"/>
          </w:tcPr>
          <w:p>
            <w:pPr>
              <w:pStyle w:val="TableContents"/>
              <w:bidi w:val="0"/>
              <w:spacing w:before="0" w:after="0"/>
              <w:ind w:left="0" w:right="0" w:hanging="0"/>
              <w:jc w:val="left"/>
              <w:rPr>
                <w:b/>
              </w:rPr>
            </w:pPr>
            <w:r>
              <w:rPr>
                <w:b/>
              </w:rPr>
              <w:t>Net increase (decrease) in cash and cash equivalents</w:t>
            </w:r>
          </w:p>
        </w:tc>
        <w:tc>
          <w:tcPr>
            <w:tcW w:w="98" w:type="dxa"/>
            <w:tcBorders/>
            <w:shd w:fill="CCEEFF" w:val="clear"/>
          </w:tcPr>
          <w:p>
            <w:pPr>
              <w:pStyle w:val="TableContents"/>
              <w:bidi w:val="0"/>
              <w:spacing w:before="0" w:after="0"/>
              <w:ind w:left="0" w:right="0" w:hanging="0"/>
              <w:jc w:val="left"/>
              <w:rPr/>
            </w:pPr>
            <w:r>
              <w:rPr/>
              <w:t> </w:t>
            </w:r>
          </w:p>
        </w:tc>
        <w:tc>
          <w:tcPr>
            <w:tcW w:w="270" w:type="dxa"/>
            <w:tcBorders/>
            <w:shd w:fill="CCEEFF" w:val="clear"/>
          </w:tcPr>
          <w:p>
            <w:pPr>
              <w:pStyle w:val="TableContents"/>
              <w:bidi w:val="0"/>
              <w:spacing w:before="0" w:after="0"/>
              <w:ind w:left="0" w:right="0" w:hanging="0"/>
              <w:jc w:val="left"/>
              <w:rPr/>
            </w:pPr>
            <w:r>
              <w:rPr/>
              <w:t> </w:t>
            </w:r>
          </w:p>
        </w:tc>
        <w:tc>
          <w:tcPr>
            <w:tcW w:w="1442" w:type="dxa"/>
            <w:tcBorders/>
            <w:shd w:fill="CCEEFF" w:val="clear"/>
          </w:tcPr>
          <w:p>
            <w:pPr>
              <w:pStyle w:val="TableContents"/>
              <w:bidi w:val="0"/>
              <w:spacing w:before="0" w:after="0"/>
              <w:ind w:left="0" w:right="0" w:hanging="0"/>
              <w:jc w:val="right"/>
              <w:rPr/>
            </w:pPr>
            <w:r>
              <w:rPr/>
              <w:t>50,523</w:t>
            </w:r>
          </w:p>
        </w:tc>
        <w:tc>
          <w:tcPr>
            <w:tcW w:w="294" w:type="dxa"/>
            <w:tcBorders/>
            <w:shd w:fill="CCEEFF" w:val="clear"/>
          </w:tcPr>
          <w:p>
            <w:pPr>
              <w:pStyle w:val="TableContents"/>
              <w:bidi w:val="0"/>
              <w:spacing w:before="0" w:after="0"/>
              <w:ind w:left="0" w:right="0" w:hanging="0"/>
              <w:jc w:val="left"/>
              <w:rPr/>
            </w:pPr>
            <w:r>
              <w:rPr/>
              <w:t> </w:t>
            </w:r>
          </w:p>
        </w:tc>
        <w:tc>
          <w:tcPr>
            <w:tcW w:w="142" w:type="dxa"/>
            <w:tcBorders/>
            <w:shd w:fill="CCEEFF" w:val="clear"/>
          </w:tcPr>
          <w:p>
            <w:pPr>
              <w:pStyle w:val="TableContents"/>
              <w:bidi w:val="0"/>
              <w:spacing w:before="0" w:after="0"/>
              <w:ind w:left="0" w:right="0" w:hanging="0"/>
              <w:jc w:val="left"/>
              <w:rPr/>
            </w:pPr>
            <w:r>
              <w:rPr/>
              <w:t> </w:t>
            </w:r>
          </w:p>
        </w:tc>
        <w:tc>
          <w:tcPr>
            <w:tcW w:w="270" w:type="dxa"/>
            <w:tcBorders/>
            <w:shd w:fill="CCEEFF" w:val="clear"/>
          </w:tcPr>
          <w:p>
            <w:pPr>
              <w:pStyle w:val="TableContents"/>
              <w:bidi w:val="0"/>
              <w:spacing w:before="0" w:after="0"/>
              <w:ind w:left="0" w:right="0" w:hanging="0"/>
              <w:jc w:val="left"/>
              <w:rPr/>
            </w:pPr>
            <w:r>
              <w:rPr/>
              <w:t> </w:t>
            </w:r>
          </w:p>
        </w:tc>
        <w:tc>
          <w:tcPr>
            <w:tcW w:w="1322" w:type="dxa"/>
            <w:tcBorders/>
            <w:shd w:fill="CCEEFF" w:val="clear"/>
          </w:tcPr>
          <w:p>
            <w:pPr>
              <w:pStyle w:val="TableContents"/>
              <w:bidi w:val="0"/>
              <w:spacing w:before="0" w:after="0"/>
              <w:ind w:left="0" w:right="0" w:hanging="0"/>
              <w:jc w:val="right"/>
              <w:rPr/>
            </w:pPr>
            <w:r>
              <w:rPr/>
              <w:t>(31,522</w:t>
            </w:r>
          </w:p>
        </w:tc>
        <w:tc>
          <w:tcPr>
            <w:tcW w:w="253" w:type="dxa"/>
            <w:tcBorders/>
            <w:shd w:fill="CCEEFF" w:val="clear"/>
          </w:tcPr>
          <w:p>
            <w:pPr>
              <w:pStyle w:val="TableContents"/>
              <w:bidi w:val="0"/>
              <w:spacing w:before="0" w:after="0"/>
              <w:ind w:left="0" w:right="0" w:hanging="150"/>
              <w:jc w:val="left"/>
              <w:rPr/>
            </w:pPr>
            <w:r>
              <w:rPr/>
              <w:t>) </w:t>
            </w:r>
          </w:p>
        </w:tc>
      </w:tr>
      <w:tr>
        <w:trPr/>
        <w:tc>
          <w:tcPr>
            <w:tcW w:w="6114" w:type="dxa"/>
            <w:tcBorders/>
          </w:tcPr>
          <w:p>
            <w:pPr>
              <w:pStyle w:val="TableContents"/>
              <w:bidi w:val="0"/>
              <w:spacing w:before="0" w:after="0"/>
              <w:ind w:left="0" w:right="0" w:hanging="0"/>
              <w:jc w:val="left"/>
              <w:rPr>
                <w:b/>
              </w:rPr>
            </w:pPr>
            <w:r>
              <w:rPr>
                <w:b/>
              </w:rPr>
              <w:t>Cash and cash equivalents - beginning of period</w:t>
            </w:r>
          </w:p>
        </w:tc>
        <w:tc>
          <w:tcPr>
            <w:tcW w:w="98" w:type="dxa"/>
            <w:tcBorders/>
          </w:tcPr>
          <w:p>
            <w:pPr>
              <w:pStyle w:val="TableContents"/>
              <w:bidi w:val="0"/>
              <w:spacing w:before="0" w:after="0"/>
              <w:ind w:left="0" w:right="0" w:hanging="0"/>
              <w:jc w:val="left"/>
              <w:rPr/>
            </w:pPr>
            <w:r>
              <w:rPr/>
              <w:t> </w:t>
            </w:r>
          </w:p>
        </w:tc>
        <w:tc>
          <w:tcPr>
            <w:tcW w:w="270" w:type="dxa"/>
            <w:tcBorders>
              <w:bottom w:val="single" w:sz="12" w:space="0" w:color="000000"/>
            </w:tcBorders>
            <w:tcMar>
              <w:bottom w:w="28" w:type="dxa"/>
            </w:tcMar>
          </w:tcPr>
          <w:p>
            <w:pPr>
              <w:pStyle w:val="TableContents"/>
              <w:bidi w:val="0"/>
              <w:spacing w:before="0" w:after="0"/>
              <w:ind w:left="0" w:right="0" w:hanging="0"/>
              <w:jc w:val="left"/>
              <w:rPr/>
            </w:pPr>
            <w:r>
              <w:rPr/>
              <w:t> </w:t>
            </w:r>
          </w:p>
        </w:tc>
        <w:tc>
          <w:tcPr>
            <w:tcW w:w="1442" w:type="dxa"/>
            <w:tcBorders>
              <w:bottom w:val="single" w:sz="12" w:space="0" w:color="000000"/>
            </w:tcBorders>
            <w:tcMar>
              <w:bottom w:w="28" w:type="dxa"/>
            </w:tcMar>
          </w:tcPr>
          <w:p>
            <w:pPr>
              <w:pStyle w:val="TableContents"/>
              <w:bidi w:val="0"/>
              <w:spacing w:before="0" w:after="0"/>
              <w:ind w:left="0" w:right="0" w:hanging="0"/>
              <w:jc w:val="right"/>
              <w:rPr/>
            </w:pPr>
            <w:r>
              <w:rPr/>
              <w:t>87,630</w:t>
            </w:r>
          </w:p>
        </w:tc>
        <w:tc>
          <w:tcPr>
            <w:tcW w:w="294" w:type="dxa"/>
            <w:tcBorders>
              <w:bottom w:val="single" w:sz="12" w:space="0" w:color="000000"/>
            </w:tcBorders>
            <w:tcMar>
              <w:bottom w:w="28" w:type="dxa"/>
            </w:tcMar>
          </w:tcPr>
          <w:p>
            <w:pPr>
              <w:pStyle w:val="TableContents"/>
              <w:bidi w:val="0"/>
              <w:spacing w:before="0" w:after="0"/>
              <w:ind w:left="0" w:right="0" w:hanging="0"/>
              <w:jc w:val="left"/>
              <w:rPr/>
            </w:pPr>
            <w:r>
              <w:rPr/>
              <w:t> </w:t>
            </w:r>
          </w:p>
        </w:tc>
        <w:tc>
          <w:tcPr>
            <w:tcW w:w="142" w:type="dxa"/>
            <w:tcBorders/>
          </w:tcPr>
          <w:p>
            <w:pPr>
              <w:pStyle w:val="TableContents"/>
              <w:bidi w:val="0"/>
              <w:spacing w:before="0" w:after="0"/>
              <w:ind w:left="0" w:right="0" w:hanging="0"/>
              <w:jc w:val="left"/>
              <w:rPr/>
            </w:pPr>
            <w:r>
              <w:rPr/>
              <w:t> </w:t>
            </w:r>
          </w:p>
        </w:tc>
        <w:tc>
          <w:tcPr>
            <w:tcW w:w="270" w:type="dxa"/>
            <w:tcBorders>
              <w:bottom w:val="single" w:sz="12" w:space="0" w:color="000000"/>
            </w:tcBorders>
            <w:tcMar>
              <w:bottom w:w="28" w:type="dxa"/>
            </w:tcMar>
          </w:tcPr>
          <w:p>
            <w:pPr>
              <w:pStyle w:val="TableContents"/>
              <w:bidi w:val="0"/>
              <w:spacing w:before="0" w:after="0"/>
              <w:ind w:left="0" w:right="0" w:hanging="0"/>
              <w:jc w:val="left"/>
              <w:rPr/>
            </w:pPr>
            <w:r>
              <w:rPr/>
              <w:t> </w:t>
            </w:r>
          </w:p>
        </w:tc>
        <w:tc>
          <w:tcPr>
            <w:tcW w:w="1322" w:type="dxa"/>
            <w:tcBorders>
              <w:bottom w:val="single" w:sz="12" w:space="0" w:color="000000"/>
            </w:tcBorders>
            <w:tcMar>
              <w:bottom w:w="28" w:type="dxa"/>
            </w:tcMar>
          </w:tcPr>
          <w:p>
            <w:pPr>
              <w:pStyle w:val="TableContents"/>
              <w:bidi w:val="0"/>
              <w:spacing w:before="0" w:after="0"/>
              <w:ind w:left="0" w:right="0" w:hanging="0"/>
              <w:jc w:val="right"/>
              <w:rPr/>
            </w:pPr>
            <w:r>
              <w:rPr/>
              <w:t>103,147</w:t>
            </w:r>
          </w:p>
        </w:tc>
        <w:tc>
          <w:tcPr>
            <w:tcW w:w="253" w:type="dxa"/>
            <w:tcBorders>
              <w:bottom w:val="single" w:sz="12" w:space="0" w:color="000000"/>
            </w:tcBorders>
            <w:tcMar>
              <w:bottom w:w="28" w:type="dxa"/>
            </w:tcMar>
          </w:tcPr>
          <w:p>
            <w:pPr>
              <w:pStyle w:val="TableContents"/>
              <w:bidi w:val="0"/>
              <w:spacing w:before="0" w:after="0"/>
              <w:ind w:left="0" w:right="0" w:hanging="150"/>
              <w:jc w:val="left"/>
              <w:rPr/>
            </w:pPr>
            <w:r>
              <w:rPr/>
              <w:t> </w:t>
            </w:r>
          </w:p>
        </w:tc>
      </w:tr>
      <w:tr>
        <w:trPr/>
        <w:tc>
          <w:tcPr>
            <w:tcW w:w="6114" w:type="dxa"/>
            <w:tcBorders/>
            <w:shd w:fill="CCEEFF" w:val="clear"/>
          </w:tcPr>
          <w:p>
            <w:pPr>
              <w:pStyle w:val="TableContents"/>
              <w:bidi w:val="0"/>
              <w:spacing w:before="0" w:after="0"/>
              <w:ind w:left="0" w:right="0" w:hanging="0"/>
              <w:jc w:val="left"/>
              <w:rPr>
                <w:b/>
              </w:rPr>
            </w:pPr>
            <w:r>
              <w:rPr>
                <w:b/>
              </w:rPr>
              <w:t>Cash and cash equivalents - end of period</w:t>
            </w:r>
          </w:p>
        </w:tc>
        <w:tc>
          <w:tcPr>
            <w:tcW w:w="98" w:type="dxa"/>
            <w:tcBorders/>
            <w:shd w:fill="CCEEFF" w:val="clear"/>
          </w:tcPr>
          <w:p>
            <w:pPr>
              <w:pStyle w:val="TableContents"/>
              <w:bidi w:val="0"/>
              <w:spacing w:before="0" w:after="0"/>
              <w:ind w:left="0" w:right="0" w:hanging="0"/>
              <w:jc w:val="left"/>
              <w:rPr/>
            </w:pPr>
            <w:r>
              <w:rPr/>
              <w:t> </w:t>
            </w:r>
          </w:p>
        </w:tc>
        <w:tc>
          <w:tcPr>
            <w:tcW w:w="270" w:type="dxa"/>
            <w:tcBorders>
              <w:bottom w:val="double" w:sz="8" w:space="0" w:color="000000"/>
            </w:tcBorders>
            <w:shd w:fill="CCEEFF" w:val="clear"/>
            <w:tcMar>
              <w:bottom w:w="28" w:type="dxa"/>
            </w:tcMar>
          </w:tcPr>
          <w:p>
            <w:pPr>
              <w:pStyle w:val="TableContents"/>
              <w:bidi w:val="0"/>
              <w:spacing w:before="0" w:after="0"/>
              <w:ind w:left="0" w:right="0" w:hanging="0"/>
              <w:jc w:val="left"/>
              <w:rPr/>
            </w:pPr>
            <w:r>
              <w:rPr/>
              <w:t>$</w:t>
            </w:r>
          </w:p>
        </w:tc>
        <w:tc>
          <w:tcPr>
            <w:tcW w:w="1442" w:type="dxa"/>
            <w:tcBorders>
              <w:bottom w:val="double" w:sz="8" w:space="0" w:color="000000"/>
            </w:tcBorders>
            <w:shd w:fill="CCEEFF" w:val="clear"/>
            <w:tcMar>
              <w:bottom w:w="28" w:type="dxa"/>
            </w:tcMar>
          </w:tcPr>
          <w:p>
            <w:pPr>
              <w:pStyle w:val="TableContents"/>
              <w:bidi w:val="0"/>
              <w:spacing w:before="0" w:after="0"/>
              <w:ind w:left="0" w:right="0" w:hanging="0"/>
              <w:jc w:val="right"/>
              <w:rPr/>
            </w:pPr>
            <w:r>
              <w:rPr/>
              <w:t>138,153</w:t>
            </w:r>
          </w:p>
        </w:tc>
        <w:tc>
          <w:tcPr>
            <w:tcW w:w="294" w:type="dxa"/>
            <w:tcBorders>
              <w:bottom w:val="double" w:sz="8" w:space="0" w:color="000000"/>
            </w:tcBorders>
            <w:shd w:fill="CCEEFF" w:val="clear"/>
            <w:tcMar>
              <w:bottom w:w="28" w:type="dxa"/>
            </w:tcMar>
          </w:tcPr>
          <w:p>
            <w:pPr>
              <w:pStyle w:val="TableContents"/>
              <w:bidi w:val="0"/>
              <w:spacing w:before="0" w:after="0"/>
              <w:ind w:left="0" w:right="0" w:hanging="0"/>
              <w:jc w:val="left"/>
              <w:rPr/>
            </w:pPr>
            <w:r>
              <w:rPr/>
              <w:t> </w:t>
            </w:r>
          </w:p>
        </w:tc>
        <w:tc>
          <w:tcPr>
            <w:tcW w:w="142" w:type="dxa"/>
            <w:tcBorders/>
            <w:shd w:fill="CCEEFF" w:val="clear"/>
          </w:tcPr>
          <w:p>
            <w:pPr>
              <w:pStyle w:val="TableContents"/>
              <w:bidi w:val="0"/>
              <w:spacing w:before="0" w:after="0"/>
              <w:ind w:left="0" w:right="0" w:hanging="0"/>
              <w:jc w:val="left"/>
              <w:rPr/>
            </w:pPr>
            <w:r>
              <w:rPr/>
              <w:t> </w:t>
            </w:r>
          </w:p>
        </w:tc>
        <w:tc>
          <w:tcPr>
            <w:tcW w:w="270" w:type="dxa"/>
            <w:tcBorders>
              <w:bottom w:val="double" w:sz="8" w:space="0" w:color="000000"/>
            </w:tcBorders>
            <w:shd w:fill="CCEEFF" w:val="clear"/>
            <w:tcMar>
              <w:bottom w:w="28" w:type="dxa"/>
            </w:tcMar>
          </w:tcPr>
          <w:p>
            <w:pPr>
              <w:pStyle w:val="TableContents"/>
              <w:bidi w:val="0"/>
              <w:spacing w:before="0" w:after="0"/>
              <w:ind w:left="0" w:right="0" w:hanging="0"/>
              <w:jc w:val="left"/>
              <w:rPr/>
            </w:pPr>
            <w:r>
              <w:rPr/>
              <w:t>$</w:t>
            </w:r>
          </w:p>
        </w:tc>
        <w:tc>
          <w:tcPr>
            <w:tcW w:w="1322" w:type="dxa"/>
            <w:tcBorders>
              <w:bottom w:val="double" w:sz="8" w:space="0" w:color="000000"/>
            </w:tcBorders>
            <w:shd w:fill="CCEEFF" w:val="clear"/>
            <w:tcMar>
              <w:bottom w:w="28" w:type="dxa"/>
            </w:tcMar>
          </w:tcPr>
          <w:p>
            <w:pPr>
              <w:pStyle w:val="TableContents"/>
              <w:bidi w:val="0"/>
              <w:spacing w:before="0" w:after="0"/>
              <w:ind w:left="0" w:right="0" w:hanging="0"/>
              <w:jc w:val="right"/>
              <w:rPr/>
            </w:pPr>
            <w:r>
              <w:rPr/>
              <w:t>71,625</w:t>
            </w:r>
          </w:p>
        </w:tc>
        <w:tc>
          <w:tcPr>
            <w:tcW w:w="253" w:type="dxa"/>
            <w:tcBorders>
              <w:bottom w:val="double" w:sz="8" w:space="0" w:color="000000"/>
            </w:tcBorders>
            <w:shd w:fill="CCEEFF" w:val="clear"/>
            <w:tcMar>
              <w:bottom w:w="28" w:type="dxa"/>
            </w:tcMar>
          </w:tcPr>
          <w:p>
            <w:pPr>
              <w:pStyle w:val="TableContents"/>
              <w:bidi w:val="0"/>
              <w:spacing w:before="0" w:after="0"/>
              <w:jc w:val="left"/>
              <w:rPr/>
            </w:pPr>
            <w:r>
              <w:rPr/>
              <w:t> </w:t>
            </w:r>
          </w:p>
        </w:tc>
      </w:tr>
    </w:tbl>
    <w:p>
      <w:pPr>
        <w:pStyle w:val="TextBody"/>
        <w:bidi w:val="0"/>
        <w:spacing w:before="0" w:after="0"/>
        <w:jc w:val="center"/>
        <w:rPr/>
      </w:pPr>
      <w:r>
        <w:rPr/>
        <w:t xml:space="preserve">  </w:t>
      </w:r>
    </w:p>
    <w:p>
      <w:pPr>
        <w:pStyle w:val="TextBody"/>
        <w:bidi w:val="0"/>
        <w:spacing w:before="0" w:after="0"/>
        <w:jc w:val="center"/>
        <w:rPr>
          <w:rFonts w:ascii="Times New Roman" w:hAnsi="Times New Roman"/>
          <w:sz w:val="20"/>
        </w:rPr>
      </w:pPr>
      <w:r>
        <w:rPr>
          <w:rFonts w:ascii="Times New Roman" w:hAnsi="Times New Roman"/>
          <w:sz w:val="20"/>
        </w:rPr>
        <w:t>The accompanying notes are an integral part of these condensed consolidated financial statements.</w:t>
      </w:r>
    </w:p>
    <w:p>
      <w:pPr>
        <w:pStyle w:val="TextBody"/>
        <w:bidi w:val="0"/>
        <w:spacing w:before="0" w:after="0"/>
        <w:jc w:val="center"/>
        <w:rPr/>
      </w:pPr>
      <w:r>
        <w:rPr/>
        <w:t> </w:t>
      </w:r>
    </w:p>
    <w:p>
      <w:pPr>
        <w:pStyle w:val="TextBody"/>
        <w:bidi w:val="0"/>
        <w:spacing w:before="150" w:after="15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t>4</w:t>
      </w:r>
    </w:p>
    <w:p>
      <w:pPr>
        <w:pStyle w:val="HorizontalLine"/>
        <w:bidi w:val="0"/>
        <w:spacing w:before="150" w:after="150"/>
        <w:jc w:val="left"/>
        <w:rPr/>
      </w:pPr>
      <w:r>
        <w:rPr/>
      </w:r>
    </w:p>
    <w:p>
      <w:pPr>
        <w:pStyle w:val="TextBody"/>
        <w:bidi w:val="0"/>
        <w:spacing w:before="150" w:after="150"/>
        <w:jc w:val="left"/>
        <w:rPr/>
      </w:pPr>
      <w:hyperlink w:anchor="index">
        <w:r>
          <w:rPr>
            <w:rStyle w:val="InternetLink"/>
            <w:rFonts w:ascii="TimesNewRoman;Times New Roman;Times;Baskerville;Georgia;serif" w:hAnsi="TimesNewRoman;Times New Roman;Times;Baskerville;Georgia;serif"/>
            <w:b w:val="false"/>
            <w:i/>
            <w:caps w:val="false"/>
            <w:smallCaps w:val="false"/>
            <w:strike w:val="false"/>
            <w:dstrike w:val="false"/>
            <w:sz w:val="16"/>
            <w:u w:val="none"/>
            <w:effect w:val="none"/>
          </w:rPr>
          <w:t>Index</w:t>
        </w:r>
      </w:hyperlink>
    </w:p>
    <w:p>
      <w:pPr>
        <w:pStyle w:val="TextBody"/>
        <w:bidi w:val="0"/>
        <w:spacing w:before="0" w:after="0"/>
        <w:ind w:left="0" w:right="0" w:hanging="0"/>
        <w:jc w:val="center"/>
        <w:rPr>
          <w:rFonts w:ascii="Times New Roman" w:hAnsi="Times New Roman"/>
          <w:b/>
          <w:sz w:val="20"/>
        </w:rPr>
      </w:pPr>
      <w:r>
        <w:rPr>
          <w:rFonts w:ascii="Times New Roman" w:hAnsi="Times New Roman"/>
          <w:b/>
          <w:sz w:val="20"/>
        </w:rPr>
        <w:t>ADMA BIOLOGICS, INC. AND SUBSIDIARIES</w:t>
      </w:r>
    </w:p>
    <w:p>
      <w:pPr>
        <w:pStyle w:val="TextBody"/>
        <w:bidi w:val="0"/>
        <w:spacing w:before="0" w:after="0"/>
        <w:ind w:left="0" w:right="0" w:hanging="0"/>
        <w:jc w:val="center"/>
        <w:rPr>
          <w:rFonts w:ascii="Times New Roman" w:hAnsi="Times New Roman"/>
          <w:b/>
          <w:sz w:val="20"/>
        </w:rPr>
      </w:pPr>
      <w:bookmarkStart w:id="9" w:name="note"/>
      <w:bookmarkEnd w:id="9"/>
      <w:r>
        <w:rPr>
          <w:rFonts w:ascii="Times New Roman" w:hAnsi="Times New Roman"/>
          <w:b/>
          <w:sz w:val="20"/>
        </w:rPr>
        <w:t>NOTES TO CONDENSED CONSOLIDATED FINANCIAL STATEMENTS (UNAUDITED)</w:t>
      </w:r>
    </w:p>
    <w:p>
      <w:pPr>
        <w:pStyle w:val="TextBody"/>
        <w:bidi w:val="0"/>
        <w:spacing w:before="0" w:after="0"/>
        <w:jc w:val="center"/>
        <w:rPr/>
      </w:pPr>
      <w:r>
        <w:rPr/>
        <w:t> </w:t>
      </w:r>
    </w:p>
    <w:p>
      <w:pPr>
        <w:pStyle w:val="TextBody"/>
        <w:bidi w:val="0"/>
        <w:spacing w:before="0" w:after="0"/>
        <w:ind w:left="0" w:right="0" w:hanging="540"/>
        <w:jc w:val="left"/>
        <w:rPr>
          <w:rFonts w:ascii="Times New Roman" w:hAnsi="Times New Roman"/>
          <w:b/>
          <w:sz w:val="20"/>
          <w:u w:val="single"/>
        </w:rPr>
      </w:pPr>
      <w:r>
        <w:rPr>
          <w:rFonts w:ascii="Times New Roman" w:hAnsi="Times New Roman"/>
          <w:b/>
          <w:sz w:val="20"/>
          <w:u w:val="single"/>
        </w:rPr>
        <w:t>ORGANIZATION AND BUSINESS</w:t>
      </w:r>
      <w:r>
        <mc:AlternateContent>
          <mc:Choice Requires="wps">
            <w:drawing>
              <wp:anchor behindDoc="0" distT="0" distB="0" distL="0" distR="0" simplePos="0" locked="0" layoutInCell="1" allowOverlap="1" relativeHeight="41">
                <wp:simplePos x="0" y="0"/>
                <wp:positionH relativeFrom="column">
                  <wp:align>left</wp:align>
                </wp:positionH>
                <wp:positionV relativeFrom="line">
                  <wp:posOffset>635</wp:posOffset>
                </wp:positionV>
                <wp:extent cx="342900" cy="175260"/>
                <wp:effectExtent l="0" t="0" r="0" b="0"/>
                <wp:wrapSquare wrapText="right"/>
                <wp:docPr id="40" name="Frame40"/>
                <a:graphic xmlns:a="http://schemas.openxmlformats.org/drawingml/2006/main">
                  <a:graphicData uri="http://schemas.microsoft.com/office/word/2010/wordprocessingShape">
                    <wps:wsp>
                      <wps:cNvSpPr txBox="1"/>
                      <wps:spPr>
                        <a:xfrm>
                          <a:off x="0" y="0"/>
                          <a:ext cx="342900" cy="175260"/>
                        </a:xfrm>
                        <a:prstGeom prst="rect"/>
                        <a:solidFill>
                          <a:srgbClr val="FFFFFF"/>
                        </a:solidFill>
                      </wps:spPr>
                      <wps:txbx>
                        <w:txbxContent>
                          <w:p>
                            <w:pPr>
                              <w:pStyle w:val="TextBody"/>
                              <w:bidi w:val="0"/>
                              <w:spacing w:before="0" w:after="283"/>
                              <w:jc w:val="left"/>
                              <w:rPr/>
                            </w:pPr>
                            <w:r>
                              <w:rPr>
                                <w:b/>
                              </w:rPr>
                              <w:t>1.</w:t>
                            </w:r>
                            <w:r>
                              <w:rPr/>
                              <w:t xml:space="preserve"> </w:t>
                            </w:r>
                          </w:p>
                        </w:txbxContent>
                      </wps:txbx>
                      <wps:bodyPr anchor="t" lIns="0" tIns="0" rIns="0" bIns="0">
                        <a:noAutofit/>
                      </wps:bodyPr>
                    </wps:wsp>
                  </a:graphicData>
                </a:graphic>
              </wp:anchor>
            </w:drawing>
          </mc:Choice>
          <mc:Fallback>
            <w:pict>
              <v:rect style="position:absolute;rotation:-0;width:2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b/>
                        </w:rPr>
                        <w:t>1.</w:t>
                      </w:r>
                      <w:r>
                        <w:rPr/>
                        <w:t xml:space="preserve"> </w:t>
                      </w:r>
                    </w:p>
                  </w:txbxContent>
                </v:textbox>
                <w10:wrap type="square" side="right"/>
              </v:rect>
            </w:pict>
          </mc:Fallback>
        </mc:AlternateContent>
      </w:r>
    </w:p>
    <w:p>
      <w:pPr>
        <w:pStyle w:val="TextBody"/>
        <w:bidi w:val="0"/>
        <w:spacing w:before="0" w:after="0"/>
        <w:jc w:val="left"/>
        <w:rPr/>
      </w:pPr>
      <w:r>
        <w:rPr/>
        <w:t xml:space="preserve">  </w:t>
      </w:r>
    </w:p>
    <w:p>
      <w:pPr>
        <w:pStyle w:val="TextBody"/>
        <w:bidi w:val="0"/>
        <w:spacing w:before="0" w:after="0"/>
        <w:ind w:left="0" w:right="0" w:firstLine="675"/>
        <w:jc w:val="both"/>
        <w:rPr>
          <w:rFonts w:ascii="Times New Roman" w:hAnsi="Times New Roman"/>
          <w:sz w:val="20"/>
        </w:rPr>
      </w:pPr>
      <w:r>
        <w:rPr>
          <w:rFonts w:ascii="Times New Roman" w:hAnsi="Times New Roman"/>
          <w:sz w:val="20"/>
        </w:rPr>
        <w:t xml:space="preserve">ADMA Biologics, Inc. (the “Company,” “ADMA,” “we,” “us” or “our”) is a U.S. based, end-to-end commercial biopharmaceutical company dedicated to manufacturing, marketing and developing specialty biologics for the treatment of immunodeficient patients at risk for infection and others at risk for certain infectious diseases. The Company’s targeted patient populations include immune-compromised individuals who suffer from an underlying immune deficiency disorder or who may be immune-suppressed for medical reasons. </w:t>
      </w:r>
    </w:p>
    <w:p>
      <w:pPr>
        <w:pStyle w:val="TextBody"/>
        <w:bidi w:val="0"/>
        <w:spacing w:before="0" w:after="0"/>
        <w:jc w:val="left"/>
        <w:rPr/>
      </w:pPr>
      <w:r>
        <w:rPr/>
        <w:t xml:space="preserve">  </w:t>
      </w:r>
    </w:p>
    <w:p>
      <w:pPr>
        <w:pStyle w:val="TextBody"/>
        <w:bidi w:val="0"/>
        <w:spacing w:before="0" w:after="0"/>
        <w:ind w:left="0" w:right="0" w:firstLine="675"/>
        <w:jc w:val="both"/>
        <w:rPr>
          <w:rFonts w:ascii="Times New Roman" w:hAnsi="Times New Roman"/>
          <w:sz w:val="20"/>
        </w:rPr>
      </w:pPr>
      <w:r>
        <w:rPr>
          <w:rFonts w:ascii="Times New Roman" w:hAnsi="Times New Roman"/>
          <w:sz w:val="20"/>
        </w:rPr>
        <w:t xml:space="preserve">ADMA operates through its wholly owned subsidiaries ADMA BioManufacturing, LLC (“ADMA BioManufacturing”) and ADMA BioCenters Georgia Inc. (“ADMA BioCenters”). ADMA BioManufacturing was formed in January 2017 to facilitate the acquisition of certain assets held by the Company’s former third-party contract manufacturer, which included the U.S. Food and Drug Administration (“FDA”)-licensed BIVIGAM and Nabi-HB immunoglobulin products, and an FDA-licensed plasma fractionation manufacturing facility located in Boca Raton, Florida (the “Boca Facility”). ADMA BioCenters is the Company’s source plasma collection business with seven plasma collection facilities located throughout the U.S. as of March 31, 2026, all of which hold an approved license with the FDA. </w:t>
      </w:r>
    </w:p>
    <w:p>
      <w:pPr>
        <w:pStyle w:val="TextBody"/>
        <w:bidi w:val="0"/>
        <w:spacing w:before="0" w:after="0"/>
        <w:jc w:val="left"/>
        <w:rPr/>
      </w:pPr>
      <w:r>
        <w:rPr/>
        <w:t xml:space="preserve">  </w:t>
      </w:r>
    </w:p>
    <w:p>
      <w:pPr>
        <w:pStyle w:val="TextBody"/>
        <w:bidi w:val="0"/>
        <w:spacing w:before="0" w:after="0"/>
        <w:ind w:left="0" w:right="0" w:firstLine="675"/>
        <w:jc w:val="both"/>
        <w:rPr>
          <w:rFonts w:ascii="Times New Roman" w:hAnsi="Times New Roman"/>
          <w:sz w:val="20"/>
        </w:rPr>
      </w:pPr>
      <w:r>
        <w:rPr>
          <w:rFonts w:ascii="Times New Roman" w:hAnsi="Times New Roman"/>
          <w:sz w:val="20"/>
        </w:rPr>
        <w:t xml:space="preserve">The Company has three FDA-approved products, all of which are currently marketed and commercially available: (i) ASCENIV (Immune Globulin Intravenous, Human – slra 10% Liquid), an intravenous immune globulin (“IVIG”) product indicated for the treatment of Primary Humoral Immunodeficiency (“PI”), also known as Primary Immunodeficiency Disease (“PIDD”) or Inborn Errors of Immunity, for which the Company received FDA approval in April 2019 and commenced first commercial sales in October 2019; (ii) BIVIGAM (Immune Globulin Intravenous, Human), an IVIG product indicated for the treatment of PI, and for which the Company received FDA approval in May 2019 and commenced commercial sales in August 2019; and (iii) Nabi-HB (Hepatitis B Immune Globulin, Human), which is indicated for the treatment of acute exposure to blood containing Hepatitis B surface antigen (“HBsAg”) and other listed exposures to Hepatitis B. In addition to its commercially available immunoglobulin products, the Company generates revenues from the sale of intermediate by-products that result from the immunoglobulin production process and from time to time provides contract manufacturing and laboratory services for certain clients. The Company seeks to develop a pipeline of plasma-derived therapeutics, including but not limited to SG-001, a preclinical, investigative hyperimmune globulin targeting </w:t>
      </w:r>
      <w:r>
        <w:rPr>
          <w:rFonts w:ascii="Times New Roman" w:hAnsi="Times New Roman"/>
          <w:i/>
          <w:sz w:val="20"/>
        </w:rPr>
        <w:t>S. pneumonia</w:t>
      </w:r>
      <w:r>
        <w:rPr>
          <w:rFonts w:ascii="Times New Roman" w:hAnsi="Times New Roman"/>
          <w:sz w:val="20"/>
        </w:rPr>
        <w:t xml:space="preserve">. The Company’s products and product candidates are intended to be used by physician specialists focused on caring for immune-compromised patients with or at risk for certain infectious diseases. </w:t>
      </w:r>
    </w:p>
    <w:p>
      <w:pPr>
        <w:pStyle w:val="TextBody"/>
        <w:bidi w:val="0"/>
        <w:spacing w:before="0" w:after="0"/>
        <w:jc w:val="left"/>
        <w:rPr/>
      </w:pPr>
      <w:r>
        <w:rPr/>
        <w:t xml:space="preserve">  </w:t>
      </w:r>
    </w:p>
    <w:p>
      <w:pPr>
        <w:pStyle w:val="TextBody"/>
        <w:bidi w:val="0"/>
        <w:spacing w:before="0" w:after="0"/>
        <w:ind w:left="0" w:right="0" w:hanging="540"/>
        <w:jc w:val="left"/>
        <w:rPr>
          <w:rFonts w:ascii="Times New Roman" w:hAnsi="Times New Roman"/>
          <w:sz w:val="20"/>
        </w:rPr>
      </w:pPr>
      <w:r>
        <w:rPr>
          <w:rFonts w:ascii="Times New Roman" w:hAnsi="Times New Roman"/>
          <w:b/>
          <w:sz w:val="20"/>
          <w:u w:val="single"/>
        </w:rPr>
        <w:t>SUMMARY OF SIGNIFICANT ACCOUNTING POLICIES</w:t>
      </w:r>
      <w:r>
        <w:rPr>
          <w:rFonts w:ascii="Times New Roman" w:hAnsi="Times New Roman"/>
          <w:sz w:val="20"/>
        </w:rPr>
        <w:t xml:space="preserve"> </w:t>
      </w:r>
      <w:r>
        <mc:AlternateContent>
          <mc:Choice Requires="wps">
            <w:drawing>
              <wp:anchor behindDoc="0" distT="0" distB="0" distL="0" distR="0" simplePos="0" locked="0" layoutInCell="1" allowOverlap="1" relativeHeight="42">
                <wp:simplePos x="0" y="0"/>
                <wp:positionH relativeFrom="column">
                  <wp:align>left</wp:align>
                </wp:positionH>
                <wp:positionV relativeFrom="line">
                  <wp:posOffset>635</wp:posOffset>
                </wp:positionV>
                <wp:extent cx="342900" cy="175260"/>
                <wp:effectExtent l="0" t="0" r="0" b="0"/>
                <wp:wrapSquare wrapText="right"/>
                <wp:docPr id="41" name="Frame41"/>
                <a:graphic xmlns:a="http://schemas.openxmlformats.org/drawingml/2006/main">
                  <a:graphicData uri="http://schemas.microsoft.com/office/word/2010/wordprocessingShape">
                    <wps:wsp>
                      <wps:cNvSpPr txBox="1"/>
                      <wps:spPr>
                        <a:xfrm>
                          <a:off x="0" y="0"/>
                          <a:ext cx="342900" cy="175260"/>
                        </a:xfrm>
                        <a:prstGeom prst="rect"/>
                        <a:solidFill>
                          <a:srgbClr val="FFFFFF"/>
                        </a:solidFill>
                      </wps:spPr>
                      <wps:txbx>
                        <w:txbxContent>
                          <w:p>
                            <w:pPr>
                              <w:pStyle w:val="TextBody"/>
                              <w:bidi w:val="0"/>
                              <w:spacing w:before="0" w:after="283"/>
                              <w:jc w:val="left"/>
                              <w:rPr/>
                            </w:pPr>
                            <w:r>
                              <w:rPr>
                                <w:b/>
                              </w:rPr>
                              <w:t>2.</w:t>
                            </w:r>
                            <w:r>
                              <w:rPr/>
                              <w:t xml:space="preserve"> </w:t>
                            </w:r>
                          </w:p>
                        </w:txbxContent>
                      </wps:txbx>
                      <wps:bodyPr anchor="t" lIns="0" tIns="0" rIns="0" bIns="0">
                        <a:noAutofit/>
                      </wps:bodyPr>
                    </wps:wsp>
                  </a:graphicData>
                </a:graphic>
              </wp:anchor>
            </w:drawing>
          </mc:Choice>
          <mc:Fallback>
            <w:pict>
              <v:rect style="position:absolute;rotation:-0;width:2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b/>
                        </w:rPr>
                        <w:t>2.</w:t>
                      </w:r>
                      <w:r>
                        <w:rPr/>
                        <w:t xml:space="preserve"> </w:t>
                      </w:r>
                    </w:p>
                  </w:txbxContent>
                </v:textbox>
                <w10:wrap type="square" side="right"/>
              </v:rect>
            </w:pict>
          </mc:Fallback>
        </mc:AlternateContent>
      </w:r>
    </w:p>
    <w:p>
      <w:pPr>
        <w:pStyle w:val="TextBody"/>
        <w:bidi w:val="0"/>
        <w:spacing w:before="0" w:after="0"/>
        <w:jc w:val="left"/>
        <w:rPr/>
      </w:pPr>
      <w:r>
        <w:rPr/>
        <w:t xml:space="preserve">  </w:t>
      </w:r>
    </w:p>
    <w:p>
      <w:pPr>
        <w:pStyle w:val="TextBody"/>
        <w:bidi w:val="0"/>
        <w:spacing w:before="0" w:after="0"/>
        <w:jc w:val="left"/>
        <w:rPr>
          <w:rFonts w:ascii="Times New Roman" w:hAnsi="Times New Roman"/>
          <w:sz w:val="20"/>
        </w:rPr>
      </w:pPr>
      <w:r>
        <w:rPr>
          <w:rFonts w:ascii="Times New Roman" w:hAnsi="Times New Roman"/>
          <w:i/>
          <w:sz w:val="20"/>
          <w:u w:val="single"/>
        </w:rPr>
        <w:t>Principles of consolidation and basis of presentation</w:t>
      </w:r>
      <w:r>
        <w:rPr>
          <w:rFonts w:ascii="Times New Roman" w:hAnsi="Times New Roman"/>
          <w:sz w:val="20"/>
        </w:rPr>
        <w:t xml:space="preserve"> </w:t>
      </w:r>
    </w:p>
    <w:p>
      <w:pPr>
        <w:pStyle w:val="TextBody"/>
        <w:bidi w:val="0"/>
        <w:spacing w:before="0" w:after="0"/>
        <w:jc w:val="left"/>
        <w:rPr/>
      </w:pPr>
      <w:r>
        <w:rPr/>
        <w:t xml:space="preserve">  </w:t>
      </w:r>
    </w:p>
    <w:p>
      <w:pPr>
        <w:pStyle w:val="TextBody"/>
        <w:bidi w:val="0"/>
        <w:spacing w:before="0" w:after="0"/>
        <w:ind w:left="0" w:right="0" w:firstLine="720"/>
        <w:jc w:val="both"/>
        <w:rPr>
          <w:rFonts w:ascii="Times New Roman" w:hAnsi="Times New Roman"/>
          <w:sz w:val="20"/>
        </w:rPr>
      </w:pPr>
      <w:r>
        <w:rPr>
          <w:rFonts w:ascii="Times New Roman" w:hAnsi="Times New Roman"/>
          <w:sz w:val="20"/>
        </w:rPr>
        <w:t xml:space="preserve">The accompanying unaudited condensed consolidated financial statements have been prepared in conformity with accounting principles generally accepted in the United States of America (“U.S. GAAP”) for interim financial information. Any reference in these notes to applicable guidance is meant to refer to U.S. GAAP as found in the Accounting Standards Codification (“ASC”) and Accounting Standards Updates (“ASU”) of the Financial Accounting Standards Board (the “FASB”). </w:t>
      </w:r>
    </w:p>
    <w:p>
      <w:pPr>
        <w:pStyle w:val="TextBody"/>
        <w:bidi w:val="0"/>
        <w:spacing w:before="0" w:after="0"/>
        <w:jc w:val="both"/>
        <w:rPr/>
      </w:pPr>
      <w:r>
        <w:rPr/>
        <w:t xml:space="preserve">  </w:t>
      </w:r>
    </w:p>
    <w:p>
      <w:pPr>
        <w:pStyle w:val="TextBody"/>
        <w:bidi w:val="0"/>
        <w:spacing w:before="0" w:after="0"/>
        <w:ind w:left="0" w:right="0" w:firstLine="720"/>
        <w:jc w:val="both"/>
        <w:rPr>
          <w:rFonts w:ascii="Times New Roman" w:hAnsi="Times New Roman"/>
          <w:sz w:val="20"/>
        </w:rPr>
      </w:pPr>
      <w:r>
        <w:rPr>
          <w:rFonts w:ascii="Times New Roman" w:hAnsi="Times New Roman"/>
          <w:sz w:val="20"/>
        </w:rPr>
        <w:t xml:space="preserve">The accompanying unaudited condensed consolidated financial statements should be read in conjunction with the annual audited consolidated financial statements and notes thereto as of and for the year ended December 31, 2025 included in the 2025 10-K. All intercompany balances and transactions have been eliminated in consolidation. The preparation of our interim consolidated financial statements in conformity with U.S. GAAP requires management to make estimates and assumptions that affect the amounts reported and disclosed. We have made reasonable estimates and judgments of such items within our financial statements and there may be changes to those estimates in future periods. </w:t>
      </w:r>
    </w:p>
    <w:p>
      <w:pPr>
        <w:pStyle w:val="TextBody"/>
        <w:bidi w:val="0"/>
        <w:spacing w:before="0" w:after="0"/>
        <w:jc w:val="both"/>
        <w:rPr/>
      </w:pPr>
      <w:r>
        <w:rPr/>
        <w:t xml:space="preserve">  </w:t>
      </w:r>
    </w:p>
    <w:p>
      <w:pPr>
        <w:pStyle w:val="TextBody"/>
        <w:bidi w:val="0"/>
        <w:spacing w:before="0" w:after="0"/>
        <w:ind w:left="0" w:right="0" w:firstLine="720"/>
        <w:jc w:val="both"/>
        <w:rPr>
          <w:rFonts w:ascii="Times New Roman" w:hAnsi="Times New Roman"/>
          <w:sz w:val="20"/>
        </w:rPr>
      </w:pPr>
      <w:r>
        <w:rPr>
          <w:rFonts w:ascii="Times New Roman" w:hAnsi="Times New Roman"/>
          <w:sz w:val="20"/>
        </w:rPr>
        <w:t>During the three months ended March 31, 2026 and 2025, comprehensive income was equal to the net income amounts presented for the respective periods in the accompanying condensed consolidated statements of operations. Results for interim periods are not necessarily indicative of the results that may be expected for the full fiscal year.</w:t>
      </w:r>
    </w:p>
    <w:p>
      <w:pPr>
        <w:pStyle w:val="TextBody"/>
        <w:bidi w:val="0"/>
        <w:spacing w:before="0" w:after="0"/>
        <w:ind w:left="0" w:right="0" w:firstLine="720"/>
        <w:jc w:val="both"/>
        <w:rPr/>
      </w:pPr>
      <w:r>
        <w:rPr/>
        <w:t> </w:t>
      </w:r>
    </w:p>
    <w:p>
      <w:pPr>
        <w:pStyle w:val="TextBody"/>
        <w:bidi w:val="0"/>
        <w:spacing w:before="150" w:after="15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t>5</w:t>
      </w:r>
    </w:p>
    <w:p>
      <w:pPr>
        <w:pStyle w:val="HorizontalLine"/>
        <w:bidi w:val="0"/>
        <w:spacing w:before="150" w:after="150"/>
        <w:jc w:val="left"/>
        <w:rPr/>
      </w:pPr>
      <w:r>
        <w:rPr/>
      </w:r>
    </w:p>
    <w:p>
      <w:pPr>
        <w:pStyle w:val="TextBody"/>
        <w:bidi w:val="0"/>
        <w:spacing w:before="150" w:after="150"/>
        <w:jc w:val="left"/>
        <w:rPr/>
      </w:pPr>
      <w:hyperlink w:anchor="index">
        <w:r>
          <w:rPr>
            <w:rStyle w:val="InternetLink"/>
            <w:rFonts w:ascii="TimesNewRoman;Times New Roman;Times;Baskerville;Georgia;serif" w:hAnsi="TimesNewRoman;Times New Roman;Times;Baskerville;Georgia;serif"/>
            <w:b w:val="false"/>
            <w:i/>
            <w:caps w:val="false"/>
            <w:smallCaps w:val="false"/>
            <w:strike w:val="false"/>
            <w:dstrike w:val="false"/>
            <w:sz w:val="16"/>
            <w:u w:val="none"/>
            <w:effect w:val="none"/>
          </w:rPr>
          <w:t>Index</w:t>
        </w:r>
      </w:hyperlink>
    </w:p>
    <w:p>
      <w:pPr>
        <w:pStyle w:val="TextBody"/>
        <w:bidi w:val="0"/>
        <w:spacing w:before="0" w:after="0"/>
        <w:ind w:left="0" w:right="0" w:hanging="0"/>
        <w:jc w:val="center"/>
        <w:rPr>
          <w:rFonts w:ascii="Times New Roman" w:hAnsi="Times New Roman"/>
          <w:b/>
          <w:sz w:val="20"/>
        </w:rPr>
      </w:pPr>
      <w:r>
        <w:rPr>
          <w:rFonts w:ascii="Times New Roman" w:hAnsi="Times New Roman"/>
          <w:b/>
          <w:sz w:val="20"/>
        </w:rPr>
        <w:t>ADMA BIOLOGICS, INC. AND SUBSIDIARIES</w:t>
      </w:r>
    </w:p>
    <w:p>
      <w:pPr>
        <w:pStyle w:val="TextBody"/>
        <w:bidi w:val="0"/>
        <w:spacing w:before="0" w:after="0"/>
        <w:ind w:left="0" w:right="0" w:hanging="0"/>
        <w:jc w:val="center"/>
        <w:rPr>
          <w:rFonts w:ascii="Times New Roman" w:hAnsi="Times New Roman"/>
          <w:b/>
          <w:sz w:val="20"/>
        </w:rPr>
      </w:pPr>
      <w:r>
        <w:rPr>
          <w:rFonts w:ascii="Times New Roman" w:hAnsi="Times New Roman"/>
          <w:b/>
          <w:sz w:val="20"/>
        </w:rPr>
        <w:t>NOTES TO CONDENSED CONSOLIDATED FINANCIAL STATEMENTS (UNAUDITED)</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i/>
          <w:sz w:val="20"/>
          <w:u w:val="single"/>
        </w:rPr>
        <w:t>Use of Estimates</w:t>
      </w:r>
      <w:r>
        <w:rPr>
          <w:rFonts w:ascii="Times New Roman" w:hAnsi="Times New Roman"/>
          <w:sz w:val="20"/>
        </w:rPr>
        <w:t xml:space="preserve"> </w:t>
      </w:r>
    </w:p>
    <w:p>
      <w:pPr>
        <w:pStyle w:val="TextBody"/>
        <w:bidi w:val="0"/>
        <w:spacing w:before="0" w:after="0"/>
        <w:jc w:val="left"/>
        <w:rPr/>
      </w:pPr>
      <w:r>
        <w:rPr/>
        <w:t xml:space="preserve">  </w:t>
      </w:r>
    </w:p>
    <w:p>
      <w:pPr>
        <w:pStyle w:val="TextBody"/>
        <w:bidi w:val="0"/>
        <w:spacing w:before="0" w:after="0"/>
        <w:ind w:left="0" w:right="0" w:firstLine="720"/>
        <w:jc w:val="both"/>
        <w:rPr>
          <w:rFonts w:ascii="Times New Roman" w:hAnsi="Times New Roman"/>
          <w:sz w:val="20"/>
        </w:rPr>
      </w:pPr>
      <w:r>
        <w:rPr>
          <w:rFonts w:ascii="Times New Roman" w:hAnsi="Times New Roman"/>
          <w:sz w:val="20"/>
        </w:rPr>
        <w:t xml:space="preserve">The preparation of financial statements requires management to make estimates and assumptions that affect the reported amounts of assets and liabilities and disclosure of contingent assets and liabilities at the date of the financial statements and the reported amounts of revenues and expenses during the reporting period. Actual results could differ from those estimates. Significant estimates include estimates related to the Company’s effective tax rate. </w:t>
      </w:r>
    </w:p>
    <w:p>
      <w:pPr>
        <w:pStyle w:val="TextBody"/>
        <w:bidi w:val="0"/>
        <w:spacing w:before="0" w:after="0"/>
        <w:jc w:val="left"/>
        <w:rPr/>
      </w:pPr>
      <w:r>
        <w:rPr/>
        <w:t xml:space="preserve">  </w:t>
      </w:r>
    </w:p>
    <w:p>
      <w:pPr>
        <w:pStyle w:val="TextBody"/>
        <w:bidi w:val="0"/>
        <w:spacing w:before="0" w:after="0"/>
        <w:jc w:val="left"/>
        <w:rPr>
          <w:rFonts w:ascii="Times New Roman" w:hAnsi="Times New Roman"/>
          <w:sz w:val="20"/>
        </w:rPr>
      </w:pPr>
      <w:r>
        <w:rPr>
          <w:rFonts w:ascii="Times New Roman" w:hAnsi="Times New Roman"/>
          <w:i/>
          <w:sz w:val="20"/>
          <w:u w:val="single"/>
        </w:rPr>
        <w:t>Accounts Receivable</w:t>
      </w:r>
      <w:r>
        <w:rPr>
          <w:rFonts w:ascii="Times New Roman" w:hAnsi="Times New Roman"/>
          <w:sz w:val="20"/>
        </w:rPr>
        <w:t xml:space="preserve"> </w:t>
      </w:r>
    </w:p>
    <w:p>
      <w:pPr>
        <w:pStyle w:val="TextBody"/>
        <w:bidi w:val="0"/>
        <w:spacing w:before="0" w:after="0"/>
        <w:jc w:val="left"/>
        <w:rPr/>
      </w:pPr>
      <w:r>
        <w:rPr/>
        <w:t xml:space="preserve">  </w:t>
      </w:r>
    </w:p>
    <w:p>
      <w:pPr>
        <w:pStyle w:val="TextBody"/>
        <w:bidi w:val="0"/>
        <w:spacing w:before="0" w:after="0"/>
        <w:ind w:left="0" w:right="0" w:firstLine="720"/>
        <w:jc w:val="both"/>
        <w:rPr>
          <w:rFonts w:ascii="Times New Roman" w:hAnsi="Times New Roman"/>
          <w:sz w:val="20"/>
        </w:rPr>
      </w:pPr>
      <w:r>
        <w:rPr>
          <w:rFonts w:ascii="Times New Roman" w:hAnsi="Times New Roman"/>
          <w:sz w:val="20"/>
        </w:rPr>
        <w:t xml:space="preserve">Accounts receivable is reported at realizable value, net of allowances for customer credits and credit losses in the amount of $0.2 million and $0.3 million at March 31, 2026 and December 31, 2025, respectively. </w:t>
      </w:r>
      <w:r>
        <w:rPr>
          <w:rFonts w:ascii="Times New Roman" w:hAnsi="Times New Roman"/>
          <w:color w:val="212529"/>
          <w:sz w:val="20"/>
        </w:rPr>
        <w:t>The Company extends credit to its customers based upon an evaluation of each customer’s financial condition and credit history. Evaluations of the financial condition, payment history and associated credit risk of customers are performed on an ongoing basis.</w:t>
      </w:r>
      <w:r>
        <w:rPr>
          <w:rFonts w:ascii="Times New Roman" w:hAnsi="Times New Roman"/>
          <w:sz w:val="20"/>
        </w:rPr>
        <w:t xml:space="preserve"> Based on these evaluations, the Company has concluded that its credit risk is minimal. At March 31, 2026 and December 31, 2025, two customers accounted for an aggregate of approximately 82% and 87%, respectively, of the Company’s total accounts receivable. </w:t>
      </w:r>
    </w:p>
    <w:p>
      <w:pPr>
        <w:pStyle w:val="TextBody"/>
        <w:bidi w:val="0"/>
        <w:spacing w:before="0" w:after="0"/>
        <w:ind w:left="360" w:right="0" w:hanging="0"/>
        <w:jc w:val="left"/>
        <w:rPr/>
      </w:pPr>
      <w:r>
        <w:rPr/>
        <w:t xml:space="preserve">  </w:t>
      </w:r>
    </w:p>
    <w:p>
      <w:pPr>
        <w:pStyle w:val="TextBody"/>
        <w:bidi w:val="0"/>
        <w:spacing w:before="0" w:after="0"/>
        <w:jc w:val="left"/>
        <w:rPr>
          <w:rFonts w:ascii="Times New Roman" w:hAnsi="Times New Roman"/>
          <w:sz w:val="20"/>
        </w:rPr>
      </w:pPr>
      <w:r>
        <w:rPr>
          <w:rFonts w:ascii="Times New Roman" w:hAnsi="Times New Roman"/>
          <w:i/>
          <w:sz w:val="20"/>
          <w:u w:val="single"/>
        </w:rPr>
        <w:t>Inventories</w:t>
      </w:r>
      <w:r>
        <w:rPr>
          <w:rFonts w:ascii="Times New Roman" w:hAnsi="Times New Roman"/>
          <w:sz w:val="20"/>
        </w:rPr>
        <w:t xml:space="preserve"> </w:t>
      </w:r>
    </w:p>
    <w:p>
      <w:pPr>
        <w:pStyle w:val="TextBody"/>
        <w:bidi w:val="0"/>
        <w:spacing w:before="0" w:after="0"/>
        <w:jc w:val="left"/>
        <w:rPr/>
      </w:pPr>
      <w:r>
        <w:rPr/>
        <w:t xml:space="preserve">  </w:t>
      </w:r>
    </w:p>
    <w:p>
      <w:pPr>
        <w:pStyle w:val="TextBody"/>
        <w:bidi w:val="0"/>
        <w:spacing w:before="0" w:after="0"/>
        <w:ind w:left="0" w:right="0" w:firstLine="675"/>
        <w:jc w:val="both"/>
        <w:rPr>
          <w:rFonts w:ascii="Times New Roman" w:hAnsi="Times New Roman"/>
          <w:sz w:val="20"/>
        </w:rPr>
      </w:pPr>
      <w:r>
        <w:rPr>
          <w:rFonts w:ascii="Times New Roman" w:hAnsi="Times New Roman"/>
          <w:sz w:val="20"/>
        </w:rPr>
        <w:t xml:space="preserve">Raw materials inventory consists of normal source plasma (“NSP”) and Respiratory Syncytial Virus (“RSV”) high-titer plasma collected at the Company’s plasma collection facilities or purchased from third parties, along with various materials purchased from suppliers, used in the production of the Company’s products. Work-in-process and finished goods inventories (see Note 3) reflect the cost of raw materials as well as costs for direct and indirect labor, primarily salaries, wages and benefits for applicable employees, as well as an allocation of overhead costs related to the Boca Facility including utilities, property taxes, general repairs and maintenance, consumable supplies and depreciation. </w:t>
      </w:r>
    </w:p>
    <w:p>
      <w:pPr>
        <w:pStyle w:val="TextBody"/>
        <w:bidi w:val="0"/>
        <w:spacing w:before="0" w:after="0"/>
        <w:jc w:val="both"/>
        <w:rPr/>
      </w:pPr>
      <w:r>
        <w:rPr/>
        <w:t xml:space="preserve">  </w:t>
      </w:r>
    </w:p>
    <w:p>
      <w:pPr>
        <w:pStyle w:val="TextBody"/>
        <w:bidi w:val="0"/>
        <w:spacing w:before="0" w:after="0"/>
        <w:ind w:left="0" w:right="0" w:firstLine="675"/>
        <w:jc w:val="both"/>
        <w:rPr>
          <w:rFonts w:ascii="Times New Roman" w:hAnsi="Times New Roman"/>
          <w:sz w:val="20"/>
        </w:rPr>
      </w:pPr>
      <w:r>
        <w:rPr>
          <w:rFonts w:ascii="Times New Roman" w:hAnsi="Times New Roman"/>
          <w:sz w:val="20"/>
        </w:rPr>
        <w:t xml:space="preserve">Inventories, including plasma intended for resale and plasma intended for internal use in the Company’s manufacturing, commercialization or research and development activities, are carried at the lower of cost or net realizable value determined by the first-in, first-out method. For both the Company’s immune globulin products and plasma intended for resale and internal use, net realizable value is generally determined based upon the consideration the Company expects to receive when the inventory is sold, less costs to deliver the inventory to the recipient. The estimates for net realizable value of inventory are based on contractual terms or upon historical experience and certain other assumptions, and the Company believes that such assumptions are reasonable. Inventory is periodically reviewed to ensure that its carrying value does not exceed its net realizable value, and adjustments are recorded to write down such inventory, with a corresponding charge to cost of product revenue, when the carrying value or historical cost exceeds its estimated net realizable value. In addition, costs associated with the production of engineering lots that would not qualify as immediately available for commercial sale are charged to cost of product revenue and not capitalized into inventory. </w:t>
      </w:r>
    </w:p>
    <w:p>
      <w:pPr>
        <w:pStyle w:val="TextBody"/>
        <w:bidi w:val="0"/>
        <w:spacing w:before="0" w:after="0"/>
        <w:jc w:val="left"/>
        <w:rPr/>
      </w:pPr>
      <w:r>
        <w:rPr/>
        <w:t xml:space="preserve">  </w:t>
      </w:r>
    </w:p>
    <w:p>
      <w:pPr>
        <w:pStyle w:val="TextBody"/>
        <w:bidi w:val="0"/>
        <w:spacing w:before="0" w:after="0"/>
        <w:jc w:val="left"/>
        <w:rPr>
          <w:rFonts w:ascii="Times New Roman" w:hAnsi="Times New Roman"/>
          <w:sz w:val="20"/>
        </w:rPr>
      </w:pPr>
      <w:r>
        <w:rPr>
          <w:rFonts w:ascii="Times New Roman" w:hAnsi="Times New Roman"/>
          <w:i/>
          <w:sz w:val="20"/>
          <w:u w:val="single"/>
        </w:rPr>
        <w:t>Goodwill</w:t>
      </w:r>
      <w:r>
        <w:rPr>
          <w:rFonts w:ascii="Times New Roman" w:hAnsi="Times New Roman"/>
          <w:sz w:val="20"/>
        </w:rPr>
        <w:t xml:space="preserve"> </w:t>
      </w:r>
    </w:p>
    <w:p>
      <w:pPr>
        <w:pStyle w:val="TextBody"/>
        <w:bidi w:val="0"/>
        <w:spacing w:before="0" w:after="0"/>
        <w:jc w:val="left"/>
        <w:rPr/>
      </w:pPr>
      <w:r>
        <w:rPr/>
        <w:t xml:space="preserve">  </w:t>
      </w:r>
    </w:p>
    <w:p>
      <w:pPr>
        <w:pStyle w:val="TextBody"/>
        <w:bidi w:val="0"/>
        <w:spacing w:before="0" w:after="0"/>
        <w:ind w:left="0" w:right="0" w:firstLine="720"/>
        <w:jc w:val="both"/>
        <w:rPr>
          <w:rFonts w:ascii="Times New Roman" w:hAnsi="Times New Roman"/>
          <w:sz w:val="20"/>
        </w:rPr>
      </w:pPr>
      <w:r>
        <w:rPr>
          <w:rFonts w:ascii="Times New Roman" w:hAnsi="Times New Roman"/>
          <w:sz w:val="20"/>
        </w:rPr>
        <w:t xml:space="preserve">Goodwill represents the excess of purchase price over the fair value of net assets acquired by the Company. Goodwill at March 31, 2026 and December 31, 2025 was $3.5 million, all of which is attributable to its ADMA BioManufacturing business segment. </w:t>
      </w:r>
    </w:p>
    <w:p>
      <w:pPr>
        <w:pStyle w:val="TextBody"/>
        <w:bidi w:val="0"/>
        <w:spacing w:before="0" w:after="0"/>
        <w:ind w:left="360" w:right="0" w:hanging="0"/>
        <w:jc w:val="both"/>
        <w:rPr/>
      </w:pPr>
      <w:r>
        <w:rPr/>
        <w:t xml:space="preserve">  </w:t>
      </w:r>
    </w:p>
    <w:p>
      <w:pPr>
        <w:pStyle w:val="TextBody"/>
        <w:bidi w:val="0"/>
        <w:spacing w:before="0" w:after="0"/>
        <w:ind w:left="0" w:right="0" w:firstLine="720"/>
        <w:jc w:val="both"/>
        <w:rPr>
          <w:rFonts w:ascii="Times New Roman" w:hAnsi="Times New Roman"/>
          <w:sz w:val="20"/>
        </w:rPr>
      </w:pPr>
      <w:r>
        <w:rPr>
          <w:rFonts w:ascii="Times New Roman" w:hAnsi="Times New Roman"/>
          <w:sz w:val="20"/>
        </w:rPr>
        <w:t xml:space="preserve">The Company did not record any impairment charges related to goodwill for the three months ended March 31, 2026 and 2025. </w:t>
      </w:r>
    </w:p>
    <w:p>
      <w:pPr>
        <w:pStyle w:val="TextBody"/>
        <w:bidi w:val="0"/>
        <w:spacing w:before="0" w:after="0"/>
        <w:jc w:val="left"/>
        <w:rPr/>
      </w:pPr>
      <w:r>
        <w:rPr/>
        <w:t xml:space="preserve">  </w:t>
      </w:r>
    </w:p>
    <w:p>
      <w:pPr>
        <w:pStyle w:val="TextBody"/>
        <w:bidi w:val="0"/>
        <w:spacing w:before="0" w:after="0"/>
        <w:jc w:val="left"/>
        <w:rPr>
          <w:rFonts w:ascii="Times New Roman" w:hAnsi="Times New Roman"/>
          <w:sz w:val="20"/>
        </w:rPr>
      </w:pPr>
      <w:r>
        <w:rPr>
          <w:rFonts w:ascii="Times New Roman" w:hAnsi="Times New Roman"/>
          <w:i/>
          <w:sz w:val="20"/>
          <w:u w:val="single"/>
        </w:rPr>
        <w:t>Revenue Recognition</w:t>
      </w:r>
      <w:r>
        <w:rPr>
          <w:rFonts w:ascii="Times New Roman" w:hAnsi="Times New Roman"/>
          <w:sz w:val="20"/>
        </w:rPr>
        <w:t xml:space="preserve"> </w:t>
      </w:r>
    </w:p>
    <w:p>
      <w:pPr>
        <w:pStyle w:val="TextBody"/>
        <w:bidi w:val="0"/>
        <w:spacing w:before="0" w:after="0"/>
        <w:jc w:val="left"/>
        <w:rPr/>
      </w:pPr>
      <w:r>
        <w:rPr/>
        <w:t xml:space="preserve">  </w:t>
      </w:r>
    </w:p>
    <w:p>
      <w:pPr>
        <w:pStyle w:val="TextBody"/>
        <w:bidi w:val="0"/>
        <w:spacing w:before="0" w:after="0"/>
        <w:ind w:left="0" w:right="0" w:firstLine="720"/>
        <w:jc w:val="both"/>
        <w:rPr>
          <w:rFonts w:ascii="Times New Roman" w:hAnsi="Times New Roman"/>
          <w:sz w:val="20"/>
        </w:rPr>
      </w:pPr>
      <w:r>
        <w:rPr>
          <w:rFonts w:ascii="Times New Roman" w:hAnsi="Times New Roman"/>
          <w:sz w:val="20"/>
        </w:rPr>
        <w:t>Revenues are comprised of (i) revenues from the sale of the Company’s immunoglobulin products, ASCENIV, BIVIGAM and Nabi-HB, (ii) product revenues from the sale of human plasma collected by the Company’s Plasma Collection Centers business segment, (iii) contract manufacturing and laboratory services revenue, (iv) revenues from the sale of intermediate by-products and (v) license and other revenues primarily attributable to the out-licensing of ASCENIV to Biotest AG (“Biotest”) in 2012 to market and sell this product in Europe and certain countries in Northern Africa and the Middle East. Biotest has provided the Company with certain services and financial payments in accordance with the related Biotest license agreement and is obligated to pay the Company certain amounts in the future if certain milestones are achieved. Deferred revenue is amortized into income over the term of the Biotest license, representing a period of approximately 22 years.</w:t>
      </w:r>
    </w:p>
    <w:p>
      <w:pPr>
        <w:pStyle w:val="TextBody"/>
        <w:bidi w:val="0"/>
        <w:spacing w:before="0" w:after="0"/>
        <w:ind w:left="0" w:right="0" w:firstLine="720"/>
        <w:jc w:val="both"/>
        <w:rPr/>
      </w:pPr>
      <w:r>
        <w:rPr/>
        <w:t> </w:t>
      </w:r>
    </w:p>
    <w:p>
      <w:pPr>
        <w:pStyle w:val="TextBody"/>
        <w:bidi w:val="0"/>
        <w:spacing w:before="150" w:after="15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t>6</w:t>
      </w:r>
    </w:p>
    <w:p>
      <w:pPr>
        <w:pStyle w:val="HorizontalLine"/>
        <w:bidi w:val="0"/>
        <w:spacing w:before="150" w:after="150"/>
        <w:jc w:val="left"/>
        <w:rPr/>
      </w:pPr>
      <w:r>
        <w:rPr/>
      </w:r>
    </w:p>
    <w:p>
      <w:pPr>
        <w:pStyle w:val="TextBody"/>
        <w:bidi w:val="0"/>
        <w:spacing w:before="150" w:after="150"/>
        <w:jc w:val="left"/>
        <w:rPr/>
      </w:pPr>
      <w:hyperlink w:anchor="index">
        <w:r>
          <w:rPr>
            <w:rStyle w:val="InternetLink"/>
            <w:rFonts w:ascii="TimesNewRoman;Times New Roman;Times;Baskerville;Georgia;serif" w:hAnsi="TimesNewRoman;Times New Roman;Times;Baskerville;Georgia;serif"/>
            <w:b w:val="false"/>
            <w:i/>
            <w:caps w:val="false"/>
            <w:smallCaps w:val="false"/>
            <w:strike w:val="false"/>
            <w:dstrike w:val="false"/>
            <w:sz w:val="16"/>
            <w:u w:val="none"/>
            <w:effect w:val="none"/>
          </w:rPr>
          <w:t>Index</w:t>
        </w:r>
      </w:hyperlink>
    </w:p>
    <w:p>
      <w:pPr>
        <w:pStyle w:val="TextBody"/>
        <w:bidi w:val="0"/>
        <w:spacing w:before="0" w:after="0"/>
        <w:ind w:left="0" w:right="0" w:hanging="0"/>
        <w:jc w:val="center"/>
        <w:rPr>
          <w:rFonts w:ascii="Times New Roman" w:hAnsi="Times New Roman"/>
          <w:b/>
          <w:sz w:val="20"/>
        </w:rPr>
      </w:pPr>
      <w:r>
        <w:rPr>
          <w:rFonts w:ascii="Times New Roman" w:hAnsi="Times New Roman"/>
          <w:b/>
          <w:sz w:val="20"/>
        </w:rPr>
        <w:t>ADMA BIOLOGICS, INC. AND SUBSIDIARIES</w:t>
      </w:r>
    </w:p>
    <w:p>
      <w:pPr>
        <w:pStyle w:val="TextBody"/>
        <w:bidi w:val="0"/>
        <w:spacing w:before="0" w:after="0"/>
        <w:ind w:left="0" w:right="0" w:hanging="0"/>
        <w:jc w:val="center"/>
        <w:rPr>
          <w:rFonts w:ascii="Times New Roman" w:hAnsi="Times New Roman"/>
          <w:b/>
          <w:sz w:val="20"/>
        </w:rPr>
      </w:pPr>
      <w:r>
        <w:rPr>
          <w:rFonts w:ascii="Times New Roman" w:hAnsi="Times New Roman"/>
          <w:b/>
          <w:sz w:val="20"/>
        </w:rPr>
        <w:t>NOTES TO CONDENSED CONSOLIDATED FINANCIAL STATEMENTS (UNAUDITED)</w:t>
      </w:r>
    </w:p>
    <w:p>
      <w:pPr>
        <w:pStyle w:val="TextBody"/>
        <w:bidi w:val="0"/>
        <w:spacing w:before="0" w:after="0"/>
        <w:ind w:left="0" w:right="0" w:firstLine="720"/>
        <w:jc w:val="both"/>
        <w:rPr/>
      </w:pPr>
      <w:r>
        <w:rPr/>
        <w:t> </w:t>
      </w:r>
    </w:p>
    <w:p>
      <w:pPr>
        <w:pStyle w:val="TextBody"/>
        <w:bidi w:val="0"/>
        <w:spacing w:before="0" w:after="0"/>
        <w:ind w:left="0" w:right="0" w:firstLine="720"/>
        <w:jc w:val="both"/>
        <w:rPr>
          <w:rFonts w:ascii="Times New Roman" w:hAnsi="Times New Roman"/>
          <w:sz w:val="20"/>
        </w:rPr>
      </w:pPr>
      <w:r>
        <w:rPr>
          <w:rFonts w:ascii="Times New Roman" w:hAnsi="Times New Roman"/>
          <w:sz w:val="20"/>
        </w:rPr>
        <w:t xml:space="preserve">Product revenue is recognized when the customer is deemed to have control over the product and the performance obligation is satisfied. Control is determined based on when the product is shipped or delivered and title passes to the customer. Revenue is recorded in an amount that reflects the consideration the Company expects to receive in exchange. Revenue from the sale of the Company’s immunoglobulin products is recognized when the product reaches the customer’s destination, and is recorded net of estimated rebates, wholesaler distribution and related fees, customer incentives, including prompt pay discounts, wholesaler chargebacks, group purchasing organization fees and reimbursements for patient assistance. These estimates are based on contractual arrangements, historical experience and certain other assumptions, and while the Company believes that such estimates are reasonable, they are subject to change based on future developments and other factors. </w:t>
      </w:r>
    </w:p>
    <w:p>
      <w:pPr>
        <w:pStyle w:val="TextBody"/>
        <w:bidi w:val="0"/>
        <w:spacing w:before="0" w:after="0"/>
        <w:jc w:val="both"/>
        <w:rPr/>
      </w:pPr>
      <w:r>
        <w:rPr/>
        <w:t xml:space="preserve">  </w:t>
      </w:r>
    </w:p>
    <w:p>
      <w:pPr>
        <w:pStyle w:val="TextBody"/>
        <w:bidi w:val="0"/>
        <w:spacing w:before="0" w:after="0"/>
        <w:ind w:left="0" w:right="0" w:firstLine="720"/>
        <w:jc w:val="both"/>
        <w:rPr>
          <w:rFonts w:ascii="Times New Roman" w:hAnsi="Times New Roman"/>
          <w:sz w:val="20"/>
        </w:rPr>
      </w:pPr>
      <w:r>
        <w:rPr>
          <w:rFonts w:ascii="Times New Roman" w:hAnsi="Times New Roman"/>
          <w:sz w:val="20"/>
        </w:rPr>
        <w:t xml:space="preserve">For revenues associated with contract manufacturing and the sale of intermediates, control transfers to the customer and the performance obligation is satisfied when the customer takes possession of the product from the Boca Facility. </w:t>
      </w:r>
    </w:p>
    <w:p>
      <w:pPr>
        <w:pStyle w:val="TextBody"/>
        <w:bidi w:val="0"/>
        <w:spacing w:before="0" w:after="0"/>
        <w:ind w:left="360" w:right="0" w:hanging="0"/>
        <w:jc w:val="both"/>
        <w:rPr/>
      </w:pPr>
      <w:r>
        <w:rPr/>
        <w:t xml:space="preserve">  </w:t>
      </w:r>
    </w:p>
    <w:p>
      <w:pPr>
        <w:pStyle w:val="TextBody"/>
        <w:bidi w:val="0"/>
        <w:spacing w:before="0" w:after="0"/>
        <w:ind w:left="0" w:right="0" w:firstLine="720"/>
        <w:jc w:val="both"/>
        <w:rPr>
          <w:rFonts w:ascii="Times New Roman" w:hAnsi="Times New Roman"/>
          <w:sz w:val="20"/>
        </w:rPr>
      </w:pPr>
      <w:r>
        <w:rPr>
          <w:rFonts w:ascii="Times New Roman" w:hAnsi="Times New Roman"/>
          <w:sz w:val="20"/>
        </w:rPr>
        <w:t xml:space="preserve">Product revenues from the sale of human plasma collected at the Company’s plasma collection centers are recognized at the time control of the product has been transferred to the customer and the performance obligation is satisfied, which generally occurs at the time of shipment from one of the Company’s plasma collection facilities or from a third-party warehouse that is utilized by the Company. Product revenues are recognized at the time of delivery if the Company retains control of the product during shipment. </w:t>
      </w:r>
    </w:p>
    <w:p>
      <w:pPr>
        <w:pStyle w:val="TextBody"/>
        <w:bidi w:val="0"/>
        <w:spacing w:before="0" w:after="0"/>
        <w:ind w:left="360" w:right="0" w:hanging="0"/>
        <w:jc w:val="left"/>
        <w:rPr/>
      </w:pPr>
      <w:r>
        <w:rPr/>
        <w:t xml:space="preserve">  </w:t>
      </w:r>
    </w:p>
    <w:p>
      <w:pPr>
        <w:pStyle w:val="TextBody"/>
        <w:bidi w:val="0"/>
        <w:spacing w:before="0" w:after="0"/>
        <w:ind w:left="0" w:right="0" w:firstLine="720"/>
        <w:jc w:val="both"/>
        <w:rPr>
          <w:rFonts w:ascii="Times New Roman" w:hAnsi="Times New Roman"/>
          <w:sz w:val="20"/>
        </w:rPr>
      </w:pPr>
      <w:r>
        <w:rPr>
          <w:rFonts w:ascii="Times New Roman" w:hAnsi="Times New Roman"/>
          <w:sz w:val="20"/>
        </w:rPr>
        <w:t xml:space="preserve">For the three months ended March 31, 2026, three customers represented an aggregate of approximately 82% of the Company’s consolidated revenues. For the three months ended March 31, 2025, three customers represented an aggregate of approximately 74% of the Company’s consolidated revenues. </w:t>
      </w:r>
    </w:p>
    <w:p>
      <w:pPr>
        <w:pStyle w:val="TextBody"/>
        <w:bidi w:val="0"/>
        <w:spacing w:before="0" w:after="0"/>
        <w:jc w:val="left"/>
        <w:rPr/>
      </w:pPr>
      <w:r>
        <w:rPr/>
        <w:t xml:space="preserve">  </w:t>
      </w:r>
    </w:p>
    <w:p>
      <w:pPr>
        <w:pStyle w:val="TextBody"/>
        <w:bidi w:val="0"/>
        <w:spacing w:before="0" w:after="0"/>
        <w:jc w:val="left"/>
        <w:rPr>
          <w:rFonts w:ascii="Times New Roman" w:hAnsi="Times New Roman"/>
          <w:sz w:val="20"/>
        </w:rPr>
      </w:pPr>
      <w:r>
        <w:rPr>
          <w:rFonts w:ascii="Times New Roman" w:hAnsi="Times New Roman"/>
          <w:i/>
          <w:sz w:val="20"/>
          <w:u w:val="single"/>
        </w:rPr>
        <w:t>Cost of Product Revenue</w:t>
      </w:r>
      <w:r>
        <w:rPr>
          <w:rFonts w:ascii="Times New Roman" w:hAnsi="Times New Roman"/>
          <w:sz w:val="20"/>
        </w:rPr>
        <w:t xml:space="preserve"> </w:t>
      </w:r>
    </w:p>
    <w:p>
      <w:pPr>
        <w:pStyle w:val="TextBody"/>
        <w:bidi w:val="0"/>
        <w:spacing w:before="0" w:after="0"/>
        <w:jc w:val="left"/>
        <w:rPr/>
      </w:pPr>
      <w:r>
        <w:rPr/>
        <w:t xml:space="preserve">  </w:t>
      </w:r>
    </w:p>
    <w:p>
      <w:pPr>
        <w:pStyle w:val="TextBody"/>
        <w:bidi w:val="0"/>
        <w:spacing w:before="0" w:after="0"/>
        <w:ind w:left="0" w:right="0" w:firstLine="720"/>
        <w:jc w:val="both"/>
        <w:rPr>
          <w:rFonts w:ascii="Times New Roman" w:hAnsi="Times New Roman"/>
          <w:sz w:val="20"/>
        </w:rPr>
      </w:pPr>
      <w:r>
        <w:rPr>
          <w:rFonts w:ascii="Times New Roman" w:hAnsi="Times New Roman"/>
          <w:sz w:val="20"/>
        </w:rPr>
        <w:t xml:space="preserve">Cost of product revenue includes costs associated with the manufacture of the Company’s FDA approved products and intermediates and for the collection of human source plasma, as well as expenses related to conformance batch production, process development and scientific and technical operations when these operations are attributable to marketed products. When the activities of these operations are attributable to new products in development, the expenses are classified as research and development expenses. </w:t>
      </w:r>
    </w:p>
    <w:p>
      <w:pPr>
        <w:pStyle w:val="TextBody"/>
        <w:bidi w:val="0"/>
        <w:spacing w:before="0" w:after="0"/>
        <w:jc w:val="left"/>
        <w:rPr/>
      </w:pPr>
      <w:r>
        <w:rPr/>
        <w:t xml:space="preserve">  </w:t>
      </w:r>
    </w:p>
    <w:p>
      <w:pPr>
        <w:pStyle w:val="TextBody"/>
        <w:bidi w:val="0"/>
        <w:spacing w:before="0" w:after="0"/>
        <w:jc w:val="left"/>
        <w:rPr>
          <w:rFonts w:ascii="Times New Roman" w:hAnsi="Times New Roman"/>
          <w:sz w:val="20"/>
        </w:rPr>
      </w:pPr>
      <w:r>
        <w:rPr>
          <w:rFonts w:ascii="Times New Roman" w:hAnsi="Times New Roman"/>
          <w:i/>
          <w:sz w:val="20"/>
          <w:u w:val="single"/>
        </w:rPr>
        <w:t>Earnings Per Common Share</w:t>
      </w:r>
      <w:r>
        <w:rPr>
          <w:rFonts w:ascii="Times New Roman" w:hAnsi="Times New Roman"/>
          <w:sz w:val="20"/>
        </w:rPr>
        <w:t xml:space="preserve"> </w:t>
      </w:r>
    </w:p>
    <w:p>
      <w:pPr>
        <w:pStyle w:val="TextBody"/>
        <w:bidi w:val="0"/>
        <w:spacing w:before="0" w:after="0"/>
        <w:jc w:val="left"/>
        <w:rPr/>
      </w:pPr>
      <w:r>
        <w:rPr/>
        <w:t xml:space="preserve">  </w:t>
      </w:r>
    </w:p>
    <w:p>
      <w:pPr>
        <w:pStyle w:val="TextBody"/>
        <w:bidi w:val="0"/>
        <w:spacing w:before="0" w:after="0"/>
        <w:ind w:left="0" w:right="0" w:firstLine="720"/>
        <w:jc w:val="left"/>
        <w:rPr>
          <w:rFonts w:ascii="Times New Roman" w:hAnsi="Times New Roman"/>
          <w:sz w:val="20"/>
        </w:rPr>
      </w:pPr>
      <w:r>
        <w:rPr>
          <w:rFonts w:ascii="Times New Roman" w:hAnsi="Times New Roman"/>
          <w:sz w:val="20"/>
        </w:rPr>
        <w:t>For the three months ended March 31, 2026 and 2025</w:t>
      </w:r>
      <w:r>
        <w:rPr>
          <w:rFonts w:ascii="Times New Roman" w:hAnsi="Times New Roman"/>
          <w:spacing w:val="0"/>
          <w:sz w:val="20"/>
        </w:rPr>
        <w:t>,</w:t>
      </w:r>
      <w:r>
        <w:rPr>
          <w:rFonts w:ascii="Times New Roman" w:hAnsi="Times New Roman"/>
          <w:sz w:val="20"/>
        </w:rPr>
        <w:t xml:space="preserve"> basic and diluted earnings per share are calculated as follows: </w:t>
      </w:r>
    </w:p>
    <w:p>
      <w:pPr>
        <w:pStyle w:val="TextBody"/>
        <w:bidi w:val="0"/>
        <w:spacing w:before="0" w:after="0"/>
        <w:jc w:val="center"/>
        <w:rPr/>
      </w:pPr>
      <w:r>
        <w:rPr/>
        <w:t xml:space="preserve">  </w:t>
      </w:r>
    </w:p>
    <w:tbl>
      <w:tblPr>
        <w:tblW w:w="10205" w:type="dxa"/>
        <w:jc w:val="left"/>
        <w:tblInd w:w="0" w:type="dxa"/>
        <w:tblLayout w:type="fixed"/>
        <w:tblCellMar>
          <w:top w:w="0" w:type="dxa"/>
          <w:left w:w="0" w:type="dxa"/>
          <w:bottom w:w="0" w:type="dxa"/>
          <w:right w:w="0" w:type="dxa"/>
        </w:tblCellMar>
      </w:tblPr>
      <w:tblGrid>
        <w:gridCol w:w="6456"/>
        <w:gridCol w:w="90"/>
        <w:gridCol w:w="170"/>
        <w:gridCol w:w="1471"/>
        <w:gridCol w:w="105"/>
        <w:gridCol w:w="105"/>
        <w:gridCol w:w="199"/>
        <w:gridCol w:w="1471"/>
        <w:gridCol w:w="138"/>
      </w:tblGrid>
      <w:tr>
        <w:trPr/>
        <w:tc>
          <w:tcPr>
            <w:tcW w:w="6456"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471" w:type="dxa"/>
            <w:tcBorders/>
            <w:vAlign w:val="center"/>
          </w:tcPr>
          <w:p>
            <w:pPr>
              <w:pStyle w:val="TableContents"/>
              <w:bidi w:val="0"/>
              <w:spacing w:before="0" w:after="283"/>
              <w:jc w:val="left"/>
              <w:rPr/>
            </w:pPr>
            <w:r>
              <w:rPr/>
              <w:t> </w:t>
            </w:r>
          </w:p>
        </w:tc>
        <w:tc>
          <w:tcPr>
            <w:tcW w:w="105" w:type="dxa"/>
            <w:tcBorders/>
            <w:vAlign w:val="center"/>
          </w:tcPr>
          <w:p>
            <w:pPr>
              <w:pStyle w:val="TableContents"/>
              <w:bidi w:val="0"/>
              <w:spacing w:before="0" w:after="283"/>
              <w:jc w:val="left"/>
              <w:rPr/>
            </w:pPr>
            <w:r>
              <w:rPr/>
              <w:t> </w:t>
            </w:r>
          </w:p>
        </w:tc>
        <w:tc>
          <w:tcPr>
            <w:tcW w:w="105" w:type="dxa"/>
            <w:tcBorders/>
            <w:vAlign w:val="center"/>
          </w:tcPr>
          <w:p>
            <w:pPr>
              <w:pStyle w:val="TableContents"/>
              <w:bidi w:val="0"/>
              <w:spacing w:before="0" w:after="283"/>
              <w:jc w:val="left"/>
              <w:rPr/>
            </w:pPr>
            <w:r>
              <w:rPr/>
              <w:t> </w:t>
            </w:r>
          </w:p>
        </w:tc>
        <w:tc>
          <w:tcPr>
            <w:tcW w:w="199" w:type="dxa"/>
            <w:tcBorders/>
            <w:vAlign w:val="center"/>
          </w:tcPr>
          <w:p>
            <w:pPr>
              <w:pStyle w:val="TableContents"/>
              <w:bidi w:val="0"/>
              <w:spacing w:before="0" w:after="283"/>
              <w:jc w:val="left"/>
              <w:rPr/>
            </w:pPr>
            <w:r>
              <w:rPr/>
              <w:t> </w:t>
            </w:r>
          </w:p>
        </w:tc>
        <w:tc>
          <w:tcPr>
            <w:tcW w:w="1471" w:type="dxa"/>
            <w:tcBorders/>
            <w:vAlign w:val="center"/>
          </w:tcPr>
          <w:p>
            <w:pPr>
              <w:pStyle w:val="TableContents"/>
              <w:bidi w:val="0"/>
              <w:spacing w:before="0" w:after="283"/>
              <w:jc w:val="left"/>
              <w:rPr/>
            </w:pPr>
            <w:r>
              <w:rPr/>
              <w:t> </w:t>
            </w:r>
          </w:p>
        </w:tc>
        <w:tc>
          <w:tcPr>
            <w:tcW w:w="138" w:type="dxa"/>
            <w:tcBorders/>
            <w:vAlign w:val="center"/>
          </w:tcPr>
          <w:p>
            <w:pPr>
              <w:pStyle w:val="TableContents"/>
              <w:bidi w:val="0"/>
              <w:spacing w:before="0" w:after="283"/>
              <w:jc w:val="left"/>
              <w:rPr/>
            </w:pPr>
            <w:r>
              <w:rPr/>
              <w:t> </w:t>
            </w:r>
          </w:p>
        </w:tc>
      </w:tr>
      <w:tr>
        <w:trPr/>
        <w:tc>
          <w:tcPr>
            <w:tcW w:w="6456"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471" w:type="dxa"/>
            <w:tcBorders/>
            <w:vAlign w:val="center"/>
          </w:tcPr>
          <w:p>
            <w:pPr>
              <w:pStyle w:val="TableContents"/>
              <w:bidi w:val="0"/>
              <w:spacing w:before="0" w:after="283"/>
              <w:jc w:val="left"/>
              <w:rPr/>
            </w:pPr>
            <w:r>
              <w:rPr/>
              <w:t> </w:t>
            </w:r>
          </w:p>
        </w:tc>
        <w:tc>
          <w:tcPr>
            <w:tcW w:w="105" w:type="dxa"/>
            <w:tcBorders/>
            <w:vAlign w:val="center"/>
          </w:tcPr>
          <w:p>
            <w:pPr>
              <w:pStyle w:val="TableContents"/>
              <w:bidi w:val="0"/>
              <w:spacing w:before="0" w:after="283"/>
              <w:jc w:val="left"/>
              <w:rPr/>
            </w:pPr>
            <w:r>
              <w:rPr/>
              <w:t> </w:t>
            </w:r>
          </w:p>
        </w:tc>
        <w:tc>
          <w:tcPr>
            <w:tcW w:w="105" w:type="dxa"/>
            <w:tcBorders/>
            <w:vAlign w:val="center"/>
          </w:tcPr>
          <w:p>
            <w:pPr>
              <w:pStyle w:val="TableContents"/>
              <w:bidi w:val="0"/>
              <w:spacing w:before="0" w:after="283"/>
              <w:jc w:val="left"/>
              <w:rPr/>
            </w:pPr>
            <w:r>
              <w:rPr/>
              <w:t> </w:t>
            </w:r>
          </w:p>
        </w:tc>
        <w:tc>
          <w:tcPr>
            <w:tcW w:w="199" w:type="dxa"/>
            <w:tcBorders/>
            <w:vAlign w:val="center"/>
          </w:tcPr>
          <w:p>
            <w:pPr>
              <w:pStyle w:val="TableContents"/>
              <w:bidi w:val="0"/>
              <w:spacing w:before="0" w:after="283"/>
              <w:jc w:val="left"/>
              <w:rPr/>
            </w:pPr>
            <w:r>
              <w:rPr/>
              <w:t> </w:t>
            </w:r>
          </w:p>
        </w:tc>
        <w:tc>
          <w:tcPr>
            <w:tcW w:w="1471" w:type="dxa"/>
            <w:tcBorders/>
            <w:vAlign w:val="center"/>
          </w:tcPr>
          <w:p>
            <w:pPr>
              <w:pStyle w:val="TableContents"/>
              <w:bidi w:val="0"/>
              <w:spacing w:before="0" w:after="283"/>
              <w:jc w:val="left"/>
              <w:rPr/>
            </w:pPr>
            <w:r>
              <w:rPr/>
              <w:t> </w:t>
            </w:r>
          </w:p>
        </w:tc>
        <w:tc>
          <w:tcPr>
            <w:tcW w:w="138" w:type="dxa"/>
            <w:tcBorders/>
            <w:vAlign w:val="center"/>
          </w:tcPr>
          <w:p>
            <w:pPr>
              <w:pStyle w:val="TableContents"/>
              <w:bidi w:val="0"/>
              <w:spacing w:before="0" w:after="283"/>
              <w:jc w:val="left"/>
              <w:rPr/>
            </w:pPr>
            <w:r>
              <w:rPr/>
              <w:t> </w:t>
            </w:r>
          </w:p>
        </w:tc>
      </w:tr>
      <w:tr>
        <w:trPr/>
        <w:tc>
          <w:tcPr>
            <w:tcW w:w="6456"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r>
          </w:p>
        </w:tc>
        <w:tc>
          <w:tcPr>
            <w:tcW w:w="170" w:type="dxa"/>
            <w:tcBorders>
              <w:bottom w:val="single" w:sz="12" w:space="0" w:color="000000"/>
            </w:tcBorders>
            <w:tcMar>
              <w:bottom w:w="28" w:type="dxa"/>
            </w:tcMar>
            <w:vAlign w:val="center"/>
          </w:tcPr>
          <w:p>
            <w:pPr>
              <w:pStyle w:val="TableContents"/>
              <w:bidi w:val="0"/>
              <w:spacing w:before="0" w:after="283"/>
              <w:jc w:val="center"/>
              <w:rPr/>
            </w:pPr>
            <w:r>
              <w:rPr/>
              <w:t> </w:t>
            </w:r>
          </w:p>
        </w:tc>
        <w:tc>
          <w:tcPr>
            <w:tcW w:w="3351" w:type="dxa"/>
            <w:gridSpan w:val="5"/>
            <w:tcBorders>
              <w:bottom w:val="single" w:sz="12" w:space="0" w:color="000000"/>
            </w:tcBorders>
            <w:tcMar>
              <w:bottom w:w="28" w:type="dxa"/>
            </w:tcMar>
            <w:vAlign w:val="center"/>
          </w:tcPr>
          <w:p>
            <w:pPr>
              <w:pStyle w:val="TableContents"/>
              <w:bidi w:val="0"/>
              <w:spacing w:before="0" w:after="283"/>
              <w:jc w:val="center"/>
              <w:rPr/>
            </w:pPr>
            <w:r>
              <w:rPr>
                <w:b/>
                <w:spacing w:val="0"/>
              </w:rPr>
              <w:t>Three Months Ended March 31,</w:t>
            </w:r>
            <w:r>
              <w:rPr/>
              <w:t xml:space="preserve"> </w:t>
            </w:r>
          </w:p>
        </w:tc>
        <w:tc>
          <w:tcPr>
            <w:tcW w:w="138" w:type="dxa"/>
            <w:tcBorders/>
            <w:vAlign w:val="center"/>
          </w:tcPr>
          <w:p>
            <w:pPr>
              <w:pStyle w:val="TableContents"/>
              <w:bidi w:val="0"/>
              <w:spacing w:before="0" w:after="283"/>
              <w:jc w:val="center"/>
              <w:rPr/>
            </w:pPr>
            <w:r>
              <w:rPr/>
              <w:t> </w:t>
            </w:r>
          </w:p>
        </w:tc>
      </w:tr>
      <w:tr>
        <w:trPr/>
        <w:tc>
          <w:tcPr>
            <w:tcW w:w="6456"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center"/>
              <w:rPr/>
            </w:pPr>
            <w:r>
              <w:rPr/>
              <w:t> </w:t>
            </w:r>
          </w:p>
        </w:tc>
        <w:tc>
          <w:tcPr>
            <w:tcW w:w="170" w:type="dxa"/>
            <w:tcBorders>
              <w:bottom w:val="single" w:sz="12" w:space="0" w:color="000000"/>
            </w:tcBorders>
            <w:tcMar>
              <w:bottom w:w="28" w:type="dxa"/>
            </w:tcMar>
            <w:vAlign w:val="center"/>
          </w:tcPr>
          <w:p>
            <w:pPr>
              <w:pStyle w:val="TableContents"/>
              <w:bidi w:val="0"/>
              <w:spacing w:before="0" w:after="283"/>
              <w:jc w:val="center"/>
              <w:rPr/>
            </w:pPr>
            <w:r>
              <w:rPr/>
              <w:t> </w:t>
            </w:r>
          </w:p>
        </w:tc>
        <w:tc>
          <w:tcPr>
            <w:tcW w:w="1471" w:type="dxa"/>
            <w:tcBorders>
              <w:bottom w:val="single" w:sz="12" w:space="0" w:color="000000"/>
            </w:tcBorders>
            <w:tcMar>
              <w:bottom w:w="28" w:type="dxa"/>
            </w:tcMar>
            <w:vAlign w:val="center"/>
          </w:tcPr>
          <w:p>
            <w:pPr>
              <w:pStyle w:val="TableContents"/>
              <w:bidi w:val="0"/>
              <w:spacing w:before="0" w:after="283"/>
              <w:jc w:val="center"/>
              <w:rPr/>
            </w:pPr>
            <w:r>
              <w:rPr>
                <w:b/>
              </w:rPr>
              <w:t>2026</w:t>
            </w:r>
            <w:r>
              <w:rPr/>
              <w:t xml:space="preserve"> </w:t>
            </w:r>
          </w:p>
        </w:tc>
        <w:tc>
          <w:tcPr>
            <w:tcW w:w="105" w:type="dxa"/>
            <w:tcBorders/>
            <w:vAlign w:val="center"/>
          </w:tcPr>
          <w:p>
            <w:pPr>
              <w:pStyle w:val="TableContents"/>
              <w:bidi w:val="0"/>
              <w:spacing w:before="0" w:after="283"/>
              <w:jc w:val="center"/>
              <w:rPr/>
            </w:pPr>
            <w:r>
              <w:rPr/>
              <w:t> </w:t>
            </w:r>
          </w:p>
        </w:tc>
        <w:tc>
          <w:tcPr>
            <w:tcW w:w="105" w:type="dxa"/>
            <w:tcBorders/>
            <w:vAlign w:val="center"/>
          </w:tcPr>
          <w:p>
            <w:pPr>
              <w:pStyle w:val="TableContents"/>
              <w:bidi w:val="0"/>
              <w:spacing w:before="0" w:after="283"/>
              <w:jc w:val="center"/>
              <w:rPr/>
            </w:pPr>
            <w:r>
              <w:rPr/>
              <w:t> </w:t>
            </w:r>
          </w:p>
        </w:tc>
        <w:tc>
          <w:tcPr>
            <w:tcW w:w="199" w:type="dxa"/>
            <w:tcBorders>
              <w:bottom w:val="single" w:sz="12" w:space="0" w:color="000000"/>
            </w:tcBorders>
            <w:tcMar>
              <w:bottom w:w="28" w:type="dxa"/>
            </w:tcMar>
            <w:vAlign w:val="center"/>
          </w:tcPr>
          <w:p>
            <w:pPr>
              <w:pStyle w:val="TableContents"/>
              <w:bidi w:val="0"/>
              <w:spacing w:before="0" w:after="283"/>
              <w:jc w:val="center"/>
              <w:rPr/>
            </w:pPr>
            <w:r>
              <w:rPr/>
              <w:t> </w:t>
            </w:r>
          </w:p>
        </w:tc>
        <w:tc>
          <w:tcPr>
            <w:tcW w:w="1471" w:type="dxa"/>
            <w:tcBorders>
              <w:bottom w:val="single" w:sz="12" w:space="0" w:color="000000"/>
            </w:tcBorders>
            <w:tcMar>
              <w:bottom w:w="28" w:type="dxa"/>
            </w:tcMar>
            <w:vAlign w:val="center"/>
          </w:tcPr>
          <w:p>
            <w:pPr>
              <w:pStyle w:val="TableContents"/>
              <w:bidi w:val="0"/>
              <w:spacing w:before="0" w:after="283"/>
              <w:jc w:val="center"/>
              <w:rPr/>
            </w:pPr>
            <w:r>
              <w:rPr>
                <w:b/>
              </w:rPr>
              <w:t>2025</w:t>
            </w:r>
            <w:r>
              <w:rPr/>
              <w:t xml:space="preserve"> </w:t>
            </w:r>
          </w:p>
        </w:tc>
        <w:tc>
          <w:tcPr>
            <w:tcW w:w="138" w:type="dxa"/>
            <w:tcBorders/>
            <w:vAlign w:val="center"/>
          </w:tcPr>
          <w:p>
            <w:pPr>
              <w:pStyle w:val="TableContents"/>
              <w:bidi w:val="0"/>
              <w:spacing w:before="0" w:after="283"/>
              <w:jc w:val="center"/>
              <w:rPr/>
            </w:pPr>
            <w:r>
              <w:rPr/>
              <w:t> </w:t>
            </w:r>
          </w:p>
        </w:tc>
      </w:tr>
      <w:tr>
        <w:trPr/>
        <w:tc>
          <w:tcPr>
            <w:tcW w:w="6456" w:type="dxa"/>
            <w:tcBorders/>
            <w:shd w:fill="CCEEFF" w:val="clear"/>
            <w:vAlign w:val="center"/>
          </w:tcPr>
          <w:p>
            <w:pPr>
              <w:pStyle w:val="TableContents"/>
              <w:bidi w:val="0"/>
              <w:spacing w:before="0" w:after="0"/>
              <w:jc w:val="left"/>
              <w:rPr/>
            </w:pPr>
            <w:r>
              <w:rPr/>
              <w:t xml:space="preserve">Net income available to common stockholders ($000's) (numerator) </w:t>
            </w:r>
          </w:p>
        </w:tc>
        <w:tc>
          <w:tcPr>
            <w:tcW w:w="90"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w:t>
            </w:r>
          </w:p>
        </w:tc>
        <w:tc>
          <w:tcPr>
            <w:tcW w:w="1471" w:type="dxa"/>
            <w:tcBorders/>
            <w:shd w:fill="CCEEFF" w:val="clear"/>
            <w:vAlign w:val="center"/>
          </w:tcPr>
          <w:p>
            <w:pPr>
              <w:pStyle w:val="TableContents"/>
              <w:bidi w:val="0"/>
              <w:spacing w:before="0" w:after="283"/>
              <w:jc w:val="right"/>
              <w:rPr/>
            </w:pPr>
            <w:r>
              <w:rPr/>
              <w:t>45,328</w:t>
            </w:r>
          </w:p>
        </w:tc>
        <w:tc>
          <w:tcPr>
            <w:tcW w:w="105" w:type="dxa"/>
            <w:tcBorders/>
            <w:shd w:fill="CCEEFF" w:val="clear"/>
            <w:vAlign w:val="center"/>
          </w:tcPr>
          <w:p>
            <w:pPr>
              <w:pStyle w:val="TableContents"/>
              <w:bidi w:val="0"/>
              <w:spacing w:before="0" w:after="283"/>
              <w:jc w:val="left"/>
              <w:rPr/>
            </w:pPr>
            <w:r>
              <w:rPr/>
              <w:t> </w:t>
            </w:r>
          </w:p>
        </w:tc>
        <w:tc>
          <w:tcPr>
            <w:tcW w:w="105" w:type="dxa"/>
            <w:tcBorders/>
            <w:shd w:fill="CCEEFF" w:val="clear"/>
            <w:vAlign w:val="center"/>
          </w:tcPr>
          <w:p>
            <w:pPr>
              <w:pStyle w:val="TableContents"/>
              <w:bidi w:val="0"/>
              <w:spacing w:before="0" w:after="283"/>
              <w:jc w:val="right"/>
              <w:rPr/>
            </w:pPr>
            <w:r>
              <w:rPr/>
              <w:t> </w:t>
            </w:r>
          </w:p>
        </w:tc>
        <w:tc>
          <w:tcPr>
            <w:tcW w:w="199" w:type="dxa"/>
            <w:tcBorders/>
            <w:shd w:fill="CCEEFF" w:val="clear"/>
            <w:vAlign w:val="center"/>
          </w:tcPr>
          <w:p>
            <w:pPr>
              <w:pStyle w:val="TableContents"/>
              <w:bidi w:val="0"/>
              <w:spacing w:before="0" w:after="283"/>
              <w:jc w:val="left"/>
              <w:rPr/>
            </w:pPr>
            <w:r>
              <w:rPr/>
              <w:t>$</w:t>
            </w:r>
          </w:p>
        </w:tc>
        <w:tc>
          <w:tcPr>
            <w:tcW w:w="1471" w:type="dxa"/>
            <w:tcBorders/>
            <w:shd w:fill="CCEEFF" w:val="clear"/>
            <w:vAlign w:val="center"/>
          </w:tcPr>
          <w:p>
            <w:pPr>
              <w:pStyle w:val="TableContents"/>
              <w:bidi w:val="0"/>
              <w:spacing w:before="0" w:after="283"/>
              <w:jc w:val="right"/>
              <w:rPr/>
            </w:pPr>
            <w:r>
              <w:rPr/>
              <w:t>26,904</w:t>
            </w:r>
          </w:p>
        </w:tc>
        <w:tc>
          <w:tcPr>
            <w:tcW w:w="138" w:type="dxa"/>
            <w:tcBorders/>
            <w:shd w:fill="CCEEFF" w:val="clear"/>
            <w:vAlign w:val="center"/>
          </w:tcPr>
          <w:p>
            <w:pPr>
              <w:pStyle w:val="TableContents"/>
              <w:bidi w:val="0"/>
              <w:spacing w:before="0" w:after="283"/>
              <w:jc w:val="left"/>
              <w:rPr/>
            </w:pPr>
            <w:r>
              <w:rPr/>
              <w:t> </w:t>
            </w:r>
          </w:p>
        </w:tc>
      </w:tr>
      <w:tr>
        <w:trPr/>
        <w:tc>
          <w:tcPr>
            <w:tcW w:w="6456" w:type="dxa"/>
            <w:tcBorders/>
            <w:vAlign w:val="center"/>
          </w:tcPr>
          <w:p>
            <w:pPr>
              <w:pStyle w:val="TableContents"/>
              <w:bidi w:val="0"/>
              <w:spacing w:before="0" w:after="0"/>
              <w:jc w:val="left"/>
              <w:rPr/>
            </w:pPr>
            <w:r>
              <w:rPr/>
              <w:t xml:space="preserve">Weighted-average number of common shares (denominator) </w:t>
            </w:r>
          </w:p>
        </w:tc>
        <w:tc>
          <w:tcPr>
            <w:tcW w:w="90" w:type="dxa"/>
            <w:tcBorders/>
            <w:vAlign w:val="center"/>
          </w:tcPr>
          <w:p>
            <w:pPr>
              <w:pStyle w:val="TableContents"/>
              <w:bidi w:val="0"/>
              <w:spacing w:before="0" w:after="283"/>
              <w:jc w:val="righ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1471" w:type="dxa"/>
            <w:tcBorders>
              <w:bottom w:val="single" w:sz="12" w:space="0" w:color="000000"/>
            </w:tcBorders>
            <w:tcMar>
              <w:bottom w:w="28" w:type="dxa"/>
            </w:tcMar>
            <w:vAlign w:val="center"/>
          </w:tcPr>
          <w:p>
            <w:pPr>
              <w:pStyle w:val="TableContents"/>
              <w:bidi w:val="0"/>
              <w:spacing w:before="0" w:after="283"/>
              <w:jc w:val="right"/>
              <w:rPr/>
            </w:pPr>
            <w:r>
              <w:rPr/>
              <w:t>236,072,751</w:t>
            </w:r>
          </w:p>
        </w:tc>
        <w:tc>
          <w:tcPr>
            <w:tcW w:w="105" w:type="dxa"/>
            <w:tcBorders/>
            <w:vAlign w:val="center"/>
          </w:tcPr>
          <w:p>
            <w:pPr>
              <w:pStyle w:val="TableContents"/>
              <w:bidi w:val="0"/>
              <w:spacing w:before="0" w:after="283"/>
              <w:jc w:val="left"/>
              <w:rPr/>
            </w:pPr>
            <w:r>
              <w:rPr/>
              <w:t> </w:t>
            </w:r>
          </w:p>
        </w:tc>
        <w:tc>
          <w:tcPr>
            <w:tcW w:w="105" w:type="dxa"/>
            <w:tcBorders/>
            <w:vAlign w:val="center"/>
          </w:tcPr>
          <w:p>
            <w:pPr>
              <w:pStyle w:val="TableContents"/>
              <w:bidi w:val="0"/>
              <w:spacing w:before="0" w:after="283"/>
              <w:jc w:val="right"/>
              <w:rPr/>
            </w:pPr>
            <w:r>
              <w:rPr/>
              <w:t> </w:t>
            </w:r>
          </w:p>
        </w:tc>
        <w:tc>
          <w:tcPr>
            <w:tcW w:w="199" w:type="dxa"/>
            <w:tcBorders>
              <w:bottom w:val="single" w:sz="12" w:space="0" w:color="000000"/>
            </w:tcBorders>
            <w:tcMar>
              <w:bottom w:w="28" w:type="dxa"/>
            </w:tcMar>
            <w:vAlign w:val="center"/>
          </w:tcPr>
          <w:p>
            <w:pPr>
              <w:pStyle w:val="TableContents"/>
              <w:bidi w:val="0"/>
              <w:spacing w:before="0" w:after="283"/>
              <w:jc w:val="left"/>
              <w:rPr/>
            </w:pPr>
            <w:r>
              <w:rPr/>
              <w:t> </w:t>
            </w:r>
          </w:p>
        </w:tc>
        <w:tc>
          <w:tcPr>
            <w:tcW w:w="1471" w:type="dxa"/>
            <w:tcBorders>
              <w:bottom w:val="single" w:sz="12" w:space="0" w:color="000000"/>
            </w:tcBorders>
            <w:tcMar>
              <w:bottom w:w="28" w:type="dxa"/>
            </w:tcMar>
            <w:vAlign w:val="center"/>
          </w:tcPr>
          <w:p>
            <w:pPr>
              <w:pStyle w:val="TableContents"/>
              <w:bidi w:val="0"/>
              <w:spacing w:before="0" w:after="283"/>
              <w:jc w:val="right"/>
              <w:rPr/>
            </w:pPr>
            <w:r>
              <w:rPr/>
              <w:t>237,775,476</w:t>
            </w:r>
          </w:p>
        </w:tc>
        <w:tc>
          <w:tcPr>
            <w:tcW w:w="138" w:type="dxa"/>
            <w:tcBorders/>
            <w:vAlign w:val="center"/>
          </w:tcPr>
          <w:p>
            <w:pPr>
              <w:pStyle w:val="TableContents"/>
              <w:bidi w:val="0"/>
              <w:spacing w:before="0" w:after="283"/>
              <w:jc w:val="left"/>
              <w:rPr/>
            </w:pPr>
            <w:r>
              <w:rPr/>
              <w:t> </w:t>
            </w:r>
          </w:p>
        </w:tc>
      </w:tr>
      <w:tr>
        <w:trPr/>
        <w:tc>
          <w:tcPr>
            <w:tcW w:w="6456" w:type="dxa"/>
            <w:tcBorders/>
            <w:shd w:fill="CCEEFF" w:val="clear"/>
            <w:vAlign w:val="center"/>
          </w:tcPr>
          <w:p>
            <w:pPr>
              <w:pStyle w:val="TableContents"/>
              <w:bidi w:val="0"/>
              <w:spacing w:before="0" w:after="0"/>
              <w:jc w:val="left"/>
              <w:rPr/>
            </w:pPr>
            <w:r>
              <w:rPr/>
              <w:t xml:space="preserve">Basic earnings per common share </w:t>
            </w:r>
          </w:p>
        </w:tc>
        <w:tc>
          <w:tcPr>
            <w:tcW w:w="90" w:type="dxa"/>
            <w:tcBorders/>
            <w:shd w:fill="CCEEFF" w:val="clear"/>
            <w:vAlign w:val="center"/>
          </w:tcPr>
          <w:p>
            <w:pPr>
              <w:pStyle w:val="TableContents"/>
              <w:bidi w:val="0"/>
              <w:spacing w:before="0" w:after="283"/>
              <w:jc w:val="right"/>
              <w:rPr/>
            </w:pPr>
            <w:r>
              <w:rPr/>
              <w:t> </w:t>
            </w:r>
          </w:p>
        </w:tc>
        <w:tc>
          <w:tcPr>
            <w:tcW w:w="170" w:type="dxa"/>
            <w:tcBorders>
              <w:bottom w:val="double" w:sz="8" w:space="0" w:color="000000"/>
            </w:tcBorders>
            <w:shd w:fill="CCEEFF" w:val="clear"/>
            <w:tcMar>
              <w:bottom w:w="28" w:type="dxa"/>
            </w:tcMar>
            <w:vAlign w:val="center"/>
          </w:tcPr>
          <w:p>
            <w:pPr>
              <w:pStyle w:val="TableContents"/>
              <w:bidi w:val="0"/>
              <w:spacing w:before="0" w:after="283"/>
              <w:jc w:val="left"/>
              <w:rPr/>
            </w:pPr>
            <w:r>
              <w:rPr/>
              <w:t>$</w:t>
            </w:r>
          </w:p>
        </w:tc>
        <w:tc>
          <w:tcPr>
            <w:tcW w:w="1471" w:type="dxa"/>
            <w:tcBorders>
              <w:bottom w:val="double" w:sz="8" w:space="0" w:color="000000"/>
            </w:tcBorders>
            <w:shd w:fill="CCEEFF" w:val="clear"/>
            <w:tcMar>
              <w:bottom w:w="28" w:type="dxa"/>
            </w:tcMar>
            <w:vAlign w:val="center"/>
          </w:tcPr>
          <w:p>
            <w:pPr>
              <w:pStyle w:val="TableContents"/>
              <w:bidi w:val="0"/>
              <w:spacing w:before="0" w:after="283"/>
              <w:jc w:val="right"/>
              <w:rPr/>
            </w:pPr>
            <w:r>
              <w:rPr/>
              <w:t>0.19</w:t>
            </w:r>
          </w:p>
        </w:tc>
        <w:tc>
          <w:tcPr>
            <w:tcW w:w="10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5" w:type="dxa"/>
            <w:tcBorders/>
            <w:shd w:fill="CCEEFF" w:val="clear"/>
            <w:vAlign w:val="center"/>
          </w:tcPr>
          <w:p>
            <w:pPr>
              <w:pStyle w:val="TableContents"/>
              <w:bidi w:val="0"/>
              <w:spacing w:before="0" w:after="283"/>
              <w:jc w:val="right"/>
              <w:rPr/>
            </w:pPr>
            <w:r>
              <w:rPr/>
              <w:t> </w:t>
            </w:r>
          </w:p>
        </w:tc>
        <w:tc>
          <w:tcPr>
            <w:tcW w:w="199" w:type="dxa"/>
            <w:tcBorders>
              <w:bottom w:val="double" w:sz="8" w:space="0" w:color="000000"/>
            </w:tcBorders>
            <w:shd w:fill="CCEEFF" w:val="clear"/>
            <w:tcMar>
              <w:bottom w:w="28" w:type="dxa"/>
            </w:tcMar>
            <w:vAlign w:val="center"/>
          </w:tcPr>
          <w:p>
            <w:pPr>
              <w:pStyle w:val="TableContents"/>
              <w:bidi w:val="0"/>
              <w:spacing w:before="0" w:after="283"/>
              <w:jc w:val="left"/>
              <w:rPr/>
            </w:pPr>
            <w:r>
              <w:rPr/>
              <w:t>$</w:t>
            </w:r>
          </w:p>
        </w:tc>
        <w:tc>
          <w:tcPr>
            <w:tcW w:w="1471" w:type="dxa"/>
            <w:tcBorders>
              <w:bottom w:val="double" w:sz="8" w:space="0" w:color="000000"/>
            </w:tcBorders>
            <w:shd w:fill="CCEEFF" w:val="clear"/>
            <w:tcMar>
              <w:bottom w:w="28" w:type="dxa"/>
            </w:tcMar>
            <w:vAlign w:val="center"/>
          </w:tcPr>
          <w:p>
            <w:pPr>
              <w:pStyle w:val="TableContents"/>
              <w:bidi w:val="0"/>
              <w:spacing w:before="0" w:after="283"/>
              <w:jc w:val="right"/>
              <w:rPr/>
            </w:pPr>
            <w:r>
              <w:rPr/>
              <w:t>0.11</w:t>
            </w:r>
          </w:p>
        </w:tc>
        <w:tc>
          <w:tcPr>
            <w:tcW w:w="138"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r>
      <w:tr>
        <w:trPr/>
        <w:tc>
          <w:tcPr>
            <w:tcW w:w="6456"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471" w:type="dxa"/>
            <w:tcBorders/>
            <w:vAlign w:val="center"/>
          </w:tcPr>
          <w:p>
            <w:pPr>
              <w:pStyle w:val="TableContents"/>
              <w:bidi w:val="0"/>
              <w:spacing w:before="0" w:after="283"/>
              <w:jc w:val="left"/>
              <w:rPr/>
            </w:pPr>
            <w:r>
              <w:rPr/>
              <w:t> </w:t>
            </w:r>
          </w:p>
        </w:tc>
        <w:tc>
          <w:tcPr>
            <w:tcW w:w="105" w:type="dxa"/>
            <w:tcBorders/>
            <w:vAlign w:val="center"/>
          </w:tcPr>
          <w:p>
            <w:pPr>
              <w:pStyle w:val="TableContents"/>
              <w:bidi w:val="0"/>
              <w:spacing w:before="0" w:after="283"/>
              <w:jc w:val="left"/>
              <w:rPr/>
            </w:pPr>
            <w:r>
              <w:rPr/>
              <w:t> </w:t>
            </w:r>
          </w:p>
        </w:tc>
        <w:tc>
          <w:tcPr>
            <w:tcW w:w="105" w:type="dxa"/>
            <w:tcBorders/>
            <w:vAlign w:val="center"/>
          </w:tcPr>
          <w:p>
            <w:pPr>
              <w:pStyle w:val="TableContents"/>
              <w:bidi w:val="0"/>
              <w:spacing w:before="0" w:after="283"/>
              <w:jc w:val="left"/>
              <w:rPr/>
            </w:pPr>
            <w:r>
              <w:rPr/>
              <w:t> </w:t>
            </w:r>
          </w:p>
        </w:tc>
        <w:tc>
          <w:tcPr>
            <w:tcW w:w="199" w:type="dxa"/>
            <w:tcBorders/>
            <w:vAlign w:val="center"/>
          </w:tcPr>
          <w:p>
            <w:pPr>
              <w:pStyle w:val="TableContents"/>
              <w:bidi w:val="0"/>
              <w:spacing w:before="0" w:after="283"/>
              <w:jc w:val="left"/>
              <w:rPr/>
            </w:pPr>
            <w:r>
              <w:rPr/>
              <w:t> </w:t>
            </w:r>
          </w:p>
        </w:tc>
        <w:tc>
          <w:tcPr>
            <w:tcW w:w="1471" w:type="dxa"/>
            <w:tcBorders/>
            <w:vAlign w:val="center"/>
          </w:tcPr>
          <w:p>
            <w:pPr>
              <w:pStyle w:val="TableContents"/>
              <w:bidi w:val="0"/>
              <w:spacing w:before="0" w:after="283"/>
              <w:jc w:val="left"/>
              <w:rPr/>
            </w:pPr>
            <w:r>
              <w:rPr/>
              <w:t> </w:t>
            </w:r>
          </w:p>
        </w:tc>
        <w:tc>
          <w:tcPr>
            <w:tcW w:w="138" w:type="dxa"/>
            <w:tcBorders/>
            <w:vAlign w:val="center"/>
          </w:tcPr>
          <w:p>
            <w:pPr>
              <w:pStyle w:val="TableContents"/>
              <w:bidi w:val="0"/>
              <w:spacing w:before="0" w:after="283"/>
              <w:jc w:val="left"/>
              <w:rPr/>
            </w:pPr>
            <w:r>
              <w:rPr/>
              <w:t> </w:t>
            </w:r>
          </w:p>
        </w:tc>
      </w:tr>
      <w:tr>
        <w:trPr/>
        <w:tc>
          <w:tcPr>
            <w:tcW w:w="6456" w:type="dxa"/>
            <w:tcBorders/>
            <w:shd w:fill="CCEEFF" w:val="clear"/>
            <w:vAlign w:val="center"/>
          </w:tcPr>
          <w:p>
            <w:pPr>
              <w:pStyle w:val="TableContents"/>
              <w:bidi w:val="0"/>
              <w:spacing w:before="0" w:after="283"/>
              <w:jc w:val="left"/>
              <w:rPr/>
            </w:pPr>
            <w:r>
              <w:rPr/>
              <w:t>Weighted-average number of common shares</w:t>
            </w:r>
          </w:p>
        </w:tc>
        <w:tc>
          <w:tcPr>
            <w:tcW w:w="90"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 </w:t>
            </w:r>
          </w:p>
        </w:tc>
        <w:tc>
          <w:tcPr>
            <w:tcW w:w="1471" w:type="dxa"/>
            <w:tcBorders/>
            <w:shd w:fill="CCEEFF" w:val="clear"/>
            <w:vAlign w:val="center"/>
          </w:tcPr>
          <w:p>
            <w:pPr>
              <w:pStyle w:val="TableContents"/>
              <w:bidi w:val="0"/>
              <w:spacing w:before="0" w:after="283"/>
              <w:jc w:val="right"/>
              <w:rPr/>
            </w:pPr>
            <w:r>
              <w:rPr/>
              <w:t>236,072,751</w:t>
            </w:r>
          </w:p>
        </w:tc>
        <w:tc>
          <w:tcPr>
            <w:tcW w:w="105" w:type="dxa"/>
            <w:tcBorders/>
            <w:shd w:fill="CCEEFF" w:val="clear"/>
            <w:vAlign w:val="center"/>
          </w:tcPr>
          <w:p>
            <w:pPr>
              <w:pStyle w:val="TableContents"/>
              <w:bidi w:val="0"/>
              <w:spacing w:before="0" w:after="283"/>
              <w:jc w:val="left"/>
              <w:rPr/>
            </w:pPr>
            <w:r>
              <w:rPr/>
              <w:t> </w:t>
            </w:r>
          </w:p>
        </w:tc>
        <w:tc>
          <w:tcPr>
            <w:tcW w:w="105" w:type="dxa"/>
            <w:tcBorders/>
            <w:shd w:fill="CCEEFF" w:val="clear"/>
            <w:vAlign w:val="center"/>
          </w:tcPr>
          <w:p>
            <w:pPr>
              <w:pStyle w:val="TableContents"/>
              <w:bidi w:val="0"/>
              <w:spacing w:before="0" w:after="283"/>
              <w:jc w:val="right"/>
              <w:rPr/>
            </w:pPr>
            <w:r>
              <w:rPr/>
              <w:t> </w:t>
            </w:r>
          </w:p>
        </w:tc>
        <w:tc>
          <w:tcPr>
            <w:tcW w:w="199" w:type="dxa"/>
            <w:tcBorders/>
            <w:shd w:fill="CCEEFF" w:val="clear"/>
            <w:vAlign w:val="center"/>
          </w:tcPr>
          <w:p>
            <w:pPr>
              <w:pStyle w:val="TableContents"/>
              <w:bidi w:val="0"/>
              <w:spacing w:before="0" w:after="283"/>
              <w:jc w:val="left"/>
              <w:rPr/>
            </w:pPr>
            <w:r>
              <w:rPr/>
              <w:t> </w:t>
            </w:r>
          </w:p>
        </w:tc>
        <w:tc>
          <w:tcPr>
            <w:tcW w:w="1471" w:type="dxa"/>
            <w:tcBorders/>
            <w:shd w:fill="CCEEFF" w:val="clear"/>
            <w:vAlign w:val="center"/>
          </w:tcPr>
          <w:p>
            <w:pPr>
              <w:pStyle w:val="TableContents"/>
              <w:bidi w:val="0"/>
              <w:spacing w:before="0" w:after="283"/>
              <w:jc w:val="right"/>
              <w:rPr/>
            </w:pPr>
            <w:r>
              <w:rPr/>
              <w:t>237,775,476</w:t>
            </w:r>
          </w:p>
        </w:tc>
        <w:tc>
          <w:tcPr>
            <w:tcW w:w="138" w:type="dxa"/>
            <w:tcBorders/>
            <w:shd w:fill="CCEEFF" w:val="clear"/>
            <w:vAlign w:val="center"/>
          </w:tcPr>
          <w:p>
            <w:pPr>
              <w:pStyle w:val="TableContents"/>
              <w:bidi w:val="0"/>
              <w:spacing w:before="0" w:after="283"/>
              <w:jc w:val="left"/>
              <w:rPr/>
            </w:pPr>
            <w:r>
              <w:rPr/>
              <w:t> </w:t>
            </w:r>
          </w:p>
        </w:tc>
      </w:tr>
      <w:tr>
        <w:trPr/>
        <w:tc>
          <w:tcPr>
            <w:tcW w:w="6456" w:type="dxa"/>
            <w:tcBorders/>
            <w:vAlign w:val="center"/>
          </w:tcPr>
          <w:p>
            <w:pPr>
              <w:pStyle w:val="TableContents"/>
              <w:bidi w:val="0"/>
              <w:spacing w:before="0" w:after="0"/>
              <w:jc w:val="left"/>
              <w:rPr/>
            </w:pPr>
            <w:r>
              <w:rPr/>
              <w:t xml:space="preserve">Potential shares of common stock arising from outstanding stock options </w:t>
            </w:r>
          </w:p>
        </w:tc>
        <w:tc>
          <w:tcPr>
            <w:tcW w:w="90"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pPr>
            <w:r>
              <w:rPr/>
              <w:t> </w:t>
            </w:r>
          </w:p>
        </w:tc>
        <w:tc>
          <w:tcPr>
            <w:tcW w:w="1471" w:type="dxa"/>
            <w:tcBorders/>
            <w:vAlign w:val="center"/>
          </w:tcPr>
          <w:p>
            <w:pPr>
              <w:pStyle w:val="TableContents"/>
              <w:bidi w:val="0"/>
              <w:spacing w:before="0" w:after="283"/>
              <w:jc w:val="right"/>
              <w:rPr/>
            </w:pPr>
            <w:r>
              <w:rPr/>
              <w:t>2,815,666</w:t>
            </w:r>
          </w:p>
        </w:tc>
        <w:tc>
          <w:tcPr>
            <w:tcW w:w="105" w:type="dxa"/>
            <w:tcBorders/>
            <w:vAlign w:val="center"/>
          </w:tcPr>
          <w:p>
            <w:pPr>
              <w:pStyle w:val="TableContents"/>
              <w:bidi w:val="0"/>
              <w:spacing w:before="0" w:after="283"/>
              <w:jc w:val="left"/>
              <w:rPr/>
            </w:pPr>
            <w:r>
              <w:rPr/>
              <w:t> </w:t>
            </w:r>
          </w:p>
        </w:tc>
        <w:tc>
          <w:tcPr>
            <w:tcW w:w="105" w:type="dxa"/>
            <w:tcBorders/>
            <w:vAlign w:val="center"/>
          </w:tcPr>
          <w:p>
            <w:pPr>
              <w:pStyle w:val="TableContents"/>
              <w:bidi w:val="0"/>
              <w:spacing w:before="0" w:after="283"/>
              <w:jc w:val="right"/>
              <w:rPr/>
            </w:pPr>
            <w:r>
              <w:rPr/>
              <w:t> </w:t>
            </w:r>
          </w:p>
        </w:tc>
        <w:tc>
          <w:tcPr>
            <w:tcW w:w="199" w:type="dxa"/>
            <w:tcBorders/>
            <w:vAlign w:val="center"/>
          </w:tcPr>
          <w:p>
            <w:pPr>
              <w:pStyle w:val="TableContents"/>
              <w:bidi w:val="0"/>
              <w:spacing w:before="0" w:after="283"/>
              <w:jc w:val="left"/>
              <w:rPr/>
            </w:pPr>
            <w:r>
              <w:rPr/>
              <w:t> </w:t>
            </w:r>
          </w:p>
        </w:tc>
        <w:tc>
          <w:tcPr>
            <w:tcW w:w="1471" w:type="dxa"/>
            <w:tcBorders/>
            <w:vAlign w:val="center"/>
          </w:tcPr>
          <w:p>
            <w:pPr>
              <w:pStyle w:val="TableContents"/>
              <w:bidi w:val="0"/>
              <w:spacing w:before="0" w:after="283"/>
              <w:jc w:val="right"/>
              <w:rPr/>
            </w:pPr>
            <w:r>
              <w:rPr/>
              <w:t>3,987,814</w:t>
            </w:r>
          </w:p>
        </w:tc>
        <w:tc>
          <w:tcPr>
            <w:tcW w:w="138" w:type="dxa"/>
            <w:tcBorders/>
            <w:vAlign w:val="center"/>
          </w:tcPr>
          <w:p>
            <w:pPr>
              <w:pStyle w:val="TableContents"/>
              <w:bidi w:val="0"/>
              <w:spacing w:before="0" w:after="283"/>
              <w:jc w:val="left"/>
              <w:rPr/>
            </w:pPr>
            <w:r>
              <w:rPr/>
              <w:t> </w:t>
            </w:r>
          </w:p>
        </w:tc>
      </w:tr>
      <w:tr>
        <w:trPr/>
        <w:tc>
          <w:tcPr>
            <w:tcW w:w="6456" w:type="dxa"/>
            <w:tcBorders/>
            <w:shd w:fill="CCEEFF" w:val="clear"/>
            <w:vAlign w:val="center"/>
          </w:tcPr>
          <w:p>
            <w:pPr>
              <w:pStyle w:val="TableContents"/>
              <w:bidi w:val="0"/>
              <w:spacing w:before="0" w:after="0"/>
              <w:jc w:val="left"/>
              <w:rPr/>
            </w:pPr>
            <w:r>
              <w:rPr/>
              <w:t xml:space="preserve">Potential shares of common stock arising from outstanding warrants </w:t>
            </w:r>
          </w:p>
        </w:tc>
        <w:tc>
          <w:tcPr>
            <w:tcW w:w="90"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 </w:t>
            </w:r>
          </w:p>
        </w:tc>
        <w:tc>
          <w:tcPr>
            <w:tcW w:w="1471" w:type="dxa"/>
            <w:tcBorders/>
            <w:shd w:fill="CCEEFF" w:val="clear"/>
            <w:vAlign w:val="center"/>
          </w:tcPr>
          <w:p>
            <w:pPr>
              <w:pStyle w:val="TableContents"/>
              <w:bidi w:val="0"/>
              <w:spacing w:before="0" w:after="283"/>
              <w:jc w:val="right"/>
              <w:rPr/>
            </w:pPr>
            <w:r>
              <w:rPr/>
              <w:t xml:space="preserve">- </w:t>
            </w:r>
          </w:p>
        </w:tc>
        <w:tc>
          <w:tcPr>
            <w:tcW w:w="105" w:type="dxa"/>
            <w:tcBorders/>
            <w:shd w:fill="CCEEFF" w:val="clear"/>
            <w:vAlign w:val="center"/>
          </w:tcPr>
          <w:p>
            <w:pPr>
              <w:pStyle w:val="TableContents"/>
              <w:bidi w:val="0"/>
              <w:spacing w:before="0" w:after="283"/>
              <w:jc w:val="left"/>
              <w:rPr/>
            </w:pPr>
            <w:r>
              <w:rPr/>
              <w:t> </w:t>
            </w:r>
          </w:p>
        </w:tc>
        <w:tc>
          <w:tcPr>
            <w:tcW w:w="105" w:type="dxa"/>
            <w:tcBorders/>
            <w:shd w:fill="CCEEFF" w:val="clear"/>
            <w:vAlign w:val="center"/>
          </w:tcPr>
          <w:p>
            <w:pPr>
              <w:pStyle w:val="TableContents"/>
              <w:bidi w:val="0"/>
              <w:spacing w:before="0" w:after="283"/>
              <w:jc w:val="right"/>
              <w:rPr/>
            </w:pPr>
            <w:r>
              <w:rPr/>
              <w:t> </w:t>
            </w:r>
          </w:p>
        </w:tc>
        <w:tc>
          <w:tcPr>
            <w:tcW w:w="199" w:type="dxa"/>
            <w:tcBorders/>
            <w:shd w:fill="CCEEFF" w:val="clear"/>
            <w:vAlign w:val="center"/>
          </w:tcPr>
          <w:p>
            <w:pPr>
              <w:pStyle w:val="TableContents"/>
              <w:bidi w:val="0"/>
              <w:spacing w:before="0" w:after="283"/>
              <w:jc w:val="left"/>
              <w:rPr/>
            </w:pPr>
            <w:r>
              <w:rPr/>
              <w:t> </w:t>
            </w:r>
          </w:p>
        </w:tc>
        <w:tc>
          <w:tcPr>
            <w:tcW w:w="1471" w:type="dxa"/>
            <w:tcBorders/>
            <w:shd w:fill="CCEEFF" w:val="clear"/>
            <w:vAlign w:val="center"/>
          </w:tcPr>
          <w:p>
            <w:pPr>
              <w:pStyle w:val="TableContents"/>
              <w:bidi w:val="0"/>
              <w:spacing w:before="0" w:after="283"/>
              <w:jc w:val="right"/>
              <w:rPr/>
            </w:pPr>
            <w:r>
              <w:rPr/>
              <w:t>47,536</w:t>
            </w:r>
          </w:p>
        </w:tc>
        <w:tc>
          <w:tcPr>
            <w:tcW w:w="138" w:type="dxa"/>
            <w:tcBorders/>
            <w:shd w:fill="CCEEFF" w:val="clear"/>
            <w:vAlign w:val="center"/>
          </w:tcPr>
          <w:p>
            <w:pPr>
              <w:pStyle w:val="TableContents"/>
              <w:bidi w:val="0"/>
              <w:spacing w:before="0" w:after="283"/>
              <w:jc w:val="left"/>
              <w:rPr/>
            </w:pPr>
            <w:r>
              <w:rPr/>
              <w:t> </w:t>
            </w:r>
          </w:p>
        </w:tc>
      </w:tr>
      <w:tr>
        <w:trPr/>
        <w:tc>
          <w:tcPr>
            <w:tcW w:w="6456" w:type="dxa"/>
            <w:tcBorders/>
            <w:vAlign w:val="center"/>
          </w:tcPr>
          <w:p>
            <w:pPr>
              <w:pStyle w:val="TableContents"/>
              <w:bidi w:val="0"/>
              <w:spacing w:before="0" w:after="0"/>
              <w:jc w:val="left"/>
              <w:rPr/>
            </w:pPr>
            <w:r>
              <w:rPr/>
              <w:t xml:space="preserve">Potential shares of common stock arising from outstanding RSUs </w:t>
            </w:r>
          </w:p>
        </w:tc>
        <w:tc>
          <w:tcPr>
            <w:tcW w:w="90" w:type="dxa"/>
            <w:tcBorders/>
            <w:vAlign w:val="center"/>
          </w:tcPr>
          <w:p>
            <w:pPr>
              <w:pStyle w:val="TableContents"/>
              <w:bidi w:val="0"/>
              <w:spacing w:before="0" w:after="283"/>
              <w:jc w:val="righ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1471" w:type="dxa"/>
            <w:tcBorders>
              <w:bottom w:val="single" w:sz="12" w:space="0" w:color="000000"/>
            </w:tcBorders>
            <w:tcMar>
              <w:bottom w:w="28" w:type="dxa"/>
            </w:tcMar>
            <w:vAlign w:val="center"/>
          </w:tcPr>
          <w:p>
            <w:pPr>
              <w:pStyle w:val="TableContents"/>
              <w:bidi w:val="0"/>
              <w:spacing w:before="0" w:after="283"/>
              <w:jc w:val="right"/>
              <w:rPr/>
            </w:pPr>
            <w:r>
              <w:rPr/>
              <w:t>1,067,345</w:t>
            </w:r>
          </w:p>
        </w:tc>
        <w:tc>
          <w:tcPr>
            <w:tcW w:w="105" w:type="dxa"/>
            <w:tcBorders/>
            <w:vAlign w:val="center"/>
          </w:tcPr>
          <w:p>
            <w:pPr>
              <w:pStyle w:val="TableContents"/>
              <w:bidi w:val="0"/>
              <w:spacing w:before="0" w:after="283"/>
              <w:jc w:val="left"/>
              <w:rPr/>
            </w:pPr>
            <w:r>
              <w:rPr/>
              <w:t> </w:t>
            </w:r>
          </w:p>
        </w:tc>
        <w:tc>
          <w:tcPr>
            <w:tcW w:w="105" w:type="dxa"/>
            <w:tcBorders/>
            <w:vAlign w:val="center"/>
          </w:tcPr>
          <w:p>
            <w:pPr>
              <w:pStyle w:val="TableContents"/>
              <w:bidi w:val="0"/>
              <w:spacing w:before="0" w:after="283"/>
              <w:jc w:val="right"/>
              <w:rPr/>
            </w:pPr>
            <w:r>
              <w:rPr/>
              <w:t> </w:t>
            </w:r>
          </w:p>
        </w:tc>
        <w:tc>
          <w:tcPr>
            <w:tcW w:w="199" w:type="dxa"/>
            <w:tcBorders>
              <w:bottom w:val="single" w:sz="12" w:space="0" w:color="000000"/>
            </w:tcBorders>
            <w:tcMar>
              <w:bottom w:w="28" w:type="dxa"/>
            </w:tcMar>
            <w:vAlign w:val="center"/>
          </w:tcPr>
          <w:p>
            <w:pPr>
              <w:pStyle w:val="TableContents"/>
              <w:bidi w:val="0"/>
              <w:spacing w:before="0" w:after="283"/>
              <w:jc w:val="left"/>
              <w:rPr/>
            </w:pPr>
            <w:r>
              <w:rPr/>
              <w:t> </w:t>
            </w:r>
          </w:p>
        </w:tc>
        <w:tc>
          <w:tcPr>
            <w:tcW w:w="1471" w:type="dxa"/>
            <w:tcBorders>
              <w:bottom w:val="single" w:sz="12" w:space="0" w:color="000000"/>
            </w:tcBorders>
            <w:tcMar>
              <w:bottom w:w="28" w:type="dxa"/>
            </w:tcMar>
            <w:vAlign w:val="center"/>
          </w:tcPr>
          <w:p>
            <w:pPr>
              <w:pStyle w:val="TableContents"/>
              <w:bidi w:val="0"/>
              <w:spacing w:before="0" w:after="283"/>
              <w:jc w:val="right"/>
              <w:rPr/>
            </w:pPr>
            <w:r>
              <w:rPr/>
              <w:t>2,865,524</w:t>
            </w:r>
          </w:p>
        </w:tc>
        <w:tc>
          <w:tcPr>
            <w:tcW w:w="138" w:type="dxa"/>
            <w:tcBorders/>
            <w:vAlign w:val="center"/>
          </w:tcPr>
          <w:p>
            <w:pPr>
              <w:pStyle w:val="TableContents"/>
              <w:bidi w:val="0"/>
              <w:spacing w:before="0" w:after="283"/>
              <w:jc w:val="left"/>
              <w:rPr/>
            </w:pPr>
            <w:r>
              <w:rPr/>
              <w:t> </w:t>
            </w:r>
          </w:p>
        </w:tc>
      </w:tr>
      <w:tr>
        <w:trPr/>
        <w:tc>
          <w:tcPr>
            <w:tcW w:w="6456" w:type="dxa"/>
            <w:tcBorders/>
            <w:shd w:fill="CCEEFF" w:val="clear"/>
            <w:vAlign w:val="center"/>
          </w:tcPr>
          <w:p>
            <w:pPr>
              <w:pStyle w:val="TableContents"/>
              <w:bidi w:val="0"/>
              <w:spacing w:before="0" w:after="0"/>
              <w:jc w:val="left"/>
              <w:rPr/>
            </w:pPr>
            <w:r>
              <w:rPr/>
              <w:t xml:space="preserve">Total shares - diluted (denominator) </w:t>
            </w:r>
          </w:p>
        </w:tc>
        <w:tc>
          <w:tcPr>
            <w:tcW w:w="90" w:type="dxa"/>
            <w:tcBorders/>
            <w:shd w:fill="CCEEFF" w:val="clear"/>
            <w:vAlign w:val="center"/>
          </w:tcPr>
          <w:p>
            <w:pPr>
              <w:pStyle w:val="TableContents"/>
              <w:bidi w:val="0"/>
              <w:spacing w:before="0" w:after="283"/>
              <w:jc w:val="righ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471" w:type="dxa"/>
            <w:tcBorders>
              <w:bottom w:val="single" w:sz="12" w:space="0" w:color="000000"/>
            </w:tcBorders>
            <w:shd w:fill="CCEEFF" w:val="clear"/>
            <w:tcMar>
              <w:bottom w:w="28" w:type="dxa"/>
            </w:tcMar>
            <w:vAlign w:val="center"/>
          </w:tcPr>
          <w:p>
            <w:pPr>
              <w:pStyle w:val="TableContents"/>
              <w:bidi w:val="0"/>
              <w:spacing w:before="0" w:after="283"/>
              <w:jc w:val="right"/>
              <w:rPr/>
            </w:pPr>
            <w:r>
              <w:rPr/>
              <w:t>239,955,762</w:t>
            </w:r>
          </w:p>
        </w:tc>
        <w:tc>
          <w:tcPr>
            <w:tcW w:w="105" w:type="dxa"/>
            <w:tcBorders/>
            <w:shd w:fill="CCEEFF" w:val="clear"/>
            <w:vAlign w:val="center"/>
          </w:tcPr>
          <w:p>
            <w:pPr>
              <w:pStyle w:val="TableContents"/>
              <w:bidi w:val="0"/>
              <w:spacing w:before="0" w:after="283"/>
              <w:jc w:val="left"/>
              <w:rPr/>
            </w:pPr>
            <w:r>
              <w:rPr/>
              <w:t> </w:t>
            </w:r>
          </w:p>
        </w:tc>
        <w:tc>
          <w:tcPr>
            <w:tcW w:w="105" w:type="dxa"/>
            <w:tcBorders/>
            <w:shd w:fill="CCEEFF" w:val="clear"/>
            <w:vAlign w:val="center"/>
          </w:tcPr>
          <w:p>
            <w:pPr>
              <w:pStyle w:val="TableContents"/>
              <w:bidi w:val="0"/>
              <w:spacing w:before="0" w:after="283"/>
              <w:jc w:val="right"/>
              <w:rPr/>
            </w:pPr>
            <w:r>
              <w:rPr/>
              <w:t> </w:t>
            </w:r>
          </w:p>
        </w:tc>
        <w:tc>
          <w:tcPr>
            <w:tcW w:w="199"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471" w:type="dxa"/>
            <w:tcBorders>
              <w:bottom w:val="single" w:sz="12" w:space="0" w:color="000000"/>
            </w:tcBorders>
            <w:shd w:fill="CCEEFF" w:val="clear"/>
            <w:tcMar>
              <w:bottom w:w="28" w:type="dxa"/>
            </w:tcMar>
            <w:vAlign w:val="center"/>
          </w:tcPr>
          <w:p>
            <w:pPr>
              <w:pStyle w:val="TableContents"/>
              <w:bidi w:val="0"/>
              <w:spacing w:before="0" w:after="283"/>
              <w:jc w:val="right"/>
              <w:rPr/>
            </w:pPr>
            <w:r>
              <w:rPr/>
              <w:t>244,676,350</w:t>
            </w:r>
          </w:p>
        </w:tc>
        <w:tc>
          <w:tcPr>
            <w:tcW w:w="138" w:type="dxa"/>
            <w:tcBorders/>
            <w:shd w:fill="CCEEFF" w:val="clear"/>
            <w:vAlign w:val="center"/>
          </w:tcPr>
          <w:p>
            <w:pPr>
              <w:pStyle w:val="TableContents"/>
              <w:bidi w:val="0"/>
              <w:spacing w:before="0" w:after="283"/>
              <w:jc w:val="left"/>
              <w:rPr/>
            </w:pPr>
            <w:r>
              <w:rPr/>
              <w:t> </w:t>
            </w:r>
          </w:p>
        </w:tc>
      </w:tr>
      <w:tr>
        <w:trPr/>
        <w:tc>
          <w:tcPr>
            <w:tcW w:w="6456" w:type="dxa"/>
            <w:tcBorders/>
            <w:vAlign w:val="center"/>
          </w:tcPr>
          <w:p>
            <w:pPr>
              <w:pStyle w:val="TableContents"/>
              <w:bidi w:val="0"/>
              <w:spacing w:before="0" w:after="0"/>
              <w:jc w:val="left"/>
              <w:rPr/>
            </w:pPr>
            <w:r>
              <w:rPr/>
              <w:t xml:space="preserve">Diluted earnings per common share </w:t>
            </w:r>
          </w:p>
        </w:tc>
        <w:tc>
          <w:tcPr>
            <w:tcW w:w="90" w:type="dxa"/>
            <w:tcBorders/>
            <w:vAlign w:val="center"/>
          </w:tcPr>
          <w:p>
            <w:pPr>
              <w:pStyle w:val="TableContents"/>
              <w:bidi w:val="0"/>
              <w:spacing w:before="0" w:after="283"/>
              <w:jc w:val="right"/>
              <w:rPr/>
            </w:pPr>
            <w:r>
              <w:rPr/>
              <w:t> </w:t>
            </w:r>
          </w:p>
        </w:tc>
        <w:tc>
          <w:tcPr>
            <w:tcW w:w="170" w:type="dxa"/>
            <w:tcBorders>
              <w:bottom w:val="double" w:sz="8" w:space="0" w:color="000000"/>
            </w:tcBorders>
            <w:tcMar>
              <w:bottom w:w="28" w:type="dxa"/>
            </w:tcMar>
            <w:vAlign w:val="center"/>
          </w:tcPr>
          <w:p>
            <w:pPr>
              <w:pStyle w:val="TableContents"/>
              <w:bidi w:val="0"/>
              <w:spacing w:before="0" w:after="283"/>
              <w:jc w:val="left"/>
              <w:rPr/>
            </w:pPr>
            <w:r>
              <w:rPr/>
              <w:t>$</w:t>
            </w:r>
          </w:p>
        </w:tc>
        <w:tc>
          <w:tcPr>
            <w:tcW w:w="1471" w:type="dxa"/>
            <w:tcBorders>
              <w:bottom w:val="double" w:sz="8" w:space="0" w:color="000000"/>
            </w:tcBorders>
            <w:tcMar>
              <w:bottom w:w="28" w:type="dxa"/>
            </w:tcMar>
            <w:vAlign w:val="center"/>
          </w:tcPr>
          <w:p>
            <w:pPr>
              <w:pStyle w:val="TableContents"/>
              <w:bidi w:val="0"/>
              <w:spacing w:before="0" w:after="283"/>
              <w:jc w:val="right"/>
              <w:rPr/>
            </w:pPr>
            <w:r>
              <w:rPr/>
              <w:t>0.19</w:t>
            </w:r>
          </w:p>
        </w:tc>
        <w:tc>
          <w:tcPr>
            <w:tcW w:w="105" w:type="dxa"/>
            <w:tcBorders>
              <w:bottom w:val="single" w:sz="12" w:space="0" w:color="000000"/>
            </w:tcBorders>
            <w:tcMar>
              <w:bottom w:w="28" w:type="dxa"/>
            </w:tcMar>
            <w:vAlign w:val="center"/>
          </w:tcPr>
          <w:p>
            <w:pPr>
              <w:pStyle w:val="TableContents"/>
              <w:bidi w:val="0"/>
              <w:spacing w:before="0" w:after="283"/>
              <w:jc w:val="left"/>
              <w:rPr/>
            </w:pPr>
            <w:r>
              <w:rPr/>
              <w:t> </w:t>
            </w:r>
          </w:p>
        </w:tc>
        <w:tc>
          <w:tcPr>
            <w:tcW w:w="105" w:type="dxa"/>
            <w:tcBorders/>
            <w:vAlign w:val="center"/>
          </w:tcPr>
          <w:p>
            <w:pPr>
              <w:pStyle w:val="TableContents"/>
              <w:bidi w:val="0"/>
              <w:spacing w:before="0" w:after="283"/>
              <w:jc w:val="right"/>
              <w:rPr/>
            </w:pPr>
            <w:r>
              <w:rPr/>
              <w:t> </w:t>
            </w:r>
          </w:p>
        </w:tc>
        <w:tc>
          <w:tcPr>
            <w:tcW w:w="199" w:type="dxa"/>
            <w:tcBorders>
              <w:bottom w:val="double" w:sz="8" w:space="0" w:color="000000"/>
            </w:tcBorders>
            <w:tcMar>
              <w:bottom w:w="28" w:type="dxa"/>
            </w:tcMar>
            <w:vAlign w:val="center"/>
          </w:tcPr>
          <w:p>
            <w:pPr>
              <w:pStyle w:val="TableContents"/>
              <w:bidi w:val="0"/>
              <w:spacing w:before="0" w:after="283"/>
              <w:jc w:val="left"/>
              <w:rPr/>
            </w:pPr>
            <w:r>
              <w:rPr/>
              <w:t>$</w:t>
            </w:r>
          </w:p>
        </w:tc>
        <w:tc>
          <w:tcPr>
            <w:tcW w:w="1471" w:type="dxa"/>
            <w:tcBorders>
              <w:bottom w:val="double" w:sz="8" w:space="0" w:color="000000"/>
            </w:tcBorders>
            <w:tcMar>
              <w:bottom w:w="28" w:type="dxa"/>
            </w:tcMar>
            <w:vAlign w:val="center"/>
          </w:tcPr>
          <w:p>
            <w:pPr>
              <w:pStyle w:val="TableContents"/>
              <w:bidi w:val="0"/>
              <w:spacing w:before="0" w:after="283"/>
              <w:jc w:val="right"/>
              <w:rPr/>
            </w:pPr>
            <w:r>
              <w:rPr/>
              <w:t>0.11</w:t>
            </w:r>
          </w:p>
        </w:tc>
        <w:tc>
          <w:tcPr>
            <w:tcW w:w="138" w:type="dxa"/>
            <w:tcBorders>
              <w:bottom w:val="single" w:sz="12" w:space="0" w:color="000000"/>
            </w:tcBorders>
            <w:tcMar>
              <w:bottom w:w="28" w:type="dxa"/>
            </w:tcMar>
            <w:vAlign w:val="center"/>
          </w:tcPr>
          <w:p>
            <w:pPr>
              <w:pStyle w:val="TableContents"/>
              <w:bidi w:val="0"/>
              <w:spacing w:before="0" w:after="283"/>
              <w:jc w:val="left"/>
              <w:rPr/>
            </w:pPr>
            <w:r>
              <w:rPr/>
              <w:t> </w:t>
            </w:r>
          </w:p>
        </w:tc>
      </w:tr>
    </w:tbl>
    <w:p>
      <w:pPr>
        <w:pStyle w:val="TextBody"/>
        <w:bidi w:val="0"/>
        <w:spacing w:before="0" w:after="0"/>
        <w:jc w:val="center"/>
        <w:rPr/>
      </w:pPr>
      <w:r>
        <w:rPr/>
        <w:t xml:space="preserve">  </w:t>
      </w:r>
    </w:p>
    <w:p>
      <w:pPr>
        <w:pStyle w:val="TextBody"/>
        <w:bidi w:val="0"/>
        <w:spacing w:before="0" w:after="0"/>
        <w:ind w:left="0" w:right="0" w:firstLine="720"/>
        <w:jc w:val="left"/>
        <w:rPr/>
      </w:pPr>
      <w:r>
        <w:rPr/>
        <w:t> </w:t>
      </w:r>
      <w:r>
        <w:rPr>
          <w:rFonts w:ascii="Times New Roman" w:hAnsi="Times New Roman"/>
          <w:sz w:val="20"/>
        </w:rPr>
        <w:t xml:space="preserve">For the three months ended March 31, 2026 and 2025, the following stock options were excluded from the computation of diluted net income per common share because of their anti-dilutive effects: </w:t>
      </w:r>
    </w:p>
    <w:p>
      <w:pPr>
        <w:pStyle w:val="TextBody"/>
        <w:bidi w:val="0"/>
        <w:spacing w:before="0" w:after="0"/>
        <w:jc w:val="left"/>
        <w:rPr/>
      </w:pPr>
      <w:r>
        <w:rPr/>
        <w:t xml:space="preserve">  </w:t>
      </w:r>
    </w:p>
    <w:p>
      <w:pPr>
        <w:pStyle w:val="TextBody"/>
        <w:bidi w:val="0"/>
        <w:spacing w:before="150" w:after="15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t>7</w:t>
      </w:r>
    </w:p>
    <w:p>
      <w:pPr>
        <w:pStyle w:val="HorizontalLine"/>
        <w:bidi w:val="0"/>
        <w:spacing w:before="150" w:after="150"/>
        <w:jc w:val="left"/>
        <w:rPr/>
      </w:pPr>
      <w:r>
        <w:rPr/>
      </w:r>
    </w:p>
    <w:p>
      <w:pPr>
        <w:pStyle w:val="TextBody"/>
        <w:bidi w:val="0"/>
        <w:spacing w:before="150" w:after="150"/>
        <w:jc w:val="left"/>
        <w:rPr/>
      </w:pPr>
      <w:hyperlink w:anchor="index">
        <w:r>
          <w:rPr>
            <w:rStyle w:val="InternetLink"/>
            <w:rFonts w:ascii="TimesNewRoman;Times New Roman;Times;Baskerville;Georgia;serif" w:hAnsi="TimesNewRoman;Times New Roman;Times;Baskerville;Georgia;serif"/>
            <w:b w:val="false"/>
            <w:i/>
            <w:caps w:val="false"/>
            <w:smallCaps w:val="false"/>
            <w:strike w:val="false"/>
            <w:dstrike w:val="false"/>
            <w:sz w:val="16"/>
            <w:u w:val="none"/>
            <w:effect w:val="none"/>
          </w:rPr>
          <w:t>Index</w:t>
        </w:r>
      </w:hyperlink>
    </w:p>
    <w:p>
      <w:pPr>
        <w:pStyle w:val="TextBody"/>
        <w:bidi w:val="0"/>
        <w:spacing w:before="0" w:after="0"/>
        <w:ind w:left="0" w:right="0" w:hanging="0"/>
        <w:jc w:val="center"/>
        <w:rPr>
          <w:rFonts w:ascii="Times New Roman" w:hAnsi="Times New Roman"/>
          <w:b/>
          <w:sz w:val="20"/>
        </w:rPr>
      </w:pPr>
      <w:r>
        <w:rPr>
          <w:rFonts w:ascii="Times New Roman" w:hAnsi="Times New Roman"/>
          <w:b/>
          <w:sz w:val="20"/>
        </w:rPr>
        <w:t>ADMA BIOLOGICS, INC. AND SUBSIDIARIES</w:t>
      </w:r>
    </w:p>
    <w:p>
      <w:pPr>
        <w:pStyle w:val="TextBody"/>
        <w:bidi w:val="0"/>
        <w:spacing w:before="0" w:after="0"/>
        <w:ind w:left="0" w:right="0" w:hanging="0"/>
        <w:jc w:val="center"/>
        <w:rPr>
          <w:rFonts w:ascii="Times New Roman" w:hAnsi="Times New Roman"/>
          <w:b/>
          <w:sz w:val="20"/>
        </w:rPr>
      </w:pPr>
      <w:r>
        <w:rPr>
          <w:rFonts w:ascii="Times New Roman" w:hAnsi="Times New Roman"/>
          <w:b/>
          <w:sz w:val="20"/>
        </w:rPr>
        <w:t>NOTES TO CONDENSED CONSOLIDATED FINANCIAL STATEMENTS (UNAUDITED)</w:t>
      </w:r>
    </w:p>
    <w:p>
      <w:pPr>
        <w:pStyle w:val="TextBody"/>
        <w:bidi w:val="0"/>
        <w:spacing w:before="0" w:after="0"/>
        <w:jc w:val="left"/>
        <w:rPr/>
      </w:pPr>
      <w:r>
        <w:rPr/>
        <w:t> </w:t>
      </w:r>
    </w:p>
    <w:tbl>
      <w:tblPr>
        <w:tblW w:w="4598" w:type="dxa"/>
        <w:jc w:val="left"/>
        <w:tblInd w:w="0" w:type="dxa"/>
        <w:tblLayout w:type="fixed"/>
        <w:tblCellMar>
          <w:top w:w="0" w:type="dxa"/>
          <w:left w:w="0" w:type="dxa"/>
          <w:bottom w:w="0" w:type="dxa"/>
          <w:right w:w="0" w:type="dxa"/>
        </w:tblCellMar>
      </w:tblPr>
      <w:tblGrid>
        <w:gridCol w:w="875"/>
        <w:gridCol w:w="90"/>
        <w:gridCol w:w="90"/>
        <w:gridCol w:w="1841"/>
        <w:gridCol w:w="164"/>
        <w:gridCol w:w="164"/>
        <w:gridCol w:w="164"/>
        <w:gridCol w:w="1075"/>
        <w:gridCol w:w="135"/>
      </w:tblGrid>
      <w:tr>
        <w:trPr/>
        <w:tc>
          <w:tcPr>
            <w:tcW w:w="87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841" w:type="dxa"/>
            <w:tcBorders/>
            <w:vAlign w:val="center"/>
          </w:tcPr>
          <w:p>
            <w:pPr>
              <w:pStyle w:val="TableContents"/>
              <w:bidi w:val="0"/>
              <w:spacing w:before="0" w:after="283"/>
              <w:jc w:val="left"/>
              <w:rPr/>
            </w:pPr>
            <w:r>
              <w:rPr/>
              <w:t> </w:t>
            </w:r>
          </w:p>
        </w:tc>
        <w:tc>
          <w:tcPr>
            <w:tcW w:w="164" w:type="dxa"/>
            <w:tcBorders/>
            <w:vAlign w:val="center"/>
          </w:tcPr>
          <w:p>
            <w:pPr>
              <w:pStyle w:val="TableContents"/>
              <w:bidi w:val="0"/>
              <w:spacing w:before="0" w:after="283"/>
              <w:jc w:val="left"/>
              <w:rPr/>
            </w:pPr>
            <w:r>
              <w:rPr/>
              <w:t> </w:t>
            </w:r>
          </w:p>
        </w:tc>
        <w:tc>
          <w:tcPr>
            <w:tcW w:w="164" w:type="dxa"/>
            <w:tcBorders/>
            <w:vAlign w:val="center"/>
          </w:tcPr>
          <w:p>
            <w:pPr>
              <w:pStyle w:val="TableContents"/>
              <w:bidi w:val="0"/>
              <w:spacing w:before="0" w:after="283"/>
              <w:jc w:val="left"/>
              <w:rPr/>
            </w:pPr>
            <w:r>
              <w:rPr/>
              <w:t> </w:t>
            </w:r>
          </w:p>
        </w:tc>
        <w:tc>
          <w:tcPr>
            <w:tcW w:w="164" w:type="dxa"/>
            <w:tcBorders/>
            <w:vAlign w:val="center"/>
          </w:tcPr>
          <w:p>
            <w:pPr>
              <w:pStyle w:val="TableContents"/>
              <w:bidi w:val="0"/>
              <w:spacing w:before="0" w:after="283"/>
              <w:jc w:val="left"/>
              <w:rPr/>
            </w:pPr>
            <w:r>
              <w:rPr/>
              <w:t> </w:t>
            </w:r>
          </w:p>
        </w:tc>
        <w:tc>
          <w:tcPr>
            <w:tcW w:w="1075" w:type="dxa"/>
            <w:tcBorders/>
            <w:vAlign w:val="center"/>
          </w:tcPr>
          <w:p>
            <w:pPr>
              <w:pStyle w:val="TableContents"/>
              <w:bidi w:val="0"/>
              <w:spacing w:before="0" w:after="283"/>
              <w:jc w:val="left"/>
              <w:rPr/>
            </w:pPr>
            <w:r>
              <w:rPr/>
              <w:t> </w:t>
            </w:r>
          </w:p>
        </w:tc>
        <w:tc>
          <w:tcPr>
            <w:tcW w:w="135" w:type="dxa"/>
            <w:tcBorders/>
            <w:vAlign w:val="center"/>
          </w:tcPr>
          <w:p>
            <w:pPr>
              <w:pStyle w:val="TableContents"/>
              <w:bidi w:val="0"/>
              <w:spacing w:before="0" w:after="283"/>
              <w:jc w:val="left"/>
              <w:rPr/>
            </w:pPr>
            <w:r>
              <w:rPr/>
              <w:t> </w:t>
            </w:r>
          </w:p>
        </w:tc>
      </w:tr>
      <w:tr>
        <w:trPr/>
        <w:tc>
          <w:tcPr>
            <w:tcW w:w="87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r>
          </w:p>
        </w:tc>
        <w:tc>
          <w:tcPr>
            <w:tcW w:w="90" w:type="dxa"/>
            <w:tcBorders>
              <w:bottom w:val="single" w:sz="12" w:space="0" w:color="000000"/>
            </w:tcBorders>
            <w:tcMar>
              <w:bottom w:w="28" w:type="dxa"/>
            </w:tcMar>
            <w:vAlign w:val="center"/>
          </w:tcPr>
          <w:p>
            <w:pPr>
              <w:pStyle w:val="TableContents"/>
              <w:bidi w:val="0"/>
              <w:spacing w:before="0" w:after="283"/>
              <w:jc w:val="center"/>
              <w:rPr/>
            </w:pPr>
            <w:r>
              <w:rPr/>
              <w:t> </w:t>
            </w:r>
          </w:p>
        </w:tc>
        <w:tc>
          <w:tcPr>
            <w:tcW w:w="3408" w:type="dxa"/>
            <w:gridSpan w:val="5"/>
            <w:tcBorders>
              <w:bottom w:val="single" w:sz="12" w:space="0" w:color="000000"/>
            </w:tcBorders>
            <w:tcMar>
              <w:bottom w:w="28" w:type="dxa"/>
            </w:tcMar>
            <w:vAlign w:val="center"/>
          </w:tcPr>
          <w:p>
            <w:pPr>
              <w:pStyle w:val="TableContents"/>
              <w:bidi w:val="0"/>
              <w:spacing w:before="0" w:after="283"/>
              <w:jc w:val="center"/>
              <w:rPr/>
            </w:pPr>
            <w:r>
              <w:rPr>
                <w:b/>
                <w:spacing w:val="0"/>
              </w:rPr>
              <w:t>Three Months Ended March 31,</w:t>
            </w:r>
            <w:r>
              <w:rPr/>
              <w:t xml:space="preserve"> </w:t>
            </w:r>
          </w:p>
        </w:tc>
        <w:tc>
          <w:tcPr>
            <w:tcW w:w="135" w:type="dxa"/>
            <w:tcBorders/>
            <w:vAlign w:val="center"/>
          </w:tcPr>
          <w:p>
            <w:pPr>
              <w:pStyle w:val="TableContents"/>
              <w:bidi w:val="0"/>
              <w:spacing w:before="0" w:after="283"/>
              <w:jc w:val="center"/>
              <w:rPr/>
            </w:pPr>
            <w:r>
              <w:rPr/>
              <w:t> </w:t>
            </w:r>
          </w:p>
        </w:tc>
      </w:tr>
      <w:tr>
        <w:trPr/>
        <w:tc>
          <w:tcPr>
            <w:tcW w:w="87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center"/>
              <w:rPr/>
            </w:pPr>
            <w:r>
              <w:rPr/>
              <w:t> </w:t>
            </w:r>
          </w:p>
        </w:tc>
        <w:tc>
          <w:tcPr>
            <w:tcW w:w="90" w:type="dxa"/>
            <w:tcBorders>
              <w:bottom w:val="single" w:sz="12" w:space="0" w:color="000000"/>
            </w:tcBorders>
            <w:tcMar>
              <w:bottom w:w="28" w:type="dxa"/>
            </w:tcMar>
            <w:vAlign w:val="center"/>
          </w:tcPr>
          <w:p>
            <w:pPr>
              <w:pStyle w:val="TableContents"/>
              <w:bidi w:val="0"/>
              <w:spacing w:before="0" w:after="283"/>
              <w:jc w:val="center"/>
              <w:rPr/>
            </w:pPr>
            <w:r>
              <w:rPr/>
              <w:t> </w:t>
            </w:r>
          </w:p>
        </w:tc>
        <w:tc>
          <w:tcPr>
            <w:tcW w:w="1841" w:type="dxa"/>
            <w:tcBorders>
              <w:bottom w:val="single" w:sz="12" w:space="0" w:color="000000"/>
            </w:tcBorders>
            <w:tcMar>
              <w:bottom w:w="28" w:type="dxa"/>
            </w:tcMar>
            <w:vAlign w:val="center"/>
          </w:tcPr>
          <w:p>
            <w:pPr>
              <w:pStyle w:val="TableContents"/>
              <w:bidi w:val="0"/>
              <w:spacing w:before="0" w:after="283"/>
              <w:jc w:val="center"/>
              <w:rPr/>
            </w:pPr>
            <w:r>
              <w:rPr>
                <w:b/>
              </w:rPr>
              <w:t>2026</w:t>
            </w:r>
            <w:r>
              <w:rPr/>
              <w:t xml:space="preserve"> </w:t>
            </w:r>
          </w:p>
        </w:tc>
        <w:tc>
          <w:tcPr>
            <w:tcW w:w="164" w:type="dxa"/>
            <w:tcBorders/>
            <w:vAlign w:val="center"/>
          </w:tcPr>
          <w:p>
            <w:pPr>
              <w:pStyle w:val="TableContents"/>
              <w:bidi w:val="0"/>
              <w:spacing w:before="0" w:after="283"/>
              <w:jc w:val="center"/>
              <w:rPr/>
            </w:pPr>
            <w:r>
              <w:rPr/>
              <w:t> </w:t>
            </w:r>
          </w:p>
        </w:tc>
        <w:tc>
          <w:tcPr>
            <w:tcW w:w="164" w:type="dxa"/>
            <w:tcBorders/>
            <w:vAlign w:val="center"/>
          </w:tcPr>
          <w:p>
            <w:pPr>
              <w:pStyle w:val="TableContents"/>
              <w:bidi w:val="0"/>
              <w:spacing w:before="0" w:after="283"/>
              <w:jc w:val="center"/>
              <w:rPr/>
            </w:pPr>
            <w:r>
              <w:rPr/>
              <w:t> </w:t>
            </w:r>
          </w:p>
        </w:tc>
        <w:tc>
          <w:tcPr>
            <w:tcW w:w="164" w:type="dxa"/>
            <w:tcBorders>
              <w:bottom w:val="single" w:sz="12" w:space="0" w:color="000000"/>
            </w:tcBorders>
            <w:tcMar>
              <w:bottom w:w="28" w:type="dxa"/>
            </w:tcMar>
            <w:vAlign w:val="center"/>
          </w:tcPr>
          <w:p>
            <w:pPr>
              <w:pStyle w:val="TableContents"/>
              <w:bidi w:val="0"/>
              <w:spacing w:before="0" w:after="283"/>
              <w:jc w:val="center"/>
              <w:rPr/>
            </w:pPr>
            <w:r>
              <w:rPr/>
              <w:t> </w:t>
            </w:r>
          </w:p>
        </w:tc>
        <w:tc>
          <w:tcPr>
            <w:tcW w:w="1075" w:type="dxa"/>
            <w:tcBorders>
              <w:bottom w:val="single" w:sz="12" w:space="0" w:color="000000"/>
            </w:tcBorders>
            <w:tcMar>
              <w:bottom w:w="28" w:type="dxa"/>
            </w:tcMar>
            <w:vAlign w:val="center"/>
          </w:tcPr>
          <w:p>
            <w:pPr>
              <w:pStyle w:val="TableContents"/>
              <w:bidi w:val="0"/>
              <w:spacing w:before="0" w:after="283"/>
              <w:jc w:val="center"/>
              <w:rPr/>
            </w:pPr>
            <w:r>
              <w:rPr>
                <w:b/>
              </w:rPr>
              <w:t>2025</w:t>
            </w:r>
            <w:r>
              <w:rPr/>
              <w:t xml:space="preserve"> </w:t>
            </w:r>
          </w:p>
        </w:tc>
        <w:tc>
          <w:tcPr>
            <w:tcW w:w="135" w:type="dxa"/>
            <w:tcBorders/>
            <w:vAlign w:val="center"/>
          </w:tcPr>
          <w:p>
            <w:pPr>
              <w:pStyle w:val="TableContents"/>
              <w:bidi w:val="0"/>
              <w:spacing w:before="0" w:after="283"/>
              <w:jc w:val="center"/>
              <w:rPr/>
            </w:pPr>
            <w:r>
              <w:rPr/>
              <w:t> </w:t>
            </w:r>
          </w:p>
        </w:tc>
      </w:tr>
      <w:tr>
        <w:trPr/>
        <w:tc>
          <w:tcPr>
            <w:tcW w:w="875" w:type="dxa"/>
            <w:tcBorders/>
            <w:shd w:fill="CCEEFF" w:val="clear"/>
            <w:vAlign w:val="center"/>
          </w:tcPr>
          <w:p>
            <w:pPr>
              <w:pStyle w:val="TableContents"/>
              <w:bidi w:val="0"/>
              <w:spacing w:before="0" w:after="0"/>
              <w:jc w:val="left"/>
              <w:rPr/>
            </w:pPr>
            <w:r>
              <w:rPr/>
              <w:t xml:space="preserve">Options </w:t>
            </w:r>
          </w:p>
        </w:tc>
        <w:tc>
          <w:tcPr>
            <w:tcW w:w="90" w:type="dxa"/>
            <w:tcBorders/>
            <w:shd w:fill="CCEEFF" w:val="clear"/>
            <w:vAlign w:val="center"/>
          </w:tcPr>
          <w:p>
            <w:pPr>
              <w:pStyle w:val="TableContents"/>
              <w:bidi w:val="0"/>
              <w:spacing w:before="0" w:after="283"/>
              <w:jc w:val="righ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841" w:type="dxa"/>
            <w:tcBorders>
              <w:bottom w:val="single" w:sz="12" w:space="0" w:color="000000"/>
            </w:tcBorders>
            <w:shd w:fill="CCEEFF" w:val="clear"/>
            <w:tcMar>
              <w:bottom w:w="28" w:type="dxa"/>
            </w:tcMar>
            <w:vAlign w:val="center"/>
          </w:tcPr>
          <w:p>
            <w:pPr>
              <w:pStyle w:val="TableContents"/>
              <w:bidi w:val="0"/>
              <w:spacing w:before="0" w:after="283"/>
              <w:jc w:val="right"/>
              <w:rPr/>
            </w:pPr>
            <w:r>
              <w:rPr/>
              <w:t>1,490,218</w:t>
            </w:r>
          </w:p>
        </w:tc>
        <w:tc>
          <w:tcPr>
            <w:tcW w:w="164" w:type="dxa"/>
            <w:tcBorders/>
            <w:shd w:fill="CCEEFF" w:val="clear"/>
            <w:vAlign w:val="center"/>
          </w:tcPr>
          <w:p>
            <w:pPr>
              <w:pStyle w:val="TableContents"/>
              <w:bidi w:val="0"/>
              <w:spacing w:before="0" w:after="283"/>
              <w:jc w:val="left"/>
              <w:rPr/>
            </w:pPr>
            <w:r>
              <w:rPr/>
              <w:t> </w:t>
            </w:r>
          </w:p>
        </w:tc>
        <w:tc>
          <w:tcPr>
            <w:tcW w:w="164" w:type="dxa"/>
            <w:tcBorders/>
            <w:shd w:fill="CCEEFF" w:val="clear"/>
            <w:vAlign w:val="center"/>
          </w:tcPr>
          <w:p>
            <w:pPr>
              <w:pStyle w:val="TableContents"/>
              <w:bidi w:val="0"/>
              <w:spacing w:before="0" w:after="283"/>
              <w:jc w:val="right"/>
              <w:rPr/>
            </w:pPr>
            <w:r>
              <w:rPr/>
              <w:t> </w:t>
            </w:r>
          </w:p>
        </w:tc>
        <w:tc>
          <w:tcPr>
            <w:tcW w:w="164"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75" w:type="dxa"/>
            <w:tcBorders>
              <w:bottom w:val="single" w:sz="12" w:space="0" w:color="000000"/>
            </w:tcBorders>
            <w:shd w:fill="CCEEFF" w:val="clear"/>
            <w:tcMar>
              <w:bottom w:w="28" w:type="dxa"/>
            </w:tcMar>
            <w:vAlign w:val="center"/>
          </w:tcPr>
          <w:p>
            <w:pPr>
              <w:pStyle w:val="TableContents"/>
              <w:bidi w:val="0"/>
              <w:spacing w:before="0" w:after="283"/>
              <w:jc w:val="right"/>
              <w:rPr/>
            </w:pPr>
            <w:r>
              <w:rPr/>
              <w:t xml:space="preserve">- </w:t>
            </w:r>
          </w:p>
        </w:tc>
        <w:tc>
          <w:tcPr>
            <w:tcW w:w="135" w:type="dxa"/>
            <w:tcBorders/>
            <w:shd w:fill="CCEEFF" w:val="clear"/>
            <w:vAlign w:val="center"/>
          </w:tcPr>
          <w:p>
            <w:pPr>
              <w:pStyle w:val="TableContents"/>
              <w:bidi w:val="0"/>
              <w:spacing w:before="0" w:after="283"/>
              <w:jc w:val="left"/>
              <w:rPr/>
            </w:pPr>
            <w:r>
              <w:rPr/>
              <w:t> </w:t>
            </w:r>
          </w:p>
        </w:tc>
      </w:tr>
      <w:tr>
        <w:trPr/>
        <w:tc>
          <w:tcPr>
            <w:tcW w:w="875" w:type="dxa"/>
            <w:tcBorders/>
            <w:vAlign w:val="center"/>
          </w:tcPr>
          <w:p>
            <w:pPr>
              <w:pStyle w:val="TableContents"/>
              <w:bidi w:val="0"/>
              <w:spacing w:before="0" w:after="0"/>
              <w:jc w:val="left"/>
              <w:rPr/>
            </w:pPr>
            <w:r>
              <w:rPr/>
              <w:t xml:space="preserve">Total </w:t>
            </w:r>
          </w:p>
        </w:tc>
        <w:tc>
          <w:tcPr>
            <w:tcW w:w="90" w:type="dxa"/>
            <w:tcBorders/>
            <w:vAlign w:val="center"/>
          </w:tcPr>
          <w:p>
            <w:pPr>
              <w:pStyle w:val="TableContents"/>
              <w:bidi w:val="0"/>
              <w:spacing w:before="0" w:after="283"/>
              <w:jc w:val="right"/>
              <w:rPr/>
            </w:pPr>
            <w:r>
              <w:rPr/>
              <w:t> </w:t>
            </w:r>
          </w:p>
        </w:tc>
        <w:tc>
          <w:tcPr>
            <w:tcW w:w="90" w:type="dxa"/>
            <w:tcBorders>
              <w:bottom w:val="double" w:sz="8" w:space="0" w:color="000000"/>
            </w:tcBorders>
            <w:tcMar>
              <w:bottom w:w="28" w:type="dxa"/>
            </w:tcMar>
            <w:vAlign w:val="center"/>
          </w:tcPr>
          <w:p>
            <w:pPr>
              <w:pStyle w:val="TableContents"/>
              <w:bidi w:val="0"/>
              <w:spacing w:before="0" w:after="283"/>
              <w:jc w:val="left"/>
              <w:rPr/>
            </w:pPr>
            <w:r>
              <w:rPr/>
              <w:t> </w:t>
            </w:r>
          </w:p>
        </w:tc>
        <w:tc>
          <w:tcPr>
            <w:tcW w:w="1841" w:type="dxa"/>
            <w:tcBorders>
              <w:bottom w:val="double" w:sz="8" w:space="0" w:color="000000"/>
            </w:tcBorders>
            <w:tcMar>
              <w:bottom w:w="28" w:type="dxa"/>
            </w:tcMar>
            <w:vAlign w:val="center"/>
          </w:tcPr>
          <w:p>
            <w:pPr>
              <w:pStyle w:val="TableContents"/>
              <w:bidi w:val="0"/>
              <w:spacing w:before="0" w:after="283"/>
              <w:jc w:val="right"/>
              <w:rPr/>
            </w:pPr>
            <w:r>
              <w:rPr/>
              <w:t>1,490,218</w:t>
            </w:r>
          </w:p>
        </w:tc>
        <w:tc>
          <w:tcPr>
            <w:tcW w:w="164" w:type="dxa"/>
            <w:tcBorders>
              <w:bottom w:val="single" w:sz="12" w:space="0" w:color="000000"/>
            </w:tcBorders>
            <w:tcMar>
              <w:bottom w:w="28" w:type="dxa"/>
            </w:tcMar>
            <w:vAlign w:val="center"/>
          </w:tcPr>
          <w:p>
            <w:pPr>
              <w:pStyle w:val="TableContents"/>
              <w:bidi w:val="0"/>
              <w:spacing w:before="0" w:after="283"/>
              <w:jc w:val="left"/>
              <w:rPr/>
            </w:pPr>
            <w:r>
              <w:rPr/>
              <w:t> </w:t>
            </w:r>
          </w:p>
        </w:tc>
        <w:tc>
          <w:tcPr>
            <w:tcW w:w="164" w:type="dxa"/>
            <w:tcBorders/>
            <w:vAlign w:val="center"/>
          </w:tcPr>
          <w:p>
            <w:pPr>
              <w:pStyle w:val="TableContents"/>
              <w:bidi w:val="0"/>
              <w:spacing w:before="0" w:after="283"/>
              <w:jc w:val="right"/>
              <w:rPr/>
            </w:pPr>
            <w:r>
              <w:rPr/>
              <w:t> </w:t>
            </w:r>
          </w:p>
        </w:tc>
        <w:tc>
          <w:tcPr>
            <w:tcW w:w="164" w:type="dxa"/>
            <w:tcBorders>
              <w:bottom w:val="double" w:sz="8" w:space="0" w:color="000000"/>
            </w:tcBorders>
            <w:tcMar>
              <w:bottom w:w="28" w:type="dxa"/>
            </w:tcMar>
            <w:vAlign w:val="center"/>
          </w:tcPr>
          <w:p>
            <w:pPr>
              <w:pStyle w:val="TableContents"/>
              <w:bidi w:val="0"/>
              <w:spacing w:before="0" w:after="283"/>
              <w:jc w:val="left"/>
              <w:rPr/>
            </w:pPr>
            <w:r>
              <w:rPr/>
              <w:t> </w:t>
            </w:r>
          </w:p>
        </w:tc>
        <w:tc>
          <w:tcPr>
            <w:tcW w:w="1075" w:type="dxa"/>
            <w:tcBorders>
              <w:bottom w:val="double" w:sz="8" w:space="0" w:color="000000"/>
            </w:tcBorders>
            <w:tcMar>
              <w:bottom w:w="28" w:type="dxa"/>
            </w:tcMar>
            <w:vAlign w:val="center"/>
          </w:tcPr>
          <w:p>
            <w:pPr>
              <w:pStyle w:val="TableContents"/>
              <w:bidi w:val="0"/>
              <w:spacing w:before="0" w:after="283"/>
              <w:jc w:val="right"/>
              <w:rPr/>
            </w:pPr>
            <w:r>
              <w:rPr/>
              <w:t xml:space="preserve">- </w:t>
            </w:r>
          </w:p>
        </w:tc>
        <w:tc>
          <w:tcPr>
            <w:tcW w:w="135" w:type="dxa"/>
            <w:tcBorders>
              <w:bottom w:val="single" w:sz="12" w:space="0" w:color="000000"/>
            </w:tcBorders>
            <w:tcMar>
              <w:bottom w:w="28" w:type="dxa"/>
            </w:tcMar>
            <w:vAlign w:val="center"/>
          </w:tcPr>
          <w:p>
            <w:pPr>
              <w:pStyle w:val="TableContents"/>
              <w:bidi w:val="0"/>
              <w:spacing w:before="0" w:after="283"/>
              <w:jc w:val="left"/>
              <w:rPr/>
            </w:pPr>
            <w:r>
              <w:rPr/>
              <w:t> </w:t>
            </w:r>
          </w:p>
        </w:tc>
      </w:tr>
    </w:tbl>
    <w:p>
      <w:pPr>
        <w:pStyle w:val="TextBody"/>
        <w:bidi w:val="0"/>
        <w:spacing w:before="0" w:after="0"/>
        <w:jc w:val="center"/>
        <w:rPr/>
      </w:pPr>
      <w:r>
        <w:rPr/>
        <w:t xml:space="preserve">  </w:t>
      </w:r>
    </w:p>
    <w:p>
      <w:pPr>
        <w:pStyle w:val="TextBody"/>
        <w:bidi w:val="0"/>
        <w:spacing w:before="0" w:after="0"/>
        <w:jc w:val="left"/>
        <w:rPr>
          <w:rFonts w:ascii="Times New Roman" w:hAnsi="Times New Roman"/>
          <w:sz w:val="20"/>
        </w:rPr>
      </w:pPr>
      <w:r>
        <w:rPr>
          <w:rFonts w:ascii="Times New Roman" w:hAnsi="Times New Roman"/>
          <w:i/>
          <w:sz w:val="20"/>
          <w:u w:val="single"/>
        </w:rPr>
        <w:t>Fair Value of Financial Instruments</w:t>
      </w:r>
      <w:r>
        <w:rPr>
          <w:rFonts w:ascii="Times New Roman" w:hAnsi="Times New Roman"/>
          <w:sz w:val="20"/>
        </w:rPr>
        <w:t xml:space="preserve"> </w:t>
      </w:r>
    </w:p>
    <w:p>
      <w:pPr>
        <w:pStyle w:val="TextBody"/>
        <w:bidi w:val="0"/>
        <w:spacing w:before="0" w:after="0"/>
        <w:jc w:val="left"/>
        <w:rPr/>
      </w:pPr>
      <w:r>
        <w:rPr/>
        <w:t xml:space="preserve">  </w:t>
      </w:r>
    </w:p>
    <w:p>
      <w:pPr>
        <w:pStyle w:val="TextBody"/>
        <w:bidi w:val="0"/>
        <w:spacing w:before="0" w:after="0"/>
        <w:ind w:left="0" w:right="0" w:firstLine="720"/>
        <w:jc w:val="both"/>
        <w:rPr>
          <w:rFonts w:ascii="Times New Roman" w:hAnsi="Times New Roman"/>
          <w:sz w:val="20"/>
        </w:rPr>
      </w:pPr>
      <w:r>
        <w:rPr>
          <w:rFonts w:ascii="Times New Roman" w:hAnsi="Times New Roman"/>
          <w:sz w:val="20"/>
        </w:rPr>
        <w:t xml:space="preserve">The carrying amounts of certain of the Company’s financial instruments, including cash and cash equivalents, accounts receivable and accounts payable are shown at cost, which approximates fair value due to the short-term nature of these instruments. The debt outstanding under the Company’s senior notes payable (see Note 7) also approximates fair value, based on a Level 3 classification under the fair value hierarchy, due to the variable interest rate on this debt. </w:t>
      </w:r>
    </w:p>
    <w:p>
      <w:pPr>
        <w:pStyle w:val="TextBody"/>
        <w:bidi w:val="0"/>
        <w:spacing w:before="0" w:after="0"/>
        <w:jc w:val="left"/>
        <w:rPr/>
      </w:pPr>
      <w:r>
        <w:rPr/>
        <w:t xml:space="preserve">  </w:t>
      </w:r>
    </w:p>
    <w:p>
      <w:pPr>
        <w:pStyle w:val="TextBody"/>
        <w:bidi w:val="0"/>
        <w:spacing w:before="0" w:after="0"/>
        <w:jc w:val="left"/>
        <w:rPr>
          <w:rFonts w:ascii="Times New Roman" w:hAnsi="Times New Roman"/>
          <w:sz w:val="20"/>
        </w:rPr>
      </w:pPr>
      <w:r>
        <w:rPr>
          <w:rFonts w:ascii="Times New Roman" w:hAnsi="Times New Roman"/>
          <w:i/>
          <w:sz w:val="20"/>
          <w:u w:val="single"/>
        </w:rPr>
        <w:t>Recent Accounting Pronouncements</w:t>
      </w:r>
      <w:r>
        <w:rPr>
          <w:rFonts w:ascii="Times New Roman" w:hAnsi="Times New Roman"/>
          <w:sz w:val="20"/>
        </w:rPr>
        <w:t xml:space="preserve"> </w:t>
      </w:r>
    </w:p>
    <w:p>
      <w:pPr>
        <w:pStyle w:val="TextBody"/>
        <w:bidi w:val="0"/>
        <w:spacing w:before="0" w:after="0"/>
        <w:jc w:val="left"/>
        <w:rPr/>
      </w:pPr>
      <w:r>
        <w:rPr/>
        <w:t xml:space="preserve">  </w:t>
      </w:r>
    </w:p>
    <w:p>
      <w:pPr>
        <w:pStyle w:val="TextBody"/>
        <w:bidi w:val="0"/>
        <w:spacing w:before="0" w:after="0"/>
        <w:ind w:left="0" w:right="0" w:firstLine="720"/>
        <w:jc w:val="both"/>
        <w:rPr>
          <w:rFonts w:ascii="Times New Roman" w:hAnsi="Times New Roman"/>
          <w:sz w:val="20"/>
        </w:rPr>
      </w:pPr>
      <w:r>
        <w:rPr>
          <w:rFonts w:ascii="Times New Roman" w:hAnsi="Times New Roman"/>
          <w:sz w:val="20"/>
        </w:rPr>
        <w:t xml:space="preserve">In December 2025, the FASB issued ASU 2025-11, </w:t>
      </w:r>
      <w:r>
        <w:rPr>
          <w:rFonts w:ascii="Times New Roman" w:hAnsi="Times New Roman"/>
          <w:i/>
          <w:sz w:val="20"/>
        </w:rPr>
        <w:t>Interim Reporting (Topic 270): Narrow-Scope Improvements</w:t>
      </w:r>
      <w:r>
        <w:rPr>
          <w:rFonts w:ascii="Times New Roman" w:hAnsi="Times New Roman"/>
          <w:sz w:val="20"/>
        </w:rPr>
        <w:t xml:space="preserve"> (“ASU 2025-11”), which clarifies the guidance in Topic 270 to improve the consistency of interim financial reporting. The ASU provides a comprehensive list of required interim disclosures and introduces a disclosure principle requiring entities to disclose events since the end of the last annual reporting period that have a material impact on the entity. ASU 2025-11 is effective for fiscal years beginning after December 15, 2027, including interim periods within those fiscal years, with early adoption permitted. The Company is currently evaluating the impact of adopting ASU 2025-11. </w:t>
      </w:r>
    </w:p>
    <w:p>
      <w:pPr>
        <w:pStyle w:val="TextBody"/>
        <w:bidi w:val="0"/>
        <w:spacing w:before="0" w:after="0"/>
        <w:jc w:val="both"/>
        <w:rPr/>
      </w:pPr>
      <w:r>
        <w:rPr/>
        <w:t xml:space="preserve">  </w:t>
      </w:r>
    </w:p>
    <w:p>
      <w:pPr>
        <w:pStyle w:val="TextBody"/>
        <w:bidi w:val="0"/>
        <w:spacing w:before="0" w:after="0"/>
        <w:ind w:left="0" w:right="0" w:firstLine="720"/>
        <w:jc w:val="both"/>
        <w:rPr>
          <w:rFonts w:ascii="Times New Roman" w:hAnsi="Times New Roman"/>
          <w:sz w:val="20"/>
        </w:rPr>
      </w:pPr>
      <w:r>
        <w:rPr>
          <w:rFonts w:ascii="Times New Roman" w:hAnsi="Times New Roman"/>
          <w:sz w:val="20"/>
        </w:rPr>
        <w:t xml:space="preserve">In November 2024, FASB issued ASU 2024-03, </w:t>
      </w:r>
      <w:r>
        <w:rPr>
          <w:rFonts w:ascii="Times New Roman" w:hAnsi="Times New Roman"/>
          <w:i/>
          <w:sz w:val="20"/>
        </w:rPr>
        <w:t xml:space="preserve">Income Statement-Reporting Comprehensive Income-Expense Disaggregation Disclosures (Subtopic 220-40): Disaggregation of Income Statement Expenses </w:t>
      </w:r>
      <w:r>
        <w:rPr>
          <w:rFonts w:ascii="Times New Roman" w:hAnsi="Times New Roman"/>
          <w:sz w:val="20"/>
        </w:rPr>
        <w:t xml:space="preserve">(“ASU 2024-03”), requiring public entities to disclose additional information about specific expense categories in the notes to the financial statements on an interim and annual basis. ASU 2024-03 is effective for fiscal years beginning after December 15, 2026, and for interim periods beginning after December 15, 2027, with early adoption permitted. The adoption of ASU 2024-03 will result in changes to the presentation of  the Company’s financial statements, the impact of which is currently being evaluated. </w:t>
      </w:r>
    </w:p>
    <w:p>
      <w:pPr>
        <w:pStyle w:val="TextBody"/>
        <w:bidi w:val="0"/>
        <w:spacing w:before="0" w:after="0"/>
        <w:jc w:val="left"/>
        <w:rPr/>
      </w:pPr>
      <w:r>
        <w:rPr/>
        <w:t xml:space="preserve">  </w:t>
      </w:r>
    </w:p>
    <w:p>
      <w:pPr>
        <w:pStyle w:val="TextBody"/>
        <w:bidi w:val="0"/>
        <w:spacing w:before="0" w:after="0"/>
        <w:ind w:left="0" w:right="0" w:hanging="540"/>
        <w:jc w:val="left"/>
        <w:rPr>
          <w:rFonts w:ascii="Times New Roman" w:hAnsi="Times New Roman"/>
          <w:sz w:val="20"/>
        </w:rPr>
      </w:pPr>
      <w:r>
        <w:rPr>
          <w:rFonts w:ascii="Times New Roman" w:hAnsi="Times New Roman"/>
          <w:b/>
          <w:sz w:val="20"/>
          <w:u w:val="single"/>
        </w:rPr>
        <w:t>INVENTORIES</w:t>
      </w:r>
      <w:r>
        <w:rPr>
          <w:rFonts w:ascii="Times New Roman" w:hAnsi="Times New Roman"/>
          <w:sz w:val="20"/>
        </w:rPr>
        <w:t xml:space="preserve"> </w:t>
      </w:r>
      <w:r>
        <mc:AlternateContent>
          <mc:Choice Requires="wps">
            <w:drawing>
              <wp:anchor behindDoc="0" distT="0" distB="0" distL="0" distR="0" simplePos="0" locked="0" layoutInCell="1" allowOverlap="1" relativeHeight="43">
                <wp:simplePos x="0" y="0"/>
                <wp:positionH relativeFrom="column">
                  <wp:align>left</wp:align>
                </wp:positionH>
                <wp:positionV relativeFrom="line">
                  <wp:posOffset>635</wp:posOffset>
                </wp:positionV>
                <wp:extent cx="342900" cy="175260"/>
                <wp:effectExtent l="0" t="0" r="0" b="0"/>
                <wp:wrapSquare wrapText="right"/>
                <wp:docPr id="42" name="Frame42"/>
                <a:graphic xmlns:a="http://schemas.openxmlformats.org/drawingml/2006/main">
                  <a:graphicData uri="http://schemas.microsoft.com/office/word/2010/wordprocessingShape">
                    <wps:wsp>
                      <wps:cNvSpPr txBox="1"/>
                      <wps:spPr>
                        <a:xfrm>
                          <a:off x="0" y="0"/>
                          <a:ext cx="342900" cy="175260"/>
                        </a:xfrm>
                        <a:prstGeom prst="rect"/>
                        <a:solidFill>
                          <a:srgbClr val="FFFFFF"/>
                        </a:solidFill>
                      </wps:spPr>
                      <wps:txbx>
                        <w:txbxContent>
                          <w:p>
                            <w:pPr>
                              <w:pStyle w:val="TextBody"/>
                              <w:bidi w:val="0"/>
                              <w:spacing w:before="0" w:after="283"/>
                              <w:jc w:val="left"/>
                              <w:rPr/>
                            </w:pPr>
                            <w:r>
                              <w:rPr>
                                <w:b/>
                              </w:rPr>
                              <w:t>3.</w:t>
                            </w:r>
                            <w:r>
                              <w:rPr/>
                              <w:t xml:space="preserve"> </w:t>
                            </w:r>
                          </w:p>
                        </w:txbxContent>
                      </wps:txbx>
                      <wps:bodyPr anchor="t" lIns="0" tIns="0" rIns="0" bIns="0">
                        <a:noAutofit/>
                      </wps:bodyPr>
                    </wps:wsp>
                  </a:graphicData>
                </a:graphic>
              </wp:anchor>
            </w:drawing>
          </mc:Choice>
          <mc:Fallback>
            <w:pict>
              <v:rect style="position:absolute;rotation:-0;width:2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b/>
                        </w:rPr>
                        <w:t>3.</w:t>
                      </w:r>
                      <w:r>
                        <w:rPr/>
                        <w:t xml:space="preserve"> </w:t>
                      </w:r>
                    </w:p>
                  </w:txbxContent>
                </v:textbox>
                <w10:wrap type="square" side="right"/>
              </v:rect>
            </w:pict>
          </mc:Fallback>
        </mc:AlternateContent>
      </w:r>
    </w:p>
    <w:p>
      <w:pPr>
        <w:pStyle w:val="TextBody"/>
        <w:bidi w:val="0"/>
        <w:spacing w:before="0" w:after="0"/>
        <w:jc w:val="left"/>
        <w:rPr/>
      </w:pPr>
      <w:r>
        <w:rPr/>
        <w:t xml:space="preserve">  </w:t>
      </w:r>
    </w:p>
    <w:p>
      <w:pPr>
        <w:pStyle w:val="TextBody"/>
        <w:bidi w:val="0"/>
        <w:spacing w:before="0" w:after="0"/>
        <w:ind w:left="0" w:right="0" w:firstLine="720"/>
        <w:jc w:val="left"/>
        <w:rPr>
          <w:rFonts w:ascii="Times New Roman" w:hAnsi="Times New Roman"/>
          <w:sz w:val="20"/>
        </w:rPr>
      </w:pPr>
      <w:r>
        <w:rPr>
          <w:rFonts w:ascii="Times New Roman" w:hAnsi="Times New Roman"/>
          <w:sz w:val="20"/>
        </w:rPr>
        <w:t xml:space="preserve">The following table provides the components of inventories: </w:t>
      </w:r>
    </w:p>
    <w:p>
      <w:pPr>
        <w:pStyle w:val="TextBody"/>
        <w:bidi w:val="0"/>
        <w:spacing w:before="0" w:after="0"/>
        <w:ind w:left="270" w:right="0" w:hanging="0"/>
        <w:jc w:val="left"/>
        <w:rPr/>
      </w:pPr>
      <w:r>
        <w:rPr/>
        <w:t xml:space="preserve">  </w:t>
      </w:r>
    </w:p>
    <w:tbl>
      <w:tblPr>
        <w:tblW w:w="5530" w:type="dxa"/>
        <w:jc w:val="left"/>
        <w:tblInd w:w="0" w:type="dxa"/>
        <w:tblLayout w:type="fixed"/>
        <w:tblCellMar>
          <w:top w:w="0" w:type="dxa"/>
          <w:left w:w="0" w:type="dxa"/>
          <w:bottom w:w="0" w:type="dxa"/>
          <w:right w:w="0" w:type="dxa"/>
        </w:tblCellMar>
      </w:tblPr>
      <w:tblGrid>
        <w:gridCol w:w="2120"/>
        <w:gridCol w:w="90"/>
        <w:gridCol w:w="170"/>
        <w:gridCol w:w="1160"/>
        <w:gridCol w:w="90"/>
        <w:gridCol w:w="90"/>
        <w:gridCol w:w="170"/>
        <w:gridCol w:w="1505"/>
        <w:gridCol w:w="135"/>
      </w:tblGrid>
      <w:tr>
        <w:trPr/>
        <w:tc>
          <w:tcPr>
            <w:tcW w:w="212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16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505" w:type="dxa"/>
            <w:tcBorders/>
            <w:vAlign w:val="center"/>
          </w:tcPr>
          <w:p>
            <w:pPr>
              <w:pStyle w:val="TableContents"/>
              <w:bidi w:val="0"/>
              <w:spacing w:before="0" w:after="283"/>
              <w:jc w:val="left"/>
              <w:rPr/>
            </w:pPr>
            <w:r>
              <w:rPr/>
              <w:t> </w:t>
            </w:r>
          </w:p>
        </w:tc>
        <w:tc>
          <w:tcPr>
            <w:tcW w:w="135" w:type="dxa"/>
            <w:tcBorders/>
            <w:vAlign w:val="center"/>
          </w:tcPr>
          <w:p>
            <w:pPr>
              <w:pStyle w:val="TableContents"/>
              <w:bidi w:val="0"/>
              <w:spacing w:before="0" w:after="283"/>
              <w:jc w:val="left"/>
              <w:rPr/>
            </w:pPr>
            <w:r>
              <w:rPr/>
              <w:t> </w:t>
            </w:r>
          </w:p>
        </w:tc>
      </w:tr>
      <w:tr>
        <w:trPr/>
        <w:tc>
          <w:tcPr>
            <w:tcW w:w="212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center"/>
              <w:rPr/>
            </w:pPr>
            <w:r>
              <w:rPr/>
              <w:t> </w:t>
            </w:r>
          </w:p>
        </w:tc>
        <w:tc>
          <w:tcPr>
            <w:tcW w:w="170" w:type="dxa"/>
            <w:tcBorders>
              <w:bottom w:val="single" w:sz="12" w:space="0" w:color="000000"/>
            </w:tcBorders>
            <w:tcMar>
              <w:bottom w:w="28" w:type="dxa"/>
            </w:tcMar>
            <w:vAlign w:val="center"/>
          </w:tcPr>
          <w:p>
            <w:pPr>
              <w:pStyle w:val="TableContents"/>
              <w:bidi w:val="0"/>
              <w:spacing w:before="0" w:after="283"/>
              <w:jc w:val="center"/>
              <w:rPr/>
            </w:pPr>
            <w:r>
              <w:rPr/>
              <w:t> </w:t>
            </w:r>
          </w:p>
        </w:tc>
        <w:tc>
          <w:tcPr>
            <w:tcW w:w="1160" w:type="dxa"/>
            <w:tcBorders>
              <w:bottom w:val="single" w:sz="12" w:space="0" w:color="000000"/>
            </w:tcBorders>
            <w:tcMar>
              <w:bottom w:w="28" w:type="dxa"/>
            </w:tcMar>
            <w:vAlign w:val="center"/>
          </w:tcPr>
          <w:p>
            <w:pPr>
              <w:pStyle w:val="TableContents"/>
              <w:bidi w:val="0"/>
              <w:spacing w:before="0" w:after="283"/>
              <w:jc w:val="center"/>
              <w:rPr/>
            </w:pPr>
            <w:r>
              <w:rPr>
                <w:b/>
              </w:rPr>
              <w:t xml:space="preserve">March 31, </w:t>
              <w:br/>
              <w:t>2026</w:t>
            </w:r>
            <w:r>
              <w:rPr/>
              <w:t xml:space="preserve"> </w:t>
            </w:r>
          </w:p>
        </w:tc>
        <w:tc>
          <w:tcPr>
            <w:tcW w:w="9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70" w:type="dxa"/>
            <w:tcBorders>
              <w:bottom w:val="single" w:sz="12" w:space="0" w:color="000000"/>
            </w:tcBorders>
            <w:tcMar>
              <w:bottom w:w="28" w:type="dxa"/>
            </w:tcMar>
            <w:vAlign w:val="center"/>
          </w:tcPr>
          <w:p>
            <w:pPr>
              <w:pStyle w:val="TableContents"/>
              <w:bidi w:val="0"/>
              <w:spacing w:before="0" w:after="283"/>
              <w:jc w:val="center"/>
              <w:rPr/>
            </w:pPr>
            <w:r>
              <w:rPr/>
              <w:t> </w:t>
            </w:r>
          </w:p>
        </w:tc>
        <w:tc>
          <w:tcPr>
            <w:tcW w:w="1505" w:type="dxa"/>
            <w:tcBorders>
              <w:bottom w:val="single" w:sz="12" w:space="0" w:color="000000"/>
            </w:tcBorders>
            <w:tcMar>
              <w:bottom w:w="28" w:type="dxa"/>
            </w:tcMar>
            <w:vAlign w:val="center"/>
          </w:tcPr>
          <w:p>
            <w:pPr>
              <w:pStyle w:val="TableContents"/>
              <w:bidi w:val="0"/>
              <w:spacing w:before="0" w:after="283"/>
              <w:jc w:val="center"/>
              <w:rPr/>
            </w:pPr>
            <w:r>
              <w:rPr>
                <w:b/>
              </w:rPr>
              <w:t xml:space="preserve">December 31, </w:t>
              <w:br/>
              <w:t>2025</w:t>
            </w:r>
            <w:r>
              <w:rPr/>
              <w:t xml:space="preserve"> </w:t>
            </w:r>
          </w:p>
        </w:tc>
        <w:tc>
          <w:tcPr>
            <w:tcW w:w="135" w:type="dxa"/>
            <w:tcBorders/>
            <w:vAlign w:val="center"/>
          </w:tcPr>
          <w:p>
            <w:pPr>
              <w:pStyle w:val="TableContents"/>
              <w:bidi w:val="0"/>
              <w:spacing w:before="0" w:after="283"/>
              <w:jc w:val="center"/>
              <w:rPr/>
            </w:pPr>
            <w:r>
              <w:rPr/>
              <w:t> </w:t>
            </w:r>
          </w:p>
        </w:tc>
      </w:tr>
      <w:tr>
        <w:trPr/>
        <w:tc>
          <w:tcPr>
            <w:tcW w:w="2120" w:type="dxa"/>
            <w:tcBorders/>
            <w:vAlign w:val="center"/>
          </w:tcPr>
          <w:p>
            <w:pPr>
              <w:pStyle w:val="TableContents"/>
              <w:bidi w:val="0"/>
              <w:spacing w:before="0" w:after="0"/>
              <w:jc w:val="left"/>
              <w:rPr/>
            </w:pPr>
            <w:r>
              <w:rPr>
                <w:i/>
              </w:rPr>
              <w:t>(In thousands)</w:t>
            </w:r>
            <w:r>
              <w:rPr/>
              <w:t xml:space="preserve">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16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505" w:type="dxa"/>
            <w:tcBorders/>
            <w:vAlign w:val="center"/>
          </w:tcPr>
          <w:p>
            <w:pPr>
              <w:pStyle w:val="TableContents"/>
              <w:bidi w:val="0"/>
              <w:spacing w:before="0" w:after="283"/>
              <w:jc w:val="left"/>
              <w:rPr/>
            </w:pPr>
            <w:r>
              <w:rPr/>
              <w:t> </w:t>
            </w:r>
          </w:p>
        </w:tc>
        <w:tc>
          <w:tcPr>
            <w:tcW w:w="135" w:type="dxa"/>
            <w:tcBorders/>
            <w:vAlign w:val="center"/>
          </w:tcPr>
          <w:p>
            <w:pPr>
              <w:pStyle w:val="TableContents"/>
              <w:bidi w:val="0"/>
              <w:spacing w:before="0" w:after="283"/>
              <w:jc w:val="left"/>
              <w:rPr/>
            </w:pPr>
            <w:r>
              <w:rPr/>
              <w:t> </w:t>
            </w:r>
          </w:p>
        </w:tc>
      </w:tr>
      <w:tr>
        <w:trPr/>
        <w:tc>
          <w:tcPr>
            <w:tcW w:w="2120" w:type="dxa"/>
            <w:tcBorders/>
            <w:shd w:fill="CCEEFF" w:val="clear"/>
            <w:vAlign w:val="center"/>
          </w:tcPr>
          <w:p>
            <w:pPr>
              <w:pStyle w:val="TableContents"/>
              <w:bidi w:val="0"/>
              <w:spacing w:before="0" w:after="283"/>
              <w:jc w:val="left"/>
              <w:rPr>
                <w:spacing w:val="0"/>
              </w:rPr>
            </w:pPr>
            <w:r>
              <w:rPr>
                <w:spacing w:val="0"/>
              </w:rPr>
              <w:t>Raw materials</w:t>
            </w:r>
          </w:p>
        </w:tc>
        <w:tc>
          <w:tcPr>
            <w:tcW w:w="90"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spacing w:val="0"/>
              </w:rPr>
            </w:pPr>
            <w:r>
              <w:rPr>
                <w:spacing w:val="0"/>
              </w:rPr>
              <w:t>$</w:t>
            </w:r>
          </w:p>
        </w:tc>
        <w:tc>
          <w:tcPr>
            <w:tcW w:w="1160" w:type="dxa"/>
            <w:tcBorders/>
            <w:shd w:fill="CCEEFF" w:val="clear"/>
            <w:vAlign w:val="center"/>
          </w:tcPr>
          <w:p>
            <w:pPr>
              <w:pStyle w:val="TableContents"/>
              <w:bidi w:val="0"/>
              <w:spacing w:before="0" w:after="283"/>
              <w:jc w:val="right"/>
              <w:rPr>
                <w:spacing w:val="0"/>
              </w:rPr>
            </w:pPr>
            <w:r>
              <w:rPr>
                <w:spacing w:val="0"/>
              </w:rPr>
              <w:t>89,281</w:t>
            </w:r>
          </w:p>
        </w:tc>
        <w:tc>
          <w:tcPr>
            <w:tcW w:w="90" w:type="dxa"/>
            <w:tcBorders/>
            <w:shd w:fill="CCEEFF" w:val="clear"/>
            <w:vAlign w:val="center"/>
          </w:tcPr>
          <w:p>
            <w:pPr>
              <w:pStyle w:val="TableContents"/>
              <w:bidi w:val="0"/>
              <w:spacing w:before="0" w:after="283"/>
              <w:jc w:val="left"/>
              <w:rPr>
                <w:spacing w:val="0"/>
              </w:rPr>
            </w:pPr>
            <w:r>
              <w:rPr>
                <w:spacing w:val="0"/>
              </w:rPr>
              <w:t> </w:t>
            </w:r>
          </w:p>
        </w:tc>
        <w:tc>
          <w:tcPr>
            <w:tcW w:w="90"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spacing w:val="0"/>
              </w:rPr>
            </w:pPr>
            <w:r>
              <w:rPr>
                <w:spacing w:val="0"/>
              </w:rPr>
              <w:t>$</w:t>
            </w:r>
          </w:p>
        </w:tc>
        <w:tc>
          <w:tcPr>
            <w:tcW w:w="1505" w:type="dxa"/>
            <w:tcBorders/>
            <w:shd w:fill="CCEEFF" w:val="clear"/>
            <w:vAlign w:val="center"/>
          </w:tcPr>
          <w:p>
            <w:pPr>
              <w:pStyle w:val="TableContents"/>
              <w:bidi w:val="0"/>
              <w:spacing w:before="0" w:after="283"/>
              <w:jc w:val="right"/>
              <w:rPr>
                <w:spacing w:val="0"/>
              </w:rPr>
            </w:pPr>
            <w:r>
              <w:rPr>
                <w:spacing w:val="0"/>
              </w:rPr>
              <w:t>96,612</w:t>
            </w:r>
          </w:p>
        </w:tc>
        <w:tc>
          <w:tcPr>
            <w:tcW w:w="135" w:type="dxa"/>
            <w:tcBorders/>
            <w:shd w:fill="CCEEFF" w:val="clear"/>
            <w:vAlign w:val="center"/>
          </w:tcPr>
          <w:p>
            <w:pPr>
              <w:pStyle w:val="TableContents"/>
              <w:bidi w:val="0"/>
              <w:spacing w:before="0" w:after="283"/>
              <w:jc w:val="left"/>
              <w:rPr>
                <w:spacing w:val="0"/>
              </w:rPr>
            </w:pPr>
            <w:r>
              <w:rPr>
                <w:spacing w:val="0"/>
              </w:rPr>
              <w:t> </w:t>
            </w:r>
          </w:p>
        </w:tc>
      </w:tr>
      <w:tr>
        <w:trPr/>
        <w:tc>
          <w:tcPr>
            <w:tcW w:w="2120" w:type="dxa"/>
            <w:tcBorders/>
            <w:vAlign w:val="center"/>
          </w:tcPr>
          <w:p>
            <w:pPr>
              <w:pStyle w:val="TableContents"/>
              <w:bidi w:val="0"/>
              <w:spacing w:before="0" w:after="0"/>
              <w:jc w:val="left"/>
              <w:rPr/>
            </w:pPr>
            <w:r>
              <w:rPr/>
              <w:t xml:space="preserve">Work-in-process </w:t>
            </w:r>
          </w:p>
        </w:tc>
        <w:tc>
          <w:tcPr>
            <w:tcW w:w="90"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pPr>
            <w:r>
              <w:rPr/>
              <w:t> </w:t>
            </w:r>
          </w:p>
        </w:tc>
        <w:tc>
          <w:tcPr>
            <w:tcW w:w="1160" w:type="dxa"/>
            <w:tcBorders/>
            <w:vAlign w:val="center"/>
          </w:tcPr>
          <w:p>
            <w:pPr>
              <w:pStyle w:val="TableContents"/>
              <w:bidi w:val="0"/>
              <w:spacing w:before="0" w:after="283"/>
              <w:jc w:val="right"/>
              <w:rPr/>
            </w:pPr>
            <w:r>
              <w:rPr/>
              <w:t>67,532</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pPr>
            <w:r>
              <w:rPr/>
              <w:t> </w:t>
            </w:r>
          </w:p>
        </w:tc>
        <w:tc>
          <w:tcPr>
            <w:tcW w:w="1505" w:type="dxa"/>
            <w:tcBorders/>
            <w:vAlign w:val="center"/>
          </w:tcPr>
          <w:p>
            <w:pPr>
              <w:pStyle w:val="TableContents"/>
              <w:bidi w:val="0"/>
              <w:spacing w:before="0" w:after="283"/>
              <w:jc w:val="right"/>
              <w:rPr/>
            </w:pPr>
            <w:r>
              <w:rPr/>
              <w:t>57,798</w:t>
            </w:r>
          </w:p>
        </w:tc>
        <w:tc>
          <w:tcPr>
            <w:tcW w:w="135" w:type="dxa"/>
            <w:tcBorders/>
            <w:vAlign w:val="center"/>
          </w:tcPr>
          <w:p>
            <w:pPr>
              <w:pStyle w:val="TableContents"/>
              <w:bidi w:val="0"/>
              <w:spacing w:before="0" w:after="283"/>
              <w:jc w:val="left"/>
              <w:rPr/>
            </w:pPr>
            <w:r>
              <w:rPr/>
              <w:t> </w:t>
            </w:r>
          </w:p>
        </w:tc>
      </w:tr>
      <w:tr>
        <w:trPr/>
        <w:tc>
          <w:tcPr>
            <w:tcW w:w="2120" w:type="dxa"/>
            <w:tcBorders/>
            <w:shd w:fill="CCEEFF" w:val="clear"/>
            <w:vAlign w:val="center"/>
          </w:tcPr>
          <w:p>
            <w:pPr>
              <w:pStyle w:val="TableContents"/>
              <w:bidi w:val="0"/>
              <w:spacing w:before="0" w:after="0"/>
              <w:jc w:val="left"/>
              <w:rPr/>
            </w:pPr>
            <w:r>
              <w:rPr/>
              <w:t xml:space="preserve">Finished goods </w:t>
            </w:r>
          </w:p>
        </w:tc>
        <w:tc>
          <w:tcPr>
            <w:tcW w:w="90" w:type="dxa"/>
            <w:tcBorders/>
            <w:shd w:fill="CCEEFF" w:val="clear"/>
            <w:vAlign w:val="center"/>
          </w:tcPr>
          <w:p>
            <w:pPr>
              <w:pStyle w:val="TableContents"/>
              <w:bidi w:val="0"/>
              <w:spacing w:before="0" w:after="283"/>
              <w:jc w:val="righ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60" w:type="dxa"/>
            <w:tcBorders>
              <w:bottom w:val="single" w:sz="12" w:space="0" w:color="000000"/>
            </w:tcBorders>
            <w:shd w:fill="CCEEFF" w:val="clear"/>
            <w:tcMar>
              <w:bottom w:w="28" w:type="dxa"/>
            </w:tcMar>
            <w:vAlign w:val="center"/>
          </w:tcPr>
          <w:p>
            <w:pPr>
              <w:pStyle w:val="TableContents"/>
              <w:bidi w:val="0"/>
              <w:spacing w:before="0" w:after="283"/>
              <w:jc w:val="right"/>
              <w:rPr/>
            </w:pPr>
            <w:r>
              <w:rPr/>
              <w:t>65,285</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righ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505" w:type="dxa"/>
            <w:tcBorders>
              <w:bottom w:val="single" w:sz="12" w:space="0" w:color="000000"/>
            </w:tcBorders>
            <w:shd w:fill="CCEEFF" w:val="clear"/>
            <w:tcMar>
              <w:bottom w:w="28" w:type="dxa"/>
            </w:tcMar>
            <w:vAlign w:val="center"/>
          </w:tcPr>
          <w:p>
            <w:pPr>
              <w:pStyle w:val="TableContents"/>
              <w:bidi w:val="0"/>
              <w:spacing w:before="0" w:after="283"/>
              <w:jc w:val="right"/>
              <w:rPr/>
            </w:pPr>
            <w:r>
              <w:rPr/>
              <w:t>52,055</w:t>
            </w:r>
          </w:p>
        </w:tc>
        <w:tc>
          <w:tcPr>
            <w:tcW w:w="135" w:type="dxa"/>
            <w:tcBorders/>
            <w:shd w:fill="CCEEFF" w:val="clear"/>
            <w:vAlign w:val="center"/>
          </w:tcPr>
          <w:p>
            <w:pPr>
              <w:pStyle w:val="TableContents"/>
              <w:bidi w:val="0"/>
              <w:spacing w:before="0" w:after="283"/>
              <w:jc w:val="left"/>
              <w:rPr/>
            </w:pPr>
            <w:r>
              <w:rPr/>
              <w:t> </w:t>
            </w:r>
          </w:p>
        </w:tc>
      </w:tr>
      <w:tr>
        <w:trPr/>
        <w:tc>
          <w:tcPr>
            <w:tcW w:w="2120" w:type="dxa"/>
            <w:tcBorders/>
            <w:vAlign w:val="center"/>
          </w:tcPr>
          <w:p>
            <w:pPr>
              <w:pStyle w:val="TableContents"/>
              <w:bidi w:val="0"/>
              <w:spacing w:before="0" w:after="0"/>
              <w:jc w:val="left"/>
              <w:rPr/>
            </w:pPr>
            <w:r>
              <w:rPr/>
              <w:t xml:space="preserve">Total inventories, net </w:t>
            </w:r>
          </w:p>
        </w:tc>
        <w:tc>
          <w:tcPr>
            <w:tcW w:w="90" w:type="dxa"/>
            <w:tcBorders/>
            <w:vAlign w:val="center"/>
          </w:tcPr>
          <w:p>
            <w:pPr>
              <w:pStyle w:val="TableContents"/>
              <w:bidi w:val="0"/>
              <w:spacing w:before="0" w:after="283"/>
              <w:jc w:val="right"/>
              <w:rPr/>
            </w:pPr>
            <w:r>
              <w:rPr/>
              <w:t> </w:t>
            </w:r>
          </w:p>
        </w:tc>
        <w:tc>
          <w:tcPr>
            <w:tcW w:w="170" w:type="dxa"/>
            <w:tcBorders>
              <w:bottom w:val="double" w:sz="8" w:space="0" w:color="000000"/>
            </w:tcBorders>
            <w:tcMar>
              <w:bottom w:w="28" w:type="dxa"/>
            </w:tcMar>
            <w:vAlign w:val="center"/>
          </w:tcPr>
          <w:p>
            <w:pPr>
              <w:pStyle w:val="TableContents"/>
              <w:bidi w:val="0"/>
              <w:spacing w:before="0" w:after="283"/>
              <w:jc w:val="left"/>
              <w:rPr/>
            </w:pPr>
            <w:r>
              <w:rPr/>
              <w:t>$</w:t>
            </w:r>
          </w:p>
        </w:tc>
        <w:tc>
          <w:tcPr>
            <w:tcW w:w="1160" w:type="dxa"/>
            <w:tcBorders>
              <w:bottom w:val="double" w:sz="8" w:space="0" w:color="000000"/>
            </w:tcBorders>
            <w:tcMar>
              <w:bottom w:w="28" w:type="dxa"/>
            </w:tcMar>
            <w:vAlign w:val="center"/>
          </w:tcPr>
          <w:p>
            <w:pPr>
              <w:pStyle w:val="TableContents"/>
              <w:bidi w:val="0"/>
              <w:spacing w:before="0" w:after="283"/>
              <w:jc w:val="right"/>
              <w:rPr/>
            </w:pPr>
            <w:r>
              <w:rPr/>
              <w:t>222,098</w:t>
            </w:r>
          </w:p>
        </w:tc>
        <w:tc>
          <w:tcPr>
            <w:tcW w:w="90" w:type="dxa"/>
            <w:tcBorders>
              <w:bottom w:val="single" w:sz="12" w:space="0" w:color="000000"/>
            </w:tcBorders>
            <w:tcMar>
              <w:bottom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right"/>
              <w:rPr/>
            </w:pPr>
            <w:r>
              <w:rPr/>
              <w:t> </w:t>
            </w:r>
          </w:p>
        </w:tc>
        <w:tc>
          <w:tcPr>
            <w:tcW w:w="170" w:type="dxa"/>
            <w:tcBorders>
              <w:bottom w:val="double" w:sz="8" w:space="0" w:color="000000"/>
            </w:tcBorders>
            <w:tcMar>
              <w:bottom w:w="28" w:type="dxa"/>
            </w:tcMar>
            <w:vAlign w:val="center"/>
          </w:tcPr>
          <w:p>
            <w:pPr>
              <w:pStyle w:val="TableContents"/>
              <w:bidi w:val="0"/>
              <w:spacing w:before="0" w:after="283"/>
              <w:jc w:val="left"/>
              <w:rPr/>
            </w:pPr>
            <w:r>
              <w:rPr/>
              <w:t>$</w:t>
            </w:r>
          </w:p>
        </w:tc>
        <w:tc>
          <w:tcPr>
            <w:tcW w:w="1505" w:type="dxa"/>
            <w:tcBorders>
              <w:bottom w:val="double" w:sz="8" w:space="0" w:color="000000"/>
            </w:tcBorders>
            <w:tcMar>
              <w:bottom w:w="28" w:type="dxa"/>
            </w:tcMar>
            <w:vAlign w:val="center"/>
          </w:tcPr>
          <w:p>
            <w:pPr>
              <w:pStyle w:val="TableContents"/>
              <w:bidi w:val="0"/>
              <w:spacing w:before="0" w:after="283"/>
              <w:jc w:val="right"/>
              <w:rPr/>
            </w:pPr>
            <w:r>
              <w:rPr/>
              <w:t>206,465</w:t>
            </w:r>
          </w:p>
        </w:tc>
        <w:tc>
          <w:tcPr>
            <w:tcW w:w="135" w:type="dxa"/>
            <w:tcBorders>
              <w:bottom w:val="single" w:sz="12" w:space="0" w:color="000000"/>
            </w:tcBorders>
            <w:tcMar>
              <w:bottom w:w="28" w:type="dxa"/>
            </w:tcMar>
            <w:vAlign w:val="center"/>
          </w:tcPr>
          <w:p>
            <w:pPr>
              <w:pStyle w:val="TableContents"/>
              <w:bidi w:val="0"/>
              <w:spacing w:before="0" w:after="283"/>
              <w:jc w:val="left"/>
              <w:rPr/>
            </w:pPr>
            <w:r>
              <w:rPr/>
              <w:t> </w:t>
            </w:r>
          </w:p>
        </w:tc>
      </w:tr>
    </w:tbl>
    <w:p>
      <w:pPr>
        <w:pStyle w:val="TextBody"/>
        <w:bidi w:val="0"/>
        <w:spacing w:before="0" w:after="0"/>
        <w:jc w:val="left"/>
        <w:rPr/>
      </w:pPr>
      <w:r>
        <w:rPr/>
        <w:t xml:space="preserve">  </w:t>
      </w:r>
    </w:p>
    <w:p>
      <w:pPr>
        <w:pStyle w:val="TextBody"/>
        <w:bidi w:val="0"/>
        <w:spacing w:before="0" w:after="0"/>
        <w:ind w:left="0" w:right="0" w:firstLine="720"/>
        <w:jc w:val="both"/>
        <w:rPr>
          <w:rFonts w:ascii="Times New Roman" w:hAnsi="Times New Roman"/>
          <w:sz w:val="20"/>
        </w:rPr>
      </w:pPr>
      <w:r>
        <w:rPr>
          <w:rFonts w:ascii="Times New Roman" w:hAnsi="Times New Roman"/>
          <w:sz w:val="20"/>
        </w:rPr>
        <w:t xml:space="preserve">Raw materials includes plasma and other materials expected to be used in the production of ASCENIV, BIVIGAM and Nabi-HB. These materials will be consumed in the production of goods expected to be available for sale or otherwise have alternative uses that provide a probable future benefit. </w:t>
      </w:r>
    </w:p>
    <w:p>
      <w:pPr>
        <w:pStyle w:val="TextBody"/>
        <w:bidi w:val="0"/>
        <w:spacing w:before="0" w:after="0"/>
        <w:jc w:val="both"/>
        <w:rPr/>
      </w:pPr>
      <w:r>
        <w:rPr/>
        <w:t xml:space="preserve">  </w:t>
      </w:r>
    </w:p>
    <w:p>
      <w:pPr>
        <w:pStyle w:val="TextBody"/>
        <w:bidi w:val="0"/>
        <w:spacing w:before="0" w:after="0"/>
        <w:ind w:left="0" w:right="0" w:firstLine="720"/>
        <w:jc w:val="both"/>
        <w:rPr>
          <w:rFonts w:ascii="Times New Roman" w:hAnsi="Times New Roman"/>
          <w:sz w:val="20"/>
        </w:rPr>
      </w:pPr>
      <w:r>
        <w:rPr>
          <w:rFonts w:ascii="Times New Roman" w:hAnsi="Times New Roman"/>
          <w:sz w:val="20"/>
        </w:rPr>
        <w:t xml:space="preserve">Work-in-process inventory primarily consists of the Company’s IVIG products that are manufactured to the bulk drug substance and unlabeled filled vials stage of production. </w:t>
      </w:r>
    </w:p>
    <w:p>
      <w:pPr>
        <w:pStyle w:val="TextBody"/>
        <w:bidi w:val="0"/>
        <w:spacing w:before="0" w:after="0"/>
        <w:jc w:val="both"/>
        <w:rPr/>
      </w:pPr>
      <w:r>
        <w:rPr/>
        <w:t xml:space="preserve">  </w:t>
      </w:r>
    </w:p>
    <w:p>
      <w:pPr>
        <w:pStyle w:val="TextBody"/>
        <w:bidi w:val="0"/>
        <w:spacing w:before="0" w:after="0"/>
        <w:ind w:left="0" w:right="0" w:firstLine="720"/>
        <w:jc w:val="both"/>
        <w:rPr>
          <w:rFonts w:ascii="Times New Roman" w:hAnsi="Times New Roman"/>
          <w:sz w:val="20"/>
        </w:rPr>
      </w:pPr>
      <w:r>
        <w:rPr>
          <w:rFonts w:ascii="Times New Roman" w:hAnsi="Times New Roman"/>
          <w:sz w:val="20"/>
        </w:rPr>
        <w:t>Finished goods inventory is comprised of the Company’s immunoglobulin products that have reached the filled, labeled and serialized vial stage of production and related intermediates that are available for commercial sale, as well as plasma collected at the Company’s plasma collection centers which is expected to be sold to third-party customers.</w:t>
      </w:r>
    </w:p>
    <w:p>
      <w:pPr>
        <w:pStyle w:val="TextBody"/>
        <w:bidi w:val="0"/>
        <w:spacing w:before="0" w:after="0"/>
        <w:ind w:left="0" w:right="0" w:firstLine="720"/>
        <w:jc w:val="both"/>
        <w:rPr/>
      </w:pPr>
      <w:r>
        <w:rPr/>
        <w:t> </w:t>
      </w:r>
    </w:p>
    <w:p>
      <w:pPr>
        <w:pStyle w:val="TextBody"/>
        <w:bidi w:val="0"/>
        <w:spacing w:before="150" w:after="15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t>8</w:t>
      </w:r>
    </w:p>
    <w:p>
      <w:pPr>
        <w:pStyle w:val="HorizontalLine"/>
        <w:bidi w:val="0"/>
        <w:spacing w:before="150" w:after="150"/>
        <w:jc w:val="left"/>
        <w:rPr/>
      </w:pPr>
      <w:r>
        <w:rPr/>
      </w:r>
    </w:p>
    <w:p>
      <w:pPr>
        <w:pStyle w:val="TextBody"/>
        <w:bidi w:val="0"/>
        <w:spacing w:before="150" w:after="150"/>
        <w:jc w:val="left"/>
        <w:rPr/>
      </w:pPr>
      <w:hyperlink w:anchor="index">
        <w:r>
          <w:rPr>
            <w:rStyle w:val="InternetLink"/>
            <w:rFonts w:ascii="TimesNewRoman;Times New Roman;Times;Baskerville;Georgia;serif" w:hAnsi="TimesNewRoman;Times New Roman;Times;Baskerville;Georgia;serif"/>
            <w:b w:val="false"/>
            <w:i/>
            <w:caps w:val="false"/>
            <w:smallCaps w:val="false"/>
            <w:strike w:val="false"/>
            <w:dstrike w:val="false"/>
            <w:sz w:val="16"/>
            <w:u w:val="none"/>
            <w:effect w:val="none"/>
          </w:rPr>
          <w:t>Index</w:t>
        </w:r>
      </w:hyperlink>
    </w:p>
    <w:p>
      <w:pPr>
        <w:pStyle w:val="TextBody"/>
        <w:bidi w:val="0"/>
        <w:spacing w:before="0" w:after="0"/>
        <w:ind w:left="0" w:right="0" w:hanging="0"/>
        <w:jc w:val="center"/>
        <w:rPr>
          <w:rFonts w:ascii="Times New Roman" w:hAnsi="Times New Roman"/>
          <w:b/>
          <w:sz w:val="22"/>
        </w:rPr>
      </w:pPr>
      <w:r>
        <w:rPr>
          <w:rFonts w:ascii="Times New Roman" w:hAnsi="Times New Roman"/>
          <w:b/>
          <w:sz w:val="22"/>
        </w:rPr>
        <w:t>ADMA BIOLOGICS, INC. AND SUBSIDIARIES</w:t>
      </w:r>
    </w:p>
    <w:p>
      <w:pPr>
        <w:pStyle w:val="TextBody"/>
        <w:bidi w:val="0"/>
        <w:spacing w:before="0" w:after="0"/>
        <w:ind w:left="0" w:right="0" w:hanging="0"/>
        <w:jc w:val="center"/>
        <w:rPr>
          <w:rFonts w:ascii="Times New Roman" w:hAnsi="Times New Roman"/>
          <w:b/>
          <w:sz w:val="22"/>
        </w:rPr>
      </w:pPr>
      <w:r>
        <w:rPr>
          <w:rFonts w:ascii="Times New Roman" w:hAnsi="Times New Roman"/>
          <w:b/>
          <w:sz w:val="22"/>
        </w:rPr>
        <w:t>NOTES TO CONDENSED CONSOLIDATED FINANCIAL STATEMENTS (UNAUDITED)</w:t>
      </w:r>
    </w:p>
    <w:p>
      <w:pPr>
        <w:pStyle w:val="TextBody"/>
        <w:bidi w:val="0"/>
        <w:spacing w:before="0" w:after="0"/>
        <w:jc w:val="left"/>
        <w:rPr/>
      </w:pPr>
      <w:r>
        <w:rPr/>
        <w:t> </w:t>
      </w:r>
    </w:p>
    <w:p>
      <w:pPr>
        <w:pStyle w:val="TextBody"/>
        <w:bidi w:val="0"/>
        <w:spacing w:before="0" w:after="0"/>
        <w:ind w:left="0" w:right="0" w:hanging="540"/>
        <w:jc w:val="left"/>
        <w:rPr>
          <w:rFonts w:ascii="Times New Roman" w:hAnsi="Times New Roman"/>
          <w:sz w:val="20"/>
        </w:rPr>
      </w:pPr>
      <w:r>
        <w:rPr>
          <w:rFonts w:ascii="Times New Roman" w:hAnsi="Times New Roman"/>
          <w:b/>
          <w:sz w:val="20"/>
          <w:u w:val="single"/>
        </w:rPr>
        <w:t>PROPERTY AND EQUIPMENT</w:t>
      </w:r>
      <w:r>
        <w:rPr>
          <w:rFonts w:ascii="Times New Roman" w:hAnsi="Times New Roman"/>
          <w:sz w:val="20"/>
        </w:rPr>
        <w:t xml:space="preserve"> </w:t>
      </w:r>
      <w:r>
        <mc:AlternateContent>
          <mc:Choice Requires="wps">
            <w:drawing>
              <wp:anchor behindDoc="0" distT="0" distB="0" distL="0" distR="0" simplePos="0" locked="0" layoutInCell="1" allowOverlap="1" relativeHeight="44">
                <wp:simplePos x="0" y="0"/>
                <wp:positionH relativeFrom="column">
                  <wp:align>left</wp:align>
                </wp:positionH>
                <wp:positionV relativeFrom="line">
                  <wp:posOffset>635</wp:posOffset>
                </wp:positionV>
                <wp:extent cx="342900" cy="175260"/>
                <wp:effectExtent l="0" t="0" r="0" b="0"/>
                <wp:wrapSquare wrapText="right"/>
                <wp:docPr id="43" name="Frame43"/>
                <a:graphic xmlns:a="http://schemas.openxmlformats.org/drawingml/2006/main">
                  <a:graphicData uri="http://schemas.microsoft.com/office/word/2010/wordprocessingShape">
                    <wps:wsp>
                      <wps:cNvSpPr txBox="1"/>
                      <wps:spPr>
                        <a:xfrm>
                          <a:off x="0" y="0"/>
                          <a:ext cx="342900" cy="175260"/>
                        </a:xfrm>
                        <a:prstGeom prst="rect"/>
                        <a:solidFill>
                          <a:srgbClr val="FFFFFF"/>
                        </a:solidFill>
                      </wps:spPr>
                      <wps:txbx>
                        <w:txbxContent>
                          <w:p>
                            <w:pPr>
                              <w:pStyle w:val="TextBody"/>
                              <w:bidi w:val="0"/>
                              <w:spacing w:before="0" w:after="283"/>
                              <w:jc w:val="left"/>
                              <w:rPr/>
                            </w:pPr>
                            <w:r>
                              <w:rPr>
                                <w:b/>
                              </w:rPr>
                              <w:t>4.</w:t>
                            </w:r>
                            <w:r>
                              <w:rPr/>
                              <w:t xml:space="preserve"> </w:t>
                            </w:r>
                          </w:p>
                        </w:txbxContent>
                      </wps:txbx>
                      <wps:bodyPr anchor="t" lIns="0" tIns="0" rIns="0" bIns="0">
                        <a:noAutofit/>
                      </wps:bodyPr>
                    </wps:wsp>
                  </a:graphicData>
                </a:graphic>
              </wp:anchor>
            </w:drawing>
          </mc:Choice>
          <mc:Fallback>
            <w:pict>
              <v:rect style="position:absolute;rotation:-0;width:2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b/>
                        </w:rPr>
                        <w:t>4.</w:t>
                      </w:r>
                      <w:r>
                        <w:rPr/>
                        <w:t xml:space="preserve"> </w:t>
                      </w:r>
                    </w:p>
                  </w:txbxContent>
                </v:textbox>
                <w10:wrap type="square" side="right"/>
              </v:rect>
            </w:pict>
          </mc:Fallback>
        </mc:AlternateContent>
      </w:r>
    </w:p>
    <w:p>
      <w:pPr>
        <w:pStyle w:val="TextBody"/>
        <w:bidi w:val="0"/>
        <w:spacing w:before="0" w:after="0"/>
        <w:jc w:val="left"/>
        <w:rPr/>
      </w:pPr>
      <w:r>
        <w:rPr/>
        <w:t xml:space="preserve">  </w:t>
      </w:r>
    </w:p>
    <w:p>
      <w:pPr>
        <w:pStyle w:val="TextBody"/>
        <w:bidi w:val="0"/>
        <w:spacing w:before="0" w:after="0"/>
        <w:ind w:left="0" w:right="0" w:firstLine="720"/>
        <w:jc w:val="both"/>
        <w:rPr>
          <w:rFonts w:ascii="Arial" w:hAnsi="Arial"/>
          <w:sz w:val="20"/>
        </w:rPr>
      </w:pPr>
      <w:r>
        <w:rPr>
          <w:rFonts w:ascii="Times New Roman" w:hAnsi="Times New Roman"/>
          <w:sz w:val="20"/>
        </w:rPr>
        <w:t>Property and equipment and related accumulated depreciation are summarized as follows:</w:t>
      </w:r>
      <w:r>
        <w:rPr>
          <w:rFonts w:ascii="Arial" w:hAnsi="Arial"/>
          <w:sz w:val="20"/>
        </w:rPr>
        <w:t xml:space="preserve"> </w:t>
      </w:r>
    </w:p>
    <w:p>
      <w:pPr>
        <w:pStyle w:val="TextBody"/>
        <w:bidi w:val="0"/>
        <w:spacing w:before="0" w:after="0"/>
        <w:jc w:val="left"/>
        <w:rPr/>
      </w:pPr>
      <w:r>
        <w:rPr/>
        <w:t xml:space="preserve">  </w:t>
      </w:r>
    </w:p>
    <w:tbl>
      <w:tblPr>
        <w:tblW w:w="8675" w:type="dxa"/>
        <w:jc w:val="left"/>
        <w:tblInd w:w="0" w:type="dxa"/>
        <w:tblLayout w:type="fixed"/>
        <w:tblCellMar>
          <w:top w:w="0" w:type="dxa"/>
          <w:left w:w="0" w:type="dxa"/>
          <w:bottom w:w="0" w:type="dxa"/>
          <w:right w:w="0" w:type="dxa"/>
        </w:tblCellMar>
      </w:tblPr>
      <w:tblGrid>
        <w:gridCol w:w="3995"/>
        <w:gridCol w:w="90"/>
        <w:gridCol w:w="170"/>
        <w:gridCol w:w="1700"/>
        <w:gridCol w:w="185"/>
        <w:gridCol w:w="90"/>
        <w:gridCol w:w="170"/>
        <w:gridCol w:w="2045"/>
        <w:gridCol w:w="230"/>
      </w:tblGrid>
      <w:tr>
        <w:trPr/>
        <w:tc>
          <w:tcPr>
            <w:tcW w:w="399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700"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204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 </w:t>
            </w:r>
          </w:p>
        </w:tc>
      </w:tr>
      <w:tr>
        <w:trPr/>
        <w:tc>
          <w:tcPr>
            <w:tcW w:w="399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center"/>
              <w:rPr/>
            </w:pPr>
            <w:r>
              <w:rPr/>
              <w:t> </w:t>
            </w:r>
          </w:p>
        </w:tc>
        <w:tc>
          <w:tcPr>
            <w:tcW w:w="170" w:type="dxa"/>
            <w:tcBorders>
              <w:bottom w:val="single" w:sz="12" w:space="0" w:color="000000"/>
            </w:tcBorders>
            <w:tcMar>
              <w:bottom w:w="28" w:type="dxa"/>
            </w:tcMar>
            <w:vAlign w:val="center"/>
          </w:tcPr>
          <w:p>
            <w:pPr>
              <w:pStyle w:val="TableContents"/>
              <w:bidi w:val="0"/>
              <w:spacing w:before="0" w:after="283"/>
              <w:jc w:val="center"/>
              <w:rPr/>
            </w:pPr>
            <w:r>
              <w:rPr/>
              <w:t> </w:t>
            </w:r>
          </w:p>
        </w:tc>
        <w:tc>
          <w:tcPr>
            <w:tcW w:w="1700" w:type="dxa"/>
            <w:tcBorders>
              <w:bottom w:val="single" w:sz="12" w:space="0" w:color="000000"/>
            </w:tcBorders>
            <w:tcMar>
              <w:bottom w:w="28" w:type="dxa"/>
            </w:tcMar>
            <w:vAlign w:val="center"/>
          </w:tcPr>
          <w:p>
            <w:pPr>
              <w:pStyle w:val="TableContents"/>
              <w:bidi w:val="0"/>
              <w:spacing w:before="0" w:after="283"/>
              <w:jc w:val="center"/>
              <w:rPr/>
            </w:pPr>
            <w:r>
              <w:rPr>
                <w:b/>
              </w:rPr>
              <w:t>March 31, 2026</w:t>
            </w:r>
            <w:r>
              <w:rPr/>
              <w:t xml:space="preserve"> </w:t>
            </w:r>
          </w:p>
        </w:tc>
        <w:tc>
          <w:tcPr>
            <w:tcW w:w="185"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70" w:type="dxa"/>
            <w:tcBorders>
              <w:bottom w:val="single" w:sz="12" w:space="0" w:color="000000"/>
            </w:tcBorders>
            <w:tcMar>
              <w:bottom w:w="28" w:type="dxa"/>
            </w:tcMar>
            <w:vAlign w:val="center"/>
          </w:tcPr>
          <w:p>
            <w:pPr>
              <w:pStyle w:val="TableContents"/>
              <w:bidi w:val="0"/>
              <w:spacing w:before="0" w:after="283"/>
              <w:jc w:val="center"/>
              <w:rPr/>
            </w:pPr>
            <w:r>
              <w:rPr/>
              <w:t> </w:t>
            </w:r>
          </w:p>
        </w:tc>
        <w:tc>
          <w:tcPr>
            <w:tcW w:w="2045" w:type="dxa"/>
            <w:tcBorders>
              <w:bottom w:val="single" w:sz="12" w:space="0" w:color="000000"/>
            </w:tcBorders>
            <w:tcMar>
              <w:bottom w:w="28" w:type="dxa"/>
            </w:tcMar>
            <w:vAlign w:val="center"/>
          </w:tcPr>
          <w:p>
            <w:pPr>
              <w:pStyle w:val="TableContents"/>
              <w:bidi w:val="0"/>
              <w:spacing w:before="0" w:after="283"/>
              <w:jc w:val="center"/>
              <w:rPr/>
            </w:pPr>
            <w:r>
              <w:rPr>
                <w:b/>
              </w:rPr>
              <w:t>December 31, 2025</w:t>
            </w:r>
            <w:r>
              <w:rPr/>
              <w:t xml:space="preserve"> </w:t>
            </w:r>
          </w:p>
        </w:tc>
        <w:tc>
          <w:tcPr>
            <w:tcW w:w="230" w:type="dxa"/>
            <w:tcBorders/>
            <w:vAlign w:val="center"/>
          </w:tcPr>
          <w:p>
            <w:pPr>
              <w:pStyle w:val="TableContents"/>
              <w:bidi w:val="0"/>
              <w:spacing w:before="0" w:after="283"/>
              <w:jc w:val="center"/>
              <w:rPr/>
            </w:pPr>
            <w:r>
              <w:rPr/>
              <w:t> </w:t>
            </w:r>
          </w:p>
        </w:tc>
      </w:tr>
      <w:tr>
        <w:trPr/>
        <w:tc>
          <w:tcPr>
            <w:tcW w:w="3995" w:type="dxa"/>
            <w:tcBorders/>
            <w:vAlign w:val="center"/>
          </w:tcPr>
          <w:p>
            <w:pPr>
              <w:pStyle w:val="TableContents"/>
              <w:bidi w:val="0"/>
              <w:spacing w:before="0" w:after="0"/>
              <w:ind w:left="0" w:right="0" w:hanging="144"/>
              <w:jc w:val="left"/>
              <w:rPr/>
            </w:pPr>
            <w:r>
              <w:rPr>
                <w:i/>
              </w:rPr>
              <w:t>(In thousands)</w:t>
            </w:r>
            <w:r>
              <w:rPr/>
              <w:t xml:space="preserve">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700"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204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 </w:t>
            </w:r>
          </w:p>
        </w:tc>
      </w:tr>
      <w:tr>
        <w:trPr/>
        <w:tc>
          <w:tcPr>
            <w:tcW w:w="3995" w:type="dxa"/>
            <w:tcBorders/>
            <w:shd w:fill="CCEEFF" w:val="clear"/>
            <w:vAlign w:val="center"/>
          </w:tcPr>
          <w:p>
            <w:pPr>
              <w:pStyle w:val="TableContents"/>
              <w:bidi w:val="0"/>
              <w:spacing w:before="0" w:after="283"/>
              <w:jc w:val="left"/>
              <w:rPr/>
            </w:pPr>
            <w:r>
              <w:rPr/>
              <w:t>Manufacturing and laboratory equipment</w:t>
            </w:r>
          </w:p>
        </w:tc>
        <w:tc>
          <w:tcPr>
            <w:tcW w:w="90"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w:t>
            </w:r>
          </w:p>
        </w:tc>
        <w:tc>
          <w:tcPr>
            <w:tcW w:w="1700" w:type="dxa"/>
            <w:tcBorders/>
            <w:shd w:fill="CCEEFF" w:val="clear"/>
            <w:vAlign w:val="center"/>
          </w:tcPr>
          <w:p>
            <w:pPr>
              <w:pStyle w:val="TableContents"/>
              <w:bidi w:val="0"/>
              <w:spacing w:before="0" w:after="283"/>
              <w:jc w:val="right"/>
              <w:rPr/>
            </w:pPr>
            <w:r>
              <w:rPr/>
              <w:t>29,329</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w:t>
            </w:r>
          </w:p>
        </w:tc>
        <w:tc>
          <w:tcPr>
            <w:tcW w:w="2045" w:type="dxa"/>
            <w:tcBorders/>
            <w:shd w:fill="CCEEFF" w:val="clear"/>
            <w:vAlign w:val="center"/>
          </w:tcPr>
          <w:p>
            <w:pPr>
              <w:pStyle w:val="TableContents"/>
              <w:bidi w:val="0"/>
              <w:spacing w:before="0" w:after="283"/>
              <w:jc w:val="right"/>
              <w:rPr/>
            </w:pPr>
            <w:r>
              <w:rPr/>
              <w:t>28,119</w:t>
            </w:r>
          </w:p>
        </w:tc>
        <w:tc>
          <w:tcPr>
            <w:tcW w:w="230" w:type="dxa"/>
            <w:tcBorders/>
            <w:shd w:fill="CCEEFF" w:val="clear"/>
            <w:vAlign w:val="center"/>
          </w:tcPr>
          <w:p>
            <w:pPr>
              <w:pStyle w:val="TableContents"/>
              <w:bidi w:val="0"/>
              <w:spacing w:before="0" w:after="283"/>
              <w:jc w:val="left"/>
              <w:rPr/>
            </w:pPr>
            <w:r>
              <w:rPr/>
              <w:t> </w:t>
            </w:r>
          </w:p>
        </w:tc>
      </w:tr>
      <w:tr>
        <w:trPr/>
        <w:tc>
          <w:tcPr>
            <w:tcW w:w="3995" w:type="dxa"/>
            <w:tcBorders/>
            <w:vAlign w:val="center"/>
          </w:tcPr>
          <w:p>
            <w:pPr>
              <w:pStyle w:val="TableContents"/>
              <w:bidi w:val="0"/>
              <w:spacing w:before="0" w:after="0"/>
              <w:ind w:left="0" w:right="0" w:hanging="144"/>
              <w:jc w:val="left"/>
              <w:rPr/>
            </w:pPr>
            <w:r>
              <w:rPr/>
              <w:t xml:space="preserve">Office equipment and computer software </w:t>
            </w:r>
          </w:p>
        </w:tc>
        <w:tc>
          <w:tcPr>
            <w:tcW w:w="90"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pPr>
            <w:r>
              <w:rPr/>
              <w:t> </w:t>
            </w:r>
          </w:p>
        </w:tc>
        <w:tc>
          <w:tcPr>
            <w:tcW w:w="1700" w:type="dxa"/>
            <w:tcBorders/>
            <w:vAlign w:val="center"/>
          </w:tcPr>
          <w:p>
            <w:pPr>
              <w:pStyle w:val="TableContents"/>
              <w:bidi w:val="0"/>
              <w:spacing w:before="0" w:after="283"/>
              <w:jc w:val="right"/>
              <w:rPr/>
            </w:pPr>
            <w:r>
              <w:rPr/>
              <w:t>6,307</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pPr>
            <w:r>
              <w:rPr/>
              <w:t> </w:t>
            </w:r>
          </w:p>
        </w:tc>
        <w:tc>
          <w:tcPr>
            <w:tcW w:w="2045" w:type="dxa"/>
            <w:tcBorders/>
            <w:vAlign w:val="center"/>
          </w:tcPr>
          <w:p>
            <w:pPr>
              <w:pStyle w:val="TableContents"/>
              <w:bidi w:val="0"/>
              <w:spacing w:before="0" w:after="283"/>
              <w:jc w:val="right"/>
              <w:rPr/>
            </w:pPr>
            <w:r>
              <w:rPr/>
              <w:t>6,307</w:t>
            </w:r>
          </w:p>
        </w:tc>
        <w:tc>
          <w:tcPr>
            <w:tcW w:w="230" w:type="dxa"/>
            <w:tcBorders/>
            <w:vAlign w:val="center"/>
          </w:tcPr>
          <w:p>
            <w:pPr>
              <w:pStyle w:val="TableContents"/>
              <w:bidi w:val="0"/>
              <w:spacing w:before="0" w:after="283"/>
              <w:jc w:val="left"/>
              <w:rPr/>
            </w:pPr>
            <w:r>
              <w:rPr/>
              <w:t> </w:t>
            </w:r>
          </w:p>
        </w:tc>
      </w:tr>
      <w:tr>
        <w:trPr/>
        <w:tc>
          <w:tcPr>
            <w:tcW w:w="3995" w:type="dxa"/>
            <w:tcBorders/>
            <w:shd w:fill="CCEEFF" w:val="clear"/>
            <w:vAlign w:val="center"/>
          </w:tcPr>
          <w:p>
            <w:pPr>
              <w:pStyle w:val="TableContents"/>
              <w:bidi w:val="0"/>
              <w:spacing w:before="0" w:after="0"/>
              <w:ind w:left="0" w:right="0" w:hanging="144"/>
              <w:jc w:val="left"/>
              <w:rPr/>
            </w:pPr>
            <w:r>
              <w:rPr/>
              <w:t xml:space="preserve">Furniture and fixtures </w:t>
            </w:r>
          </w:p>
        </w:tc>
        <w:tc>
          <w:tcPr>
            <w:tcW w:w="90"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 </w:t>
            </w:r>
          </w:p>
        </w:tc>
        <w:tc>
          <w:tcPr>
            <w:tcW w:w="1700" w:type="dxa"/>
            <w:tcBorders/>
            <w:shd w:fill="CCEEFF" w:val="clear"/>
            <w:vAlign w:val="center"/>
          </w:tcPr>
          <w:p>
            <w:pPr>
              <w:pStyle w:val="TableContents"/>
              <w:bidi w:val="0"/>
              <w:spacing w:before="0" w:after="283"/>
              <w:jc w:val="right"/>
              <w:rPr/>
            </w:pPr>
            <w:r>
              <w:rPr/>
              <w:t>5,635</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 </w:t>
            </w:r>
          </w:p>
        </w:tc>
        <w:tc>
          <w:tcPr>
            <w:tcW w:w="2045" w:type="dxa"/>
            <w:tcBorders/>
            <w:shd w:fill="CCEEFF" w:val="clear"/>
            <w:vAlign w:val="center"/>
          </w:tcPr>
          <w:p>
            <w:pPr>
              <w:pStyle w:val="TableContents"/>
              <w:bidi w:val="0"/>
              <w:spacing w:before="0" w:after="283"/>
              <w:jc w:val="right"/>
              <w:rPr/>
            </w:pPr>
            <w:r>
              <w:rPr/>
              <w:t>5,614</w:t>
            </w:r>
          </w:p>
        </w:tc>
        <w:tc>
          <w:tcPr>
            <w:tcW w:w="230" w:type="dxa"/>
            <w:tcBorders/>
            <w:shd w:fill="CCEEFF" w:val="clear"/>
            <w:vAlign w:val="center"/>
          </w:tcPr>
          <w:p>
            <w:pPr>
              <w:pStyle w:val="TableContents"/>
              <w:bidi w:val="0"/>
              <w:spacing w:before="0" w:after="283"/>
              <w:jc w:val="left"/>
              <w:rPr/>
            </w:pPr>
            <w:r>
              <w:rPr/>
              <w:t> </w:t>
            </w:r>
          </w:p>
        </w:tc>
      </w:tr>
      <w:tr>
        <w:trPr/>
        <w:tc>
          <w:tcPr>
            <w:tcW w:w="3995" w:type="dxa"/>
            <w:tcBorders/>
            <w:vAlign w:val="center"/>
          </w:tcPr>
          <w:p>
            <w:pPr>
              <w:pStyle w:val="TableContents"/>
              <w:bidi w:val="0"/>
              <w:spacing w:before="0" w:after="0"/>
              <w:ind w:left="0" w:right="0" w:hanging="144"/>
              <w:jc w:val="left"/>
              <w:rPr/>
            </w:pPr>
            <w:r>
              <w:rPr/>
              <w:t xml:space="preserve">Construction in process </w:t>
            </w:r>
          </w:p>
        </w:tc>
        <w:tc>
          <w:tcPr>
            <w:tcW w:w="90"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pPr>
            <w:r>
              <w:rPr/>
              <w:t> </w:t>
            </w:r>
          </w:p>
        </w:tc>
        <w:tc>
          <w:tcPr>
            <w:tcW w:w="1700" w:type="dxa"/>
            <w:tcBorders/>
            <w:vAlign w:val="center"/>
          </w:tcPr>
          <w:p>
            <w:pPr>
              <w:pStyle w:val="TableContents"/>
              <w:bidi w:val="0"/>
              <w:spacing w:before="0" w:after="283"/>
              <w:jc w:val="right"/>
              <w:rPr/>
            </w:pPr>
            <w:r>
              <w:rPr/>
              <w:t>8,219</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pPr>
            <w:r>
              <w:rPr/>
              <w:t> </w:t>
            </w:r>
          </w:p>
        </w:tc>
        <w:tc>
          <w:tcPr>
            <w:tcW w:w="2045" w:type="dxa"/>
            <w:tcBorders/>
            <w:vAlign w:val="center"/>
          </w:tcPr>
          <w:p>
            <w:pPr>
              <w:pStyle w:val="TableContents"/>
              <w:bidi w:val="0"/>
              <w:spacing w:before="0" w:after="283"/>
              <w:jc w:val="right"/>
              <w:rPr/>
            </w:pPr>
            <w:r>
              <w:rPr/>
              <w:t>8,457</w:t>
            </w:r>
          </w:p>
        </w:tc>
        <w:tc>
          <w:tcPr>
            <w:tcW w:w="230" w:type="dxa"/>
            <w:tcBorders/>
            <w:vAlign w:val="center"/>
          </w:tcPr>
          <w:p>
            <w:pPr>
              <w:pStyle w:val="TableContents"/>
              <w:bidi w:val="0"/>
              <w:spacing w:before="0" w:after="283"/>
              <w:jc w:val="left"/>
              <w:rPr/>
            </w:pPr>
            <w:r>
              <w:rPr/>
              <w:t> </w:t>
            </w:r>
          </w:p>
        </w:tc>
      </w:tr>
      <w:tr>
        <w:trPr/>
        <w:tc>
          <w:tcPr>
            <w:tcW w:w="3995" w:type="dxa"/>
            <w:tcBorders/>
            <w:shd w:fill="CCEEFF" w:val="clear"/>
            <w:vAlign w:val="center"/>
          </w:tcPr>
          <w:p>
            <w:pPr>
              <w:pStyle w:val="TableContents"/>
              <w:bidi w:val="0"/>
              <w:spacing w:before="0" w:after="0"/>
              <w:ind w:left="0" w:right="0" w:hanging="144"/>
              <w:jc w:val="left"/>
              <w:rPr/>
            </w:pPr>
            <w:r>
              <w:rPr/>
              <w:t xml:space="preserve">Leasehold improvements </w:t>
            </w:r>
          </w:p>
        </w:tc>
        <w:tc>
          <w:tcPr>
            <w:tcW w:w="90"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 </w:t>
            </w:r>
          </w:p>
        </w:tc>
        <w:tc>
          <w:tcPr>
            <w:tcW w:w="1700" w:type="dxa"/>
            <w:tcBorders/>
            <w:shd w:fill="CCEEFF" w:val="clear"/>
            <w:vAlign w:val="center"/>
          </w:tcPr>
          <w:p>
            <w:pPr>
              <w:pStyle w:val="TableContents"/>
              <w:bidi w:val="0"/>
              <w:spacing w:before="0" w:after="283"/>
              <w:jc w:val="right"/>
              <w:rPr/>
            </w:pPr>
            <w:r>
              <w:rPr/>
              <w:t>15,046</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 </w:t>
            </w:r>
          </w:p>
        </w:tc>
        <w:tc>
          <w:tcPr>
            <w:tcW w:w="2045" w:type="dxa"/>
            <w:tcBorders/>
            <w:shd w:fill="CCEEFF" w:val="clear"/>
            <w:vAlign w:val="center"/>
          </w:tcPr>
          <w:p>
            <w:pPr>
              <w:pStyle w:val="TableContents"/>
              <w:bidi w:val="0"/>
              <w:spacing w:before="0" w:after="283"/>
              <w:jc w:val="right"/>
              <w:rPr/>
            </w:pPr>
            <w:r>
              <w:rPr/>
              <w:t>14,983</w:t>
            </w:r>
          </w:p>
        </w:tc>
        <w:tc>
          <w:tcPr>
            <w:tcW w:w="230" w:type="dxa"/>
            <w:tcBorders/>
            <w:shd w:fill="CCEEFF" w:val="clear"/>
            <w:vAlign w:val="center"/>
          </w:tcPr>
          <w:p>
            <w:pPr>
              <w:pStyle w:val="TableContents"/>
              <w:bidi w:val="0"/>
              <w:spacing w:before="0" w:after="283"/>
              <w:jc w:val="left"/>
              <w:rPr/>
            </w:pPr>
            <w:r>
              <w:rPr/>
              <w:t> </w:t>
            </w:r>
          </w:p>
        </w:tc>
      </w:tr>
      <w:tr>
        <w:trPr/>
        <w:tc>
          <w:tcPr>
            <w:tcW w:w="3995" w:type="dxa"/>
            <w:tcBorders/>
            <w:vAlign w:val="center"/>
          </w:tcPr>
          <w:p>
            <w:pPr>
              <w:pStyle w:val="TableContents"/>
              <w:bidi w:val="0"/>
              <w:spacing w:before="0" w:after="0"/>
              <w:ind w:left="0" w:right="0" w:hanging="144"/>
              <w:jc w:val="left"/>
              <w:rPr/>
            </w:pPr>
            <w:r>
              <w:rPr/>
              <w:t xml:space="preserve">Land </w:t>
            </w:r>
          </w:p>
        </w:tc>
        <w:tc>
          <w:tcPr>
            <w:tcW w:w="90"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pPr>
            <w:r>
              <w:rPr/>
              <w:t> </w:t>
            </w:r>
          </w:p>
        </w:tc>
        <w:tc>
          <w:tcPr>
            <w:tcW w:w="1700" w:type="dxa"/>
            <w:tcBorders/>
            <w:vAlign w:val="center"/>
          </w:tcPr>
          <w:p>
            <w:pPr>
              <w:pStyle w:val="TableContents"/>
              <w:bidi w:val="0"/>
              <w:spacing w:before="0" w:after="283"/>
              <w:jc w:val="right"/>
              <w:rPr/>
            </w:pPr>
            <w:r>
              <w:rPr/>
              <w:t>13,039</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pPr>
            <w:r>
              <w:rPr/>
              <w:t> </w:t>
            </w:r>
          </w:p>
        </w:tc>
        <w:tc>
          <w:tcPr>
            <w:tcW w:w="2045" w:type="dxa"/>
            <w:tcBorders/>
            <w:vAlign w:val="center"/>
          </w:tcPr>
          <w:p>
            <w:pPr>
              <w:pStyle w:val="TableContents"/>
              <w:bidi w:val="0"/>
              <w:spacing w:before="0" w:after="283"/>
              <w:jc w:val="right"/>
              <w:rPr/>
            </w:pPr>
            <w:r>
              <w:rPr/>
              <w:t>13,039</w:t>
            </w:r>
          </w:p>
        </w:tc>
        <w:tc>
          <w:tcPr>
            <w:tcW w:w="230" w:type="dxa"/>
            <w:tcBorders/>
            <w:vAlign w:val="center"/>
          </w:tcPr>
          <w:p>
            <w:pPr>
              <w:pStyle w:val="TableContents"/>
              <w:bidi w:val="0"/>
              <w:spacing w:before="0" w:after="283"/>
              <w:jc w:val="left"/>
              <w:rPr/>
            </w:pPr>
            <w:r>
              <w:rPr/>
              <w:t> </w:t>
            </w:r>
          </w:p>
        </w:tc>
      </w:tr>
      <w:tr>
        <w:trPr/>
        <w:tc>
          <w:tcPr>
            <w:tcW w:w="3995" w:type="dxa"/>
            <w:tcBorders/>
            <w:shd w:fill="CCEEFF" w:val="clear"/>
            <w:vAlign w:val="center"/>
          </w:tcPr>
          <w:p>
            <w:pPr>
              <w:pStyle w:val="TableContents"/>
              <w:bidi w:val="0"/>
              <w:spacing w:before="0" w:after="0"/>
              <w:ind w:left="0" w:right="0" w:hanging="144"/>
              <w:jc w:val="left"/>
              <w:rPr/>
            </w:pPr>
            <w:r>
              <w:rPr/>
              <w:t xml:space="preserve">Buildings and building improvements </w:t>
            </w:r>
          </w:p>
        </w:tc>
        <w:tc>
          <w:tcPr>
            <w:tcW w:w="90" w:type="dxa"/>
            <w:tcBorders/>
            <w:shd w:fill="CCEEFF" w:val="clear"/>
            <w:vAlign w:val="center"/>
          </w:tcPr>
          <w:p>
            <w:pPr>
              <w:pStyle w:val="TableContents"/>
              <w:bidi w:val="0"/>
              <w:spacing w:before="0" w:after="283"/>
              <w:jc w:val="righ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700" w:type="dxa"/>
            <w:tcBorders>
              <w:bottom w:val="single" w:sz="12" w:space="0" w:color="000000"/>
            </w:tcBorders>
            <w:shd w:fill="CCEEFF" w:val="clear"/>
            <w:tcMar>
              <w:bottom w:w="28" w:type="dxa"/>
            </w:tcMar>
            <w:vAlign w:val="center"/>
          </w:tcPr>
          <w:p>
            <w:pPr>
              <w:pStyle w:val="TableContents"/>
              <w:bidi w:val="0"/>
              <w:spacing w:before="0" w:after="283"/>
              <w:jc w:val="right"/>
              <w:rPr/>
            </w:pPr>
            <w:r>
              <w:rPr/>
              <w:t>27,430</w:t>
            </w:r>
          </w:p>
        </w:tc>
        <w:tc>
          <w:tcPr>
            <w:tcW w:w="18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righ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2045" w:type="dxa"/>
            <w:tcBorders>
              <w:bottom w:val="single" w:sz="12" w:space="0" w:color="000000"/>
            </w:tcBorders>
            <w:shd w:fill="CCEEFF" w:val="clear"/>
            <w:tcMar>
              <w:bottom w:w="28" w:type="dxa"/>
            </w:tcMar>
            <w:vAlign w:val="center"/>
          </w:tcPr>
          <w:p>
            <w:pPr>
              <w:pStyle w:val="TableContents"/>
              <w:bidi w:val="0"/>
              <w:spacing w:before="0" w:after="283"/>
              <w:jc w:val="right"/>
              <w:rPr/>
            </w:pPr>
            <w:r>
              <w:rPr/>
              <w:t>26,886</w:t>
            </w:r>
          </w:p>
        </w:tc>
        <w:tc>
          <w:tcPr>
            <w:tcW w:w="23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r>
      <w:tr>
        <w:trPr/>
        <w:tc>
          <w:tcPr>
            <w:tcW w:w="399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pPr>
            <w:r>
              <w:rPr/>
              <w:t> </w:t>
            </w:r>
          </w:p>
        </w:tc>
        <w:tc>
          <w:tcPr>
            <w:tcW w:w="1700" w:type="dxa"/>
            <w:tcBorders/>
            <w:vAlign w:val="center"/>
          </w:tcPr>
          <w:p>
            <w:pPr>
              <w:pStyle w:val="TableContents"/>
              <w:bidi w:val="0"/>
              <w:spacing w:before="0" w:after="283"/>
              <w:jc w:val="right"/>
              <w:rPr/>
            </w:pPr>
            <w:r>
              <w:rPr/>
              <w:t>105,005</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pPr>
            <w:r>
              <w:rPr/>
              <w:t> </w:t>
            </w:r>
          </w:p>
        </w:tc>
        <w:tc>
          <w:tcPr>
            <w:tcW w:w="2045" w:type="dxa"/>
            <w:tcBorders/>
            <w:vAlign w:val="center"/>
          </w:tcPr>
          <w:p>
            <w:pPr>
              <w:pStyle w:val="TableContents"/>
              <w:bidi w:val="0"/>
              <w:spacing w:before="0" w:after="283"/>
              <w:jc w:val="right"/>
              <w:rPr/>
            </w:pPr>
            <w:r>
              <w:rPr/>
              <w:t>103,405</w:t>
            </w:r>
          </w:p>
        </w:tc>
        <w:tc>
          <w:tcPr>
            <w:tcW w:w="230" w:type="dxa"/>
            <w:tcBorders/>
            <w:vAlign w:val="center"/>
          </w:tcPr>
          <w:p>
            <w:pPr>
              <w:pStyle w:val="TableContents"/>
              <w:bidi w:val="0"/>
              <w:spacing w:before="0" w:after="283"/>
              <w:jc w:val="left"/>
              <w:rPr/>
            </w:pPr>
            <w:r>
              <w:rPr/>
              <w:t> </w:t>
            </w:r>
          </w:p>
        </w:tc>
      </w:tr>
      <w:tr>
        <w:trPr/>
        <w:tc>
          <w:tcPr>
            <w:tcW w:w="3995" w:type="dxa"/>
            <w:tcBorders/>
            <w:shd w:fill="CCEEFF" w:val="clear"/>
            <w:vAlign w:val="center"/>
          </w:tcPr>
          <w:p>
            <w:pPr>
              <w:pStyle w:val="TableContents"/>
              <w:bidi w:val="0"/>
              <w:spacing w:before="0" w:after="0"/>
              <w:ind w:left="0" w:right="0" w:hanging="144"/>
              <w:jc w:val="left"/>
              <w:rPr/>
            </w:pPr>
            <w:r>
              <w:rPr/>
              <w:t xml:space="preserve">Less: Accumulated depreciation </w:t>
            </w:r>
          </w:p>
        </w:tc>
        <w:tc>
          <w:tcPr>
            <w:tcW w:w="90" w:type="dxa"/>
            <w:tcBorders/>
            <w:shd w:fill="CCEEFF" w:val="clear"/>
            <w:vAlign w:val="center"/>
          </w:tcPr>
          <w:p>
            <w:pPr>
              <w:pStyle w:val="TableContents"/>
              <w:bidi w:val="0"/>
              <w:spacing w:before="0" w:after="283"/>
              <w:jc w:val="righ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700" w:type="dxa"/>
            <w:tcBorders>
              <w:bottom w:val="single" w:sz="12" w:space="0" w:color="000000"/>
            </w:tcBorders>
            <w:shd w:fill="CCEEFF" w:val="clear"/>
            <w:tcMar>
              <w:bottom w:w="28" w:type="dxa"/>
            </w:tcMar>
            <w:vAlign w:val="center"/>
          </w:tcPr>
          <w:p>
            <w:pPr>
              <w:pStyle w:val="TableContents"/>
              <w:bidi w:val="0"/>
              <w:spacing w:before="0" w:after="283"/>
              <w:jc w:val="right"/>
              <w:rPr/>
            </w:pPr>
            <w:r>
              <w:rPr/>
              <w:t>(39,995</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righ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2045" w:type="dxa"/>
            <w:tcBorders>
              <w:bottom w:val="single" w:sz="12" w:space="0" w:color="000000"/>
            </w:tcBorders>
            <w:shd w:fill="CCEEFF" w:val="clear"/>
            <w:tcMar>
              <w:bottom w:w="28" w:type="dxa"/>
            </w:tcMar>
            <w:vAlign w:val="center"/>
          </w:tcPr>
          <w:p>
            <w:pPr>
              <w:pStyle w:val="TableContents"/>
              <w:bidi w:val="0"/>
              <w:spacing w:before="0" w:after="283"/>
              <w:jc w:val="right"/>
              <w:rPr/>
            </w:pPr>
            <w:r>
              <w:rPr/>
              <w:t>(38,348</w:t>
            </w:r>
          </w:p>
        </w:tc>
        <w:tc>
          <w:tcPr>
            <w:tcW w:w="230" w:type="dxa"/>
            <w:tcBorders/>
            <w:shd w:fill="CCEEFF" w:val="clear"/>
            <w:vAlign w:val="center"/>
          </w:tcPr>
          <w:p>
            <w:pPr>
              <w:pStyle w:val="TableContents"/>
              <w:bidi w:val="0"/>
              <w:spacing w:before="0" w:after="283"/>
              <w:jc w:val="left"/>
              <w:rPr/>
            </w:pPr>
            <w:r>
              <w:rPr/>
              <w:t>) </w:t>
            </w:r>
          </w:p>
        </w:tc>
      </w:tr>
      <w:tr>
        <w:trPr/>
        <w:tc>
          <w:tcPr>
            <w:tcW w:w="3995" w:type="dxa"/>
            <w:tcBorders/>
            <w:vAlign w:val="center"/>
          </w:tcPr>
          <w:p>
            <w:pPr>
              <w:pStyle w:val="TableContents"/>
              <w:bidi w:val="0"/>
              <w:spacing w:before="0" w:after="0"/>
              <w:ind w:left="0" w:right="0" w:hanging="144"/>
              <w:jc w:val="left"/>
              <w:rPr/>
            </w:pPr>
            <w:r>
              <w:rPr/>
              <w:t xml:space="preserve">Total property and equipment, net </w:t>
            </w:r>
          </w:p>
        </w:tc>
        <w:tc>
          <w:tcPr>
            <w:tcW w:w="90" w:type="dxa"/>
            <w:tcBorders/>
            <w:vAlign w:val="center"/>
          </w:tcPr>
          <w:p>
            <w:pPr>
              <w:pStyle w:val="TableContents"/>
              <w:bidi w:val="0"/>
              <w:spacing w:before="0" w:after="283"/>
              <w:jc w:val="right"/>
              <w:rPr/>
            </w:pPr>
            <w:r>
              <w:rPr/>
              <w:t> </w:t>
            </w:r>
          </w:p>
        </w:tc>
        <w:tc>
          <w:tcPr>
            <w:tcW w:w="170" w:type="dxa"/>
            <w:tcBorders>
              <w:bottom w:val="double" w:sz="8" w:space="0" w:color="000000"/>
            </w:tcBorders>
            <w:tcMar>
              <w:bottom w:w="28" w:type="dxa"/>
            </w:tcMar>
            <w:vAlign w:val="center"/>
          </w:tcPr>
          <w:p>
            <w:pPr>
              <w:pStyle w:val="TableContents"/>
              <w:bidi w:val="0"/>
              <w:spacing w:before="0" w:after="283"/>
              <w:jc w:val="left"/>
              <w:rPr/>
            </w:pPr>
            <w:r>
              <w:rPr/>
              <w:t>$</w:t>
            </w:r>
          </w:p>
        </w:tc>
        <w:tc>
          <w:tcPr>
            <w:tcW w:w="1700" w:type="dxa"/>
            <w:tcBorders>
              <w:bottom w:val="double" w:sz="8" w:space="0" w:color="000000"/>
            </w:tcBorders>
            <w:tcMar>
              <w:bottom w:w="28" w:type="dxa"/>
            </w:tcMar>
            <w:vAlign w:val="center"/>
          </w:tcPr>
          <w:p>
            <w:pPr>
              <w:pStyle w:val="TableContents"/>
              <w:bidi w:val="0"/>
              <w:spacing w:before="0" w:after="283"/>
              <w:jc w:val="right"/>
              <w:rPr/>
            </w:pPr>
            <w:r>
              <w:rPr/>
              <w:t>65,010</w:t>
            </w:r>
          </w:p>
        </w:tc>
        <w:tc>
          <w:tcPr>
            <w:tcW w:w="185" w:type="dxa"/>
            <w:tcBorders>
              <w:bottom w:val="double" w:sz="8" w:space="0" w:color="000000"/>
            </w:tcBorders>
            <w:tcMar>
              <w:bottom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right"/>
              <w:rPr/>
            </w:pPr>
            <w:r>
              <w:rPr/>
              <w:t> </w:t>
            </w:r>
          </w:p>
        </w:tc>
        <w:tc>
          <w:tcPr>
            <w:tcW w:w="170" w:type="dxa"/>
            <w:tcBorders>
              <w:bottom w:val="double" w:sz="8" w:space="0" w:color="000000"/>
            </w:tcBorders>
            <w:tcMar>
              <w:bottom w:w="28" w:type="dxa"/>
            </w:tcMar>
            <w:vAlign w:val="center"/>
          </w:tcPr>
          <w:p>
            <w:pPr>
              <w:pStyle w:val="TableContents"/>
              <w:bidi w:val="0"/>
              <w:spacing w:before="0" w:after="283"/>
              <w:jc w:val="left"/>
              <w:rPr/>
            </w:pPr>
            <w:r>
              <w:rPr/>
              <w:t>$</w:t>
            </w:r>
          </w:p>
        </w:tc>
        <w:tc>
          <w:tcPr>
            <w:tcW w:w="2045" w:type="dxa"/>
            <w:tcBorders>
              <w:bottom w:val="double" w:sz="8" w:space="0" w:color="000000"/>
            </w:tcBorders>
            <w:tcMar>
              <w:bottom w:w="28" w:type="dxa"/>
            </w:tcMar>
            <w:vAlign w:val="center"/>
          </w:tcPr>
          <w:p>
            <w:pPr>
              <w:pStyle w:val="TableContents"/>
              <w:bidi w:val="0"/>
              <w:spacing w:before="0" w:after="283"/>
              <w:jc w:val="right"/>
              <w:rPr/>
            </w:pPr>
            <w:r>
              <w:rPr/>
              <w:t>65,057</w:t>
            </w:r>
          </w:p>
        </w:tc>
        <w:tc>
          <w:tcPr>
            <w:tcW w:w="230" w:type="dxa"/>
            <w:tcBorders>
              <w:bottom w:val="double" w:sz="8" w:space="0" w:color="000000"/>
            </w:tcBorders>
            <w:tcMar>
              <w:bottom w:w="28" w:type="dxa"/>
            </w:tcMar>
            <w:vAlign w:val="center"/>
          </w:tcPr>
          <w:p>
            <w:pPr>
              <w:pStyle w:val="TableContents"/>
              <w:bidi w:val="0"/>
              <w:spacing w:before="0" w:after="283"/>
              <w:jc w:val="left"/>
              <w:rPr/>
            </w:pPr>
            <w:r>
              <w:rPr/>
              <w:t> </w:t>
            </w:r>
          </w:p>
        </w:tc>
      </w:tr>
    </w:tbl>
    <w:p>
      <w:pPr>
        <w:pStyle w:val="TextBody"/>
        <w:bidi w:val="0"/>
        <w:spacing w:before="0" w:after="0"/>
        <w:jc w:val="center"/>
        <w:rPr/>
      </w:pPr>
      <w:r>
        <w:rPr/>
        <w:t xml:space="preserve">  </w:t>
      </w:r>
    </w:p>
    <w:p>
      <w:pPr>
        <w:pStyle w:val="TextBody"/>
        <w:bidi w:val="0"/>
        <w:spacing w:before="0" w:after="0"/>
        <w:ind w:left="0" w:right="0" w:firstLine="720"/>
        <w:jc w:val="both"/>
        <w:rPr>
          <w:rFonts w:ascii="Times New Roman" w:hAnsi="Times New Roman"/>
          <w:sz w:val="20"/>
        </w:rPr>
      </w:pPr>
      <w:r>
        <w:rPr>
          <w:rFonts w:ascii="Times New Roman" w:hAnsi="Times New Roman"/>
          <w:sz w:val="20"/>
        </w:rPr>
        <w:t>The Company recorded depreciation expense on property and equipment of $1.8 million and $1.9 million for the three months ended March 31, 2026 and 2025, respectively.</w:t>
      </w:r>
    </w:p>
    <w:p>
      <w:pPr>
        <w:pStyle w:val="TextBody"/>
        <w:bidi w:val="0"/>
        <w:spacing w:before="0" w:after="0"/>
        <w:ind w:left="0" w:right="0" w:firstLine="720"/>
        <w:jc w:val="both"/>
        <w:rPr/>
      </w:pPr>
      <w:r>
        <w:rPr/>
        <w:t> </w:t>
      </w:r>
    </w:p>
    <w:p>
      <w:pPr>
        <w:pStyle w:val="TextBody"/>
        <w:bidi w:val="0"/>
        <w:spacing w:before="0" w:after="0"/>
        <w:ind w:left="0" w:right="0" w:hanging="540"/>
        <w:jc w:val="left"/>
        <w:rPr>
          <w:rFonts w:ascii="Times New Roman" w:hAnsi="Times New Roman"/>
          <w:sz w:val="20"/>
        </w:rPr>
      </w:pPr>
      <w:r>
        <w:rPr>
          <w:rFonts w:ascii="Times New Roman" w:hAnsi="Times New Roman"/>
          <w:b/>
          <w:sz w:val="20"/>
          <w:u w:val="single"/>
        </w:rPr>
        <w:t>ASSETS AND LIABILITIES HELD FOR SALE</w:t>
      </w:r>
      <w:r>
        <w:rPr>
          <w:rFonts w:ascii="Times New Roman" w:hAnsi="Times New Roman"/>
          <w:sz w:val="20"/>
        </w:rPr>
        <w:t xml:space="preserve"> </w:t>
      </w:r>
      <w:r>
        <mc:AlternateContent>
          <mc:Choice Requires="wps">
            <w:drawing>
              <wp:anchor behindDoc="0" distT="0" distB="0" distL="0" distR="0" simplePos="0" locked="0" layoutInCell="1" allowOverlap="1" relativeHeight="45">
                <wp:simplePos x="0" y="0"/>
                <wp:positionH relativeFrom="column">
                  <wp:align>left</wp:align>
                </wp:positionH>
                <wp:positionV relativeFrom="line">
                  <wp:posOffset>635</wp:posOffset>
                </wp:positionV>
                <wp:extent cx="342900" cy="175260"/>
                <wp:effectExtent l="0" t="0" r="0" b="0"/>
                <wp:wrapSquare wrapText="right"/>
                <wp:docPr id="44" name="Frame44"/>
                <a:graphic xmlns:a="http://schemas.openxmlformats.org/drawingml/2006/main">
                  <a:graphicData uri="http://schemas.microsoft.com/office/word/2010/wordprocessingShape">
                    <wps:wsp>
                      <wps:cNvSpPr txBox="1"/>
                      <wps:spPr>
                        <a:xfrm>
                          <a:off x="0" y="0"/>
                          <a:ext cx="342900" cy="175260"/>
                        </a:xfrm>
                        <a:prstGeom prst="rect"/>
                        <a:solidFill>
                          <a:srgbClr val="FFFFFF"/>
                        </a:solidFill>
                      </wps:spPr>
                      <wps:txbx>
                        <w:txbxContent>
                          <w:p>
                            <w:pPr>
                              <w:pStyle w:val="TextBody"/>
                              <w:bidi w:val="0"/>
                              <w:spacing w:before="0" w:after="283"/>
                              <w:jc w:val="left"/>
                              <w:rPr/>
                            </w:pPr>
                            <w:r>
                              <w:rPr>
                                <w:b/>
                              </w:rPr>
                              <w:t>5.</w:t>
                            </w:r>
                            <w:r>
                              <w:rPr/>
                              <w:t xml:space="preserve"> </w:t>
                            </w:r>
                          </w:p>
                        </w:txbxContent>
                      </wps:txbx>
                      <wps:bodyPr anchor="t" lIns="0" tIns="0" rIns="0" bIns="0">
                        <a:noAutofit/>
                      </wps:bodyPr>
                    </wps:wsp>
                  </a:graphicData>
                </a:graphic>
              </wp:anchor>
            </w:drawing>
          </mc:Choice>
          <mc:Fallback>
            <w:pict>
              <v:rect style="position:absolute;rotation:-0;width:2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b/>
                        </w:rPr>
                        <w:t>5.</w:t>
                      </w:r>
                      <w:r>
                        <w:rPr/>
                        <w:t xml:space="preserve"> </w:t>
                      </w:r>
                    </w:p>
                  </w:txbxContent>
                </v:textbox>
                <w10:wrap type="square" side="right"/>
              </v:rect>
            </w:pict>
          </mc:Fallback>
        </mc:AlternateContent>
      </w:r>
    </w:p>
    <w:p>
      <w:pPr>
        <w:pStyle w:val="TextBody"/>
        <w:bidi w:val="0"/>
        <w:spacing w:before="0" w:after="0"/>
        <w:ind w:left="0" w:right="0" w:hanging="720"/>
        <w:jc w:val="left"/>
        <w:rPr/>
      </w:pPr>
      <w:r>
        <w:rPr/>
        <w:t> </w:t>
      </w:r>
    </w:p>
    <w:p>
      <w:pPr>
        <w:pStyle w:val="TextBody"/>
        <w:bidi w:val="0"/>
        <w:spacing w:before="0" w:after="0"/>
        <w:ind w:left="0" w:right="0" w:firstLine="540"/>
        <w:jc w:val="both"/>
        <w:rPr/>
      </w:pPr>
      <w:r>
        <w:rPr/>
        <w:t>   </w:t>
      </w:r>
      <w:r>
        <w:rPr>
          <w:rFonts w:ascii="Times New Roman" w:hAnsi="Times New Roman"/>
          <w:sz w:val="20"/>
        </w:rPr>
        <w:t xml:space="preserve">In the first quarter of 2026, the Company completed the sale of its plasma collection centers located in Maryville, Tennessee (“Maryville Center”), Knoxville, Tennessee (“Knoxville Center”), and Laurel, Maryland (“Laurel Center” and, collectively with the Maryville Center and Knoxville Center, the “Disposal Group”), in that order. The sale was completed pursuant to an Asset Purchase Agreement entered into on December 31, 2025, which provided for an aggregate purchase price of $12.0 million, with fifty percent (50%) of the consideration in the form of one-year secured promissory notes bearing interest at ten percent (10%) and the remaining fifty percent (50%) payable in cash, $1.0 million of which was received in December 2025. As a result of the sale of the Disposal Group, the Company recognized a gain of approximately $8.0 million. We have recorded the one-year secured promissory notes within prepaid expenses and other current assets and recognized the gain within Gain on sale of plasma centers. </w:t>
      </w:r>
    </w:p>
    <w:p>
      <w:pPr>
        <w:pStyle w:val="TextBody"/>
        <w:bidi w:val="0"/>
        <w:spacing w:before="0" w:after="0"/>
        <w:ind w:left="0" w:right="0" w:hanging="540"/>
        <w:jc w:val="left"/>
        <w:rPr/>
      </w:pPr>
      <w:r>
        <w:rPr/>
        <w:t> </w:t>
      </w:r>
    </w:p>
    <w:p>
      <w:pPr>
        <w:pStyle w:val="TextBody"/>
        <w:bidi w:val="0"/>
        <w:spacing w:before="0" w:after="0"/>
        <w:ind w:left="0" w:right="0" w:hanging="540"/>
        <w:jc w:val="left"/>
        <w:rPr>
          <w:rFonts w:ascii="Times New Roman" w:hAnsi="Times New Roman"/>
          <w:sz w:val="20"/>
        </w:rPr>
      </w:pPr>
      <w:r>
        <w:rPr>
          <w:rFonts w:ascii="Times New Roman" w:hAnsi="Times New Roman"/>
          <w:b/>
          <w:sz w:val="20"/>
          <w:u w:val="single"/>
        </w:rPr>
        <w:t>ACCRUED EXPENSES AND OTHER CURRENT LIABILITIES</w:t>
      </w:r>
      <w:r>
        <w:rPr>
          <w:rFonts w:ascii="Times New Roman" w:hAnsi="Times New Roman"/>
          <w:sz w:val="20"/>
        </w:rPr>
        <w:t xml:space="preserve"> </w:t>
      </w:r>
      <w:r>
        <mc:AlternateContent>
          <mc:Choice Requires="wps">
            <w:drawing>
              <wp:anchor behindDoc="0" distT="0" distB="0" distL="0" distR="0" simplePos="0" locked="0" layoutInCell="1" allowOverlap="1" relativeHeight="46">
                <wp:simplePos x="0" y="0"/>
                <wp:positionH relativeFrom="column">
                  <wp:align>left</wp:align>
                </wp:positionH>
                <wp:positionV relativeFrom="line">
                  <wp:posOffset>635</wp:posOffset>
                </wp:positionV>
                <wp:extent cx="342900" cy="175260"/>
                <wp:effectExtent l="0" t="0" r="0" b="0"/>
                <wp:wrapSquare wrapText="right"/>
                <wp:docPr id="45" name="Frame45"/>
                <a:graphic xmlns:a="http://schemas.openxmlformats.org/drawingml/2006/main">
                  <a:graphicData uri="http://schemas.microsoft.com/office/word/2010/wordprocessingShape">
                    <wps:wsp>
                      <wps:cNvSpPr txBox="1"/>
                      <wps:spPr>
                        <a:xfrm>
                          <a:off x="0" y="0"/>
                          <a:ext cx="342900" cy="175260"/>
                        </a:xfrm>
                        <a:prstGeom prst="rect"/>
                        <a:solidFill>
                          <a:srgbClr val="FFFFFF"/>
                        </a:solidFill>
                      </wps:spPr>
                      <wps:txbx>
                        <w:txbxContent>
                          <w:p>
                            <w:pPr>
                              <w:pStyle w:val="TextBody"/>
                              <w:bidi w:val="0"/>
                              <w:spacing w:before="0" w:after="283"/>
                              <w:jc w:val="left"/>
                              <w:rPr/>
                            </w:pPr>
                            <w:r>
                              <w:rPr>
                                <w:b/>
                              </w:rPr>
                              <w:t>6.</w:t>
                            </w:r>
                            <w:r>
                              <w:rPr/>
                              <w:t xml:space="preserve"> </w:t>
                            </w:r>
                          </w:p>
                        </w:txbxContent>
                      </wps:txbx>
                      <wps:bodyPr anchor="t" lIns="0" tIns="0" rIns="0" bIns="0">
                        <a:noAutofit/>
                      </wps:bodyPr>
                    </wps:wsp>
                  </a:graphicData>
                </a:graphic>
              </wp:anchor>
            </w:drawing>
          </mc:Choice>
          <mc:Fallback>
            <w:pict>
              <v:rect style="position:absolute;rotation:-0;width:2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b/>
                        </w:rPr>
                        <w:t>6.</w:t>
                      </w:r>
                      <w:r>
                        <w:rPr/>
                        <w:t xml:space="preserve"> </w:t>
                      </w:r>
                    </w:p>
                  </w:txbxContent>
                </v:textbox>
                <w10:wrap type="square" side="right"/>
              </v:rect>
            </w:pict>
          </mc:Fallback>
        </mc:AlternateContent>
      </w:r>
    </w:p>
    <w:p>
      <w:pPr>
        <w:pStyle w:val="TextBody"/>
        <w:bidi w:val="0"/>
        <w:spacing w:before="0" w:after="0"/>
        <w:ind w:left="0" w:right="0" w:hanging="540"/>
        <w:jc w:val="left"/>
        <w:rPr/>
      </w:pPr>
      <w:r>
        <w:rPr/>
        <w:t> </w:t>
      </w:r>
    </w:p>
    <w:p>
      <w:pPr>
        <w:pStyle w:val="TextBody"/>
        <w:bidi w:val="0"/>
        <w:spacing w:before="0" w:after="0"/>
        <w:ind w:left="0" w:right="0" w:firstLine="720"/>
        <w:jc w:val="left"/>
        <w:rPr>
          <w:rFonts w:ascii="Times New Roman" w:hAnsi="Times New Roman"/>
          <w:sz w:val="20"/>
        </w:rPr>
      </w:pPr>
      <w:r>
        <w:rPr>
          <w:rFonts w:ascii="Times New Roman" w:hAnsi="Times New Roman"/>
          <w:sz w:val="20"/>
        </w:rPr>
        <w:t xml:space="preserve">Accrued expenses and other current liabilities at March 31, 2026 and December 31, 2025 are as follows: </w:t>
      </w:r>
    </w:p>
    <w:p>
      <w:pPr>
        <w:pStyle w:val="TextBody"/>
        <w:bidi w:val="0"/>
        <w:spacing w:before="0" w:after="0"/>
        <w:jc w:val="left"/>
        <w:rPr/>
      </w:pPr>
      <w:r>
        <w:rPr/>
        <w:t> </w:t>
      </w:r>
    </w:p>
    <w:tbl>
      <w:tblPr>
        <w:tblW w:w="9205" w:type="dxa"/>
        <w:jc w:val="left"/>
        <w:tblInd w:w="0" w:type="dxa"/>
        <w:tblLayout w:type="fixed"/>
        <w:tblCellMar>
          <w:top w:w="0" w:type="dxa"/>
          <w:left w:w="0" w:type="dxa"/>
          <w:bottom w:w="0" w:type="dxa"/>
          <w:right w:w="0" w:type="dxa"/>
        </w:tblCellMar>
      </w:tblPr>
      <w:tblGrid>
        <w:gridCol w:w="4835"/>
        <w:gridCol w:w="90"/>
        <w:gridCol w:w="170"/>
        <w:gridCol w:w="1640"/>
        <w:gridCol w:w="90"/>
        <w:gridCol w:w="90"/>
        <w:gridCol w:w="170"/>
        <w:gridCol w:w="1985"/>
        <w:gridCol w:w="135"/>
      </w:tblGrid>
      <w:tr>
        <w:trPr/>
        <w:tc>
          <w:tcPr>
            <w:tcW w:w="483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64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985" w:type="dxa"/>
            <w:tcBorders/>
            <w:vAlign w:val="center"/>
          </w:tcPr>
          <w:p>
            <w:pPr>
              <w:pStyle w:val="TableContents"/>
              <w:bidi w:val="0"/>
              <w:spacing w:before="0" w:after="283"/>
              <w:jc w:val="left"/>
              <w:rPr/>
            </w:pPr>
            <w:r>
              <w:rPr/>
              <w:t> </w:t>
            </w:r>
          </w:p>
        </w:tc>
        <w:tc>
          <w:tcPr>
            <w:tcW w:w="135" w:type="dxa"/>
            <w:tcBorders/>
            <w:vAlign w:val="center"/>
          </w:tcPr>
          <w:p>
            <w:pPr>
              <w:pStyle w:val="TableContents"/>
              <w:bidi w:val="0"/>
              <w:spacing w:before="0" w:after="283"/>
              <w:jc w:val="left"/>
              <w:rPr/>
            </w:pPr>
            <w:r>
              <w:rPr/>
              <w:t> </w:t>
            </w:r>
          </w:p>
        </w:tc>
      </w:tr>
      <w:tr>
        <w:trPr/>
        <w:tc>
          <w:tcPr>
            <w:tcW w:w="4835" w:type="dxa"/>
            <w:tcBorders/>
          </w:tcPr>
          <w:p>
            <w:pPr>
              <w:pStyle w:val="TableContents"/>
              <w:bidi w:val="0"/>
              <w:spacing w:before="0" w:after="283"/>
              <w:jc w:val="left"/>
              <w:rPr/>
            </w:pPr>
            <w:r>
              <w:rPr/>
              <w:t> </w:t>
            </w:r>
          </w:p>
        </w:tc>
        <w:tc>
          <w:tcPr>
            <w:tcW w:w="90" w:type="dxa"/>
            <w:tcBorders/>
          </w:tcPr>
          <w:p>
            <w:pPr>
              <w:pStyle w:val="TableContents"/>
              <w:bidi w:val="0"/>
              <w:spacing w:before="0" w:after="283"/>
              <w:jc w:val="center"/>
              <w:rPr/>
            </w:pPr>
            <w:r>
              <w:rPr/>
              <w:t> </w:t>
            </w:r>
          </w:p>
        </w:tc>
        <w:tc>
          <w:tcPr>
            <w:tcW w:w="170" w:type="dxa"/>
            <w:tcBorders>
              <w:bottom w:val="single" w:sz="12" w:space="0" w:color="000000"/>
            </w:tcBorders>
            <w:tcMar>
              <w:bottom w:w="28" w:type="dxa"/>
            </w:tcMar>
          </w:tcPr>
          <w:p>
            <w:pPr>
              <w:pStyle w:val="TableContents"/>
              <w:bidi w:val="0"/>
              <w:spacing w:before="0" w:after="283"/>
              <w:jc w:val="center"/>
              <w:rPr/>
            </w:pPr>
            <w:r>
              <w:rPr/>
              <w:t> </w:t>
            </w:r>
          </w:p>
        </w:tc>
        <w:tc>
          <w:tcPr>
            <w:tcW w:w="1640" w:type="dxa"/>
            <w:tcBorders>
              <w:bottom w:val="single" w:sz="12" w:space="0" w:color="000000"/>
            </w:tcBorders>
            <w:tcMar>
              <w:bottom w:w="28" w:type="dxa"/>
            </w:tcMar>
          </w:tcPr>
          <w:p>
            <w:pPr>
              <w:pStyle w:val="TableContents"/>
              <w:bidi w:val="0"/>
              <w:spacing w:before="0" w:after="0"/>
              <w:ind w:left="0" w:right="0" w:hanging="0"/>
              <w:jc w:val="center"/>
              <w:rPr>
                <w:b/>
              </w:rPr>
            </w:pPr>
            <w:r>
              <w:rPr>
                <w:b/>
              </w:rPr>
              <w:t>March 31, 2026</w:t>
            </w:r>
          </w:p>
        </w:tc>
        <w:tc>
          <w:tcPr>
            <w:tcW w:w="90" w:type="dxa"/>
            <w:tcBorders/>
          </w:tcPr>
          <w:p>
            <w:pPr>
              <w:pStyle w:val="TableContents"/>
              <w:bidi w:val="0"/>
              <w:spacing w:before="0" w:after="283"/>
              <w:jc w:val="center"/>
              <w:rPr/>
            </w:pPr>
            <w:r>
              <w:rPr/>
              <w:t> </w:t>
            </w:r>
          </w:p>
        </w:tc>
        <w:tc>
          <w:tcPr>
            <w:tcW w:w="90" w:type="dxa"/>
            <w:tcBorders/>
          </w:tcPr>
          <w:p>
            <w:pPr>
              <w:pStyle w:val="TableContents"/>
              <w:bidi w:val="0"/>
              <w:spacing w:before="0" w:after="283"/>
              <w:jc w:val="center"/>
              <w:rPr/>
            </w:pPr>
            <w:r>
              <w:rPr/>
              <w:t> </w:t>
            </w:r>
          </w:p>
        </w:tc>
        <w:tc>
          <w:tcPr>
            <w:tcW w:w="170" w:type="dxa"/>
            <w:tcBorders>
              <w:bottom w:val="single" w:sz="12" w:space="0" w:color="000000"/>
            </w:tcBorders>
            <w:tcMar>
              <w:bottom w:w="28" w:type="dxa"/>
            </w:tcMar>
          </w:tcPr>
          <w:p>
            <w:pPr>
              <w:pStyle w:val="TableContents"/>
              <w:bidi w:val="0"/>
              <w:spacing w:before="0" w:after="283"/>
              <w:jc w:val="center"/>
              <w:rPr/>
            </w:pPr>
            <w:r>
              <w:rPr/>
              <w:t> </w:t>
            </w:r>
          </w:p>
        </w:tc>
        <w:tc>
          <w:tcPr>
            <w:tcW w:w="1985" w:type="dxa"/>
            <w:tcBorders>
              <w:bottom w:val="single" w:sz="12" w:space="0" w:color="000000"/>
            </w:tcBorders>
            <w:tcMar>
              <w:bottom w:w="28" w:type="dxa"/>
            </w:tcMar>
          </w:tcPr>
          <w:p>
            <w:pPr>
              <w:pStyle w:val="TableContents"/>
              <w:bidi w:val="0"/>
              <w:spacing w:before="0" w:after="0"/>
              <w:ind w:left="0" w:right="0" w:hanging="0"/>
              <w:jc w:val="center"/>
              <w:rPr>
                <w:b/>
              </w:rPr>
            </w:pPr>
            <w:r>
              <w:rPr>
                <w:b/>
              </w:rPr>
              <w:t>December 31, 2025</w:t>
            </w:r>
          </w:p>
        </w:tc>
        <w:tc>
          <w:tcPr>
            <w:tcW w:w="135" w:type="dxa"/>
            <w:tcBorders/>
          </w:tcPr>
          <w:p>
            <w:pPr>
              <w:pStyle w:val="TableContents"/>
              <w:bidi w:val="0"/>
              <w:spacing w:before="0" w:after="283"/>
              <w:jc w:val="center"/>
              <w:rPr/>
            </w:pPr>
            <w:r>
              <w:rPr/>
              <w:t> </w:t>
            </w:r>
          </w:p>
        </w:tc>
      </w:tr>
      <w:tr>
        <w:trPr/>
        <w:tc>
          <w:tcPr>
            <w:tcW w:w="4835" w:type="dxa"/>
            <w:tcBorders/>
          </w:tcPr>
          <w:p>
            <w:pPr>
              <w:pStyle w:val="TableContents"/>
              <w:bidi w:val="0"/>
              <w:spacing w:before="0" w:after="0"/>
              <w:ind w:left="144" w:right="0" w:hanging="144"/>
              <w:jc w:val="left"/>
              <w:rPr>
                <w:i/>
              </w:rPr>
            </w:pPr>
            <w:r>
              <w:rPr>
                <w:i/>
              </w:rPr>
              <w:t>(In thousands)</w:t>
            </w:r>
          </w:p>
        </w:tc>
        <w:tc>
          <w:tcPr>
            <w:tcW w:w="90" w:type="dxa"/>
            <w:tcBorders/>
          </w:tcPr>
          <w:p>
            <w:pPr>
              <w:pStyle w:val="TableContents"/>
              <w:bidi w:val="0"/>
              <w:spacing w:before="0" w:after="283"/>
              <w:jc w:val="left"/>
              <w:rPr/>
            </w:pPr>
            <w:r>
              <w:rPr/>
              <w:t> </w:t>
            </w:r>
          </w:p>
        </w:tc>
        <w:tc>
          <w:tcPr>
            <w:tcW w:w="170" w:type="dxa"/>
            <w:tcBorders/>
          </w:tcPr>
          <w:p>
            <w:pPr>
              <w:pStyle w:val="TableContents"/>
              <w:bidi w:val="0"/>
              <w:spacing w:before="0" w:after="283"/>
              <w:jc w:val="left"/>
              <w:rPr/>
            </w:pPr>
            <w:r>
              <w:rPr/>
              <w:t> </w:t>
            </w:r>
          </w:p>
        </w:tc>
        <w:tc>
          <w:tcPr>
            <w:tcW w:w="1640" w:type="dxa"/>
            <w:tcBorders/>
          </w:tcPr>
          <w:p>
            <w:pPr>
              <w:pStyle w:val="TableContents"/>
              <w:bidi w:val="0"/>
              <w:spacing w:before="0" w:after="283"/>
              <w:jc w:val="left"/>
              <w:rPr/>
            </w:pPr>
            <w:r>
              <w:rPr/>
              <w:t> </w:t>
            </w:r>
          </w:p>
        </w:tc>
        <w:tc>
          <w:tcPr>
            <w:tcW w:w="90" w:type="dxa"/>
            <w:tcBorders/>
          </w:tcPr>
          <w:p>
            <w:pPr>
              <w:pStyle w:val="TableContents"/>
              <w:bidi w:val="0"/>
              <w:spacing w:before="0" w:after="283"/>
              <w:jc w:val="left"/>
              <w:rPr/>
            </w:pPr>
            <w:r>
              <w:rPr/>
              <w:t> </w:t>
            </w:r>
          </w:p>
        </w:tc>
        <w:tc>
          <w:tcPr>
            <w:tcW w:w="90" w:type="dxa"/>
            <w:tcBorders/>
          </w:tcPr>
          <w:p>
            <w:pPr>
              <w:pStyle w:val="TableContents"/>
              <w:bidi w:val="0"/>
              <w:spacing w:before="0" w:after="283"/>
              <w:jc w:val="left"/>
              <w:rPr/>
            </w:pPr>
            <w:r>
              <w:rPr/>
              <w:t> </w:t>
            </w:r>
          </w:p>
        </w:tc>
        <w:tc>
          <w:tcPr>
            <w:tcW w:w="170" w:type="dxa"/>
            <w:tcBorders/>
          </w:tcPr>
          <w:p>
            <w:pPr>
              <w:pStyle w:val="TableContents"/>
              <w:bidi w:val="0"/>
              <w:spacing w:before="0" w:after="283"/>
              <w:jc w:val="left"/>
              <w:rPr/>
            </w:pPr>
            <w:r>
              <w:rPr/>
              <w:t> </w:t>
            </w:r>
          </w:p>
        </w:tc>
        <w:tc>
          <w:tcPr>
            <w:tcW w:w="1985" w:type="dxa"/>
            <w:tcBorders/>
          </w:tcPr>
          <w:p>
            <w:pPr>
              <w:pStyle w:val="TableContents"/>
              <w:bidi w:val="0"/>
              <w:spacing w:before="0" w:after="283"/>
              <w:jc w:val="left"/>
              <w:rPr/>
            </w:pPr>
            <w:r>
              <w:rPr/>
              <w:t> </w:t>
            </w:r>
          </w:p>
        </w:tc>
        <w:tc>
          <w:tcPr>
            <w:tcW w:w="135" w:type="dxa"/>
            <w:tcBorders/>
          </w:tcPr>
          <w:p>
            <w:pPr>
              <w:pStyle w:val="TableContents"/>
              <w:bidi w:val="0"/>
              <w:spacing w:before="0" w:after="283"/>
              <w:jc w:val="left"/>
              <w:rPr/>
            </w:pPr>
            <w:r>
              <w:rPr/>
              <w:t> </w:t>
            </w:r>
          </w:p>
        </w:tc>
      </w:tr>
      <w:tr>
        <w:trPr/>
        <w:tc>
          <w:tcPr>
            <w:tcW w:w="4835" w:type="dxa"/>
            <w:tcBorders/>
            <w:shd w:fill="CCEEFF" w:val="clear"/>
          </w:tcPr>
          <w:p>
            <w:pPr>
              <w:pStyle w:val="TableContents"/>
              <w:bidi w:val="0"/>
              <w:spacing w:before="0" w:after="0"/>
              <w:ind w:left="0" w:right="0" w:hanging="0"/>
              <w:jc w:val="left"/>
              <w:rPr/>
            </w:pPr>
            <w:r>
              <w:rPr/>
              <w:t>Accrued rebates</w:t>
            </w:r>
          </w:p>
        </w:tc>
        <w:tc>
          <w:tcPr>
            <w:tcW w:w="90" w:type="dxa"/>
            <w:tcBorders/>
            <w:shd w:fill="CCEEFF" w:val="clear"/>
          </w:tcPr>
          <w:p>
            <w:pPr>
              <w:pStyle w:val="TableContents"/>
              <w:bidi w:val="0"/>
              <w:spacing w:before="0" w:after="0"/>
              <w:ind w:left="0" w:right="0" w:hanging="0"/>
              <w:jc w:val="left"/>
              <w:rPr/>
            </w:pPr>
            <w:r>
              <w:rPr/>
              <w:t> </w:t>
            </w:r>
          </w:p>
        </w:tc>
        <w:tc>
          <w:tcPr>
            <w:tcW w:w="170" w:type="dxa"/>
            <w:tcBorders/>
            <w:shd w:fill="CCEEFF" w:val="clear"/>
          </w:tcPr>
          <w:p>
            <w:pPr>
              <w:pStyle w:val="TableContents"/>
              <w:bidi w:val="0"/>
              <w:spacing w:before="0" w:after="0"/>
              <w:ind w:left="0" w:right="0" w:hanging="0"/>
              <w:jc w:val="left"/>
              <w:rPr/>
            </w:pPr>
            <w:r>
              <w:rPr/>
              <w:t>$</w:t>
            </w:r>
          </w:p>
        </w:tc>
        <w:tc>
          <w:tcPr>
            <w:tcW w:w="1640" w:type="dxa"/>
            <w:tcBorders/>
            <w:shd w:fill="CCEEFF" w:val="clear"/>
          </w:tcPr>
          <w:p>
            <w:pPr>
              <w:pStyle w:val="TableContents"/>
              <w:bidi w:val="0"/>
              <w:spacing w:before="0" w:after="0"/>
              <w:ind w:left="0" w:right="0" w:hanging="0"/>
              <w:jc w:val="right"/>
              <w:rPr/>
            </w:pPr>
            <w:r>
              <w:rPr/>
              <w:t>7,159</w:t>
            </w:r>
          </w:p>
        </w:tc>
        <w:tc>
          <w:tcPr>
            <w:tcW w:w="90" w:type="dxa"/>
            <w:tcBorders/>
            <w:shd w:fill="CCEEFF" w:val="clear"/>
          </w:tcPr>
          <w:p>
            <w:pPr>
              <w:pStyle w:val="TableContents"/>
              <w:bidi w:val="0"/>
              <w:spacing w:before="0" w:after="0"/>
              <w:ind w:left="0" w:right="0" w:hanging="0"/>
              <w:jc w:val="left"/>
              <w:rPr/>
            </w:pPr>
            <w:r>
              <w:rPr/>
              <w:t> </w:t>
            </w:r>
          </w:p>
        </w:tc>
        <w:tc>
          <w:tcPr>
            <w:tcW w:w="90" w:type="dxa"/>
            <w:tcBorders/>
            <w:shd w:fill="CCEEFF" w:val="clear"/>
          </w:tcPr>
          <w:p>
            <w:pPr>
              <w:pStyle w:val="TableContents"/>
              <w:bidi w:val="0"/>
              <w:spacing w:before="0" w:after="0"/>
              <w:ind w:left="0" w:right="0" w:hanging="0"/>
              <w:jc w:val="left"/>
              <w:rPr/>
            </w:pPr>
            <w:r>
              <w:rPr/>
              <w:t> </w:t>
            </w:r>
          </w:p>
        </w:tc>
        <w:tc>
          <w:tcPr>
            <w:tcW w:w="170" w:type="dxa"/>
            <w:tcBorders/>
            <w:shd w:fill="CCEEFF" w:val="clear"/>
          </w:tcPr>
          <w:p>
            <w:pPr>
              <w:pStyle w:val="TableContents"/>
              <w:bidi w:val="0"/>
              <w:spacing w:before="0" w:after="0"/>
              <w:ind w:left="0" w:right="0" w:hanging="0"/>
              <w:jc w:val="left"/>
              <w:rPr/>
            </w:pPr>
            <w:r>
              <w:rPr/>
              <w:t>$</w:t>
            </w:r>
          </w:p>
        </w:tc>
        <w:tc>
          <w:tcPr>
            <w:tcW w:w="1985" w:type="dxa"/>
            <w:tcBorders/>
            <w:shd w:fill="CCEEFF" w:val="clear"/>
          </w:tcPr>
          <w:p>
            <w:pPr>
              <w:pStyle w:val="TableContents"/>
              <w:bidi w:val="0"/>
              <w:spacing w:before="0" w:after="0"/>
              <w:ind w:left="0" w:right="0" w:hanging="0"/>
              <w:jc w:val="right"/>
              <w:rPr/>
            </w:pPr>
            <w:r>
              <w:rPr/>
              <w:t>5,758</w:t>
            </w:r>
          </w:p>
        </w:tc>
        <w:tc>
          <w:tcPr>
            <w:tcW w:w="135" w:type="dxa"/>
            <w:tcBorders/>
            <w:shd w:fill="CCEEFF" w:val="clear"/>
          </w:tcPr>
          <w:p>
            <w:pPr>
              <w:pStyle w:val="TableContents"/>
              <w:bidi w:val="0"/>
              <w:spacing w:before="0" w:after="0"/>
              <w:jc w:val="left"/>
              <w:rPr/>
            </w:pPr>
            <w:r>
              <w:rPr/>
              <w:t> </w:t>
            </w:r>
          </w:p>
        </w:tc>
      </w:tr>
      <w:tr>
        <w:trPr/>
        <w:tc>
          <w:tcPr>
            <w:tcW w:w="4835" w:type="dxa"/>
            <w:tcBorders/>
          </w:tcPr>
          <w:p>
            <w:pPr>
              <w:pStyle w:val="TableContents"/>
              <w:bidi w:val="0"/>
              <w:spacing w:before="0" w:after="0"/>
              <w:ind w:left="0" w:right="0" w:hanging="0"/>
              <w:jc w:val="left"/>
              <w:rPr/>
            </w:pPr>
            <w:r>
              <w:rPr/>
              <w:t>Accrued distribution fees</w:t>
            </w:r>
          </w:p>
        </w:tc>
        <w:tc>
          <w:tcPr>
            <w:tcW w:w="90" w:type="dxa"/>
            <w:tcBorders/>
          </w:tcPr>
          <w:p>
            <w:pPr>
              <w:pStyle w:val="TableContents"/>
              <w:bidi w:val="0"/>
              <w:spacing w:before="0" w:after="0"/>
              <w:ind w:left="0" w:right="0" w:hanging="0"/>
              <w:jc w:val="left"/>
              <w:rPr/>
            </w:pPr>
            <w:r>
              <w:rPr/>
              <w:t> </w:t>
            </w:r>
          </w:p>
        </w:tc>
        <w:tc>
          <w:tcPr>
            <w:tcW w:w="170" w:type="dxa"/>
            <w:tcBorders/>
          </w:tcPr>
          <w:p>
            <w:pPr>
              <w:pStyle w:val="TableContents"/>
              <w:bidi w:val="0"/>
              <w:spacing w:before="0" w:after="0"/>
              <w:ind w:left="0" w:right="0" w:hanging="0"/>
              <w:jc w:val="left"/>
              <w:rPr/>
            </w:pPr>
            <w:r>
              <w:rPr/>
              <w:t> </w:t>
            </w:r>
          </w:p>
        </w:tc>
        <w:tc>
          <w:tcPr>
            <w:tcW w:w="1640" w:type="dxa"/>
            <w:tcBorders/>
          </w:tcPr>
          <w:p>
            <w:pPr>
              <w:pStyle w:val="TableContents"/>
              <w:bidi w:val="0"/>
              <w:spacing w:before="0" w:after="0"/>
              <w:ind w:left="0" w:right="0" w:hanging="0"/>
              <w:jc w:val="right"/>
              <w:rPr/>
            </w:pPr>
            <w:r>
              <w:rPr/>
              <w:t>12,598</w:t>
            </w:r>
          </w:p>
        </w:tc>
        <w:tc>
          <w:tcPr>
            <w:tcW w:w="90" w:type="dxa"/>
            <w:tcBorders/>
          </w:tcPr>
          <w:p>
            <w:pPr>
              <w:pStyle w:val="TableContents"/>
              <w:bidi w:val="0"/>
              <w:spacing w:before="0" w:after="0"/>
              <w:ind w:left="0" w:right="0" w:hanging="0"/>
              <w:jc w:val="left"/>
              <w:rPr/>
            </w:pPr>
            <w:r>
              <w:rPr/>
              <w:t> </w:t>
            </w:r>
          </w:p>
        </w:tc>
        <w:tc>
          <w:tcPr>
            <w:tcW w:w="90" w:type="dxa"/>
            <w:tcBorders/>
          </w:tcPr>
          <w:p>
            <w:pPr>
              <w:pStyle w:val="TableContents"/>
              <w:bidi w:val="0"/>
              <w:spacing w:before="0" w:after="0"/>
              <w:ind w:left="0" w:right="0" w:hanging="0"/>
              <w:jc w:val="left"/>
              <w:rPr/>
            </w:pPr>
            <w:r>
              <w:rPr/>
              <w:t> </w:t>
            </w:r>
          </w:p>
        </w:tc>
        <w:tc>
          <w:tcPr>
            <w:tcW w:w="170" w:type="dxa"/>
            <w:tcBorders/>
          </w:tcPr>
          <w:p>
            <w:pPr>
              <w:pStyle w:val="TableContents"/>
              <w:bidi w:val="0"/>
              <w:spacing w:before="0" w:after="0"/>
              <w:ind w:left="0" w:right="0" w:hanging="0"/>
              <w:jc w:val="left"/>
              <w:rPr/>
            </w:pPr>
            <w:r>
              <w:rPr/>
              <w:t> </w:t>
            </w:r>
          </w:p>
        </w:tc>
        <w:tc>
          <w:tcPr>
            <w:tcW w:w="1985" w:type="dxa"/>
            <w:tcBorders/>
          </w:tcPr>
          <w:p>
            <w:pPr>
              <w:pStyle w:val="TableContents"/>
              <w:bidi w:val="0"/>
              <w:spacing w:before="0" w:after="0"/>
              <w:ind w:left="0" w:right="0" w:hanging="0"/>
              <w:jc w:val="right"/>
              <w:rPr/>
            </w:pPr>
            <w:r>
              <w:rPr/>
              <w:t>14,808</w:t>
            </w:r>
          </w:p>
        </w:tc>
        <w:tc>
          <w:tcPr>
            <w:tcW w:w="135" w:type="dxa"/>
            <w:tcBorders/>
          </w:tcPr>
          <w:p>
            <w:pPr>
              <w:pStyle w:val="TableContents"/>
              <w:bidi w:val="0"/>
              <w:spacing w:before="0" w:after="0"/>
              <w:jc w:val="left"/>
              <w:rPr/>
            </w:pPr>
            <w:r>
              <w:rPr/>
              <w:t> </w:t>
            </w:r>
          </w:p>
        </w:tc>
      </w:tr>
      <w:tr>
        <w:trPr/>
        <w:tc>
          <w:tcPr>
            <w:tcW w:w="4835" w:type="dxa"/>
            <w:tcBorders/>
            <w:shd w:fill="CCEEFF" w:val="clear"/>
          </w:tcPr>
          <w:p>
            <w:pPr>
              <w:pStyle w:val="TableContents"/>
              <w:bidi w:val="0"/>
              <w:spacing w:before="0" w:after="0"/>
              <w:ind w:left="0" w:right="0" w:hanging="0"/>
              <w:jc w:val="left"/>
              <w:rPr/>
            </w:pPr>
            <w:r>
              <w:rPr/>
              <w:t>Accrued incentives</w:t>
            </w:r>
          </w:p>
        </w:tc>
        <w:tc>
          <w:tcPr>
            <w:tcW w:w="90" w:type="dxa"/>
            <w:tcBorders/>
            <w:shd w:fill="CCEEFF" w:val="clear"/>
          </w:tcPr>
          <w:p>
            <w:pPr>
              <w:pStyle w:val="TableContents"/>
              <w:bidi w:val="0"/>
              <w:spacing w:before="0" w:after="0"/>
              <w:ind w:left="0" w:right="0" w:hanging="0"/>
              <w:jc w:val="left"/>
              <w:rPr/>
            </w:pPr>
            <w:r>
              <w:rPr/>
              <w:t> </w:t>
            </w:r>
          </w:p>
        </w:tc>
        <w:tc>
          <w:tcPr>
            <w:tcW w:w="170" w:type="dxa"/>
            <w:tcBorders/>
            <w:shd w:fill="CCEEFF" w:val="clear"/>
          </w:tcPr>
          <w:p>
            <w:pPr>
              <w:pStyle w:val="TableContents"/>
              <w:bidi w:val="0"/>
              <w:spacing w:before="0" w:after="0"/>
              <w:ind w:left="0" w:right="0" w:hanging="0"/>
              <w:jc w:val="left"/>
              <w:rPr/>
            </w:pPr>
            <w:r>
              <w:rPr/>
              <w:t> </w:t>
            </w:r>
          </w:p>
        </w:tc>
        <w:tc>
          <w:tcPr>
            <w:tcW w:w="1640" w:type="dxa"/>
            <w:tcBorders/>
            <w:shd w:fill="CCEEFF" w:val="clear"/>
          </w:tcPr>
          <w:p>
            <w:pPr>
              <w:pStyle w:val="TableContents"/>
              <w:bidi w:val="0"/>
              <w:spacing w:before="0" w:after="0"/>
              <w:ind w:left="0" w:right="0" w:hanging="0"/>
              <w:jc w:val="right"/>
              <w:rPr/>
            </w:pPr>
            <w:r>
              <w:rPr/>
              <w:t>1,737</w:t>
            </w:r>
          </w:p>
        </w:tc>
        <w:tc>
          <w:tcPr>
            <w:tcW w:w="90" w:type="dxa"/>
            <w:tcBorders/>
            <w:shd w:fill="CCEEFF" w:val="clear"/>
          </w:tcPr>
          <w:p>
            <w:pPr>
              <w:pStyle w:val="TableContents"/>
              <w:bidi w:val="0"/>
              <w:spacing w:before="0" w:after="0"/>
              <w:ind w:left="0" w:right="0" w:hanging="0"/>
              <w:jc w:val="left"/>
              <w:rPr/>
            </w:pPr>
            <w:r>
              <w:rPr/>
              <w:t> </w:t>
            </w:r>
          </w:p>
        </w:tc>
        <w:tc>
          <w:tcPr>
            <w:tcW w:w="90" w:type="dxa"/>
            <w:tcBorders/>
            <w:shd w:fill="CCEEFF" w:val="clear"/>
          </w:tcPr>
          <w:p>
            <w:pPr>
              <w:pStyle w:val="TableContents"/>
              <w:bidi w:val="0"/>
              <w:spacing w:before="0" w:after="0"/>
              <w:ind w:left="0" w:right="0" w:hanging="0"/>
              <w:jc w:val="left"/>
              <w:rPr/>
            </w:pPr>
            <w:r>
              <w:rPr/>
              <w:t> </w:t>
            </w:r>
          </w:p>
        </w:tc>
        <w:tc>
          <w:tcPr>
            <w:tcW w:w="170" w:type="dxa"/>
            <w:tcBorders/>
            <w:shd w:fill="CCEEFF" w:val="clear"/>
          </w:tcPr>
          <w:p>
            <w:pPr>
              <w:pStyle w:val="TableContents"/>
              <w:bidi w:val="0"/>
              <w:spacing w:before="0" w:after="0"/>
              <w:ind w:left="0" w:right="0" w:hanging="0"/>
              <w:jc w:val="left"/>
              <w:rPr/>
            </w:pPr>
            <w:r>
              <w:rPr/>
              <w:t> </w:t>
            </w:r>
          </w:p>
        </w:tc>
        <w:tc>
          <w:tcPr>
            <w:tcW w:w="1985" w:type="dxa"/>
            <w:tcBorders/>
            <w:shd w:fill="CCEEFF" w:val="clear"/>
          </w:tcPr>
          <w:p>
            <w:pPr>
              <w:pStyle w:val="TableContents"/>
              <w:bidi w:val="0"/>
              <w:spacing w:before="0" w:after="0"/>
              <w:ind w:left="0" w:right="0" w:hanging="0"/>
              <w:jc w:val="right"/>
              <w:rPr/>
            </w:pPr>
            <w:r>
              <w:rPr/>
              <w:t>6,005</w:t>
            </w:r>
          </w:p>
        </w:tc>
        <w:tc>
          <w:tcPr>
            <w:tcW w:w="135" w:type="dxa"/>
            <w:tcBorders/>
            <w:shd w:fill="CCEEFF" w:val="clear"/>
          </w:tcPr>
          <w:p>
            <w:pPr>
              <w:pStyle w:val="TableContents"/>
              <w:bidi w:val="0"/>
              <w:spacing w:before="0" w:after="0"/>
              <w:jc w:val="left"/>
              <w:rPr/>
            </w:pPr>
            <w:r>
              <w:rPr/>
              <w:t> </w:t>
            </w:r>
          </w:p>
        </w:tc>
      </w:tr>
      <w:tr>
        <w:trPr/>
        <w:tc>
          <w:tcPr>
            <w:tcW w:w="4835" w:type="dxa"/>
            <w:tcBorders/>
          </w:tcPr>
          <w:p>
            <w:pPr>
              <w:pStyle w:val="TableContents"/>
              <w:bidi w:val="0"/>
              <w:spacing w:before="0" w:after="0"/>
              <w:ind w:left="0" w:right="0" w:hanging="0"/>
              <w:jc w:val="left"/>
              <w:rPr/>
            </w:pPr>
            <w:r>
              <w:rPr/>
              <w:t>Accrued interest</w:t>
            </w:r>
          </w:p>
        </w:tc>
        <w:tc>
          <w:tcPr>
            <w:tcW w:w="90" w:type="dxa"/>
            <w:tcBorders/>
          </w:tcPr>
          <w:p>
            <w:pPr>
              <w:pStyle w:val="TableContents"/>
              <w:bidi w:val="0"/>
              <w:spacing w:before="0" w:after="0"/>
              <w:ind w:left="0" w:right="0" w:hanging="0"/>
              <w:jc w:val="left"/>
              <w:rPr/>
            </w:pPr>
            <w:r>
              <w:rPr/>
              <w:t> </w:t>
            </w:r>
          </w:p>
        </w:tc>
        <w:tc>
          <w:tcPr>
            <w:tcW w:w="170" w:type="dxa"/>
            <w:tcBorders/>
          </w:tcPr>
          <w:p>
            <w:pPr>
              <w:pStyle w:val="TableContents"/>
              <w:bidi w:val="0"/>
              <w:spacing w:before="0" w:after="0"/>
              <w:ind w:left="0" w:right="0" w:hanging="0"/>
              <w:jc w:val="left"/>
              <w:rPr/>
            </w:pPr>
            <w:r>
              <w:rPr/>
              <w:t> </w:t>
            </w:r>
          </w:p>
        </w:tc>
        <w:tc>
          <w:tcPr>
            <w:tcW w:w="1640" w:type="dxa"/>
            <w:tcBorders/>
          </w:tcPr>
          <w:p>
            <w:pPr>
              <w:pStyle w:val="TableContents"/>
              <w:bidi w:val="0"/>
              <w:spacing w:before="0" w:after="0"/>
              <w:ind w:left="0" w:right="0" w:hanging="0"/>
              <w:jc w:val="right"/>
              <w:rPr/>
            </w:pPr>
            <w:r>
              <w:rPr/>
              <w:t>750</w:t>
            </w:r>
          </w:p>
        </w:tc>
        <w:tc>
          <w:tcPr>
            <w:tcW w:w="90" w:type="dxa"/>
            <w:tcBorders/>
          </w:tcPr>
          <w:p>
            <w:pPr>
              <w:pStyle w:val="TableContents"/>
              <w:bidi w:val="0"/>
              <w:spacing w:before="0" w:after="0"/>
              <w:ind w:left="0" w:right="0" w:hanging="0"/>
              <w:jc w:val="left"/>
              <w:rPr/>
            </w:pPr>
            <w:r>
              <w:rPr/>
              <w:t> </w:t>
            </w:r>
          </w:p>
        </w:tc>
        <w:tc>
          <w:tcPr>
            <w:tcW w:w="90" w:type="dxa"/>
            <w:tcBorders/>
          </w:tcPr>
          <w:p>
            <w:pPr>
              <w:pStyle w:val="TableContents"/>
              <w:bidi w:val="0"/>
              <w:spacing w:before="0" w:after="0"/>
              <w:ind w:left="0" w:right="0" w:hanging="0"/>
              <w:jc w:val="left"/>
              <w:rPr/>
            </w:pPr>
            <w:r>
              <w:rPr/>
              <w:t> </w:t>
            </w:r>
          </w:p>
        </w:tc>
        <w:tc>
          <w:tcPr>
            <w:tcW w:w="170" w:type="dxa"/>
            <w:tcBorders/>
          </w:tcPr>
          <w:p>
            <w:pPr>
              <w:pStyle w:val="TableContents"/>
              <w:bidi w:val="0"/>
              <w:spacing w:before="0" w:after="0"/>
              <w:ind w:left="0" w:right="0" w:hanging="0"/>
              <w:jc w:val="left"/>
              <w:rPr/>
            </w:pPr>
            <w:r>
              <w:rPr/>
              <w:t> </w:t>
            </w:r>
          </w:p>
        </w:tc>
        <w:tc>
          <w:tcPr>
            <w:tcW w:w="1985" w:type="dxa"/>
            <w:tcBorders/>
          </w:tcPr>
          <w:p>
            <w:pPr>
              <w:pStyle w:val="TableContents"/>
              <w:bidi w:val="0"/>
              <w:spacing w:before="0" w:after="0"/>
              <w:ind w:left="0" w:right="0" w:hanging="0"/>
              <w:jc w:val="right"/>
              <w:rPr/>
            </w:pPr>
            <w:r>
              <w:rPr/>
              <w:t>172</w:t>
            </w:r>
          </w:p>
        </w:tc>
        <w:tc>
          <w:tcPr>
            <w:tcW w:w="135" w:type="dxa"/>
            <w:tcBorders/>
          </w:tcPr>
          <w:p>
            <w:pPr>
              <w:pStyle w:val="TableContents"/>
              <w:bidi w:val="0"/>
              <w:spacing w:before="0" w:after="0"/>
              <w:jc w:val="left"/>
              <w:rPr/>
            </w:pPr>
            <w:r>
              <w:rPr/>
              <w:t> </w:t>
            </w:r>
          </w:p>
        </w:tc>
      </w:tr>
      <w:tr>
        <w:trPr/>
        <w:tc>
          <w:tcPr>
            <w:tcW w:w="4835" w:type="dxa"/>
            <w:tcBorders/>
            <w:shd w:fill="CCEEFF" w:val="clear"/>
          </w:tcPr>
          <w:p>
            <w:pPr>
              <w:pStyle w:val="TableContents"/>
              <w:bidi w:val="0"/>
              <w:spacing w:before="0" w:after="0"/>
              <w:ind w:left="0" w:right="0" w:hanging="0"/>
              <w:jc w:val="left"/>
              <w:rPr/>
            </w:pPr>
            <w:r>
              <w:rPr/>
              <w:t>Accrued testing</w:t>
            </w:r>
          </w:p>
        </w:tc>
        <w:tc>
          <w:tcPr>
            <w:tcW w:w="90" w:type="dxa"/>
            <w:tcBorders/>
            <w:shd w:fill="CCEEFF" w:val="clear"/>
          </w:tcPr>
          <w:p>
            <w:pPr>
              <w:pStyle w:val="TableContents"/>
              <w:bidi w:val="0"/>
              <w:spacing w:before="0" w:after="0"/>
              <w:ind w:left="0" w:right="0" w:hanging="0"/>
              <w:jc w:val="left"/>
              <w:rPr/>
            </w:pPr>
            <w:r>
              <w:rPr/>
              <w:t> </w:t>
            </w:r>
          </w:p>
        </w:tc>
        <w:tc>
          <w:tcPr>
            <w:tcW w:w="170" w:type="dxa"/>
            <w:tcBorders/>
            <w:shd w:fill="CCEEFF" w:val="clear"/>
          </w:tcPr>
          <w:p>
            <w:pPr>
              <w:pStyle w:val="TableContents"/>
              <w:bidi w:val="0"/>
              <w:spacing w:before="0" w:after="0"/>
              <w:ind w:left="0" w:right="0" w:hanging="0"/>
              <w:jc w:val="left"/>
              <w:rPr/>
            </w:pPr>
            <w:r>
              <w:rPr/>
              <w:t> </w:t>
            </w:r>
          </w:p>
        </w:tc>
        <w:tc>
          <w:tcPr>
            <w:tcW w:w="1640" w:type="dxa"/>
            <w:tcBorders/>
            <w:shd w:fill="CCEEFF" w:val="clear"/>
          </w:tcPr>
          <w:p>
            <w:pPr>
              <w:pStyle w:val="TableContents"/>
              <w:bidi w:val="0"/>
              <w:spacing w:before="0" w:after="0"/>
              <w:ind w:left="0" w:right="0" w:hanging="0"/>
              <w:jc w:val="right"/>
              <w:rPr/>
            </w:pPr>
            <w:r>
              <w:rPr/>
              <w:t>389</w:t>
            </w:r>
          </w:p>
        </w:tc>
        <w:tc>
          <w:tcPr>
            <w:tcW w:w="90" w:type="dxa"/>
            <w:tcBorders/>
            <w:shd w:fill="CCEEFF" w:val="clear"/>
          </w:tcPr>
          <w:p>
            <w:pPr>
              <w:pStyle w:val="TableContents"/>
              <w:bidi w:val="0"/>
              <w:spacing w:before="0" w:after="0"/>
              <w:ind w:left="0" w:right="0" w:hanging="0"/>
              <w:jc w:val="left"/>
              <w:rPr/>
            </w:pPr>
            <w:r>
              <w:rPr/>
              <w:t> </w:t>
            </w:r>
          </w:p>
        </w:tc>
        <w:tc>
          <w:tcPr>
            <w:tcW w:w="90" w:type="dxa"/>
            <w:tcBorders/>
            <w:shd w:fill="CCEEFF" w:val="clear"/>
          </w:tcPr>
          <w:p>
            <w:pPr>
              <w:pStyle w:val="TableContents"/>
              <w:bidi w:val="0"/>
              <w:spacing w:before="0" w:after="0"/>
              <w:ind w:left="0" w:right="0" w:hanging="0"/>
              <w:jc w:val="left"/>
              <w:rPr/>
            </w:pPr>
            <w:r>
              <w:rPr/>
              <w:t> </w:t>
            </w:r>
          </w:p>
        </w:tc>
        <w:tc>
          <w:tcPr>
            <w:tcW w:w="170" w:type="dxa"/>
            <w:tcBorders/>
            <w:shd w:fill="CCEEFF" w:val="clear"/>
          </w:tcPr>
          <w:p>
            <w:pPr>
              <w:pStyle w:val="TableContents"/>
              <w:bidi w:val="0"/>
              <w:spacing w:before="0" w:after="0"/>
              <w:ind w:left="0" w:right="0" w:hanging="0"/>
              <w:jc w:val="left"/>
              <w:rPr/>
            </w:pPr>
            <w:r>
              <w:rPr/>
              <w:t> </w:t>
            </w:r>
          </w:p>
        </w:tc>
        <w:tc>
          <w:tcPr>
            <w:tcW w:w="1985" w:type="dxa"/>
            <w:tcBorders/>
            <w:shd w:fill="CCEEFF" w:val="clear"/>
          </w:tcPr>
          <w:p>
            <w:pPr>
              <w:pStyle w:val="TableContents"/>
              <w:bidi w:val="0"/>
              <w:spacing w:before="0" w:after="0"/>
              <w:ind w:left="0" w:right="0" w:hanging="0"/>
              <w:jc w:val="right"/>
              <w:rPr/>
            </w:pPr>
            <w:r>
              <w:rPr/>
              <w:t>130</w:t>
            </w:r>
          </w:p>
        </w:tc>
        <w:tc>
          <w:tcPr>
            <w:tcW w:w="135" w:type="dxa"/>
            <w:tcBorders/>
            <w:shd w:fill="CCEEFF" w:val="clear"/>
          </w:tcPr>
          <w:p>
            <w:pPr>
              <w:pStyle w:val="TableContents"/>
              <w:bidi w:val="0"/>
              <w:spacing w:before="0" w:after="0"/>
              <w:jc w:val="left"/>
              <w:rPr/>
            </w:pPr>
            <w:r>
              <w:rPr/>
              <w:t> </w:t>
            </w:r>
          </w:p>
        </w:tc>
      </w:tr>
      <w:tr>
        <w:trPr/>
        <w:tc>
          <w:tcPr>
            <w:tcW w:w="4835" w:type="dxa"/>
            <w:tcBorders/>
          </w:tcPr>
          <w:p>
            <w:pPr>
              <w:pStyle w:val="TableContents"/>
              <w:bidi w:val="0"/>
              <w:spacing w:before="0" w:after="0"/>
              <w:ind w:left="0" w:right="0" w:hanging="0"/>
              <w:jc w:val="left"/>
              <w:rPr/>
            </w:pPr>
            <w:r>
              <w:rPr/>
              <w:t>Accrued payroll and other compensation</w:t>
            </w:r>
          </w:p>
        </w:tc>
        <w:tc>
          <w:tcPr>
            <w:tcW w:w="90" w:type="dxa"/>
            <w:tcBorders/>
          </w:tcPr>
          <w:p>
            <w:pPr>
              <w:pStyle w:val="TableContents"/>
              <w:bidi w:val="0"/>
              <w:spacing w:before="0" w:after="0"/>
              <w:ind w:left="0" w:right="0" w:hanging="0"/>
              <w:jc w:val="left"/>
              <w:rPr/>
            </w:pPr>
            <w:r>
              <w:rPr/>
              <w:t> </w:t>
            </w:r>
          </w:p>
        </w:tc>
        <w:tc>
          <w:tcPr>
            <w:tcW w:w="170" w:type="dxa"/>
            <w:tcBorders/>
          </w:tcPr>
          <w:p>
            <w:pPr>
              <w:pStyle w:val="TableContents"/>
              <w:bidi w:val="0"/>
              <w:spacing w:before="0" w:after="0"/>
              <w:ind w:left="0" w:right="0" w:hanging="0"/>
              <w:jc w:val="left"/>
              <w:rPr/>
            </w:pPr>
            <w:r>
              <w:rPr/>
              <w:t> </w:t>
            </w:r>
          </w:p>
        </w:tc>
        <w:tc>
          <w:tcPr>
            <w:tcW w:w="1640" w:type="dxa"/>
            <w:tcBorders/>
          </w:tcPr>
          <w:p>
            <w:pPr>
              <w:pStyle w:val="TableContents"/>
              <w:bidi w:val="0"/>
              <w:spacing w:before="0" w:after="0"/>
              <w:ind w:left="0" w:right="0" w:hanging="0"/>
              <w:jc w:val="right"/>
              <w:rPr/>
            </w:pPr>
            <w:r>
              <w:rPr/>
              <w:t>5,453</w:t>
            </w:r>
          </w:p>
        </w:tc>
        <w:tc>
          <w:tcPr>
            <w:tcW w:w="90" w:type="dxa"/>
            <w:tcBorders/>
          </w:tcPr>
          <w:p>
            <w:pPr>
              <w:pStyle w:val="TableContents"/>
              <w:bidi w:val="0"/>
              <w:spacing w:before="0" w:after="0"/>
              <w:ind w:left="0" w:right="0" w:hanging="0"/>
              <w:jc w:val="left"/>
              <w:rPr/>
            </w:pPr>
            <w:r>
              <w:rPr/>
              <w:t> </w:t>
            </w:r>
          </w:p>
        </w:tc>
        <w:tc>
          <w:tcPr>
            <w:tcW w:w="90" w:type="dxa"/>
            <w:tcBorders/>
          </w:tcPr>
          <w:p>
            <w:pPr>
              <w:pStyle w:val="TableContents"/>
              <w:bidi w:val="0"/>
              <w:spacing w:before="0" w:after="0"/>
              <w:ind w:left="0" w:right="0" w:hanging="0"/>
              <w:jc w:val="left"/>
              <w:rPr/>
            </w:pPr>
            <w:r>
              <w:rPr/>
              <w:t> </w:t>
            </w:r>
          </w:p>
        </w:tc>
        <w:tc>
          <w:tcPr>
            <w:tcW w:w="170" w:type="dxa"/>
            <w:tcBorders/>
          </w:tcPr>
          <w:p>
            <w:pPr>
              <w:pStyle w:val="TableContents"/>
              <w:bidi w:val="0"/>
              <w:spacing w:before="0" w:after="0"/>
              <w:ind w:left="0" w:right="0" w:hanging="0"/>
              <w:jc w:val="left"/>
              <w:rPr/>
            </w:pPr>
            <w:r>
              <w:rPr/>
              <w:t> </w:t>
            </w:r>
          </w:p>
        </w:tc>
        <w:tc>
          <w:tcPr>
            <w:tcW w:w="1985" w:type="dxa"/>
            <w:tcBorders/>
          </w:tcPr>
          <w:p>
            <w:pPr>
              <w:pStyle w:val="TableContents"/>
              <w:bidi w:val="0"/>
              <w:spacing w:before="0" w:after="0"/>
              <w:ind w:left="0" w:right="0" w:hanging="0"/>
              <w:jc w:val="right"/>
              <w:rPr/>
            </w:pPr>
            <w:r>
              <w:rPr/>
              <w:t>809</w:t>
            </w:r>
          </w:p>
        </w:tc>
        <w:tc>
          <w:tcPr>
            <w:tcW w:w="135" w:type="dxa"/>
            <w:tcBorders/>
          </w:tcPr>
          <w:p>
            <w:pPr>
              <w:pStyle w:val="TableContents"/>
              <w:bidi w:val="0"/>
              <w:spacing w:before="0" w:after="0"/>
              <w:jc w:val="left"/>
              <w:rPr/>
            </w:pPr>
            <w:r>
              <w:rPr/>
              <w:t> </w:t>
            </w:r>
          </w:p>
        </w:tc>
      </w:tr>
      <w:tr>
        <w:trPr/>
        <w:tc>
          <w:tcPr>
            <w:tcW w:w="4835" w:type="dxa"/>
            <w:tcBorders/>
            <w:shd w:fill="CCEEFF" w:val="clear"/>
          </w:tcPr>
          <w:p>
            <w:pPr>
              <w:pStyle w:val="TableContents"/>
              <w:bidi w:val="0"/>
              <w:spacing w:before="0" w:after="0"/>
              <w:ind w:left="0" w:right="0" w:hanging="0"/>
              <w:jc w:val="left"/>
              <w:rPr/>
            </w:pPr>
            <w:r>
              <w:rPr/>
              <w:t>Accrued income taxes</w:t>
            </w:r>
          </w:p>
        </w:tc>
        <w:tc>
          <w:tcPr>
            <w:tcW w:w="90" w:type="dxa"/>
            <w:tcBorders/>
            <w:shd w:fill="CCEEFF" w:val="clear"/>
          </w:tcPr>
          <w:p>
            <w:pPr>
              <w:pStyle w:val="TableContents"/>
              <w:bidi w:val="0"/>
              <w:spacing w:before="0" w:after="0"/>
              <w:ind w:left="0" w:right="0" w:hanging="0"/>
              <w:jc w:val="left"/>
              <w:rPr/>
            </w:pPr>
            <w:r>
              <w:rPr/>
              <w:t> </w:t>
            </w:r>
          </w:p>
        </w:tc>
        <w:tc>
          <w:tcPr>
            <w:tcW w:w="170" w:type="dxa"/>
            <w:tcBorders/>
            <w:shd w:fill="CCEEFF" w:val="clear"/>
          </w:tcPr>
          <w:p>
            <w:pPr>
              <w:pStyle w:val="TableContents"/>
              <w:bidi w:val="0"/>
              <w:spacing w:before="0" w:after="0"/>
              <w:ind w:left="0" w:right="0" w:hanging="0"/>
              <w:jc w:val="left"/>
              <w:rPr/>
            </w:pPr>
            <w:r>
              <w:rPr/>
              <w:t> </w:t>
            </w:r>
          </w:p>
        </w:tc>
        <w:tc>
          <w:tcPr>
            <w:tcW w:w="1640" w:type="dxa"/>
            <w:tcBorders/>
            <w:shd w:fill="CCEEFF" w:val="clear"/>
          </w:tcPr>
          <w:p>
            <w:pPr>
              <w:pStyle w:val="TableContents"/>
              <w:bidi w:val="0"/>
              <w:spacing w:before="0" w:after="0"/>
              <w:ind w:left="0" w:right="0" w:hanging="0"/>
              <w:jc w:val="right"/>
              <w:rPr/>
            </w:pPr>
            <w:r>
              <w:rPr/>
              <w:t>17,123</w:t>
            </w:r>
          </w:p>
        </w:tc>
        <w:tc>
          <w:tcPr>
            <w:tcW w:w="90" w:type="dxa"/>
            <w:tcBorders/>
            <w:shd w:fill="CCEEFF" w:val="clear"/>
          </w:tcPr>
          <w:p>
            <w:pPr>
              <w:pStyle w:val="TableContents"/>
              <w:bidi w:val="0"/>
              <w:spacing w:before="0" w:after="0"/>
              <w:ind w:left="0" w:right="0" w:hanging="0"/>
              <w:jc w:val="left"/>
              <w:rPr/>
            </w:pPr>
            <w:r>
              <w:rPr/>
              <w:t> </w:t>
            </w:r>
          </w:p>
        </w:tc>
        <w:tc>
          <w:tcPr>
            <w:tcW w:w="90" w:type="dxa"/>
            <w:tcBorders/>
            <w:shd w:fill="CCEEFF" w:val="clear"/>
          </w:tcPr>
          <w:p>
            <w:pPr>
              <w:pStyle w:val="TableContents"/>
              <w:bidi w:val="0"/>
              <w:spacing w:before="0" w:after="0"/>
              <w:ind w:left="0" w:right="0" w:hanging="0"/>
              <w:jc w:val="left"/>
              <w:rPr/>
            </w:pPr>
            <w:r>
              <w:rPr/>
              <w:t> </w:t>
            </w:r>
          </w:p>
        </w:tc>
        <w:tc>
          <w:tcPr>
            <w:tcW w:w="170" w:type="dxa"/>
            <w:tcBorders/>
            <w:shd w:fill="CCEEFF" w:val="clear"/>
          </w:tcPr>
          <w:p>
            <w:pPr>
              <w:pStyle w:val="TableContents"/>
              <w:bidi w:val="0"/>
              <w:spacing w:before="0" w:after="0"/>
              <w:ind w:left="0" w:right="0" w:hanging="0"/>
              <w:jc w:val="left"/>
              <w:rPr/>
            </w:pPr>
            <w:r>
              <w:rPr/>
              <w:t> </w:t>
            </w:r>
          </w:p>
        </w:tc>
        <w:tc>
          <w:tcPr>
            <w:tcW w:w="1985" w:type="dxa"/>
            <w:tcBorders/>
            <w:shd w:fill="CCEEFF" w:val="clear"/>
          </w:tcPr>
          <w:p>
            <w:pPr>
              <w:pStyle w:val="TableContents"/>
              <w:bidi w:val="0"/>
              <w:spacing w:before="0" w:after="0"/>
              <w:ind w:left="0" w:right="0" w:hanging="0"/>
              <w:jc w:val="right"/>
              <w:rPr/>
            </w:pPr>
            <w:r>
              <w:rPr/>
              <w:t>8,616</w:t>
            </w:r>
          </w:p>
        </w:tc>
        <w:tc>
          <w:tcPr>
            <w:tcW w:w="135" w:type="dxa"/>
            <w:tcBorders/>
            <w:shd w:fill="CCEEFF" w:val="clear"/>
          </w:tcPr>
          <w:p>
            <w:pPr>
              <w:pStyle w:val="TableContents"/>
              <w:bidi w:val="0"/>
              <w:spacing w:before="0" w:after="0"/>
              <w:jc w:val="left"/>
              <w:rPr/>
            </w:pPr>
            <w:r>
              <w:rPr/>
              <w:t> </w:t>
            </w:r>
          </w:p>
        </w:tc>
      </w:tr>
      <w:tr>
        <w:trPr/>
        <w:tc>
          <w:tcPr>
            <w:tcW w:w="4835" w:type="dxa"/>
            <w:tcBorders/>
          </w:tcPr>
          <w:p>
            <w:pPr>
              <w:pStyle w:val="TableContents"/>
              <w:bidi w:val="0"/>
              <w:spacing w:before="0" w:after="0"/>
              <w:ind w:left="0" w:right="0" w:hanging="0"/>
              <w:jc w:val="left"/>
              <w:rPr/>
            </w:pPr>
            <w:r>
              <w:rPr/>
              <w:t>Other</w:t>
            </w:r>
          </w:p>
        </w:tc>
        <w:tc>
          <w:tcPr>
            <w:tcW w:w="90" w:type="dxa"/>
            <w:tcBorders/>
          </w:tcPr>
          <w:p>
            <w:pPr>
              <w:pStyle w:val="TableContents"/>
              <w:bidi w:val="0"/>
              <w:spacing w:before="0" w:after="0"/>
              <w:ind w:left="0" w:right="0" w:hanging="0"/>
              <w:jc w:val="left"/>
              <w:rPr/>
            </w:pPr>
            <w:r>
              <w:rPr/>
              <w:t> </w:t>
            </w:r>
          </w:p>
        </w:tc>
        <w:tc>
          <w:tcPr>
            <w:tcW w:w="170" w:type="dxa"/>
            <w:tcBorders>
              <w:bottom w:val="single" w:sz="12" w:space="0" w:color="000000"/>
            </w:tcBorders>
            <w:tcMar>
              <w:bottom w:w="28" w:type="dxa"/>
            </w:tcMar>
          </w:tcPr>
          <w:p>
            <w:pPr>
              <w:pStyle w:val="TableContents"/>
              <w:bidi w:val="0"/>
              <w:spacing w:before="0" w:after="0"/>
              <w:ind w:left="0" w:right="0" w:hanging="0"/>
              <w:jc w:val="left"/>
              <w:rPr/>
            </w:pPr>
            <w:r>
              <w:rPr/>
              <w:t> </w:t>
            </w:r>
          </w:p>
        </w:tc>
        <w:tc>
          <w:tcPr>
            <w:tcW w:w="1640" w:type="dxa"/>
            <w:tcBorders>
              <w:bottom w:val="single" w:sz="12" w:space="0" w:color="000000"/>
            </w:tcBorders>
            <w:tcMar>
              <w:bottom w:w="28" w:type="dxa"/>
            </w:tcMar>
          </w:tcPr>
          <w:p>
            <w:pPr>
              <w:pStyle w:val="TableContents"/>
              <w:bidi w:val="0"/>
              <w:spacing w:before="0" w:after="0"/>
              <w:ind w:left="0" w:right="0" w:hanging="0"/>
              <w:jc w:val="right"/>
              <w:rPr/>
            </w:pPr>
            <w:r>
              <w:rPr/>
              <w:t>3,352</w:t>
            </w:r>
          </w:p>
        </w:tc>
        <w:tc>
          <w:tcPr>
            <w:tcW w:w="90" w:type="dxa"/>
            <w:tcBorders>
              <w:bottom w:val="single" w:sz="12" w:space="0" w:color="000000"/>
            </w:tcBorders>
            <w:tcMar>
              <w:bottom w:w="28" w:type="dxa"/>
            </w:tcMar>
          </w:tcPr>
          <w:p>
            <w:pPr>
              <w:pStyle w:val="TableContents"/>
              <w:bidi w:val="0"/>
              <w:spacing w:before="0" w:after="0"/>
              <w:ind w:left="0" w:right="0" w:hanging="0"/>
              <w:jc w:val="left"/>
              <w:rPr/>
            </w:pPr>
            <w:r>
              <w:rPr/>
              <w:t> </w:t>
            </w:r>
          </w:p>
        </w:tc>
        <w:tc>
          <w:tcPr>
            <w:tcW w:w="90" w:type="dxa"/>
            <w:tcBorders/>
          </w:tcPr>
          <w:p>
            <w:pPr>
              <w:pStyle w:val="TableContents"/>
              <w:bidi w:val="0"/>
              <w:spacing w:before="0" w:after="0"/>
              <w:ind w:left="0" w:right="0" w:hanging="0"/>
              <w:jc w:val="left"/>
              <w:rPr/>
            </w:pPr>
            <w:r>
              <w:rPr/>
              <w:t> </w:t>
            </w:r>
          </w:p>
        </w:tc>
        <w:tc>
          <w:tcPr>
            <w:tcW w:w="170" w:type="dxa"/>
            <w:tcBorders>
              <w:bottom w:val="single" w:sz="12" w:space="0" w:color="000000"/>
            </w:tcBorders>
            <w:tcMar>
              <w:bottom w:w="28" w:type="dxa"/>
            </w:tcMar>
          </w:tcPr>
          <w:p>
            <w:pPr>
              <w:pStyle w:val="TableContents"/>
              <w:bidi w:val="0"/>
              <w:spacing w:before="0" w:after="0"/>
              <w:ind w:left="0" w:right="0" w:hanging="0"/>
              <w:jc w:val="left"/>
              <w:rPr/>
            </w:pPr>
            <w:r>
              <w:rPr/>
              <w:t> </w:t>
            </w:r>
          </w:p>
        </w:tc>
        <w:tc>
          <w:tcPr>
            <w:tcW w:w="1985" w:type="dxa"/>
            <w:tcBorders>
              <w:bottom w:val="single" w:sz="12" w:space="0" w:color="000000"/>
            </w:tcBorders>
            <w:tcMar>
              <w:bottom w:w="28" w:type="dxa"/>
            </w:tcMar>
          </w:tcPr>
          <w:p>
            <w:pPr>
              <w:pStyle w:val="TableContents"/>
              <w:bidi w:val="0"/>
              <w:spacing w:before="0" w:after="0"/>
              <w:ind w:left="0" w:right="0" w:hanging="0"/>
              <w:jc w:val="right"/>
              <w:rPr/>
            </w:pPr>
            <w:r>
              <w:rPr/>
              <w:t>4,168</w:t>
            </w:r>
          </w:p>
        </w:tc>
        <w:tc>
          <w:tcPr>
            <w:tcW w:w="135" w:type="dxa"/>
            <w:tcBorders>
              <w:bottom w:val="single" w:sz="12" w:space="0" w:color="000000"/>
            </w:tcBorders>
            <w:tcMar>
              <w:bottom w:w="28" w:type="dxa"/>
            </w:tcMar>
          </w:tcPr>
          <w:p>
            <w:pPr>
              <w:pStyle w:val="TableContents"/>
              <w:bidi w:val="0"/>
              <w:spacing w:before="0" w:after="0"/>
              <w:jc w:val="left"/>
              <w:rPr/>
            </w:pPr>
            <w:r>
              <w:rPr/>
              <w:t> </w:t>
            </w:r>
          </w:p>
        </w:tc>
      </w:tr>
      <w:tr>
        <w:trPr/>
        <w:tc>
          <w:tcPr>
            <w:tcW w:w="4835" w:type="dxa"/>
            <w:tcBorders/>
            <w:shd w:fill="CCEEFF" w:val="clear"/>
          </w:tcPr>
          <w:p>
            <w:pPr>
              <w:pStyle w:val="TableContents"/>
              <w:bidi w:val="0"/>
              <w:spacing w:before="0" w:after="0"/>
              <w:ind w:left="0" w:right="0" w:hanging="0"/>
              <w:jc w:val="left"/>
              <w:rPr/>
            </w:pPr>
            <w:r>
              <w:rPr/>
              <w:t>Total accrued expenses and other current liabilities</w:t>
            </w:r>
          </w:p>
        </w:tc>
        <w:tc>
          <w:tcPr>
            <w:tcW w:w="90" w:type="dxa"/>
            <w:tcBorders/>
            <w:shd w:fill="CCEEFF" w:val="clear"/>
          </w:tcPr>
          <w:p>
            <w:pPr>
              <w:pStyle w:val="TableContents"/>
              <w:bidi w:val="0"/>
              <w:spacing w:before="0" w:after="0"/>
              <w:ind w:left="0" w:right="0" w:hanging="0"/>
              <w:jc w:val="left"/>
              <w:rPr/>
            </w:pPr>
            <w:r>
              <w:rPr/>
              <w:t> </w:t>
            </w:r>
          </w:p>
        </w:tc>
        <w:tc>
          <w:tcPr>
            <w:tcW w:w="170" w:type="dxa"/>
            <w:tcBorders>
              <w:bottom w:val="double" w:sz="8" w:space="0" w:color="000000"/>
            </w:tcBorders>
            <w:shd w:fill="CCEEFF" w:val="clear"/>
            <w:tcMar>
              <w:bottom w:w="28" w:type="dxa"/>
            </w:tcMar>
          </w:tcPr>
          <w:p>
            <w:pPr>
              <w:pStyle w:val="TableContents"/>
              <w:bidi w:val="0"/>
              <w:spacing w:before="0" w:after="0"/>
              <w:ind w:left="0" w:right="0" w:hanging="0"/>
              <w:jc w:val="left"/>
              <w:rPr/>
            </w:pPr>
            <w:r>
              <w:rPr/>
              <w:t>$</w:t>
            </w:r>
          </w:p>
        </w:tc>
        <w:tc>
          <w:tcPr>
            <w:tcW w:w="1640" w:type="dxa"/>
            <w:tcBorders>
              <w:bottom w:val="double" w:sz="8" w:space="0" w:color="000000"/>
            </w:tcBorders>
            <w:shd w:fill="CCEEFF" w:val="clear"/>
            <w:tcMar>
              <w:bottom w:w="28" w:type="dxa"/>
            </w:tcMar>
          </w:tcPr>
          <w:p>
            <w:pPr>
              <w:pStyle w:val="TableContents"/>
              <w:bidi w:val="0"/>
              <w:spacing w:before="0" w:after="0"/>
              <w:ind w:left="0" w:right="0" w:hanging="0"/>
              <w:jc w:val="right"/>
              <w:rPr/>
            </w:pPr>
            <w:r>
              <w:rPr/>
              <w:t>48,561</w:t>
            </w:r>
          </w:p>
        </w:tc>
        <w:tc>
          <w:tcPr>
            <w:tcW w:w="90" w:type="dxa"/>
            <w:tcBorders>
              <w:bottom w:val="double" w:sz="8" w:space="0" w:color="000000"/>
            </w:tcBorders>
            <w:shd w:fill="CCEEFF" w:val="clear"/>
            <w:tcMar>
              <w:bottom w:w="28" w:type="dxa"/>
            </w:tcMar>
          </w:tcPr>
          <w:p>
            <w:pPr>
              <w:pStyle w:val="TableContents"/>
              <w:bidi w:val="0"/>
              <w:spacing w:before="0" w:after="0"/>
              <w:ind w:left="0" w:right="0" w:hanging="0"/>
              <w:jc w:val="left"/>
              <w:rPr/>
            </w:pPr>
            <w:r>
              <w:rPr/>
              <w:t> </w:t>
            </w:r>
          </w:p>
        </w:tc>
        <w:tc>
          <w:tcPr>
            <w:tcW w:w="90" w:type="dxa"/>
            <w:tcBorders/>
            <w:shd w:fill="CCEEFF" w:val="clear"/>
          </w:tcPr>
          <w:p>
            <w:pPr>
              <w:pStyle w:val="TableContents"/>
              <w:bidi w:val="0"/>
              <w:spacing w:before="0" w:after="0"/>
              <w:ind w:left="0" w:right="0" w:hanging="0"/>
              <w:jc w:val="left"/>
              <w:rPr/>
            </w:pPr>
            <w:r>
              <w:rPr/>
              <w:t> </w:t>
            </w:r>
          </w:p>
        </w:tc>
        <w:tc>
          <w:tcPr>
            <w:tcW w:w="170" w:type="dxa"/>
            <w:tcBorders>
              <w:bottom w:val="double" w:sz="8" w:space="0" w:color="000000"/>
            </w:tcBorders>
            <w:shd w:fill="CCEEFF" w:val="clear"/>
            <w:tcMar>
              <w:bottom w:w="28" w:type="dxa"/>
            </w:tcMar>
          </w:tcPr>
          <w:p>
            <w:pPr>
              <w:pStyle w:val="TableContents"/>
              <w:bidi w:val="0"/>
              <w:spacing w:before="0" w:after="0"/>
              <w:ind w:left="0" w:right="0" w:hanging="0"/>
              <w:jc w:val="left"/>
              <w:rPr/>
            </w:pPr>
            <w:r>
              <w:rPr/>
              <w:t>$</w:t>
            </w:r>
          </w:p>
        </w:tc>
        <w:tc>
          <w:tcPr>
            <w:tcW w:w="1985" w:type="dxa"/>
            <w:tcBorders>
              <w:bottom w:val="double" w:sz="8" w:space="0" w:color="000000"/>
            </w:tcBorders>
            <w:shd w:fill="CCEEFF" w:val="clear"/>
            <w:tcMar>
              <w:bottom w:w="28" w:type="dxa"/>
            </w:tcMar>
          </w:tcPr>
          <w:p>
            <w:pPr>
              <w:pStyle w:val="TableContents"/>
              <w:bidi w:val="0"/>
              <w:spacing w:before="0" w:after="0"/>
              <w:ind w:left="0" w:right="0" w:hanging="0"/>
              <w:jc w:val="right"/>
              <w:rPr/>
            </w:pPr>
            <w:r>
              <w:rPr/>
              <w:t>40,466</w:t>
            </w:r>
          </w:p>
        </w:tc>
        <w:tc>
          <w:tcPr>
            <w:tcW w:w="135" w:type="dxa"/>
            <w:tcBorders>
              <w:bottom w:val="double" w:sz="8" w:space="0" w:color="000000"/>
            </w:tcBorders>
            <w:shd w:fill="CCEEFF" w:val="clear"/>
            <w:tcMar>
              <w:bottom w:w="28" w:type="dxa"/>
            </w:tcMar>
          </w:tcPr>
          <w:p>
            <w:pPr>
              <w:pStyle w:val="TableContents"/>
              <w:bidi w:val="0"/>
              <w:spacing w:before="0" w:after="0"/>
              <w:jc w:val="left"/>
              <w:rPr/>
            </w:pPr>
            <w:r>
              <w:rPr/>
              <w:t> </w:t>
            </w:r>
          </w:p>
        </w:tc>
      </w:tr>
    </w:tbl>
    <w:p>
      <w:pPr>
        <w:pStyle w:val="TextBody"/>
        <w:bidi w:val="0"/>
        <w:spacing w:before="0" w:after="0"/>
        <w:jc w:val="left"/>
        <w:rPr/>
      </w:pPr>
      <w:r>
        <w:rPr/>
        <w:t> </w:t>
      </w:r>
    </w:p>
    <w:p>
      <w:pPr>
        <w:pStyle w:val="TextBody"/>
        <w:bidi w:val="0"/>
        <w:spacing w:before="150" w:after="15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t>9</w:t>
      </w:r>
    </w:p>
    <w:p>
      <w:pPr>
        <w:pStyle w:val="HorizontalLine"/>
        <w:bidi w:val="0"/>
        <w:spacing w:before="150" w:after="150"/>
        <w:jc w:val="left"/>
        <w:rPr/>
      </w:pPr>
      <w:r>
        <w:rPr/>
      </w:r>
    </w:p>
    <w:p>
      <w:pPr>
        <w:pStyle w:val="TextBody"/>
        <w:bidi w:val="0"/>
        <w:spacing w:before="150" w:after="150"/>
        <w:jc w:val="left"/>
        <w:rPr/>
      </w:pPr>
      <w:hyperlink w:anchor="index">
        <w:r>
          <w:rPr>
            <w:rStyle w:val="InternetLink"/>
            <w:rFonts w:ascii="TimesNewRoman;Times New Roman;Times;Baskerville;Georgia;serif" w:hAnsi="TimesNewRoman;Times New Roman;Times;Baskerville;Georgia;serif"/>
            <w:b w:val="false"/>
            <w:i/>
            <w:caps w:val="false"/>
            <w:smallCaps w:val="false"/>
            <w:strike w:val="false"/>
            <w:dstrike w:val="false"/>
            <w:sz w:val="16"/>
            <w:u w:val="none"/>
            <w:effect w:val="none"/>
          </w:rPr>
          <w:t>Index</w:t>
        </w:r>
      </w:hyperlink>
    </w:p>
    <w:p>
      <w:pPr>
        <w:pStyle w:val="TextBody"/>
        <w:bidi w:val="0"/>
        <w:spacing w:before="0" w:after="0"/>
        <w:ind w:left="0" w:right="0" w:hanging="0"/>
        <w:jc w:val="center"/>
        <w:rPr>
          <w:rFonts w:ascii="Times New Roman" w:hAnsi="Times New Roman"/>
          <w:b/>
          <w:sz w:val="22"/>
        </w:rPr>
      </w:pPr>
      <w:r>
        <w:rPr>
          <w:rFonts w:ascii="Times New Roman" w:hAnsi="Times New Roman"/>
          <w:b/>
          <w:sz w:val="22"/>
        </w:rPr>
        <w:t>ADMA BIOLOGICS, INC. AND SUBSIDIARIES</w:t>
      </w:r>
    </w:p>
    <w:p>
      <w:pPr>
        <w:pStyle w:val="TextBody"/>
        <w:bidi w:val="0"/>
        <w:spacing w:before="0" w:after="0"/>
        <w:ind w:left="0" w:right="0" w:hanging="0"/>
        <w:jc w:val="center"/>
        <w:rPr>
          <w:rFonts w:ascii="Times New Roman" w:hAnsi="Times New Roman"/>
          <w:b/>
          <w:sz w:val="22"/>
        </w:rPr>
      </w:pPr>
      <w:r>
        <w:rPr>
          <w:rFonts w:ascii="Times New Roman" w:hAnsi="Times New Roman"/>
          <w:b/>
          <w:sz w:val="22"/>
        </w:rPr>
        <w:t>NOTES TO CONDENSED CONSOLIDATED FINANCIAL STATEMENTS (UNAUDITED)</w:t>
      </w:r>
    </w:p>
    <w:p>
      <w:pPr>
        <w:pStyle w:val="TextBody"/>
        <w:bidi w:val="0"/>
        <w:spacing w:before="0" w:after="0"/>
        <w:ind w:left="360" w:right="0" w:hanging="0"/>
        <w:jc w:val="center"/>
        <w:rPr/>
      </w:pPr>
      <w:r>
        <w:rPr/>
        <w:t> </w:t>
      </w:r>
    </w:p>
    <w:p>
      <w:pPr>
        <w:pStyle w:val="TextBody"/>
        <w:bidi w:val="0"/>
        <w:spacing w:before="0" w:after="0"/>
        <w:ind w:left="0" w:right="0" w:hanging="540"/>
        <w:jc w:val="left"/>
        <w:rPr>
          <w:rFonts w:ascii="Times New Roman" w:hAnsi="Times New Roman"/>
          <w:sz w:val="20"/>
        </w:rPr>
      </w:pPr>
      <w:r>
        <w:rPr>
          <w:rFonts w:ascii="Times New Roman" w:hAnsi="Times New Roman"/>
          <w:b/>
          <w:sz w:val="20"/>
          <w:u w:val="single"/>
        </w:rPr>
        <w:t>DEBT</w:t>
      </w:r>
      <w:r>
        <w:rPr>
          <w:rFonts w:ascii="Times New Roman" w:hAnsi="Times New Roman"/>
          <w:sz w:val="20"/>
        </w:rPr>
        <w:t xml:space="preserve"> </w:t>
      </w:r>
      <w:r>
        <mc:AlternateContent>
          <mc:Choice Requires="wps">
            <w:drawing>
              <wp:anchor behindDoc="0" distT="0" distB="0" distL="0" distR="0" simplePos="0" locked="0" layoutInCell="1" allowOverlap="1" relativeHeight="47">
                <wp:simplePos x="0" y="0"/>
                <wp:positionH relativeFrom="column">
                  <wp:align>left</wp:align>
                </wp:positionH>
                <wp:positionV relativeFrom="line">
                  <wp:posOffset>635</wp:posOffset>
                </wp:positionV>
                <wp:extent cx="342900" cy="175260"/>
                <wp:effectExtent l="0" t="0" r="0" b="0"/>
                <wp:wrapSquare wrapText="right"/>
                <wp:docPr id="46" name="Frame46"/>
                <a:graphic xmlns:a="http://schemas.openxmlformats.org/drawingml/2006/main">
                  <a:graphicData uri="http://schemas.microsoft.com/office/word/2010/wordprocessingShape">
                    <wps:wsp>
                      <wps:cNvSpPr txBox="1"/>
                      <wps:spPr>
                        <a:xfrm>
                          <a:off x="0" y="0"/>
                          <a:ext cx="342900" cy="175260"/>
                        </a:xfrm>
                        <a:prstGeom prst="rect"/>
                        <a:solidFill>
                          <a:srgbClr val="FFFFFF"/>
                        </a:solidFill>
                      </wps:spPr>
                      <wps:txbx>
                        <w:txbxContent>
                          <w:p>
                            <w:pPr>
                              <w:pStyle w:val="TextBody"/>
                              <w:bidi w:val="0"/>
                              <w:spacing w:before="0" w:after="283"/>
                              <w:jc w:val="left"/>
                              <w:rPr/>
                            </w:pPr>
                            <w:r>
                              <w:rPr>
                                <w:b/>
                              </w:rPr>
                              <w:t>7.</w:t>
                            </w:r>
                            <w:r>
                              <w:rPr/>
                              <w:t xml:space="preserve"> </w:t>
                            </w:r>
                          </w:p>
                        </w:txbxContent>
                      </wps:txbx>
                      <wps:bodyPr anchor="t" lIns="0" tIns="0" rIns="0" bIns="0">
                        <a:noAutofit/>
                      </wps:bodyPr>
                    </wps:wsp>
                  </a:graphicData>
                </a:graphic>
              </wp:anchor>
            </w:drawing>
          </mc:Choice>
          <mc:Fallback>
            <w:pict>
              <v:rect style="position:absolute;rotation:-0;width:2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b/>
                        </w:rPr>
                        <w:t>7.</w:t>
                      </w:r>
                      <w:r>
                        <w:rPr/>
                        <w:t xml:space="preserve"> </w:t>
                      </w:r>
                    </w:p>
                  </w:txbxContent>
                </v:textbox>
                <w10:wrap type="square" side="right"/>
              </v:rect>
            </w:pict>
          </mc:Fallback>
        </mc:AlternateContent>
      </w:r>
    </w:p>
    <w:p>
      <w:pPr>
        <w:pStyle w:val="TextBody"/>
        <w:bidi w:val="0"/>
        <w:spacing w:before="0" w:after="0"/>
        <w:ind w:left="0" w:right="0" w:hanging="540"/>
        <w:jc w:val="left"/>
        <w:rPr/>
      </w:pPr>
      <w:r>
        <w:rPr/>
        <w:t> </w:t>
      </w:r>
    </w:p>
    <w:p>
      <w:pPr>
        <w:pStyle w:val="TextBody"/>
        <w:bidi w:val="0"/>
        <w:spacing w:before="0" w:after="0"/>
        <w:ind w:left="0" w:right="0" w:firstLine="720"/>
        <w:jc w:val="left"/>
        <w:rPr>
          <w:rFonts w:ascii="Times New Roman" w:hAnsi="Times New Roman"/>
          <w:sz w:val="20"/>
        </w:rPr>
      </w:pPr>
      <w:r>
        <w:rPr>
          <w:rFonts w:ascii="Times New Roman" w:hAnsi="Times New Roman"/>
          <w:sz w:val="20"/>
        </w:rPr>
        <w:t xml:space="preserve">A summary of outstanding senior notes payable is as follows: </w:t>
      </w:r>
    </w:p>
    <w:p>
      <w:pPr>
        <w:pStyle w:val="TextBody"/>
        <w:bidi w:val="0"/>
        <w:spacing w:before="0" w:after="0"/>
        <w:jc w:val="center"/>
        <w:rPr/>
      </w:pPr>
      <w:r>
        <w:rPr/>
        <w:t xml:space="preserve">  </w:t>
      </w:r>
    </w:p>
    <w:tbl>
      <w:tblPr>
        <w:tblW w:w="8465" w:type="dxa"/>
        <w:jc w:val="left"/>
        <w:tblInd w:w="0" w:type="dxa"/>
        <w:tblLayout w:type="fixed"/>
        <w:tblCellMar>
          <w:top w:w="0" w:type="dxa"/>
          <w:left w:w="0" w:type="dxa"/>
          <w:bottom w:w="0" w:type="dxa"/>
          <w:right w:w="0" w:type="dxa"/>
        </w:tblCellMar>
      </w:tblPr>
      <w:tblGrid>
        <w:gridCol w:w="3785"/>
        <w:gridCol w:w="90"/>
        <w:gridCol w:w="170"/>
        <w:gridCol w:w="1700"/>
        <w:gridCol w:w="185"/>
        <w:gridCol w:w="90"/>
        <w:gridCol w:w="170"/>
        <w:gridCol w:w="2045"/>
        <w:gridCol w:w="230"/>
      </w:tblGrid>
      <w:tr>
        <w:trPr/>
        <w:tc>
          <w:tcPr>
            <w:tcW w:w="37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center"/>
              <w:rPr/>
            </w:pPr>
            <w:r>
              <w:rPr/>
              <w:t> </w:t>
            </w:r>
          </w:p>
        </w:tc>
        <w:tc>
          <w:tcPr>
            <w:tcW w:w="170" w:type="dxa"/>
            <w:tcBorders>
              <w:bottom w:val="single" w:sz="12" w:space="0" w:color="000000"/>
            </w:tcBorders>
            <w:tcMar>
              <w:bottom w:w="28" w:type="dxa"/>
            </w:tcMar>
            <w:vAlign w:val="center"/>
          </w:tcPr>
          <w:p>
            <w:pPr>
              <w:pStyle w:val="TableContents"/>
              <w:bidi w:val="0"/>
              <w:spacing w:before="0" w:after="283"/>
              <w:jc w:val="center"/>
              <w:rPr/>
            </w:pPr>
            <w:r>
              <w:rPr/>
              <w:t> </w:t>
            </w:r>
          </w:p>
        </w:tc>
        <w:tc>
          <w:tcPr>
            <w:tcW w:w="1700" w:type="dxa"/>
            <w:tcBorders>
              <w:bottom w:val="single" w:sz="12" w:space="0" w:color="000000"/>
            </w:tcBorders>
            <w:tcMar>
              <w:bottom w:w="28" w:type="dxa"/>
            </w:tcMar>
            <w:vAlign w:val="center"/>
          </w:tcPr>
          <w:p>
            <w:pPr>
              <w:pStyle w:val="TableContents"/>
              <w:bidi w:val="0"/>
              <w:spacing w:before="0" w:after="283"/>
              <w:jc w:val="center"/>
              <w:rPr/>
            </w:pPr>
            <w:r>
              <w:rPr>
                <w:b/>
              </w:rPr>
              <w:t>March 31, 2026</w:t>
            </w:r>
            <w:r>
              <w:rPr/>
              <w:t xml:space="preserve"> </w:t>
            </w:r>
          </w:p>
        </w:tc>
        <w:tc>
          <w:tcPr>
            <w:tcW w:w="185"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70" w:type="dxa"/>
            <w:tcBorders>
              <w:bottom w:val="single" w:sz="12" w:space="0" w:color="000000"/>
            </w:tcBorders>
            <w:tcMar>
              <w:bottom w:w="28" w:type="dxa"/>
            </w:tcMar>
            <w:vAlign w:val="center"/>
          </w:tcPr>
          <w:p>
            <w:pPr>
              <w:pStyle w:val="TableContents"/>
              <w:bidi w:val="0"/>
              <w:spacing w:before="0" w:after="283"/>
              <w:jc w:val="center"/>
              <w:rPr/>
            </w:pPr>
            <w:r>
              <w:rPr/>
              <w:t> </w:t>
            </w:r>
          </w:p>
        </w:tc>
        <w:tc>
          <w:tcPr>
            <w:tcW w:w="2045" w:type="dxa"/>
            <w:tcBorders>
              <w:bottom w:val="single" w:sz="12" w:space="0" w:color="000000"/>
            </w:tcBorders>
            <w:tcMar>
              <w:bottom w:w="28" w:type="dxa"/>
            </w:tcMar>
            <w:vAlign w:val="center"/>
          </w:tcPr>
          <w:p>
            <w:pPr>
              <w:pStyle w:val="TableContents"/>
              <w:bidi w:val="0"/>
              <w:spacing w:before="0" w:after="283"/>
              <w:jc w:val="center"/>
              <w:rPr/>
            </w:pPr>
            <w:r>
              <w:rPr>
                <w:b/>
              </w:rPr>
              <w:t>December 31, 2025</w:t>
            </w:r>
            <w:r>
              <w:rPr/>
              <w:t xml:space="preserve"> </w:t>
            </w:r>
          </w:p>
        </w:tc>
        <w:tc>
          <w:tcPr>
            <w:tcW w:w="230" w:type="dxa"/>
            <w:tcBorders/>
            <w:vAlign w:val="center"/>
          </w:tcPr>
          <w:p>
            <w:pPr>
              <w:pStyle w:val="TableContents"/>
              <w:bidi w:val="0"/>
              <w:spacing w:before="0" w:after="283"/>
              <w:jc w:val="center"/>
              <w:rPr/>
            </w:pPr>
            <w:r>
              <w:rPr/>
              <w:t> </w:t>
            </w:r>
          </w:p>
        </w:tc>
      </w:tr>
      <w:tr>
        <w:trPr/>
        <w:tc>
          <w:tcPr>
            <w:tcW w:w="3785" w:type="dxa"/>
            <w:tcBorders/>
            <w:vAlign w:val="center"/>
          </w:tcPr>
          <w:p>
            <w:pPr>
              <w:pStyle w:val="TableContents"/>
              <w:bidi w:val="0"/>
              <w:spacing w:before="0" w:after="0"/>
              <w:ind w:left="0" w:right="0" w:hanging="144"/>
              <w:jc w:val="left"/>
              <w:rPr/>
            </w:pPr>
            <w:r>
              <w:rPr>
                <w:i/>
              </w:rPr>
              <w:t>(In thousands)</w:t>
            </w:r>
            <w:r>
              <w:rPr/>
              <w:t xml:space="preserve">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700"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204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 </w:t>
            </w:r>
          </w:p>
        </w:tc>
      </w:tr>
      <w:tr>
        <w:trPr/>
        <w:tc>
          <w:tcPr>
            <w:tcW w:w="3785" w:type="dxa"/>
            <w:tcBorders/>
            <w:shd w:fill="CCEEFF" w:val="clear"/>
            <w:vAlign w:val="center"/>
          </w:tcPr>
          <w:p>
            <w:pPr>
              <w:pStyle w:val="TableContents"/>
              <w:bidi w:val="0"/>
              <w:spacing w:before="0" w:after="0"/>
              <w:ind w:left="0" w:right="0" w:hanging="144"/>
              <w:jc w:val="left"/>
              <w:rPr/>
            </w:pPr>
            <w:r>
              <w:rPr/>
              <w:t xml:space="preserve">JPM revolving credit facility </w:t>
            </w:r>
          </w:p>
        </w:tc>
        <w:tc>
          <w:tcPr>
            <w:tcW w:w="90"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w:t>
            </w:r>
          </w:p>
        </w:tc>
        <w:tc>
          <w:tcPr>
            <w:tcW w:w="1700" w:type="dxa"/>
            <w:tcBorders/>
            <w:shd w:fill="CCEEFF" w:val="clear"/>
            <w:vAlign w:val="center"/>
          </w:tcPr>
          <w:p>
            <w:pPr>
              <w:pStyle w:val="TableContents"/>
              <w:bidi w:val="0"/>
              <w:spacing w:before="0" w:after="283"/>
              <w:jc w:val="right"/>
              <w:rPr/>
            </w:pPr>
            <w:r>
              <w:rPr/>
              <w:t>125,000</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w:t>
            </w:r>
          </w:p>
        </w:tc>
        <w:tc>
          <w:tcPr>
            <w:tcW w:w="2045" w:type="dxa"/>
            <w:tcBorders/>
            <w:shd w:fill="CCEEFF" w:val="clear"/>
            <w:vAlign w:val="center"/>
          </w:tcPr>
          <w:p>
            <w:pPr>
              <w:pStyle w:val="TableContents"/>
              <w:bidi w:val="0"/>
              <w:spacing w:before="0" w:after="283"/>
              <w:jc w:val="right"/>
              <w:rPr/>
            </w:pPr>
            <w:r>
              <w:rPr/>
              <w:t xml:space="preserve">- </w:t>
            </w:r>
          </w:p>
        </w:tc>
        <w:tc>
          <w:tcPr>
            <w:tcW w:w="230" w:type="dxa"/>
            <w:tcBorders/>
            <w:shd w:fill="CCEEFF" w:val="clear"/>
            <w:vAlign w:val="center"/>
          </w:tcPr>
          <w:p>
            <w:pPr>
              <w:pStyle w:val="TableContents"/>
              <w:bidi w:val="0"/>
              <w:spacing w:before="0" w:after="283"/>
              <w:jc w:val="left"/>
              <w:rPr/>
            </w:pPr>
            <w:r>
              <w:rPr/>
              <w:t> </w:t>
            </w:r>
          </w:p>
        </w:tc>
      </w:tr>
      <w:tr>
        <w:trPr/>
        <w:tc>
          <w:tcPr>
            <w:tcW w:w="3785" w:type="dxa"/>
            <w:tcBorders/>
            <w:vAlign w:val="center"/>
          </w:tcPr>
          <w:p>
            <w:pPr>
              <w:pStyle w:val="TableContents"/>
              <w:bidi w:val="0"/>
              <w:spacing w:before="0" w:after="0"/>
              <w:ind w:left="0" w:right="0" w:hanging="144"/>
              <w:jc w:val="left"/>
              <w:rPr/>
            </w:pPr>
            <w:r>
              <w:rPr/>
              <w:t xml:space="preserve">JPM term loan </w:t>
            </w:r>
          </w:p>
        </w:tc>
        <w:tc>
          <w:tcPr>
            <w:tcW w:w="90"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pPr>
            <w:r>
              <w:rPr/>
              <w:t> </w:t>
            </w:r>
          </w:p>
        </w:tc>
        <w:tc>
          <w:tcPr>
            <w:tcW w:w="1700" w:type="dxa"/>
            <w:tcBorders/>
            <w:vAlign w:val="center"/>
          </w:tcPr>
          <w:p>
            <w:pPr>
              <w:pStyle w:val="TableContents"/>
              <w:bidi w:val="0"/>
              <w:spacing w:before="0" w:after="283"/>
              <w:jc w:val="right"/>
              <w:rPr/>
            </w:pPr>
            <w:r>
              <w:rPr/>
              <w:t>73,594</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pPr>
            <w:r>
              <w:rPr/>
              <w:t> </w:t>
            </w:r>
          </w:p>
        </w:tc>
        <w:tc>
          <w:tcPr>
            <w:tcW w:w="2045" w:type="dxa"/>
            <w:tcBorders/>
            <w:vAlign w:val="center"/>
          </w:tcPr>
          <w:p>
            <w:pPr>
              <w:pStyle w:val="TableContents"/>
              <w:bidi w:val="0"/>
              <w:spacing w:before="0" w:after="283"/>
              <w:jc w:val="right"/>
              <w:rPr/>
            </w:pPr>
            <w:r>
              <w:rPr/>
              <w:t>74,063</w:t>
            </w:r>
          </w:p>
        </w:tc>
        <w:tc>
          <w:tcPr>
            <w:tcW w:w="230" w:type="dxa"/>
            <w:tcBorders/>
            <w:vAlign w:val="center"/>
          </w:tcPr>
          <w:p>
            <w:pPr>
              <w:pStyle w:val="TableContents"/>
              <w:bidi w:val="0"/>
              <w:spacing w:before="0" w:after="283"/>
              <w:jc w:val="left"/>
              <w:rPr/>
            </w:pPr>
            <w:r>
              <w:rPr/>
              <w:t> </w:t>
            </w:r>
          </w:p>
        </w:tc>
      </w:tr>
      <w:tr>
        <w:trPr/>
        <w:tc>
          <w:tcPr>
            <w:tcW w:w="3785" w:type="dxa"/>
            <w:tcBorders/>
            <w:shd w:fill="CCEEFF" w:val="clear"/>
            <w:vAlign w:val="center"/>
          </w:tcPr>
          <w:p>
            <w:pPr>
              <w:pStyle w:val="TableContents"/>
              <w:bidi w:val="0"/>
              <w:spacing w:before="0" w:after="0"/>
              <w:jc w:val="left"/>
              <w:rPr/>
            </w:pPr>
            <w:r>
              <w:rPr/>
              <w:t xml:space="preserve">Less: Debt discount and issuance costs </w:t>
            </w:r>
          </w:p>
        </w:tc>
        <w:tc>
          <w:tcPr>
            <w:tcW w:w="90" w:type="dxa"/>
            <w:tcBorders/>
            <w:shd w:fill="CCEEFF" w:val="clear"/>
            <w:vAlign w:val="center"/>
          </w:tcPr>
          <w:p>
            <w:pPr>
              <w:pStyle w:val="TableContents"/>
              <w:bidi w:val="0"/>
              <w:spacing w:before="0" w:after="283"/>
              <w:jc w:val="righ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700" w:type="dxa"/>
            <w:tcBorders>
              <w:bottom w:val="single" w:sz="12" w:space="0" w:color="000000"/>
            </w:tcBorders>
            <w:shd w:fill="CCEEFF" w:val="clear"/>
            <w:tcMar>
              <w:bottom w:w="28" w:type="dxa"/>
            </w:tcMar>
            <w:vAlign w:val="center"/>
          </w:tcPr>
          <w:p>
            <w:pPr>
              <w:pStyle w:val="TableContents"/>
              <w:bidi w:val="0"/>
              <w:spacing w:before="0" w:after="283"/>
              <w:jc w:val="right"/>
              <w:rPr/>
            </w:pPr>
            <w:r>
              <w:rPr/>
              <w:t>(1,729</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righ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2045" w:type="dxa"/>
            <w:tcBorders>
              <w:bottom w:val="single" w:sz="12" w:space="0" w:color="000000"/>
            </w:tcBorders>
            <w:shd w:fill="CCEEFF" w:val="clear"/>
            <w:tcMar>
              <w:bottom w:w="28" w:type="dxa"/>
            </w:tcMar>
            <w:vAlign w:val="center"/>
          </w:tcPr>
          <w:p>
            <w:pPr>
              <w:pStyle w:val="TableContents"/>
              <w:bidi w:val="0"/>
              <w:spacing w:before="0" w:after="283"/>
              <w:jc w:val="right"/>
              <w:rPr/>
            </w:pPr>
            <w:r>
              <w:rPr/>
              <w:t>(1,920</w:t>
            </w:r>
          </w:p>
        </w:tc>
        <w:tc>
          <w:tcPr>
            <w:tcW w:w="230" w:type="dxa"/>
            <w:tcBorders/>
            <w:shd w:fill="CCEEFF" w:val="clear"/>
            <w:vAlign w:val="center"/>
          </w:tcPr>
          <w:p>
            <w:pPr>
              <w:pStyle w:val="TableContents"/>
              <w:bidi w:val="0"/>
              <w:spacing w:before="0" w:after="283"/>
              <w:jc w:val="left"/>
              <w:rPr/>
            </w:pPr>
            <w:r>
              <w:rPr/>
              <w:t>) </w:t>
            </w:r>
          </w:p>
        </w:tc>
      </w:tr>
      <w:tr>
        <w:trPr/>
        <w:tc>
          <w:tcPr>
            <w:tcW w:w="3785" w:type="dxa"/>
            <w:tcBorders/>
            <w:vAlign w:val="center"/>
          </w:tcPr>
          <w:p>
            <w:pPr>
              <w:pStyle w:val="TableContents"/>
              <w:bidi w:val="0"/>
              <w:spacing w:before="0" w:after="0"/>
              <w:ind w:left="0" w:right="0" w:hanging="144"/>
              <w:jc w:val="left"/>
              <w:rPr/>
            </w:pPr>
            <w:r>
              <w:rPr/>
              <w:t xml:space="preserve">Total debt </w:t>
            </w:r>
          </w:p>
        </w:tc>
        <w:tc>
          <w:tcPr>
            <w:tcW w:w="90" w:type="dxa"/>
            <w:tcBorders/>
            <w:vAlign w:val="center"/>
          </w:tcPr>
          <w:p>
            <w:pPr>
              <w:pStyle w:val="TableContents"/>
              <w:bidi w:val="0"/>
              <w:spacing w:before="0" w:after="283"/>
              <w:jc w:val="righ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1700" w:type="dxa"/>
            <w:tcBorders>
              <w:bottom w:val="single" w:sz="12" w:space="0" w:color="000000"/>
            </w:tcBorders>
            <w:tcMar>
              <w:bottom w:w="28" w:type="dxa"/>
            </w:tcMar>
            <w:vAlign w:val="center"/>
          </w:tcPr>
          <w:p>
            <w:pPr>
              <w:pStyle w:val="TableContents"/>
              <w:bidi w:val="0"/>
              <w:spacing w:before="0" w:after="283"/>
              <w:jc w:val="right"/>
              <w:rPr/>
            </w:pPr>
            <w:r>
              <w:rPr/>
              <w:t>196,865</w:t>
            </w:r>
          </w:p>
        </w:tc>
        <w:tc>
          <w:tcPr>
            <w:tcW w:w="185" w:type="dxa"/>
            <w:tcBorders>
              <w:bottom w:val="single" w:sz="12" w:space="0" w:color="000000"/>
            </w:tcBorders>
            <w:tcMar>
              <w:bottom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righ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2045" w:type="dxa"/>
            <w:tcBorders>
              <w:bottom w:val="single" w:sz="12" w:space="0" w:color="000000"/>
            </w:tcBorders>
            <w:tcMar>
              <w:bottom w:w="28" w:type="dxa"/>
            </w:tcMar>
            <w:vAlign w:val="center"/>
          </w:tcPr>
          <w:p>
            <w:pPr>
              <w:pStyle w:val="TableContents"/>
              <w:bidi w:val="0"/>
              <w:spacing w:before="0" w:after="283"/>
              <w:jc w:val="right"/>
              <w:rPr/>
            </w:pPr>
            <w:r>
              <w:rPr/>
              <w:t>72,143</w:t>
            </w:r>
          </w:p>
        </w:tc>
        <w:tc>
          <w:tcPr>
            <w:tcW w:w="230" w:type="dxa"/>
            <w:tcBorders>
              <w:bottom w:val="single" w:sz="12" w:space="0" w:color="000000"/>
            </w:tcBorders>
            <w:tcMar>
              <w:bottom w:w="28" w:type="dxa"/>
            </w:tcMar>
            <w:vAlign w:val="center"/>
          </w:tcPr>
          <w:p>
            <w:pPr>
              <w:pStyle w:val="TableContents"/>
              <w:bidi w:val="0"/>
              <w:spacing w:before="0" w:after="283"/>
              <w:jc w:val="left"/>
              <w:rPr/>
            </w:pPr>
            <w:r>
              <w:rPr/>
              <w:t> </w:t>
            </w:r>
          </w:p>
        </w:tc>
      </w:tr>
      <w:tr>
        <w:trPr/>
        <w:tc>
          <w:tcPr>
            <w:tcW w:w="3785" w:type="dxa"/>
            <w:tcBorders/>
            <w:shd w:fill="CCEEFF" w:val="clear"/>
            <w:vAlign w:val="center"/>
          </w:tcPr>
          <w:p>
            <w:pPr>
              <w:pStyle w:val="TableContents"/>
              <w:bidi w:val="0"/>
              <w:spacing w:before="0" w:after="0"/>
              <w:jc w:val="left"/>
              <w:rPr/>
            </w:pPr>
            <w:r>
              <w:rPr/>
              <w:t xml:space="preserve">Less: current portion of long-term debt </w:t>
            </w:r>
          </w:p>
        </w:tc>
        <w:tc>
          <w:tcPr>
            <w:tcW w:w="90" w:type="dxa"/>
            <w:tcBorders/>
            <w:shd w:fill="CCEEFF" w:val="clear"/>
            <w:vAlign w:val="center"/>
          </w:tcPr>
          <w:p>
            <w:pPr>
              <w:pStyle w:val="TableContents"/>
              <w:bidi w:val="0"/>
              <w:spacing w:before="0" w:after="283"/>
              <w:jc w:val="righ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700" w:type="dxa"/>
            <w:tcBorders>
              <w:bottom w:val="single" w:sz="12" w:space="0" w:color="000000"/>
            </w:tcBorders>
            <w:shd w:fill="CCEEFF" w:val="clear"/>
            <w:tcMar>
              <w:bottom w:w="28" w:type="dxa"/>
            </w:tcMar>
            <w:vAlign w:val="center"/>
          </w:tcPr>
          <w:p>
            <w:pPr>
              <w:pStyle w:val="TableContents"/>
              <w:bidi w:val="0"/>
              <w:spacing w:before="0" w:after="283"/>
              <w:jc w:val="right"/>
              <w:rPr/>
            </w:pPr>
            <w:r>
              <w:rPr/>
              <w:t>(3,281</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righ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2045" w:type="dxa"/>
            <w:tcBorders>
              <w:bottom w:val="single" w:sz="12" w:space="0" w:color="000000"/>
            </w:tcBorders>
            <w:shd w:fill="CCEEFF" w:val="clear"/>
            <w:tcMar>
              <w:bottom w:w="28" w:type="dxa"/>
            </w:tcMar>
            <w:vAlign w:val="center"/>
          </w:tcPr>
          <w:p>
            <w:pPr>
              <w:pStyle w:val="TableContents"/>
              <w:bidi w:val="0"/>
              <w:spacing w:before="0" w:after="283"/>
              <w:jc w:val="right"/>
              <w:rPr/>
            </w:pPr>
            <w:r>
              <w:rPr/>
              <w:t>(2,813</w:t>
            </w:r>
          </w:p>
        </w:tc>
        <w:tc>
          <w:tcPr>
            <w:tcW w:w="230" w:type="dxa"/>
            <w:tcBorders/>
            <w:shd w:fill="CCEEFF" w:val="clear"/>
            <w:vAlign w:val="center"/>
          </w:tcPr>
          <w:p>
            <w:pPr>
              <w:pStyle w:val="TableContents"/>
              <w:bidi w:val="0"/>
              <w:spacing w:before="0" w:after="283"/>
              <w:jc w:val="left"/>
              <w:rPr/>
            </w:pPr>
            <w:r>
              <w:rPr/>
              <w:t>) </w:t>
            </w:r>
          </w:p>
        </w:tc>
      </w:tr>
      <w:tr>
        <w:trPr/>
        <w:tc>
          <w:tcPr>
            <w:tcW w:w="3785" w:type="dxa"/>
            <w:tcBorders/>
            <w:vAlign w:val="center"/>
          </w:tcPr>
          <w:p>
            <w:pPr>
              <w:pStyle w:val="TableContents"/>
              <w:bidi w:val="0"/>
              <w:spacing w:before="0" w:after="0"/>
              <w:ind w:left="0" w:right="0" w:hanging="144"/>
              <w:jc w:val="left"/>
              <w:rPr/>
            </w:pPr>
            <w:r>
              <w:rPr/>
              <w:t xml:space="preserve">Long-term debt </w:t>
            </w:r>
          </w:p>
        </w:tc>
        <w:tc>
          <w:tcPr>
            <w:tcW w:w="90" w:type="dxa"/>
            <w:tcBorders/>
            <w:vAlign w:val="center"/>
          </w:tcPr>
          <w:p>
            <w:pPr>
              <w:pStyle w:val="TableContents"/>
              <w:bidi w:val="0"/>
              <w:spacing w:before="0" w:after="283"/>
              <w:jc w:val="right"/>
              <w:rPr/>
            </w:pPr>
            <w:r>
              <w:rPr/>
              <w:t> </w:t>
            </w:r>
          </w:p>
        </w:tc>
        <w:tc>
          <w:tcPr>
            <w:tcW w:w="170" w:type="dxa"/>
            <w:tcBorders>
              <w:bottom w:val="double" w:sz="8" w:space="0" w:color="000000"/>
            </w:tcBorders>
            <w:tcMar>
              <w:bottom w:w="28" w:type="dxa"/>
            </w:tcMar>
            <w:vAlign w:val="center"/>
          </w:tcPr>
          <w:p>
            <w:pPr>
              <w:pStyle w:val="TableContents"/>
              <w:bidi w:val="0"/>
              <w:spacing w:before="0" w:after="283"/>
              <w:jc w:val="left"/>
              <w:rPr/>
            </w:pPr>
            <w:r>
              <w:rPr/>
              <w:t>$</w:t>
            </w:r>
          </w:p>
        </w:tc>
        <w:tc>
          <w:tcPr>
            <w:tcW w:w="1700" w:type="dxa"/>
            <w:tcBorders>
              <w:bottom w:val="double" w:sz="8" w:space="0" w:color="000000"/>
            </w:tcBorders>
            <w:tcMar>
              <w:bottom w:w="28" w:type="dxa"/>
            </w:tcMar>
            <w:vAlign w:val="center"/>
          </w:tcPr>
          <w:p>
            <w:pPr>
              <w:pStyle w:val="TableContents"/>
              <w:bidi w:val="0"/>
              <w:spacing w:before="0" w:after="283"/>
              <w:jc w:val="right"/>
              <w:rPr/>
            </w:pPr>
            <w:r>
              <w:rPr/>
              <w:t>193,584</w:t>
            </w:r>
          </w:p>
        </w:tc>
        <w:tc>
          <w:tcPr>
            <w:tcW w:w="185" w:type="dxa"/>
            <w:tcBorders>
              <w:bottom w:val="single" w:sz="12" w:space="0" w:color="000000"/>
            </w:tcBorders>
            <w:tcMar>
              <w:bottom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right"/>
              <w:rPr/>
            </w:pPr>
            <w:r>
              <w:rPr/>
              <w:t> </w:t>
            </w:r>
          </w:p>
        </w:tc>
        <w:tc>
          <w:tcPr>
            <w:tcW w:w="170" w:type="dxa"/>
            <w:tcBorders>
              <w:bottom w:val="double" w:sz="8" w:space="0" w:color="000000"/>
            </w:tcBorders>
            <w:tcMar>
              <w:bottom w:w="28" w:type="dxa"/>
            </w:tcMar>
            <w:vAlign w:val="center"/>
          </w:tcPr>
          <w:p>
            <w:pPr>
              <w:pStyle w:val="TableContents"/>
              <w:bidi w:val="0"/>
              <w:spacing w:before="0" w:after="283"/>
              <w:jc w:val="left"/>
              <w:rPr/>
            </w:pPr>
            <w:r>
              <w:rPr/>
              <w:t>$</w:t>
            </w:r>
          </w:p>
        </w:tc>
        <w:tc>
          <w:tcPr>
            <w:tcW w:w="2045" w:type="dxa"/>
            <w:tcBorders>
              <w:bottom w:val="double" w:sz="8" w:space="0" w:color="000000"/>
            </w:tcBorders>
            <w:tcMar>
              <w:bottom w:w="28" w:type="dxa"/>
            </w:tcMar>
            <w:vAlign w:val="center"/>
          </w:tcPr>
          <w:p>
            <w:pPr>
              <w:pStyle w:val="TableContents"/>
              <w:bidi w:val="0"/>
              <w:spacing w:before="0" w:after="283"/>
              <w:jc w:val="right"/>
              <w:rPr/>
            </w:pPr>
            <w:r>
              <w:rPr/>
              <w:t>69,330</w:t>
            </w:r>
          </w:p>
        </w:tc>
        <w:tc>
          <w:tcPr>
            <w:tcW w:w="230" w:type="dxa"/>
            <w:tcBorders>
              <w:bottom w:val="single" w:sz="12" w:space="0" w:color="000000"/>
            </w:tcBorders>
            <w:tcMar>
              <w:bottom w:w="28" w:type="dxa"/>
            </w:tcMar>
            <w:vAlign w:val="center"/>
          </w:tcPr>
          <w:p>
            <w:pPr>
              <w:pStyle w:val="TableContents"/>
              <w:bidi w:val="0"/>
              <w:spacing w:before="0" w:after="283"/>
              <w:jc w:val="left"/>
              <w:rPr/>
            </w:pPr>
            <w:r>
              <w:rPr/>
              <w:t> </w:t>
            </w:r>
          </w:p>
        </w:tc>
      </w:tr>
    </w:tbl>
    <w:p>
      <w:pPr>
        <w:pStyle w:val="TextBody"/>
        <w:bidi w:val="0"/>
        <w:spacing w:before="0" w:after="0"/>
        <w:jc w:val="center"/>
        <w:rPr/>
      </w:pPr>
      <w:r>
        <w:rPr/>
        <w:t xml:space="preserve">  </w:t>
      </w:r>
    </w:p>
    <w:p>
      <w:pPr>
        <w:pStyle w:val="TextBody"/>
        <w:bidi w:val="0"/>
        <w:spacing w:before="0" w:after="0"/>
        <w:jc w:val="left"/>
        <w:rPr>
          <w:rFonts w:ascii="Times New Roman" w:hAnsi="Times New Roman"/>
          <w:sz w:val="20"/>
        </w:rPr>
      </w:pPr>
      <w:r>
        <w:rPr>
          <w:rFonts w:ascii="Times New Roman" w:hAnsi="Times New Roman"/>
          <w:i/>
          <w:sz w:val="20"/>
        </w:rPr>
        <w:t>JPM Credit Agreement</w:t>
      </w:r>
      <w:r>
        <w:rPr>
          <w:rFonts w:ascii="Times New Roman" w:hAnsi="Times New Roman"/>
          <w:sz w:val="20"/>
        </w:rPr>
        <w:t xml:space="preserve"> </w:t>
      </w:r>
    </w:p>
    <w:p>
      <w:pPr>
        <w:pStyle w:val="TextBody"/>
        <w:bidi w:val="0"/>
        <w:spacing w:before="0" w:after="0"/>
        <w:jc w:val="left"/>
        <w:rPr/>
      </w:pPr>
      <w:r>
        <w:rPr/>
        <w:t xml:space="preserve">  </w:t>
      </w:r>
    </w:p>
    <w:p>
      <w:pPr>
        <w:pStyle w:val="TextBody"/>
        <w:bidi w:val="0"/>
        <w:spacing w:before="0" w:after="0"/>
        <w:ind w:left="0" w:right="0" w:firstLine="540"/>
        <w:jc w:val="both"/>
        <w:rPr/>
      </w:pPr>
      <w:r>
        <w:rPr/>
        <w:t>   </w:t>
      </w:r>
      <w:r>
        <w:rPr>
          <w:rFonts w:ascii="Times New Roman" w:hAnsi="Times New Roman"/>
          <w:sz w:val="20"/>
        </w:rPr>
        <w:t xml:space="preserve">On August 5, 2025 (the “JPM Closing Date”), the Company and all of the Company’s subsidiaries entered into a Credit Agreement (the “JPM Credit Agreement”) with the lenders party thereto and JPMorgan Chase Bank, N.A., as administrative agent. The JPM Credit Agreement provides for $300 million of senior secured credit facilities, consisting of (a) a term loan in the aggregate principal amount of $75 million (the “JPM Term Loan Facility”), which was drawn in full on the JPM Closing Date, and (b) a revolving credit facility in the aggregate principal amount of $225 million (the “JPM Revolving Facility”). The Company may also request, subject to customary conditions, additional incremental revolving commitments or term loans in an aggregate principal amount not to exceed $100 million (together with the JPM Term Loan Facility and the JPM Revolving Facility, the “JPM Credit Facilities”). The JPM Term Loan Facility has a maturity date of August 5, 2028 (the “JPM Term Maturity Date”) and the JPM Revolving Facility has a maturity date of August 5, 2028 or any earlier date on which the commitments under the JPM Revolving Facility are reduced to zero or otherwise terminated pursuant to the terms of the JPM Credit Agreement (the “JPM Revolving Maturity Date”). </w:t>
      </w:r>
    </w:p>
    <w:p>
      <w:pPr>
        <w:pStyle w:val="TextBody"/>
        <w:bidi w:val="0"/>
        <w:spacing w:before="0" w:after="0"/>
        <w:jc w:val="both"/>
        <w:rPr/>
      </w:pPr>
      <w:r>
        <w:rPr/>
        <w:t xml:space="preserve">  </w:t>
      </w:r>
    </w:p>
    <w:p>
      <w:pPr>
        <w:pStyle w:val="TextBody"/>
        <w:bidi w:val="0"/>
        <w:spacing w:before="0" w:after="0"/>
        <w:ind w:left="0" w:right="0" w:firstLine="720"/>
        <w:jc w:val="both"/>
        <w:rPr>
          <w:rFonts w:ascii="Times New Roman" w:hAnsi="Times New Roman"/>
          <w:sz w:val="20"/>
        </w:rPr>
      </w:pPr>
      <w:r>
        <w:rPr>
          <w:rFonts w:ascii="Times New Roman" w:hAnsi="Times New Roman"/>
          <w:sz w:val="20"/>
        </w:rPr>
        <w:t xml:space="preserve">On March 2, 2026, the Company borrowed $125.0 million under the JPM Revolving Facility, used to fund the accelerated share repurchase agreement (“ASR Agreement”). See Note 8 for further details. </w:t>
      </w:r>
    </w:p>
    <w:p>
      <w:pPr>
        <w:pStyle w:val="TextBody"/>
        <w:bidi w:val="0"/>
        <w:spacing w:before="0" w:after="0"/>
        <w:jc w:val="both"/>
        <w:rPr/>
      </w:pPr>
      <w:r>
        <w:rPr/>
        <w:t xml:space="preserve">  </w:t>
      </w:r>
    </w:p>
    <w:p>
      <w:pPr>
        <w:pStyle w:val="TextBody"/>
        <w:bidi w:val="0"/>
        <w:spacing w:before="0" w:after="0"/>
        <w:ind w:left="0" w:right="0" w:firstLine="720"/>
        <w:jc w:val="both"/>
        <w:rPr>
          <w:rFonts w:ascii="Times New Roman" w:hAnsi="Times New Roman"/>
          <w:sz w:val="20"/>
        </w:rPr>
      </w:pPr>
      <w:r>
        <w:rPr>
          <w:rFonts w:ascii="Times New Roman" w:hAnsi="Times New Roman"/>
          <w:sz w:val="20"/>
        </w:rPr>
        <w:t xml:space="preserve">Interest on borrowings under the JPM Credit Facilities accrues at an applicable rate equal to (i) an alternate base rate plus an applicable spread (each such borrowing, an “ABR Borrowing”) or (ii) Term SOFR plus an applicable spread (each such borrowing, a “Term Benchmark Borrowing”), in each case based on the lower of the applicable rates set forth in the JPM Credit Agreement, which are based on the Company’s total leverage ratio. These applicable spreads range from 150 basis points to 200 basis points over the alternate base rate and 250 basis points to 300 basis points over Term SOFR, in each case, as determined in accordance with the provisions of the JPM Credit Agreement. The Company has agreed to pay a commitment fee at specified rates set forth in the JPM Credit Agreement, which, based on the Company’s total leverage ratio, ranges from 30 basis points to 35 basis points on the daily amount of the undrawn portion of the aggregate commitments of the lenders under the JPM Revolving Facility. At the Company’s request, each borrowing initially shall be either an ABR Borrowing or a Term Benchmark Borrowing, and the Company may thereafter elect to convert any such borrowing to a different type. During the occurrence and continuance of an Event of Default (as defined in the JPM Credit Agreement), all borrowings shall accrue interest at a rate per annum equal to 2% plus the applicable rate. As of March 31, 2026, the interest rate on the JPM Term Loan Facility and the JPM Revolving Facility was approximately 6.17%. </w:t>
      </w:r>
    </w:p>
    <w:p>
      <w:pPr>
        <w:pStyle w:val="TextBody"/>
        <w:bidi w:val="0"/>
        <w:spacing w:before="0" w:after="0"/>
        <w:jc w:val="both"/>
        <w:rPr/>
      </w:pPr>
      <w:r>
        <w:rPr/>
        <w:t xml:space="preserve">  </w:t>
      </w:r>
    </w:p>
    <w:p>
      <w:pPr>
        <w:pStyle w:val="TextBody"/>
        <w:bidi w:val="0"/>
        <w:spacing w:before="0" w:after="0"/>
        <w:ind w:left="0" w:right="0" w:firstLine="720"/>
        <w:jc w:val="both"/>
        <w:rPr>
          <w:rFonts w:ascii="Times New Roman" w:hAnsi="Times New Roman"/>
          <w:sz w:val="20"/>
        </w:rPr>
      </w:pPr>
      <w:r>
        <w:rPr>
          <w:rFonts w:ascii="Times New Roman" w:hAnsi="Times New Roman"/>
          <w:sz w:val="20"/>
        </w:rPr>
        <w:t xml:space="preserve">On the JPM Revolving Facility Maturity Date, the Company will repay the unpaid principal amount outstanding under the JPM Revolving Facility. Under the JPM Term Loan Facility, the Company will make principal payments in accordance with and on the dates specified in the amortization schedule set forth in the JPM Credit Agreement, with the remaining unpaid principal amount to be paid in full on the JPM Term Maturity Date. The Company may prepay at any time and from time to time any borrowing in whole or in part, without premium or penalty (other than, if applicable, any break funding expenses), subject to customary notice requirements. </w:t>
      </w:r>
    </w:p>
    <w:p>
      <w:pPr>
        <w:pStyle w:val="TextBody"/>
        <w:bidi w:val="0"/>
        <w:spacing w:before="0" w:after="0"/>
        <w:jc w:val="both"/>
        <w:rPr/>
      </w:pPr>
      <w:r>
        <w:rPr/>
        <w:t xml:space="preserve">  </w:t>
      </w:r>
    </w:p>
    <w:p>
      <w:pPr>
        <w:pStyle w:val="TextBody"/>
        <w:bidi w:val="0"/>
        <w:spacing w:before="0" w:after="0"/>
        <w:ind w:left="0" w:right="0" w:firstLine="720"/>
        <w:jc w:val="both"/>
        <w:rPr>
          <w:rFonts w:ascii="Times New Roman" w:hAnsi="Times New Roman"/>
          <w:sz w:val="20"/>
        </w:rPr>
      </w:pPr>
      <w:r>
        <w:rPr>
          <w:rFonts w:ascii="Times New Roman" w:hAnsi="Times New Roman"/>
          <w:sz w:val="20"/>
        </w:rPr>
        <w:t>All of the Company’s obligations under the JPM Credit Agreement are secured by a first-priority lien and security interest in substantially all of the tangible and intangible assets, including intellectual property and equity interests, of the Company and all of its subsidiaries.</w:t>
      </w:r>
    </w:p>
    <w:p>
      <w:pPr>
        <w:pStyle w:val="TextBody"/>
        <w:bidi w:val="0"/>
        <w:spacing w:before="0" w:after="0"/>
        <w:ind w:left="0" w:right="0" w:firstLine="720"/>
        <w:jc w:val="both"/>
        <w:rPr/>
      </w:pPr>
      <w:r>
        <w:rPr/>
        <w:t> </w:t>
      </w:r>
    </w:p>
    <w:p>
      <w:pPr>
        <w:pStyle w:val="TextBody"/>
        <w:bidi w:val="0"/>
        <w:spacing w:before="150" w:after="15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t>10</w:t>
      </w:r>
    </w:p>
    <w:p>
      <w:pPr>
        <w:pStyle w:val="HorizontalLine"/>
        <w:bidi w:val="0"/>
        <w:spacing w:before="150" w:after="150"/>
        <w:jc w:val="left"/>
        <w:rPr/>
      </w:pPr>
      <w:r>
        <w:rPr/>
      </w:r>
    </w:p>
    <w:p>
      <w:pPr>
        <w:pStyle w:val="TextBody"/>
        <w:bidi w:val="0"/>
        <w:spacing w:before="150" w:after="150"/>
        <w:jc w:val="left"/>
        <w:rPr/>
      </w:pPr>
      <w:hyperlink w:anchor="index">
        <w:r>
          <w:rPr>
            <w:rStyle w:val="InternetLink"/>
            <w:rFonts w:ascii="TimesNewRoman;Times New Roman;Times;Baskerville;Georgia;serif" w:hAnsi="TimesNewRoman;Times New Roman;Times;Baskerville;Georgia;serif"/>
            <w:b w:val="false"/>
            <w:i/>
            <w:caps w:val="false"/>
            <w:smallCaps w:val="false"/>
            <w:strike w:val="false"/>
            <w:dstrike w:val="false"/>
            <w:sz w:val="16"/>
            <w:u w:val="none"/>
            <w:effect w:val="none"/>
          </w:rPr>
          <w:t>Index</w:t>
        </w:r>
      </w:hyperlink>
    </w:p>
    <w:p>
      <w:pPr>
        <w:pStyle w:val="TextBody"/>
        <w:bidi w:val="0"/>
        <w:spacing w:before="0" w:after="0"/>
        <w:ind w:left="0" w:right="0" w:hanging="0"/>
        <w:jc w:val="center"/>
        <w:rPr>
          <w:rFonts w:ascii="Times New Roman" w:hAnsi="Times New Roman"/>
          <w:b/>
          <w:sz w:val="22"/>
        </w:rPr>
      </w:pPr>
      <w:r>
        <w:rPr>
          <w:rFonts w:ascii="Times New Roman" w:hAnsi="Times New Roman"/>
          <w:b/>
          <w:sz w:val="22"/>
        </w:rPr>
        <w:t>ADMA BIOLOGICS, INC. AND SUBSIDIARIES</w:t>
      </w:r>
    </w:p>
    <w:p>
      <w:pPr>
        <w:pStyle w:val="TextBody"/>
        <w:bidi w:val="0"/>
        <w:spacing w:before="0" w:after="0"/>
        <w:ind w:left="0" w:right="0" w:hanging="0"/>
        <w:jc w:val="center"/>
        <w:rPr>
          <w:rFonts w:ascii="Times New Roman" w:hAnsi="Times New Roman"/>
          <w:b/>
          <w:sz w:val="22"/>
        </w:rPr>
      </w:pPr>
      <w:r>
        <w:rPr>
          <w:rFonts w:ascii="Times New Roman" w:hAnsi="Times New Roman"/>
          <w:b/>
          <w:sz w:val="22"/>
        </w:rPr>
        <w:t>NOTES TO CONDENSED CONSOLIDATED FINANCIAL STATEMENTS (UNAUDITED)</w:t>
      </w:r>
    </w:p>
    <w:p>
      <w:pPr>
        <w:pStyle w:val="TextBody"/>
        <w:bidi w:val="0"/>
        <w:spacing w:before="0" w:after="0"/>
        <w:jc w:val="both"/>
        <w:rPr/>
      </w:pPr>
      <w:r>
        <w:rPr/>
        <w:t> </w:t>
      </w:r>
    </w:p>
    <w:p>
      <w:pPr>
        <w:pStyle w:val="TextBody"/>
        <w:bidi w:val="0"/>
        <w:spacing w:before="0" w:after="0"/>
        <w:ind w:left="0" w:right="0" w:firstLine="720"/>
        <w:jc w:val="both"/>
        <w:rPr>
          <w:rFonts w:ascii="Times New Roman" w:hAnsi="Times New Roman"/>
          <w:sz w:val="20"/>
        </w:rPr>
      </w:pPr>
      <w:r>
        <w:rPr>
          <w:rFonts w:ascii="Times New Roman" w:hAnsi="Times New Roman"/>
          <w:sz w:val="20"/>
        </w:rPr>
        <w:t xml:space="preserve">The JPM Credit Agreement contains certain representations and warranties, affirmative covenants, negative covenants and conditions that are customarily required for similar debt financings. The negative covenants include certain financial covenants, including a maximum total leverage ratio of 2.50 to 1.00 and a minimum fixed charge coverage ratio of 1.20 to 1.00. The negative covenants also restrict or limit the Company’s ability and the ability of the Company’s subsidiaries to, among other things and subject to certain exceptions contained in the JPM Credit Agreement, incur new indebtedness; create liens on assets; engage in certain fundamental corporate changes; make certain investments; dispose of certain assets; engage in sale and leaseback transactions or swap agreements; make dividend payments and other certain Restricted Payments (as defined in the JPM Credit Agreement); engage in certain affiliate transactions; enter into any other agreements that have the impact of restricting the Company’s ability to make loan repayments under the JPM Credit Agreement; or amend certain material documents. </w:t>
      </w:r>
    </w:p>
    <w:p>
      <w:pPr>
        <w:pStyle w:val="TextBody"/>
        <w:bidi w:val="0"/>
        <w:spacing w:before="0" w:after="0"/>
        <w:jc w:val="left"/>
        <w:rPr/>
      </w:pPr>
      <w:r>
        <w:rPr/>
        <w:t xml:space="preserve">  </w:t>
      </w:r>
    </w:p>
    <w:p>
      <w:pPr>
        <w:pStyle w:val="TextBody"/>
        <w:bidi w:val="0"/>
        <w:spacing w:before="0" w:after="0"/>
        <w:ind w:left="0" w:right="0" w:firstLine="690"/>
        <w:jc w:val="both"/>
        <w:rPr>
          <w:rFonts w:ascii="Times New Roman" w:hAnsi="Times New Roman"/>
          <w:sz w:val="20"/>
        </w:rPr>
      </w:pPr>
      <w:r>
        <w:rPr>
          <w:rFonts w:ascii="Times New Roman" w:hAnsi="Times New Roman"/>
          <w:sz w:val="20"/>
        </w:rPr>
        <w:t>The debt maturities over the next five years are as follows (</w:t>
      </w:r>
      <w:r>
        <w:rPr>
          <w:rFonts w:ascii="Times New Roman" w:hAnsi="Times New Roman"/>
          <w:i/>
          <w:sz w:val="20"/>
        </w:rPr>
        <w:t>in thousands</w:t>
      </w:r>
      <w:r>
        <w:rPr>
          <w:rFonts w:ascii="Times New Roman" w:hAnsi="Times New Roman"/>
          <w:sz w:val="20"/>
        </w:rPr>
        <w:t xml:space="preserve">): </w:t>
      </w:r>
    </w:p>
    <w:p>
      <w:pPr>
        <w:pStyle w:val="TextBody"/>
        <w:bidi w:val="0"/>
        <w:spacing w:before="0" w:after="0"/>
        <w:jc w:val="both"/>
        <w:rPr/>
      </w:pPr>
      <w:r>
        <w:rPr/>
        <w:t xml:space="preserve">  </w:t>
      </w:r>
    </w:p>
    <w:tbl>
      <w:tblPr>
        <w:tblW w:w="2565" w:type="dxa"/>
        <w:jc w:val="left"/>
        <w:tblInd w:w="0" w:type="dxa"/>
        <w:tblLayout w:type="fixed"/>
        <w:tblCellMar>
          <w:top w:w="0" w:type="dxa"/>
          <w:left w:w="0" w:type="dxa"/>
          <w:bottom w:w="0" w:type="dxa"/>
          <w:right w:w="0" w:type="dxa"/>
        </w:tblCellMar>
      </w:tblPr>
      <w:tblGrid>
        <w:gridCol w:w="1220"/>
        <w:gridCol w:w="90"/>
        <w:gridCol w:w="170"/>
        <w:gridCol w:w="950"/>
        <w:gridCol w:w="135"/>
      </w:tblGrid>
      <w:tr>
        <w:trPr/>
        <w:tc>
          <w:tcPr>
            <w:tcW w:w="122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50" w:type="dxa"/>
            <w:tcBorders/>
            <w:vAlign w:val="center"/>
          </w:tcPr>
          <w:p>
            <w:pPr>
              <w:pStyle w:val="TableContents"/>
              <w:bidi w:val="0"/>
              <w:spacing w:before="0" w:after="283"/>
              <w:jc w:val="left"/>
              <w:rPr/>
            </w:pPr>
            <w:r>
              <w:rPr/>
              <w:t> </w:t>
            </w:r>
          </w:p>
        </w:tc>
        <w:tc>
          <w:tcPr>
            <w:tcW w:w="135" w:type="dxa"/>
            <w:tcBorders/>
            <w:vAlign w:val="center"/>
          </w:tcPr>
          <w:p>
            <w:pPr>
              <w:pStyle w:val="TableContents"/>
              <w:bidi w:val="0"/>
              <w:spacing w:before="0" w:after="283"/>
              <w:jc w:val="left"/>
              <w:rPr/>
            </w:pPr>
            <w:r>
              <w:rPr/>
              <w:t> </w:t>
            </w:r>
          </w:p>
        </w:tc>
      </w:tr>
      <w:tr>
        <w:trPr/>
        <w:tc>
          <w:tcPr>
            <w:tcW w:w="1220" w:type="dxa"/>
            <w:tcBorders>
              <w:bottom w:val="single" w:sz="12" w:space="0" w:color="000000"/>
            </w:tcBorders>
            <w:tcMar>
              <w:bottom w:w="28" w:type="dxa"/>
            </w:tcMar>
            <w:vAlign w:val="center"/>
          </w:tcPr>
          <w:p>
            <w:pPr>
              <w:pStyle w:val="TableContents"/>
              <w:bidi w:val="0"/>
              <w:spacing w:before="0" w:after="283"/>
              <w:jc w:val="left"/>
              <w:rPr/>
            </w:pPr>
            <w:r>
              <w:rPr>
                <w:b/>
              </w:rPr>
              <w:t>Fiscal year</w:t>
            </w:r>
            <w:r>
              <w:rPr/>
              <w:t xml:space="preserve"> </w:t>
            </w:r>
          </w:p>
        </w:tc>
        <w:tc>
          <w:tcPr>
            <w:tcW w:w="90" w:type="dxa"/>
            <w:tcBorders/>
            <w:vAlign w:val="center"/>
          </w:tcPr>
          <w:p>
            <w:pPr>
              <w:pStyle w:val="TableContents"/>
              <w:bidi w:val="0"/>
              <w:spacing w:before="0" w:after="283"/>
              <w:jc w:val="center"/>
              <w:rPr/>
            </w:pPr>
            <w:r>
              <w:rPr/>
              <w:t> </w:t>
            </w:r>
          </w:p>
        </w:tc>
        <w:tc>
          <w:tcPr>
            <w:tcW w:w="170" w:type="dxa"/>
            <w:tcBorders>
              <w:bottom w:val="single" w:sz="12" w:space="0" w:color="000000"/>
            </w:tcBorders>
            <w:tcMar>
              <w:bottom w:w="28" w:type="dxa"/>
            </w:tcMar>
            <w:vAlign w:val="center"/>
          </w:tcPr>
          <w:p>
            <w:pPr>
              <w:pStyle w:val="TableContents"/>
              <w:bidi w:val="0"/>
              <w:spacing w:before="0" w:after="283"/>
              <w:jc w:val="center"/>
              <w:rPr/>
            </w:pPr>
            <w:r>
              <w:rPr/>
              <w:t> </w:t>
            </w:r>
          </w:p>
        </w:tc>
        <w:tc>
          <w:tcPr>
            <w:tcW w:w="950" w:type="dxa"/>
            <w:tcBorders>
              <w:bottom w:val="single" w:sz="12" w:space="0" w:color="000000"/>
            </w:tcBorders>
            <w:tcMar>
              <w:bottom w:w="28" w:type="dxa"/>
            </w:tcMar>
            <w:vAlign w:val="center"/>
          </w:tcPr>
          <w:p>
            <w:pPr>
              <w:pStyle w:val="TableContents"/>
              <w:bidi w:val="0"/>
              <w:spacing w:before="0" w:after="283"/>
              <w:jc w:val="center"/>
              <w:rPr/>
            </w:pPr>
            <w:r>
              <w:rPr>
                <w:b/>
              </w:rPr>
              <w:t>Amount</w:t>
            </w:r>
            <w:r>
              <w:rPr/>
              <w:t xml:space="preserve"> </w:t>
            </w:r>
          </w:p>
        </w:tc>
        <w:tc>
          <w:tcPr>
            <w:tcW w:w="135" w:type="dxa"/>
            <w:tcBorders/>
            <w:vAlign w:val="center"/>
          </w:tcPr>
          <w:p>
            <w:pPr>
              <w:pStyle w:val="TableContents"/>
              <w:bidi w:val="0"/>
              <w:spacing w:before="0" w:after="283"/>
              <w:jc w:val="center"/>
              <w:rPr/>
            </w:pPr>
            <w:r>
              <w:rPr/>
              <w:t> </w:t>
            </w:r>
          </w:p>
        </w:tc>
      </w:tr>
      <w:tr>
        <w:trPr/>
        <w:tc>
          <w:tcPr>
            <w:tcW w:w="1220" w:type="dxa"/>
            <w:tcBorders/>
            <w:shd w:fill="CCEEFF" w:val="clear"/>
            <w:vAlign w:val="center"/>
          </w:tcPr>
          <w:p>
            <w:pPr>
              <w:pStyle w:val="TableContents"/>
              <w:bidi w:val="0"/>
              <w:spacing w:before="0" w:after="283"/>
              <w:jc w:val="left"/>
              <w:rPr/>
            </w:pPr>
            <w:r>
              <w:rPr/>
              <w:t xml:space="preserve">2026 </w:t>
            </w:r>
          </w:p>
        </w:tc>
        <w:tc>
          <w:tcPr>
            <w:tcW w:w="90"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w:t>
            </w:r>
          </w:p>
        </w:tc>
        <w:tc>
          <w:tcPr>
            <w:tcW w:w="950" w:type="dxa"/>
            <w:tcBorders/>
            <w:shd w:fill="CCEEFF" w:val="clear"/>
            <w:vAlign w:val="center"/>
          </w:tcPr>
          <w:p>
            <w:pPr>
              <w:pStyle w:val="TableContents"/>
              <w:bidi w:val="0"/>
              <w:spacing w:before="0" w:after="283"/>
              <w:jc w:val="right"/>
              <w:rPr/>
            </w:pPr>
            <w:r>
              <w:rPr/>
              <w:t>2,344</w:t>
            </w:r>
          </w:p>
        </w:tc>
        <w:tc>
          <w:tcPr>
            <w:tcW w:w="135" w:type="dxa"/>
            <w:tcBorders/>
            <w:shd w:fill="CCEEFF" w:val="clear"/>
            <w:vAlign w:val="center"/>
          </w:tcPr>
          <w:p>
            <w:pPr>
              <w:pStyle w:val="TableContents"/>
              <w:bidi w:val="0"/>
              <w:spacing w:before="0" w:after="283"/>
              <w:jc w:val="left"/>
              <w:rPr/>
            </w:pPr>
            <w:r>
              <w:rPr/>
              <w:t> </w:t>
            </w:r>
          </w:p>
        </w:tc>
      </w:tr>
      <w:tr>
        <w:trPr/>
        <w:tc>
          <w:tcPr>
            <w:tcW w:w="1220" w:type="dxa"/>
            <w:tcBorders/>
            <w:vAlign w:val="center"/>
          </w:tcPr>
          <w:p>
            <w:pPr>
              <w:pStyle w:val="TableContents"/>
              <w:bidi w:val="0"/>
              <w:spacing w:before="0" w:after="283"/>
              <w:jc w:val="left"/>
              <w:rPr/>
            </w:pPr>
            <w:r>
              <w:rPr/>
              <w:t xml:space="preserve">2027 </w:t>
            </w:r>
          </w:p>
        </w:tc>
        <w:tc>
          <w:tcPr>
            <w:tcW w:w="90"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pPr>
            <w:r>
              <w:rPr/>
              <w:t> </w:t>
            </w:r>
          </w:p>
        </w:tc>
        <w:tc>
          <w:tcPr>
            <w:tcW w:w="950" w:type="dxa"/>
            <w:tcBorders/>
            <w:vAlign w:val="center"/>
          </w:tcPr>
          <w:p>
            <w:pPr>
              <w:pStyle w:val="TableContents"/>
              <w:bidi w:val="0"/>
              <w:spacing w:before="0" w:after="283"/>
              <w:jc w:val="right"/>
              <w:rPr/>
            </w:pPr>
            <w:r>
              <w:rPr/>
              <w:t>4,688</w:t>
            </w:r>
          </w:p>
        </w:tc>
        <w:tc>
          <w:tcPr>
            <w:tcW w:w="135" w:type="dxa"/>
            <w:tcBorders/>
            <w:vAlign w:val="center"/>
          </w:tcPr>
          <w:p>
            <w:pPr>
              <w:pStyle w:val="TableContents"/>
              <w:bidi w:val="0"/>
              <w:spacing w:before="0" w:after="283"/>
              <w:jc w:val="left"/>
              <w:rPr/>
            </w:pPr>
            <w:r>
              <w:rPr/>
              <w:t> </w:t>
            </w:r>
          </w:p>
        </w:tc>
      </w:tr>
      <w:tr>
        <w:trPr/>
        <w:tc>
          <w:tcPr>
            <w:tcW w:w="1220" w:type="dxa"/>
            <w:tcBorders/>
            <w:shd w:fill="CCEEFF" w:val="clear"/>
            <w:vAlign w:val="center"/>
          </w:tcPr>
          <w:p>
            <w:pPr>
              <w:pStyle w:val="TableContents"/>
              <w:bidi w:val="0"/>
              <w:spacing w:before="0" w:after="283"/>
              <w:jc w:val="left"/>
              <w:rPr/>
            </w:pPr>
            <w:r>
              <w:rPr/>
              <w:t xml:space="preserve">2028 </w:t>
            </w:r>
          </w:p>
        </w:tc>
        <w:tc>
          <w:tcPr>
            <w:tcW w:w="90"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right"/>
              <w:rPr/>
            </w:pPr>
            <w:r>
              <w:rPr/>
              <w:t>191,562</w:t>
            </w:r>
          </w:p>
        </w:tc>
        <w:tc>
          <w:tcPr>
            <w:tcW w:w="135" w:type="dxa"/>
            <w:tcBorders/>
            <w:shd w:fill="CCEEFF" w:val="clear"/>
            <w:vAlign w:val="center"/>
          </w:tcPr>
          <w:p>
            <w:pPr>
              <w:pStyle w:val="TableContents"/>
              <w:bidi w:val="0"/>
              <w:spacing w:before="0" w:after="283"/>
              <w:jc w:val="left"/>
              <w:rPr/>
            </w:pPr>
            <w:r>
              <w:rPr/>
              <w:t> </w:t>
            </w:r>
          </w:p>
        </w:tc>
      </w:tr>
      <w:tr>
        <w:trPr/>
        <w:tc>
          <w:tcPr>
            <w:tcW w:w="1220" w:type="dxa"/>
            <w:tcBorders/>
            <w:vAlign w:val="center"/>
          </w:tcPr>
          <w:p>
            <w:pPr>
              <w:pStyle w:val="TableContents"/>
              <w:bidi w:val="0"/>
              <w:spacing w:before="0" w:after="283"/>
              <w:jc w:val="left"/>
              <w:rPr/>
            </w:pPr>
            <w:r>
              <w:rPr/>
              <w:t xml:space="preserve">2029 </w:t>
            </w:r>
          </w:p>
        </w:tc>
        <w:tc>
          <w:tcPr>
            <w:tcW w:w="90"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pPr>
            <w:r>
              <w:rPr/>
              <w:t> </w:t>
            </w:r>
          </w:p>
        </w:tc>
        <w:tc>
          <w:tcPr>
            <w:tcW w:w="950" w:type="dxa"/>
            <w:tcBorders/>
            <w:vAlign w:val="center"/>
          </w:tcPr>
          <w:p>
            <w:pPr>
              <w:pStyle w:val="TableContents"/>
              <w:bidi w:val="0"/>
              <w:spacing w:before="0" w:after="283"/>
              <w:jc w:val="right"/>
              <w:rPr/>
            </w:pPr>
            <w:r>
              <w:rPr/>
              <w:t xml:space="preserve">- </w:t>
            </w:r>
          </w:p>
        </w:tc>
        <w:tc>
          <w:tcPr>
            <w:tcW w:w="135" w:type="dxa"/>
            <w:tcBorders/>
            <w:vAlign w:val="center"/>
          </w:tcPr>
          <w:p>
            <w:pPr>
              <w:pStyle w:val="TableContents"/>
              <w:bidi w:val="0"/>
              <w:spacing w:before="0" w:after="283"/>
              <w:jc w:val="left"/>
              <w:rPr/>
            </w:pPr>
            <w:r>
              <w:rPr/>
              <w:t> </w:t>
            </w:r>
          </w:p>
        </w:tc>
      </w:tr>
      <w:tr>
        <w:trPr/>
        <w:tc>
          <w:tcPr>
            <w:tcW w:w="1220" w:type="dxa"/>
            <w:tcBorders/>
            <w:shd w:fill="CCEEFF" w:val="clear"/>
            <w:vAlign w:val="center"/>
          </w:tcPr>
          <w:p>
            <w:pPr>
              <w:pStyle w:val="TableContents"/>
              <w:bidi w:val="0"/>
              <w:spacing w:before="0" w:after="283"/>
              <w:jc w:val="left"/>
              <w:rPr/>
            </w:pPr>
            <w:r>
              <w:rPr/>
              <w:t xml:space="preserve">2030 </w:t>
            </w:r>
          </w:p>
        </w:tc>
        <w:tc>
          <w:tcPr>
            <w:tcW w:w="90" w:type="dxa"/>
            <w:tcBorders/>
            <w:shd w:fill="CCEEFF" w:val="clear"/>
            <w:vAlign w:val="center"/>
          </w:tcPr>
          <w:p>
            <w:pPr>
              <w:pStyle w:val="TableContents"/>
              <w:bidi w:val="0"/>
              <w:spacing w:before="0" w:after="283"/>
              <w:jc w:val="righ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50" w:type="dxa"/>
            <w:tcBorders>
              <w:bottom w:val="single" w:sz="12" w:space="0" w:color="000000"/>
            </w:tcBorders>
            <w:shd w:fill="CCEEFF" w:val="clear"/>
            <w:tcMar>
              <w:bottom w:w="28" w:type="dxa"/>
            </w:tcMar>
            <w:vAlign w:val="center"/>
          </w:tcPr>
          <w:p>
            <w:pPr>
              <w:pStyle w:val="TableContents"/>
              <w:bidi w:val="0"/>
              <w:spacing w:before="0" w:after="283"/>
              <w:jc w:val="right"/>
              <w:rPr/>
            </w:pPr>
            <w:r>
              <w:rPr/>
              <w:t xml:space="preserve">- </w:t>
            </w:r>
          </w:p>
        </w:tc>
        <w:tc>
          <w:tcPr>
            <w:tcW w:w="135" w:type="dxa"/>
            <w:tcBorders/>
            <w:shd w:fill="CCEEFF" w:val="clear"/>
            <w:vAlign w:val="center"/>
          </w:tcPr>
          <w:p>
            <w:pPr>
              <w:pStyle w:val="TableContents"/>
              <w:bidi w:val="0"/>
              <w:spacing w:before="0" w:after="283"/>
              <w:jc w:val="left"/>
              <w:rPr/>
            </w:pPr>
            <w:r>
              <w:rPr/>
              <w:t> </w:t>
            </w:r>
          </w:p>
        </w:tc>
      </w:tr>
      <w:tr>
        <w:trPr/>
        <w:tc>
          <w:tcPr>
            <w:tcW w:w="1220" w:type="dxa"/>
            <w:tcBorders/>
            <w:vAlign w:val="center"/>
          </w:tcPr>
          <w:p>
            <w:pPr>
              <w:pStyle w:val="TableContents"/>
              <w:bidi w:val="0"/>
              <w:spacing w:before="0" w:after="283"/>
              <w:jc w:val="left"/>
              <w:rPr/>
            </w:pPr>
            <w:r>
              <w:rPr/>
              <w:t xml:space="preserve">Total </w:t>
            </w:r>
          </w:p>
        </w:tc>
        <w:tc>
          <w:tcPr>
            <w:tcW w:w="90" w:type="dxa"/>
            <w:tcBorders/>
            <w:vAlign w:val="center"/>
          </w:tcPr>
          <w:p>
            <w:pPr>
              <w:pStyle w:val="TableContents"/>
              <w:bidi w:val="0"/>
              <w:spacing w:before="0" w:after="283"/>
              <w:jc w:val="right"/>
              <w:rPr/>
            </w:pPr>
            <w:r>
              <w:rPr/>
              <w:t> </w:t>
            </w:r>
          </w:p>
        </w:tc>
        <w:tc>
          <w:tcPr>
            <w:tcW w:w="170" w:type="dxa"/>
            <w:tcBorders>
              <w:bottom w:val="double" w:sz="8" w:space="0" w:color="000000"/>
            </w:tcBorders>
            <w:tcMar>
              <w:bottom w:w="28" w:type="dxa"/>
            </w:tcMar>
            <w:vAlign w:val="center"/>
          </w:tcPr>
          <w:p>
            <w:pPr>
              <w:pStyle w:val="TableContents"/>
              <w:bidi w:val="0"/>
              <w:spacing w:before="0" w:after="283"/>
              <w:jc w:val="left"/>
              <w:rPr/>
            </w:pPr>
            <w:r>
              <w:rPr/>
              <w:t>$</w:t>
            </w:r>
          </w:p>
        </w:tc>
        <w:tc>
          <w:tcPr>
            <w:tcW w:w="950" w:type="dxa"/>
            <w:tcBorders>
              <w:bottom w:val="double" w:sz="8" w:space="0" w:color="000000"/>
            </w:tcBorders>
            <w:tcMar>
              <w:bottom w:w="28" w:type="dxa"/>
            </w:tcMar>
            <w:vAlign w:val="center"/>
          </w:tcPr>
          <w:p>
            <w:pPr>
              <w:pStyle w:val="TableContents"/>
              <w:bidi w:val="0"/>
              <w:spacing w:before="0" w:after="283"/>
              <w:jc w:val="right"/>
              <w:rPr/>
            </w:pPr>
            <w:r>
              <w:rPr/>
              <w:t>198,594</w:t>
            </w:r>
          </w:p>
        </w:tc>
        <w:tc>
          <w:tcPr>
            <w:tcW w:w="135" w:type="dxa"/>
            <w:tcBorders>
              <w:bottom w:val="single" w:sz="12" w:space="0" w:color="000000"/>
            </w:tcBorders>
            <w:tcMar>
              <w:bottom w:w="28" w:type="dxa"/>
            </w:tcMar>
            <w:vAlign w:val="center"/>
          </w:tcPr>
          <w:p>
            <w:pPr>
              <w:pStyle w:val="TableContents"/>
              <w:bidi w:val="0"/>
              <w:spacing w:before="0" w:after="283"/>
              <w:jc w:val="left"/>
              <w:rPr/>
            </w:pPr>
            <w:r>
              <w:rPr/>
              <w:t> </w:t>
            </w:r>
          </w:p>
        </w:tc>
      </w:tr>
    </w:tbl>
    <w:p>
      <w:pPr>
        <w:pStyle w:val="TextBody"/>
        <w:bidi w:val="0"/>
        <w:spacing w:before="0" w:after="0"/>
        <w:jc w:val="center"/>
        <w:rPr/>
      </w:pPr>
      <w:r>
        <w:rPr/>
        <w:t xml:space="preserve">  </w:t>
      </w:r>
    </w:p>
    <w:p>
      <w:pPr>
        <w:pStyle w:val="TextBody"/>
        <w:bidi w:val="0"/>
        <w:spacing w:before="0" w:after="0"/>
        <w:ind w:left="0" w:right="0" w:firstLine="690"/>
        <w:jc w:val="both"/>
        <w:rPr>
          <w:rFonts w:ascii="Times New Roman" w:hAnsi="Times New Roman"/>
          <w:sz w:val="20"/>
        </w:rPr>
      </w:pPr>
      <w:r>
        <w:rPr>
          <w:rFonts w:ascii="Times New Roman" w:hAnsi="Times New Roman"/>
          <w:sz w:val="20"/>
        </w:rPr>
        <w:t>As of March 31, 2026, the Company was in compliance with all of its debt covenants in the JPM Credit Agreement.</w:t>
      </w:r>
    </w:p>
    <w:p>
      <w:pPr>
        <w:pStyle w:val="TextBody"/>
        <w:bidi w:val="0"/>
        <w:spacing w:before="0" w:after="0"/>
        <w:ind w:left="0" w:right="0" w:firstLine="690"/>
        <w:jc w:val="both"/>
        <w:rPr/>
      </w:pPr>
      <w:r>
        <w:rPr/>
        <w:t> </w:t>
      </w:r>
    </w:p>
    <w:p>
      <w:pPr>
        <w:pStyle w:val="TextBody"/>
        <w:bidi w:val="0"/>
        <w:spacing w:before="0" w:after="0"/>
        <w:ind w:left="0" w:right="0" w:hanging="540"/>
        <w:jc w:val="left"/>
        <w:rPr/>
      </w:pPr>
      <w:r>
        <w:rPr/>
        <w:t> </w:t>
      </w:r>
      <w:r>
        <mc:AlternateContent>
          <mc:Choice Requires="wps">
            <w:drawing>
              <wp:anchor behindDoc="0" distT="0" distB="0" distL="0" distR="0" simplePos="0" locked="0" layoutInCell="1" allowOverlap="1" relativeHeight="48">
                <wp:simplePos x="0" y="0"/>
                <wp:positionH relativeFrom="column">
                  <wp:align>left</wp:align>
                </wp:positionH>
                <wp:positionV relativeFrom="line">
                  <wp:posOffset>635</wp:posOffset>
                </wp:positionV>
                <wp:extent cx="342900" cy="175260"/>
                <wp:effectExtent l="0" t="0" r="0" b="0"/>
                <wp:wrapSquare wrapText="right"/>
                <wp:docPr id="47" name="Frame47"/>
                <a:graphic xmlns:a="http://schemas.openxmlformats.org/drawingml/2006/main">
                  <a:graphicData uri="http://schemas.microsoft.com/office/word/2010/wordprocessingShape">
                    <wps:wsp>
                      <wps:cNvSpPr txBox="1"/>
                      <wps:spPr>
                        <a:xfrm>
                          <a:off x="0" y="0"/>
                          <a:ext cx="342900" cy="175260"/>
                        </a:xfrm>
                        <a:prstGeom prst="rect"/>
                        <a:solidFill>
                          <a:srgbClr val="FFFFFF"/>
                        </a:solidFill>
                      </wps:spPr>
                      <wps:txbx>
                        <w:txbxContent>
                          <w:p>
                            <w:pPr>
                              <w:pStyle w:val="TextBody"/>
                              <w:bidi w:val="0"/>
                              <w:spacing w:before="0" w:after="283"/>
                              <w:jc w:val="left"/>
                              <w:rPr/>
                            </w:pPr>
                            <w:r>
                              <w:rPr/>
                              <w:t> </w:t>
                            </w:r>
                          </w:p>
                        </w:txbxContent>
                      </wps:txbx>
                      <wps:bodyPr anchor="t" lIns="0" tIns="0" rIns="0" bIns="0">
                        <a:noAutofit/>
                      </wps:bodyPr>
                    </wps:wsp>
                  </a:graphicData>
                </a:graphic>
              </wp:anchor>
            </w:drawing>
          </mc:Choice>
          <mc:Fallback>
            <w:pict>
              <v:rect style="position:absolute;rotation:-0;width:2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 </w:t>
                      </w:r>
                    </w:p>
                  </w:txbxContent>
                </v:textbox>
                <w10:wrap type="square" side="right"/>
              </v:rect>
            </w:pict>
          </mc:Fallback>
        </mc:AlternateContent>
      </w:r>
      <w:r>
        <mc:AlternateContent>
          <mc:Choice Requires="wps">
            <w:drawing>
              <wp:anchor behindDoc="0" distT="0" distB="0" distL="0" distR="0" simplePos="0" locked="0" layoutInCell="1" allowOverlap="1" relativeHeight="49">
                <wp:simplePos x="0" y="0"/>
                <wp:positionH relativeFrom="column">
                  <wp:align>left</wp:align>
                </wp:positionH>
                <wp:positionV relativeFrom="line">
                  <wp:posOffset>635</wp:posOffset>
                </wp:positionV>
                <wp:extent cx="342900" cy="175260"/>
                <wp:effectExtent l="0" t="0" r="0" b="0"/>
                <wp:wrapSquare wrapText="right"/>
                <wp:docPr id="48" name="Frame48"/>
                <a:graphic xmlns:a="http://schemas.openxmlformats.org/drawingml/2006/main">
                  <a:graphicData uri="http://schemas.microsoft.com/office/word/2010/wordprocessingShape">
                    <wps:wsp>
                      <wps:cNvSpPr txBox="1"/>
                      <wps:spPr>
                        <a:xfrm>
                          <a:off x="0" y="0"/>
                          <a:ext cx="342900" cy="175260"/>
                        </a:xfrm>
                        <a:prstGeom prst="rect"/>
                        <a:solidFill>
                          <a:srgbClr val="FFFFFF"/>
                        </a:solidFill>
                      </wps:spPr>
                      <wps:txbx>
                        <w:txbxContent>
                          <w:p>
                            <w:pPr>
                              <w:pStyle w:val="TextBody"/>
                              <w:bidi w:val="0"/>
                              <w:spacing w:before="0" w:after="283"/>
                              <w:jc w:val="left"/>
                              <w:rPr/>
                            </w:pPr>
                            <w:r>
                              <w:rPr/>
                              <w:t> </w:t>
                            </w:r>
                          </w:p>
                        </w:txbxContent>
                      </wps:txbx>
                      <wps:bodyPr anchor="t" lIns="0" tIns="0" rIns="0" bIns="0">
                        <a:noAutofit/>
                      </wps:bodyPr>
                    </wps:wsp>
                  </a:graphicData>
                </a:graphic>
              </wp:anchor>
            </w:drawing>
          </mc:Choice>
          <mc:Fallback>
            <w:pict>
              <v:rect style="position:absolute;rotation:-0;width:27pt;height:13.8pt;mso-wrap-distance-left:0pt;mso-wrap-distance-right:0pt;mso-wrap-distance-top:0pt;mso-wrap-distance-bottom:0pt;margin-top:0pt;mso-position-vertical:top;mso-position-vertical-relative:text;margin-left:27pt;mso-position-horizontal:left;mso-position-horizontal-relative:text">
                <v:textbox>
                  <w:txbxContent>
                    <w:p>
                      <w:pPr>
                        <w:pStyle w:val="TextBody"/>
                        <w:bidi w:val="0"/>
                        <w:spacing w:before="0" w:after="283"/>
                        <w:jc w:val="left"/>
                        <w:rPr/>
                      </w:pPr>
                      <w:r>
                        <w:rPr/>
                        <w:t> </w:t>
                      </w:r>
                    </w:p>
                  </w:txbxContent>
                </v:textbox>
                <w10:wrap type="square" side="right"/>
              </v:rect>
            </w:pict>
          </mc:Fallback>
        </mc:AlternateContent>
      </w:r>
    </w:p>
    <w:p>
      <w:pPr>
        <w:pStyle w:val="TextBody"/>
        <w:bidi w:val="0"/>
        <w:spacing w:before="0" w:after="0"/>
        <w:ind w:left="0" w:right="0" w:hanging="540"/>
        <w:jc w:val="left"/>
        <w:rPr>
          <w:rFonts w:ascii="Times New Roman" w:hAnsi="Times New Roman"/>
          <w:sz w:val="20"/>
        </w:rPr>
      </w:pPr>
      <w:r>
        <w:rPr>
          <w:rFonts w:ascii="Times New Roman" w:hAnsi="Times New Roman"/>
          <w:b/>
          <w:sz w:val="20"/>
          <w:u w:val="single"/>
        </w:rPr>
        <w:t>STOCKHOLDERS’ EQUITY</w:t>
      </w:r>
      <w:r>
        <w:rPr>
          <w:rFonts w:ascii="Times New Roman" w:hAnsi="Times New Roman"/>
          <w:sz w:val="20"/>
        </w:rPr>
        <w:t xml:space="preserve"> </w:t>
      </w:r>
      <w:r>
        <mc:AlternateContent>
          <mc:Choice Requires="wps">
            <w:drawing>
              <wp:anchor behindDoc="0" distT="0" distB="0" distL="0" distR="0" simplePos="0" locked="0" layoutInCell="1" allowOverlap="1" relativeHeight="50">
                <wp:simplePos x="0" y="0"/>
                <wp:positionH relativeFrom="column">
                  <wp:align>left</wp:align>
                </wp:positionH>
                <wp:positionV relativeFrom="line">
                  <wp:posOffset>635</wp:posOffset>
                </wp:positionV>
                <wp:extent cx="342900" cy="175260"/>
                <wp:effectExtent l="0" t="0" r="0" b="0"/>
                <wp:wrapSquare wrapText="right"/>
                <wp:docPr id="49" name="Frame49"/>
                <a:graphic xmlns:a="http://schemas.openxmlformats.org/drawingml/2006/main">
                  <a:graphicData uri="http://schemas.microsoft.com/office/word/2010/wordprocessingShape">
                    <wps:wsp>
                      <wps:cNvSpPr txBox="1"/>
                      <wps:spPr>
                        <a:xfrm>
                          <a:off x="0" y="0"/>
                          <a:ext cx="342900" cy="175260"/>
                        </a:xfrm>
                        <a:prstGeom prst="rect"/>
                        <a:solidFill>
                          <a:srgbClr val="FFFFFF"/>
                        </a:solidFill>
                      </wps:spPr>
                      <wps:txbx>
                        <w:txbxContent>
                          <w:p>
                            <w:pPr>
                              <w:pStyle w:val="TextBody"/>
                              <w:bidi w:val="0"/>
                              <w:spacing w:before="0" w:after="283"/>
                              <w:jc w:val="left"/>
                              <w:rPr/>
                            </w:pPr>
                            <w:r>
                              <w:rPr>
                                <w:b/>
                              </w:rPr>
                              <w:t>8.</w:t>
                            </w:r>
                            <w:r>
                              <w:rPr/>
                              <w:t xml:space="preserve"> </w:t>
                            </w:r>
                          </w:p>
                        </w:txbxContent>
                      </wps:txbx>
                      <wps:bodyPr anchor="t" lIns="0" tIns="0" rIns="0" bIns="0">
                        <a:noAutofit/>
                      </wps:bodyPr>
                    </wps:wsp>
                  </a:graphicData>
                </a:graphic>
              </wp:anchor>
            </w:drawing>
          </mc:Choice>
          <mc:Fallback>
            <w:pict>
              <v:rect style="position:absolute;rotation:-0;width:2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b/>
                        </w:rPr>
                        <w:t>8.</w:t>
                      </w:r>
                      <w:r>
                        <w:rPr/>
                        <w:t xml:space="preserve"> </w:t>
                      </w:r>
                    </w:p>
                  </w:txbxContent>
                </v:textbox>
                <w10:wrap type="square" side="right"/>
              </v:rect>
            </w:pict>
          </mc:Fallback>
        </mc:AlternateContent>
      </w:r>
    </w:p>
    <w:p>
      <w:pPr>
        <w:pStyle w:val="TextBody"/>
        <w:bidi w:val="0"/>
        <w:spacing w:before="0" w:after="0"/>
        <w:ind w:left="0" w:right="0" w:hanging="720"/>
        <w:jc w:val="left"/>
        <w:rPr/>
      </w:pPr>
      <w:r>
        <w:rPr/>
        <w:t> </w:t>
      </w:r>
    </w:p>
    <w:p>
      <w:pPr>
        <w:pStyle w:val="TextBody"/>
        <w:bidi w:val="0"/>
        <w:spacing w:before="0" w:after="0"/>
        <w:jc w:val="left"/>
        <w:rPr>
          <w:rFonts w:ascii="Times New Roman" w:hAnsi="Times New Roman"/>
          <w:sz w:val="20"/>
        </w:rPr>
      </w:pPr>
      <w:r>
        <w:rPr>
          <w:rFonts w:ascii="Times New Roman" w:hAnsi="Times New Roman"/>
          <w:i/>
          <w:sz w:val="20"/>
          <w:u w:val="single"/>
        </w:rPr>
        <w:t>Treasury Stock</w:t>
      </w:r>
      <w:r>
        <w:rPr>
          <w:rFonts w:ascii="Times New Roman" w:hAnsi="Times New Roman"/>
          <w:sz w:val="20"/>
        </w:rPr>
        <w:t xml:space="preserve"> </w:t>
      </w:r>
    </w:p>
    <w:p>
      <w:pPr>
        <w:pStyle w:val="TextBody"/>
        <w:bidi w:val="0"/>
        <w:spacing w:before="0" w:after="0"/>
        <w:jc w:val="left"/>
        <w:rPr/>
      </w:pPr>
      <w:r>
        <w:rPr/>
        <w:t xml:space="preserve">  </w:t>
      </w:r>
    </w:p>
    <w:p>
      <w:pPr>
        <w:pStyle w:val="TextBody"/>
        <w:bidi w:val="0"/>
        <w:spacing w:before="0" w:after="0"/>
        <w:ind w:left="0" w:right="0" w:firstLine="720"/>
        <w:jc w:val="both"/>
        <w:rPr>
          <w:rFonts w:ascii="Times New Roman" w:hAnsi="Times New Roman"/>
          <w:sz w:val="20"/>
        </w:rPr>
      </w:pPr>
      <w:r>
        <w:rPr>
          <w:rFonts w:ascii="Times New Roman" w:hAnsi="Times New Roman"/>
          <w:sz w:val="20"/>
        </w:rPr>
        <w:t xml:space="preserve">In May 2025, the Company’s board of directors (the “Board”) authorized a share repurchase program of up to $500.0 million of the Company’s outstanding shares of common stock (the “Repurchase Program”). The Repurchase Program does not obligate the Company to acquire any particular amount of its common stock, and may be modified, suspended, or terminated at any time. The Repurchase Program has no expiration date. </w:t>
      </w:r>
    </w:p>
    <w:p>
      <w:pPr>
        <w:pStyle w:val="TextBody"/>
        <w:bidi w:val="0"/>
        <w:spacing w:before="0" w:after="0"/>
        <w:jc w:val="both"/>
        <w:rPr/>
      </w:pPr>
      <w:r>
        <w:rPr/>
        <w:t xml:space="preserve">  </w:t>
      </w:r>
    </w:p>
    <w:p>
      <w:pPr>
        <w:pStyle w:val="TextBody"/>
        <w:bidi w:val="0"/>
        <w:spacing w:before="0" w:after="0"/>
        <w:ind w:left="0" w:right="0" w:firstLine="720"/>
        <w:jc w:val="both"/>
        <w:rPr>
          <w:rFonts w:ascii="Times New Roman" w:hAnsi="Times New Roman"/>
          <w:sz w:val="20"/>
        </w:rPr>
      </w:pPr>
      <w:r>
        <w:rPr>
          <w:rFonts w:ascii="Times New Roman" w:hAnsi="Times New Roman"/>
          <w:sz w:val="20"/>
        </w:rPr>
        <w:t xml:space="preserve">On March 2, 2026, the Company entered into an ASR Agreement with JPMorgan Chase Bank, National Association (“JPMorgan”) to repurchase $125.0 million of shares of the Company’s common stock under the Repurchase Program. During the period ended March 31, 2026, the Company initially received 6,422,608 shares related to the ASR Agreement. The remaining shares under the ASR Agreement are expected to be repurchased by August 2026. </w:t>
      </w:r>
    </w:p>
    <w:p>
      <w:pPr>
        <w:pStyle w:val="TextBody"/>
        <w:bidi w:val="0"/>
        <w:spacing w:before="0" w:after="0"/>
        <w:jc w:val="both"/>
        <w:rPr/>
      </w:pPr>
      <w:r>
        <w:rPr/>
        <w:t xml:space="preserve">  </w:t>
      </w:r>
    </w:p>
    <w:p>
      <w:pPr>
        <w:pStyle w:val="TextBody"/>
        <w:bidi w:val="0"/>
        <w:spacing w:before="0" w:after="0"/>
        <w:ind w:left="0" w:right="0" w:firstLine="720"/>
        <w:jc w:val="both"/>
        <w:rPr>
          <w:rFonts w:ascii="Times New Roman" w:hAnsi="Times New Roman"/>
          <w:sz w:val="20"/>
        </w:rPr>
      </w:pPr>
      <w:r>
        <w:rPr>
          <w:rFonts w:ascii="Times New Roman" w:hAnsi="Times New Roman"/>
          <w:sz w:val="20"/>
        </w:rPr>
        <w:t xml:space="preserve">During the three months ended March 31, 2026, the Company also repurchased 331,548 shares of common stock under the Repurchase Program at a total cost of $5.2 million. </w:t>
      </w:r>
    </w:p>
    <w:p>
      <w:pPr>
        <w:pStyle w:val="TextBody"/>
        <w:bidi w:val="0"/>
        <w:spacing w:before="0" w:after="0"/>
        <w:jc w:val="both"/>
        <w:rPr/>
      </w:pPr>
      <w:r>
        <w:rPr/>
        <w:t xml:space="preserve">  </w:t>
      </w:r>
    </w:p>
    <w:p>
      <w:pPr>
        <w:pStyle w:val="TextBody"/>
        <w:bidi w:val="0"/>
        <w:spacing w:before="0" w:after="0"/>
        <w:ind w:left="0" w:right="0" w:firstLine="720"/>
        <w:jc w:val="both"/>
        <w:rPr>
          <w:rFonts w:ascii="Times New Roman" w:hAnsi="Times New Roman"/>
          <w:sz w:val="20"/>
        </w:rPr>
      </w:pPr>
      <w:r>
        <w:rPr>
          <w:rFonts w:ascii="Times New Roman" w:hAnsi="Times New Roman"/>
          <w:sz w:val="20"/>
        </w:rPr>
        <w:t xml:space="preserve">During the three months ended March 31, 2026, the Company recognized $0.7 million of excise tax liability related to share repurchases in accordance with the Inflation Reduction Act of 2022. </w:t>
      </w:r>
    </w:p>
    <w:p>
      <w:pPr>
        <w:pStyle w:val="TextBody"/>
        <w:bidi w:val="0"/>
        <w:spacing w:before="0" w:after="0"/>
        <w:jc w:val="both"/>
        <w:rPr/>
      </w:pPr>
      <w:r>
        <w:rPr/>
        <w:t xml:space="preserve">  </w:t>
      </w:r>
    </w:p>
    <w:p>
      <w:pPr>
        <w:pStyle w:val="TextBody"/>
        <w:bidi w:val="0"/>
        <w:spacing w:before="0" w:after="0"/>
        <w:ind w:left="0" w:right="0" w:firstLine="720"/>
        <w:jc w:val="left"/>
        <w:rPr>
          <w:rFonts w:ascii="Times New Roman" w:hAnsi="Times New Roman"/>
          <w:sz w:val="20"/>
        </w:rPr>
      </w:pPr>
      <w:r>
        <w:rPr>
          <w:rFonts w:ascii="Times New Roman" w:hAnsi="Times New Roman"/>
          <w:sz w:val="20"/>
        </w:rPr>
        <w:t xml:space="preserve">The following table summarizes the common stock repurchase activity under the Repurchase Program: </w:t>
      </w:r>
    </w:p>
    <w:p>
      <w:pPr>
        <w:pStyle w:val="TextBody"/>
        <w:bidi w:val="0"/>
        <w:spacing w:before="0" w:after="0"/>
        <w:jc w:val="left"/>
        <w:rPr/>
      </w:pPr>
      <w:r>
        <w:rPr/>
        <w:t xml:space="preserve">  </w:t>
      </w:r>
    </w:p>
    <w:tbl>
      <w:tblPr>
        <w:tblW w:w="7767" w:type="dxa"/>
        <w:jc w:val="left"/>
        <w:tblInd w:w="0" w:type="dxa"/>
        <w:tblLayout w:type="fixed"/>
        <w:tblCellMar>
          <w:top w:w="0" w:type="dxa"/>
          <w:left w:w="0" w:type="dxa"/>
          <w:bottom w:w="0" w:type="dxa"/>
          <w:right w:w="0" w:type="dxa"/>
        </w:tblCellMar>
      </w:tblPr>
      <w:tblGrid>
        <w:gridCol w:w="3155"/>
        <w:gridCol w:w="90"/>
        <w:gridCol w:w="170"/>
        <w:gridCol w:w="2072"/>
        <w:gridCol w:w="224"/>
        <w:gridCol w:w="224"/>
        <w:gridCol w:w="224"/>
        <w:gridCol w:w="1473"/>
        <w:gridCol w:w="135"/>
      </w:tblGrid>
      <w:tr>
        <w:trPr/>
        <w:tc>
          <w:tcPr>
            <w:tcW w:w="315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2072" w:type="dxa"/>
            <w:tcBorders/>
            <w:vAlign w:val="center"/>
          </w:tcPr>
          <w:p>
            <w:pPr>
              <w:pStyle w:val="TableContents"/>
              <w:bidi w:val="0"/>
              <w:spacing w:before="0" w:after="283"/>
              <w:jc w:val="left"/>
              <w:rPr/>
            </w:pPr>
            <w:r>
              <w:rPr/>
              <w:t> </w:t>
            </w:r>
          </w:p>
        </w:tc>
        <w:tc>
          <w:tcPr>
            <w:tcW w:w="224" w:type="dxa"/>
            <w:tcBorders/>
            <w:vAlign w:val="center"/>
          </w:tcPr>
          <w:p>
            <w:pPr>
              <w:pStyle w:val="TableContents"/>
              <w:bidi w:val="0"/>
              <w:spacing w:before="0" w:after="283"/>
              <w:jc w:val="left"/>
              <w:rPr/>
            </w:pPr>
            <w:r>
              <w:rPr/>
              <w:t> </w:t>
            </w:r>
          </w:p>
        </w:tc>
        <w:tc>
          <w:tcPr>
            <w:tcW w:w="224" w:type="dxa"/>
            <w:tcBorders/>
            <w:vAlign w:val="center"/>
          </w:tcPr>
          <w:p>
            <w:pPr>
              <w:pStyle w:val="TableContents"/>
              <w:bidi w:val="0"/>
              <w:spacing w:before="0" w:after="283"/>
              <w:jc w:val="left"/>
              <w:rPr/>
            </w:pPr>
            <w:r>
              <w:rPr/>
              <w:t> </w:t>
            </w:r>
          </w:p>
        </w:tc>
        <w:tc>
          <w:tcPr>
            <w:tcW w:w="224" w:type="dxa"/>
            <w:tcBorders/>
            <w:vAlign w:val="center"/>
          </w:tcPr>
          <w:p>
            <w:pPr>
              <w:pStyle w:val="TableContents"/>
              <w:bidi w:val="0"/>
              <w:spacing w:before="0" w:after="283"/>
              <w:jc w:val="left"/>
              <w:rPr/>
            </w:pPr>
            <w:r>
              <w:rPr/>
              <w:t> </w:t>
            </w:r>
          </w:p>
        </w:tc>
        <w:tc>
          <w:tcPr>
            <w:tcW w:w="1473" w:type="dxa"/>
            <w:tcBorders/>
            <w:vAlign w:val="center"/>
          </w:tcPr>
          <w:p>
            <w:pPr>
              <w:pStyle w:val="TableContents"/>
              <w:bidi w:val="0"/>
              <w:spacing w:before="0" w:after="283"/>
              <w:jc w:val="left"/>
              <w:rPr/>
            </w:pPr>
            <w:r>
              <w:rPr/>
              <w:t> </w:t>
            </w:r>
          </w:p>
        </w:tc>
        <w:tc>
          <w:tcPr>
            <w:tcW w:w="135" w:type="dxa"/>
            <w:tcBorders/>
            <w:vAlign w:val="center"/>
          </w:tcPr>
          <w:p>
            <w:pPr>
              <w:pStyle w:val="TableContents"/>
              <w:bidi w:val="0"/>
              <w:spacing w:before="0" w:after="283"/>
              <w:jc w:val="left"/>
              <w:rPr/>
            </w:pPr>
            <w:r>
              <w:rPr/>
              <w:t> </w:t>
            </w:r>
          </w:p>
        </w:tc>
      </w:tr>
      <w:tr>
        <w:trPr/>
        <w:tc>
          <w:tcPr>
            <w:tcW w:w="315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4217" w:type="dxa"/>
            <w:gridSpan w:val="5"/>
            <w:tcBorders>
              <w:bottom w:val="single" w:sz="12" w:space="0" w:color="000000"/>
            </w:tcBorders>
            <w:tcMar>
              <w:bottom w:w="28" w:type="dxa"/>
            </w:tcMar>
            <w:vAlign w:val="center"/>
          </w:tcPr>
          <w:p>
            <w:pPr>
              <w:pStyle w:val="TableContents"/>
              <w:bidi w:val="0"/>
              <w:spacing w:before="0" w:after="283"/>
              <w:jc w:val="center"/>
              <w:rPr/>
            </w:pPr>
            <w:r>
              <w:rPr/>
              <w:t> </w:t>
            </w:r>
            <w:r>
              <w:rPr>
                <w:b/>
              </w:rPr>
              <w:t>For the Three Months Ended March 31,</w:t>
            </w:r>
          </w:p>
        </w:tc>
        <w:tc>
          <w:tcPr>
            <w:tcW w:w="135" w:type="dxa"/>
            <w:tcBorders/>
            <w:vAlign w:val="center"/>
          </w:tcPr>
          <w:p>
            <w:pPr>
              <w:pStyle w:val="TableContents"/>
              <w:bidi w:val="0"/>
              <w:spacing w:before="0" w:after="283"/>
              <w:jc w:val="left"/>
              <w:rPr/>
            </w:pPr>
            <w:r>
              <w:rPr/>
              <w:t> </w:t>
            </w:r>
          </w:p>
        </w:tc>
      </w:tr>
      <w:tr>
        <w:trPr/>
        <w:tc>
          <w:tcPr>
            <w:tcW w:w="315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center"/>
              <w:rPr/>
            </w:pPr>
            <w:r>
              <w:rPr/>
              <w:t> </w:t>
            </w:r>
          </w:p>
        </w:tc>
        <w:tc>
          <w:tcPr>
            <w:tcW w:w="170" w:type="dxa"/>
            <w:tcBorders>
              <w:bottom w:val="single" w:sz="12" w:space="0" w:color="000000"/>
            </w:tcBorders>
            <w:tcMar>
              <w:bottom w:w="28" w:type="dxa"/>
            </w:tcMar>
            <w:vAlign w:val="center"/>
          </w:tcPr>
          <w:p>
            <w:pPr>
              <w:pStyle w:val="TableContents"/>
              <w:bidi w:val="0"/>
              <w:spacing w:before="0" w:after="283"/>
              <w:jc w:val="center"/>
              <w:rPr/>
            </w:pPr>
            <w:r>
              <w:rPr/>
              <w:t> </w:t>
            </w:r>
          </w:p>
        </w:tc>
        <w:tc>
          <w:tcPr>
            <w:tcW w:w="2072" w:type="dxa"/>
            <w:tcBorders>
              <w:bottom w:val="single" w:sz="12" w:space="0" w:color="000000"/>
            </w:tcBorders>
            <w:tcMar>
              <w:bottom w:w="28" w:type="dxa"/>
            </w:tcMar>
            <w:vAlign w:val="center"/>
          </w:tcPr>
          <w:p>
            <w:pPr>
              <w:pStyle w:val="TableContents"/>
              <w:bidi w:val="0"/>
              <w:spacing w:before="0" w:after="283"/>
              <w:jc w:val="center"/>
              <w:rPr/>
            </w:pPr>
            <w:r>
              <w:rPr>
                <w:b/>
              </w:rPr>
              <w:t>2026</w:t>
            </w:r>
            <w:r>
              <w:rPr/>
              <w:t xml:space="preserve"> </w:t>
            </w:r>
          </w:p>
        </w:tc>
        <w:tc>
          <w:tcPr>
            <w:tcW w:w="224" w:type="dxa"/>
            <w:tcBorders/>
            <w:vAlign w:val="center"/>
          </w:tcPr>
          <w:p>
            <w:pPr>
              <w:pStyle w:val="TableContents"/>
              <w:bidi w:val="0"/>
              <w:spacing w:before="0" w:after="283"/>
              <w:jc w:val="center"/>
              <w:rPr/>
            </w:pPr>
            <w:r>
              <w:rPr/>
              <w:t> </w:t>
            </w:r>
          </w:p>
        </w:tc>
        <w:tc>
          <w:tcPr>
            <w:tcW w:w="224" w:type="dxa"/>
            <w:tcBorders/>
            <w:vAlign w:val="center"/>
          </w:tcPr>
          <w:p>
            <w:pPr>
              <w:pStyle w:val="TableContents"/>
              <w:bidi w:val="0"/>
              <w:spacing w:before="0" w:after="283"/>
              <w:jc w:val="center"/>
              <w:rPr/>
            </w:pPr>
            <w:r>
              <w:rPr/>
              <w:t> </w:t>
            </w:r>
          </w:p>
        </w:tc>
        <w:tc>
          <w:tcPr>
            <w:tcW w:w="224" w:type="dxa"/>
            <w:tcBorders>
              <w:bottom w:val="single" w:sz="12" w:space="0" w:color="000000"/>
            </w:tcBorders>
            <w:tcMar>
              <w:bottom w:w="28" w:type="dxa"/>
            </w:tcMar>
            <w:vAlign w:val="center"/>
          </w:tcPr>
          <w:p>
            <w:pPr>
              <w:pStyle w:val="TableContents"/>
              <w:bidi w:val="0"/>
              <w:spacing w:before="0" w:after="283"/>
              <w:jc w:val="center"/>
              <w:rPr/>
            </w:pPr>
            <w:r>
              <w:rPr/>
              <w:t> </w:t>
            </w:r>
          </w:p>
        </w:tc>
        <w:tc>
          <w:tcPr>
            <w:tcW w:w="1473" w:type="dxa"/>
            <w:tcBorders>
              <w:bottom w:val="single" w:sz="12" w:space="0" w:color="000000"/>
            </w:tcBorders>
            <w:tcMar>
              <w:bottom w:w="28" w:type="dxa"/>
            </w:tcMar>
            <w:vAlign w:val="center"/>
          </w:tcPr>
          <w:p>
            <w:pPr>
              <w:pStyle w:val="TableContents"/>
              <w:bidi w:val="0"/>
              <w:spacing w:before="0" w:after="283"/>
              <w:jc w:val="center"/>
              <w:rPr/>
            </w:pPr>
            <w:r>
              <w:rPr>
                <w:b/>
              </w:rPr>
              <w:t>2025</w:t>
            </w:r>
            <w:r>
              <w:rPr/>
              <w:t xml:space="preserve"> </w:t>
            </w:r>
          </w:p>
        </w:tc>
        <w:tc>
          <w:tcPr>
            <w:tcW w:w="135" w:type="dxa"/>
            <w:tcBorders/>
            <w:vAlign w:val="center"/>
          </w:tcPr>
          <w:p>
            <w:pPr>
              <w:pStyle w:val="TableContents"/>
              <w:bidi w:val="0"/>
              <w:spacing w:before="0" w:after="283"/>
              <w:jc w:val="center"/>
              <w:rPr/>
            </w:pPr>
            <w:r>
              <w:rPr/>
              <w:t> </w:t>
            </w:r>
          </w:p>
        </w:tc>
      </w:tr>
      <w:tr>
        <w:trPr/>
        <w:tc>
          <w:tcPr>
            <w:tcW w:w="3155" w:type="dxa"/>
            <w:tcBorders/>
            <w:vAlign w:val="center"/>
          </w:tcPr>
          <w:p>
            <w:pPr>
              <w:pStyle w:val="TableContents"/>
              <w:bidi w:val="0"/>
              <w:spacing w:before="0" w:after="0"/>
              <w:ind w:left="0" w:right="0" w:hanging="144"/>
              <w:jc w:val="left"/>
              <w:rPr/>
            </w:pPr>
            <w:r>
              <w:rPr>
                <w:i/>
              </w:rPr>
              <w:t>(In thousands)</w:t>
            </w:r>
            <w:r>
              <w:rPr/>
              <w:t xml:space="preserve">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2072" w:type="dxa"/>
            <w:tcBorders/>
            <w:vAlign w:val="center"/>
          </w:tcPr>
          <w:p>
            <w:pPr>
              <w:pStyle w:val="TableContents"/>
              <w:bidi w:val="0"/>
              <w:spacing w:before="0" w:after="283"/>
              <w:jc w:val="left"/>
              <w:rPr/>
            </w:pPr>
            <w:r>
              <w:rPr/>
              <w:t> </w:t>
            </w:r>
          </w:p>
        </w:tc>
        <w:tc>
          <w:tcPr>
            <w:tcW w:w="224" w:type="dxa"/>
            <w:tcBorders/>
            <w:vAlign w:val="center"/>
          </w:tcPr>
          <w:p>
            <w:pPr>
              <w:pStyle w:val="TableContents"/>
              <w:bidi w:val="0"/>
              <w:spacing w:before="0" w:after="283"/>
              <w:jc w:val="left"/>
              <w:rPr/>
            </w:pPr>
            <w:r>
              <w:rPr/>
              <w:t> </w:t>
            </w:r>
          </w:p>
        </w:tc>
        <w:tc>
          <w:tcPr>
            <w:tcW w:w="224" w:type="dxa"/>
            <w:tcBorders/>
            <w:vAlign w:val="center"/>
          </w:tcPr>
          <w:p>
            <w:pPr>
              <w:pStyle w:val="TableContents"/>
              <w:bidi w:val="0"/>
              <w:spacing w:before="0" w:after="283"/>
              <w:jc w:val="left"/>
              <w:rPr/>
            </w:pPr>
            <w:r>
              <w:rPr/>
              <w:t> </w:t>
            </w:r>
          </w:p>
        </w:tc>
        <w:tc>
          <w:tcPr>
            <w:tcW w:w="224" w:type="dxa"/>
            <w:tcBorders/>
            <w:vAlign w:val="center"/>
          </w:tcPr>
          <w:p>
            <w:pPr>
              <w:pStyle w:val="TableContents"/>
              <w:bidi w:val="0"/>
              <w:spacing w:before="0" w:after="283"/>
              <w:jc w:val="left"/>
              <w:rPr/>
            </w:pPr>
            <w:r>
              <w:rPr/>
              <w:t> </w:t>
            </w:r>
          </w:p>
        </w:tc>
        <w:tc>
          <w:tcPr>
            <w:tcW w:w="1473" w:type="dxa"/>
            <w:tcBorders/>
            <w:vAlign w:val="center"/>
          </w:tcPr>
          <w:p>
            <w:pPr>
              <w:pStyle w:val="TableContents"/>
              <w:bidi w:val="0"/>
              <w:spacing w:before="0" w:after="283"/>
              <w:jc w:val="left"/>
              <w:rPr/>
            </w:pPr>
            <w:r>
              <w:rPr/>
              <w:t> </w:t>
            </w:r>
          </w:p>
        </w:tc>
        <w:tc>
          <w:tcPr>
            <w:tcW w:w="135" w:type="dxa"/>
            <w:tcBorders/>
            <w:vAlign w:val="center"/>
          </w:tcPr>
          <w:p>
            <w:pPr>
              <w:pStyle w:val="TableContents"/>
              <w:bidi w:val="0"/>
              <w:spacing w:before="0" w:after="283"/>
              <w:jc w:val="left"/>
              <w:rPr/>
            </w:pPr>
            <w:r>
              <w:rPr/>
              <w:t> </w:t>
            </w:r>
          </w:p>
        </w:tc>
      </w:tr>
      <w:tr>
        <w:trPr/>
        <w:tc>
          <w:tcPr>
            <w:tcW w:w="3155" w:type="dxa"/>
            <w:tcBorders/>
            <w:shd w:fill="CCEEFF" w:val="clear"/>
            <w:vAlign w:val="center"/>
          </w:tcPr>
          <w:p>
            <w:pPr>
              <w:pStyle w:val="TableContents"/>
              <w:bidi w:val="0"/>
              <w:spacing w:before="0" w:after="0"/>
              <w:ind w:left="0" w:right="0" w:hanging="144"/>
              <w:jc w:val="left"/>
              <w:rPr/>
            </w:pPr>
            <w:r>
              <w:rPr/>
              <w:t xml:space="preserve">Shares repurchased </w:t>
            </w:r>
          </w:p>
        </w:tc>
        <w:tc>
          <w:tcPr>
            <w:tcW w:w="90"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 </w:t>
            </w:r>
          </w:p>
        </w:tc>
        <w:tc>
          <w:tcPr>
            <w:tcW w:w="2072" w:type="dxa"/>
            <w:tcBorders/>
            <w:shd w:fill="CCEEFF" w:val="clear"/>
            <w:vAlign w:val="center"/>
          </w:tcPr>
          <w:p>
            <w:pPr>
              <w:pStyle w:val="TableContents"/>
              <w:bidi w:val="0"/>
              <w:spacing w:before="0" w:after="283"/>
              <w:jc w:val="right"/>
              <w:rPr/>
            </w:pPr>
            <w:r>
              <w:rPr/>
              <w:t>6,754</w:t>
            </w:r>
          </w:p>
        </w:tc>
        <w:tc>
          <w:tcPr>
            <w:tcW w:w="224" w:type="dxa"/>
            <w:tcBorders/>
            <w:shd w:fill="CCEEFF" w:val="clear"/>
            <w:vAlign w:val="center"/>
          </w:tcPr>
          <w:p>
            <w:pPr>
              <w:pStyle w:val="TableContents"/>
              <w:bidi w:val="0"/>
              <w:spacing w:before="0" w:after="283"/>
              <w:jc w:val="left"/>
              <w:rPr/>
            </w:pPr>
            <w:r>
              <w:rPr/>
              <w:t> </w:t>
            </w:r>
          </w:p>
        </w:tc>
        <w:tc>
          <w:tcPr>
            <w:tcW w:w="224" w:type="dxa"/>
            <w:tcBorders/>
            <w:shd w:fill="CCEEFF" w:val="clear"/>
            <w:vAlign w:val="center"/>
          </w:tcPr>
          <w:p>
            <w:pPr>
              <w:pStyle w:val="TableContents"/>
              <w:bidi w:val="0"/>
              <w:spacing w:before="0" w:after="283"/>
              <w:jc w:val="right"/>
              <w:rPr/>
            </w:pPr>
            <w:r>
              <w:rPr/>
              <w:t> </w:t>
            </w:r>
          </w:p>
        </w:tc>
        <w:tc>
          <w:tcPr>
            <w:tcW w:w="224" w:type="dxa"/>
            <w:tcBorders/>
            <w:shd w:fill="CCEEFF" w:val="clear"/>
            <w:vAlign w:val="center"/>
          </w:tcPr>
          <w:p>
            <w:pPr>
              <w:pStyle w:val="TableContents"/>
              <w:bidi w:val="0"/>
              <w:spacing w:before="0" w:after="283"/>
              <w:jc w:val="left"/>
              <w:rPr/>
            </w:pPr>
            <w:r>
              <w:rPr/>
              <w:t> </w:t>
            </w:r>
          </w:p>
        </w:tc>
        <w:tc>
          <w:tcPr>
            <w:tcW w:w="1473" w:type="dxa"/>
            <w:tcBorders/>
            <w:shd w:fill="CCEEFF" w:val="clear"/>
            <w:vAlign w:val="center"/>
          </w:tcPr>
          <w:p>
            <w:pPr>
              <w:pStyle w:val="TableContents"/>
              <w:bidi w:val="0"/>
              <w:spacing w:before="0" w:after="283"/>
              <w:jc w:val="right"/>
              <w:rPr/>
            </w:pPr>
            <w:r>
              <w:rPr/>
              <w:t xml:space="preserve">- </w:t>
            </w:r>
          </w:p>
        </w:tc>
        <w:tc>
          <w:tcPr>
            <w:tcW w:w="135" w:type="dxa"/>
            <w:tcBorders/>
            <w:shd w:fill="CCEEFF" w:val="clear"/>
            <w:vAlign w:val="center"/>
          </w:tcPr>
          <w:p>
            <w:pPr>
              <w:pStyle w:val="TableContents"/>
              <w:bidi w:val="0"/>
              <w:spacing w:before="0" w:after="283"/>
              <w:jc w:val="left"/>
              <w:rPr/>
            </w:pPr>
            <w:r>
              <w:rPr/>
              <w:t> </w:t>
            </w:r>
          </w:p>
        </w:tc>
      </w:tr>
      <w:tr>
        <w:trPr/>
        <w:tc>
          <w:tcPr>
            <w:tcW w:w="3155" w:type="dxa"/>
            <w:tcBorders/>
            <w:vAlign w:val="center"/>
          </w:tcPr>
          <w:p>
            <w:pPr>
              <w:pStyle w:val="TableContents"/>
              <w:bidi w:val="0"/>
              <w:spacing w:before="0" w:after="0"/>
              <w:ind w:left="0" w:right="0" w:hanging="144"/>
              <w:jc w:val="left"/>
              <w:rPr/>
            </w:pPr>
            <w:r>
              <w:rPr/>
              <w:t xml:space="preserve">Total cost of shares repurchased </w:t>
            </w:r>
          </w:p>
        </w:tc>
        <w:tc>
          <w:tcPr>
            <w:tcW w:w="90"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pPr>
            <w:r>
              <w:rPr/>
              <w:t>$</w:t>
            </w:r>
          </w:p>
        </w:tc>
        <w:tc>
          <w:tcPr>
            <w:tcW w:w="2072" w:type="dxa"/>
            <w:tcBorders/>
            <w:vAlign w:val="center"/>
          </w:tcPr>
          <w:p>
            <w:pPr>
              <w:pStyle w:val="TableContents"/>
              <w:bidi w:val="0"/>
              <w:spacing w:before="0" w:after="283"/>
              <w:jc w:val="right"/>
              <w:rPr/>
            </w:pPr>
            <w:r>
              <w:rPr/>
              <w:t>111,080</w:t>
            </w:r>
          </w:p>
        </w:tc>
        <w:tc>
          <w:tcPr>
            <w:tcW w:w="224" w:type="dxa"/>
            <w:tcBorders/>
            <w:vAlign w:val="center"/>
          </w:tcPr>
          <w:p>
            <w:pPr>
              <w:pStyle w:val="TableContents"/>
              <w:bidi w:val="0"/>
              <w:spacing w:before="0" w:after="283"/>
              <w:jc w:val="left"/>
              <w:rPr/>
            </w:pPr>
            <w:r>
              <w:rPr/>
              <w:t> </w:t>
            </w:r>
          </w:p>
        </w:tc>
        <w:tc>
          <w:tcPr>
            <w:tcW w:w="224" w:type="dxa"/>
            <w:tcBorders/>
            <w:vAlign w:val="center"/>
          </w:tcPr>
          <w:p>
            <w:pPr>
              <w:pStyle w:val="TableContents"/>
              <w:bidi w:val="0"/>
              <w:spacing w:before="0" w:after="283"/>
              <w:jc w:val="right"/>
              <w:rPr/>
            </w:pPr>
            <w:r>
              <w:rPr/>
              <w:t> </w:t>
            </w:r>
          </w:p>
        </w:tc>
        <w:tc>
          <w:tcPr>
            <w:tcW w:w="224" w:type="dxa"/>
            <w:tcBorders/>
            <w:vAlign w:val="center"/>
          </w:tcPr>
          <w:p>
            <w:pPr>
              <w:pStyle w:val="TableContents"/>
              <w:bidi w:val="0"/>
              <w:spacing w:before="0" w:after="283"/>
              <w:jc w:val="left"/>
              <w:rPr/>
            </w:pPr>
            <w:r>
              <w:rPr/>
              <w:t> </w:t>
            </w:r>
          </w:p>
        </w:tc>
        <w:tc>
          <w:tcPr>
            <w:tcW w:w="1473" w:type="dxa"/>
            <w:tcBorders/>
            <w:vAlign w:val="center"/>
          </w:tcPr>
          <w:p>
            <w:pPr>
              <w:pStyle w:val="TableContents"/>
              <w:bidi w:val="0"/>
              <w:spacing w:before="0" w:after="283"/>
              <w:jc w:val="right"/>
              <w:rPr/>
            </w:pPr>
            <w:r>
              <w:rPr/>
              <w:t xml:space="preserve">- </w:t>
            </w:r>
          </w:p>
        </w:tc>
        <w:tc>
          <w:tcPr>
            <w:tcW w:w="135" w:type="dxa"/>
            <w:tcBorders/>
            <w:vAlign w:val="center"/>
          </w:tcPr>
          <w:p>
            <w:pPr>
              <w:pStyle w:val="TableContents"/>
              <w:bidi w:val="0"/>
              <w:spacing w:before="0" w:after="283"/>
              <w:jc w:val="left"/>
              <w:rPr/>
            </w:pPr>
            <w:r>
              <w:rPr/>
              <w:t> </w:t>
            </w:r>
          </w:p>
        </w:tc>
      </w:tr>
    </w:tbl>
    <w:p>
      <w:pPr>
        <w:pStyle w:val="TextBody"/>
        <w:bidi w:val="0"/>
        <w:spacing w:before="0" w:after="0"/>
        <w:jc w:val="center"/>
        <w:rPr/>
      </w:pPr>
      <w:r>
        <w:rPr/>
        <w:t xml:space="preserve">  </w:t>
      </w:r>
    </w:p>
    <w:p>
      <w:pPr>
        <w:pStyle w:val="TextBody"/>
        <w:bidi w:val="0"/>
        <w:spacing w:before="150" w:after="15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t>11</w:t>
      </w:r>
    </w:p>
    <w:p>
      <w:pPr>
        <w:pStyle w:val="HorizontalLine"/>
        <w:bidi w:val="0"/>
        <w:spacing w:before="150" w:after="150"/>
        <w:jc w:val="left"/>
        <w:rPr/>
      </w:pPr>
      <w:r>
        <w:rPr/>
      </w:r>
    </w:p>
    <w:p>
      <w:pPr>
        <w:pStyle w:val="TextBody"/>
        <w:bidi w:val="0"/>
        <w:spacing w:before="150" w:after="150"/>
        <w:jc w:val="left"/>
        <w:rPr/>
      </w:pPr>
      <w:hyperlink w:anchor="index">
        <w:r>
          <w:rPr>
            <w:rStyle w:val="InternetLink"/>
            <w:rFonts w:ascii="TimesNewRoman;Times New Roman;Times;Baskerville;Georgia;serif" w:hAnsi="TimesNewRoman;Times New Roman;Times;Baskerville;Georgia;serif"/>
            <w:b w:val="false"/>
            <w:i/>
            <w:caps w:val="false"/>
            <w:smallCaps w:val="false"/>
            <w:strike w:val="false"/>
            <w:dstrike w:val="false"/>
            <w:sz w:val="16"/>
            <w:u w:val="none"/>
            <w:effect w:val="none"/>
          </w:rPr>
          <w:t>Index</w:t>
        </w:r>
      </w:hyperlink>
    </w:p>
    <w:p>
      <w:pPr>
        <w:pStyle w:val="TextBody"/>
        <w:bidi w:val="0"/>
        <w:spacing w:before="0" w:after="0"/>
        <w:ind w:left="0" w:right="0" w:hanging="0"/>
        <w:jc w:val="center"/>
        <w:rPr>
          <w:rFonts w:ascii="Times New Roman" w:hAnsi="Times New Roman"/>
          <w:b/>
          <w:sz w:val="22"/>
        </w:rPr>
      </w:pPr>
      <w:r>
        <w:rPr>
          <w:rFonts w:ascii="Times New Roman" w:hAnsi="Times New Roman"/>
          <w:b/>
          <w:sz w:val="22"/>
        </w:rPr>
        <w:t>ADMA BIOLOGICS, INC. AND SUBSIDIARIES</w:t>
      </w:r>
    </w:p>
    <w:p>
      <w:pPr>
        <w:pStyle w:val="TextBody"/>
        <w:bidi w:val="0"/>
        <w:spacing w:before="0" w:after="0"/>
        <w:ind w:left="0" w:right="0" w:hanging="0"/>
        <w:jc w:val="center"/>
        <w:rPr>
          <w:rFonts w:ascii="Times New Roman" w:hAnsi="Times New Roman"/>
          <w:b/>
          <w:sz w:val="22"/>
        </w:rPr>
      </w:pPr>
      <w:r>
        <w:rPr>
          <w:rFonts w:ascii="Times New Roman" w:hAnsi="Times New Roman"/>
          <w:b/>
          <w:sz w:val="22"/>
        </w:rPr>
        <w:t>NOTES TO CONDENSED CONSOLIDATED FINANCIAL STATEMENTS (UNAUDITED)</w:t>
      </w:r>
    </w:p>
    <w:p>
      <w:pPr>
        <w:pStyle w:val="TextBody"/>
        <w:bidi w:val="0"/>
        <w:spacing w:before="0" w:after="0"/>
        <w:jc w:val="center"/>
        <w:rPr/>
      </w:pPr>
      <w:r>
        <w:rPr/>
        <w:t xml:space="preserve">  </w:t>
      </w:r>
    </w:p>
    <w:p>
      <w:pPr>
        <w:pStyle w:val="TextBody"/>
        <w:bidi w:val="0"/>
        <w:spacing w:before="0" w:after="0"/>
        <w:ind w:left="0" w:right="0" w:firstLine="720"/>
        <w:jc w:val="both"/>
        <w:rPr>
          <w:rFonts w:ascii="Times New Roman" w:hAnsi="Times New Roman"/>
          <w:sz w:val="20"/>
        </w:rPr>
      </w:pPr>
      <w:r>
        <w:rPr>
          <w:rFonts w:ascii="Times New Roman" w:hAnsi="Times New Roman"/>
          <w:sz w:val="20"/>
        </w:rPr>
        <w:t xml:space="preserve">The repurchased shares are recorded at the repurchase cost in treasury stock in the Company’s condensed consolidated balance sheet and are available for reissuance. </w:t>
      </w:r>
    </w:p>
    <w:p>
      <w:pPr>
        <w:pStyle w:val="TextBody"/>
        <w:bidi w:val="0"/>
        <w:spacing w:before="0" w:after="0"/>
        <w:jc w:val="left"/>
        <w:rPr/>
      </w:pPr>
      <w:r>
        <w:rPr/>
        <w:t xml:space="preserve">  </w:t>
      </w:r>
    </w:p>
    <w:p>
      <w:pPr>
        <w:pStyle w:val="TextBody"/>
        <w:bidi w:val="0"/>
        <w:spacing w:before="0" w:after="0"/>
        <w:jc w:val="left"/>
        <w:rPr>
          <w:rFonts w:ascii="Times New Roman" w:hAnsi="Times New Roman"/>
          <w:sz w:val="20"/>
        </w:rPr>
      </w:pPr>
      <w:r>
        <w:rPr>
          <w:rFonts w:ascii="Times New Roman" w:hAnsi="Times New Roman"/>
          <w:i/>
          <w:sz w:val="20"/>
          <w:u w:val="single"/>
        </w:rPr>
        <w:t>Preferred Stock</w:t>
      </w:r>
      <w:r>
        <w:rPr>
          <w:rFonts w:ascii="Times New Roman" w:hAnsi="Times New Roman"/>
          <w:sz w:val="20"/>
        </w:rPr>
        <w:t xml:space="preserve"> </w:t>
      </w:r>
    </w:p>
    <w:p>
      <w:pPr>
        <w:pStyle w:val="TextBody"/>
        <w:bidi w:val="0"/>
        <w:spacing w:before="0" w:after="0"/>
        <w:jc w:val="left"/>
        <w:rPr/>
      </w:pPr>
      <w:r>
        <w:rPr/>
        <w:t xml:space="preserve">  </w:t>
      </w:r>
    </w:p>
    <w:p>
      <w:pPr>
        <w:pStyle w:val="TextBody"/>
        <w:bidi w:val="0"/>
        <w:spacing w:before="0" w:after="0"/>
        <w:ind w:left="0" w:right="0" w:firstLine="720"/>
        <w:jc w:val="left"/>
        <w:rPr>
          <w:rFonts w:ascii="Times New Roman" w:hAnsi="Times New Roman"/>
          <w:sz w:val="20"/>
        </w:rPr>
      </w:pPr>
      <w:r>
        <w:rPr>
          <w:rFonts w:ascii="Times New Roman" w:hAnsi="Times New Roman"/>
          <w:sz w:val="20"/>
        </w:rPr>
        <w:t xml:space="preserve">The Company is currently authorized to issue up to 10 million shares of preferred stock, $0.0001, par value per share. There were no shares of preferred stock outstanding at March 31, 2026 and December 31, 2025. </w:t>
      </w:r>
    </w:p>
    <w:p>
      <w:pPr>
        <w:pStyle w:val="TextBody"/>
        <w:bidi w:val="0"/>
        <w:spacing w:before="0" w:after="0"/>
        <w:ind w:left="360" w:right="0" w:hanging="0"/>
        <w:jc w:val="left"/>
        <w:rPr/>
      </w:pPr>
      <w:r>
        <w:rPr/>
        <w:t xml:space="preserve">  </w:t>
      </w:r>
    </w:p>
    <w:p>
      <w:pPr>
        <w:pStyle w:val="TextBody"/>
        <w:bidi w:val="0"/>
        <w:spacing w:before="0" w:after="0"/>
        <w:jc w:val="left"/>
        <w:rPr>
          <w:rFonts w:ascii="Times New Roman" w:hAnsi="Times New Roman"/>
          <w:sz w:val="20"/>
        </w:rPr>
      </w:pPr>
      <w:r>
        <w:rPr>
          <w:rFonts w:ascii="Times New Roman" w:hAnsi="Times New Roman"/>
          <w:i/>
          <w:sz w:val="20"/>
          <w:u w:val="single"/>
        </w:rPr>
        <w:t>Common Stock</w:t>
      </w:r>
      <w:r>
        <w:rPr>
          <w:rFonts w:ascii="Times New Roman" w:hAnsi="Times New Roman"/>
          <w:sz w:val="20"/>
        </w:rPr>
        <w:t xml:space="preserve"> </w:t>
      </w:r>
    </w:p>
    <w:p>
      <w:pPr>
        <w:pStyle w:val="TextBody"/>
        <w:bidi w:val="0"/>
        <w:spacing w:before="0" w:after="0"/>
        <w:jc w:val="left"/>
        <w:rPr/>
      </w:pPr>
      <w:r>
        <w:rPr/>
        <w:t xml:space="preserve">  </w:t>
      </w:r>
    </w:p>
    <w:p>
      <w:pPr>
        <w:pStyle w:val="TextBody"/>
        <w:bidi w:val="0"/>
        <w:spacing w:before="0" w:after="0"/>
        <w:ind w:left="0" w:right="0" w:firstLine="720"/>
        <w:jc w:val="both"/>
        <w:rPr>
          <w:rFonts w:ascii="Times New Roman" w:hAnsi="Times New Roman"/>
          <w:sz w:val="20"/>
        </w:rPr>
      </w:pPr>
      <w:r>
        <w:rPr>
          <w:rFonts w:ascii="Times New Roman" w:hAnsi="Times New Roman"/>
          <w:sz w:val="20"/>
        </w:rPr>
        <w:t xml:space="preserve">As of March 31, 2026 and December 31, 2025, the Company was authorized to issue 300,000,000 shares of its common stock, $0.0001 par value per share, and 232,288,977 and 237,874,496 shares of common stock were outstanding as of March 31, 2026 and December 31, 2025, respectively. After giving effect to shares reserved for the issuance of awards issued under the Company’s equity incentive plans, 45,996,496 shares of common stock were available for issuance as of March 31, 2026. </w:t>
      </w:r>
    </w:p>
    <w:p>
      <w:pPr>
        <w:pStyle w:val="TextBody"/>
        <w:bidi w:val="0"/>
        <w:spacing w:before="0" w:after="0"/>
        <w:jc w:val="left"/>
        <w:rPr/>
      </w:pPr>
      <w:r>
        <w:rPr/>
        <w:t xml:space="preserve">  </w:t>
      </w:r>
    </w:p>
    <w:p>
      <w:pPr>
        <w:pStyle w:val="TextBody"/>
        <w:bidi w:val="0"/>
        <w:spacing w:before="0" w:after="0"/>
        <w:jc w:val="left"/>
        <w:rPr>
          <w:rFonts w:ascii="Times New Roman" w:hAnsi="Times New Roman"/>
          <w:sz w:val="20"/>
        </w:rPr>
      </w:pPr>
      <w:r>
        <w:rPr>
          <w:rFonts w:ascii="Times New Roman" w:hAnsi="Times New Roman"/>
          <w:i/>
          <w:sz w:val="20"/>
          <w:u w:val="single"/>
        </w:rPr>
        <w:t>Equity Incentive Plans</w:t>
      </w:r>
      <w:r>
        <w:rPr>
          <w:rFonts w:ascii="Times New Roman" w:hAnsi="Times New Roman"/>
          <w:sz w:val="20"/>
        </w:rPr>
        <w:t xml:space="preserve"> </w:t>
      </w:r>
    </w:p>
    <w:p>
      <w:pPr>
        <w:pStyle w:val="TextBody"/>
        <w:bidi w:val="0"/>
        <w:spacing w:before="0" w:after="0"/>
        <w:jc w:val="left"/>
        <w:rPr/>
      </w:pPr>
      <w:r>
        <w:rPr/>
        <w:t xml:space="preserve">  </w:t>
      </w:r>
    </w:p>
    <w:p>
      <w:pPr>
        <w:pStyle w:val="TextBody"/>
        <w:bidi w:val="0"/>
        <w:spacing w:before="0" w:after="0"/>
        <w:ind w:left="0" w:right="0" w:firstLine="720"/>
        <w:jc w:val="both"/>
        <w:rPr>
          <w:rFonts w:ascii="Times New Roman" w:hAnsi="Times New Roman"/>
          <w:sz w:val="20"/>
        </w:rPr>
      </w:pPr>
      <w:r>
        <w:rPr>
          <w:rFonts w:ascii="Times New Roman" w:hAnsi="Times New Roman"/>
          <w:sz w:val="20"/>
        </w:rPr>
        <w:t xml:space="preserve">In 2022, the Company’s stockholders approved the ADMA Biologics, Inc. 2022 Compensation Plan (the “2022 Equity Plan”), which replaced the Company’s Amended and Restated 2014 Omnibus Incentive Compensation Plan (the “2014 Plan”). Approval of the 2022 Equity Plan resulted in approximately 18 million additional shares of the Company’s common stock being reserved for future awards. The 2022 Equity Plan provides for the Company’s Board or a Committee of the Board (the “Committee”) to grant awards to grantees and to determine the exercise price, vesting term, expiration date and all other terms and conditions of the awards, including acceleration of the vesting of an award at any time. Any options granted under the 2022 Equity Plan are intended to be Incentive Stock Options (“ISOs”), unless specified by the Committee to be Non-Qualified Options (“NQOs”) as defined by the Internal Revenue Code. ISOs and NQOs may be granted to employees, consultants or Board members at an option price not less than the fair market value of the common stock subject to the stock option agreement. Shares issued in connection with the exercise of stock options or the vesting of RSUs are newly issued shares. </w:t>
      </w:r>
    </w:p>
    <w:p>
      <w:pPr>
        <w:pStyle w:val="TextBody"/>
        <w:bidi w:val="0"/>
        <w:spacing w:before="0" w:after="0"/>
        <w:jc w:val="both"/>
        <w:rPr/>
      </w:pPr>
      <w:r>
        <w:rPr/>
        <w:t xml:space="preserve">  </w:t>
      </w:r>
    </w:p>
    <w:p>
      <w:pPr>
        <w:pStyle w:val="TextBody"/>
        <w:bidi w:val="0"/>
        <w:spacing w:before="0" w:after="0"/>
        <w:jc w:val="left"/>
        <w:rPr>
          <w:rFonts w:ascii="Times New Roman" w:hAnsi="Times New Roman"/>
          <w:sz w:val="20"/>
        </w:rPr>
      </w:pPr>
      <w:r>
        <w:rPr>
          <w:rFonts w:ascii="Times New Roman" w:hAnsi="Times New Roman"/>
          <w:i/>
          <w:sz w:val="20"/>
        </w:rPr>
        <w:t>Options</w:t>
      </w:r>
      <w:r>
        <w:rPr>
          <w:rFonts w:ascii="Times New Roman" w:hAnsi="Times New Roman"/>
          <w:sz w:val="20"/>
        </w:rPr>
        <w:t xml:space="preserve"> </w:t>
      </w:r>
    </w:p>
    <w:p>
      <w:pPr>
        <w:pStyle w:val="TextBody"/>
        <w:bidi w:val="0"/>
        <w:spacing w:before="0" w:after="0"/>
        <w:jc w:val="left"/>
        <w:rPr/>
      </w:pPr>
      <w:r>
        <w:rPr/>
        <w:t xml:space="preserve">  </w:t>
      </w:r>
    </w:p>
    <w:p>
      <w:pPr>
        <w:pStyle w:val="TextBody"/>
        <w:bidi w:val="0"/>
        <w:spacing w:before="0" w:after="0"/>
        <w:ind w:left="0" w:right="0" w:firstLine="720"/>
        <w:jc w:val="both"/>
        <w:rPr>
          <w:rFonts w:ascii="Times New Roman" w:hAnsi="Times New Roman"/>
          <w:sz w:val="20"/>
        </w:rPr>
      </w:pPr>
      <w:r>
        <w:rPr>
          <w:rFonts w:ascii="Times New Roman" w:hAnsi="Times New Roman"/>
          <w:sz w:val="20"/>
        </w:rPr>
        <w:t xml:space="preserve">The fair value of stock options granted is determined on the date of grant using the Black-Scholes model. To determine the risk-free interest rate, the Company utilizes the U.S. Treasury yield curve in effect at the time of the grant with a term consistent with the term of the awards granted by the Company. The expected term of all options granted is in accordance with Staff Accounting Bulletins 107 and 110, which is based on the average between vesting terms and contractual terms as the Company had a limited history of option exercises prior to the middle of fiscal 2023. The expected dividend yield reflects the Company’s current and expected future policy for dividends on the Company’s common stock. </w:t>
      </w:r>
    </w:p>
    <w:p>
      <w:pPr>
        <w:pStyle w:val="TextBody"/>
        <w:bidi w:val="0"/>
        <w:spacing w:before="0" w:after="0"/>
        <w:jc w:val="both"/>
        <w:rPr/>
      </w:pPr>
      <w:r>
        <w:rPr/>
        <w:t xml:space="preserve">  </w:t>
      </w:r>
    </w:p>
    <w:p>
      <w:pPr>
        <w:pStyle w:val="TextBody"/>
        <w:bidi w:val="0"/>
        <w:spacing w:before="0" w:after="0"/>
        <w:ind w:left="0" w:right="0" w:firstLine="720"/>
        <w:jc w:val="both"/>
        <w:rPr>
          <w:rFonts w:ascii="Times New Roman" w:hAnsi="Times New Roman"/>
          <w:sz w:val="20"/>
        </w:rPr>
      </w:pPr>
      <w:r>
        <w:rPr>
          <w:rFonts w:ascii="Times New Roman" w:hAnsi="Times New Roman"/>
          <w:sz w:val="20"/>
        </w:rPr>
        <w:t xml:space="preserve">The following assumptions were used to determine the fair value of options granted during the three months ended March 31, 2026 and 2025: </w:t>
      </w:r>
    </w:p>
    <w:p>
      <w:pPr>
        <w:pStyle w:val="TextBody"/>
        <w:bidi w:val="0"/>
        <w:spacing w:before="0" w:after="0"/>
        <w:jc w:val="left"/>
        <w:rPr/>
      </w:pPr>
      <w:r>
        <w:rPr/>
        <w:t xml:space="preserve">  </w:t>
      </w:r>
    </w:p>
    <w:tbl>
      <w:tblPr>
        <w:tblW w:w="6012" w:type="dxa"/>
        <w:jc w:val="left"/>
        <w:tblInd w:w="0" w:type="dxa"/>
        <w:tblLayout w:type="fixed"/>
        <w:tblCellMar>
          <w:top w:w="0" w:type="dxa"/>
          <w:left w:w="0" w:type="dxa"/>
          <w:bottom w:w="0" w:type="dxa"/>
          <w:right w:w="0" w:type="dxa"/>
        </w:tblCellMar>
      </w:tblPr>
      <w:tblGrid>
        <w:gridCol w:w="2135"/>
        <w:gridCol w:w="90"/>
        <w:gridCol w:w="90"/>
        <w:gridCol w:w="1488"/>
        <w:gridCol w:w="249"/>
        <w:gridCol w:w="91"/>
        <w:gridCol w:w="91"/>
        <w:gridCol w:w="1488"/>
        <w:gridCol w:w="290"/>
      </w:tblGrid>
      <w:tr>
        <w:trPr/>
        <w:tc>
          <w:tcPr>
            <w:tcW w:w="213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88" w:type="dxa"/>
            <w:tcBorders/>
            <w:vAlign w:val="center"/>
          </w:tcPr>
          <w:p>
            <w:pPr>
              <w:pStyle w:val="TableContents"/>
              <w:bidi w:val="0"/>
              <w:spacing w:before="0" w:after="283"/>
              <w:jc w:val="left"/>
              <w:rPr/>
            </w:pPr>
            <w:r>
              <w:rPr/>
              <w:t> </w:t>
            </w:r>
          </w:p>
        </w:tc>
        <w:tc>
          <w:tcPr>
            <w:tcW w:w="249" w:type="dxa"/>
            <w:tcBorders/>
            <w:vAlign w:val="center"/>
          </w:tcPr>
          <w:p>
            <w:pPr>
              <w:pStyle w:val="TableContents"/>
              <w:bidi w:val="0"/>
              <w:spacing w:before="0" w:after="283"/>
              <w:jc w:val="left"/>
              <w:rPr/>
            </w:pPr>
            <w:r>
              <w:rPr/>
              <w:t> </w:t>
            </w:r>
          </w:p>
        </w:tc>
        <w:tc>
          <w:tcPr>
            <w:tcW w:w="91" w:type="dxa"/>
            <w:tcBorders/>
            <w:vAlign w:val="center"/>
          </w:tcPr>
          <w:p>
            <w:pPr>
              <w:pStyle w:val="TableContents"/>
              <w:bidi w:val="0"/>
              <w:spacing w:before="0" w:after="283"/>
              <w:jc w:val="left"/>
              <w:rPr/>
            </w:pPr>
            <w:r>
              <w:rPr/>
              <w:t> </w:t>
            </w:r>
          </w:p>
        </w:tc>
        <w:tc>
          <w:tcPr>
            <w:tcW w:w="91" w:type="dxa"/>
            <w:tcBorders/>
            <w:vAlign w:val="center"/>
          </w:tcPr>
          <w:p>
            <w:pPr>
              <w:pStyle w:val="TableContents"/>
              <w:bidi w:val="0"/>
              <w:spacing w:before="0" w:after="283"/>
              <w:jc w:val="left"/>
              <w:rPr/>
            </w:pPr>
            <w:r>
              <w:rPr/>
              <w:t> </w:t>
            </w:r>
          </w:p>
        </w:tc>
        <w:tc>
          <w:tcPr>
            <w:tcW w:w="1488" w:type="dxa"/>
            <w:tcBorders/>
            <w:vAlign w:val="center"/>
          </w:tcPr>
          <w:p>
            <w:pPr>
              <w:pStyle w:val="TableContents"/>
              <w:bidi w:val="0"/>
              <w:spacing w:before="0" w:after="283"/>
              <w:jc w:val="left"/>
              <w:rPr/>
            </w:pPr>
            <w:r>
              <w:rPr/>
              <w:t> </w:t>
            </w:r>
          </w:p>
        </w:tc>
        <w:tc>
          <w:tcPr>
            <w:tcW w:w="290" w:type="dxa"/>
            <w:tcBorders/>
            <w:vAlign w:val="center"/>
          </w:tcPr>
          <w:p>
            <w:pPr>
              <w:pStyle w:val="TableContents"/>
              <w:bidi w:val="0"/>
              <w:spacing w:before="0" w:after="283"/>
              <w:jc w:val="left"/>
              <w:rPr/>
            </w:pPr>
            <w:r>
              <w:rPr/>
              <w:t> </w:t>
            </w:r>
          </w:p>
        </w:tc>
      </w:tr>
      <w:tr>
        <w:trPr/>
        <w:tc>
          <w:tcPr>
            <w:tcW w:w="213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88" w:type="dxa"/>
            <w:tcBorders/>
            <w:vAlign w:val="center"/>
          </w:tcPr>
          <w:p>
            <w:pPr>
              <w:pStyle w:val="TableContents"/>
              <w:bidi w:val="0"/>
              <w:spacing w:before="0" w:after="283"/>
              <w:jc w:val="left"/>
              <w:rPr/>
            </w:pPr>
            <w:r>
              <w:rPr/>
              <w:t> </w:t>
            </w:r>
          </w:p>
        </w:tc>
        <w:tc>
          <w:tcPr>
            <w:tcW w:w="249" w:type="dxa"/>
            <w:tcBorders/>
            <w:vAlign w:val="center"/>
          </w:tcPr>
          <w:p>
            <w:pPr>
              <w:pStyle w:val="TableContents"/>
              <w:bidi w:val="0"/>
              <w:spacing w:before="0" w:after="283"/>
              <w:jc w:val="left"/>
              <w:rPr/>
            </w:pPr>
            <w:r>
              <w:rPr/>
              <w:t> </w:t>
            </w:r>
          </w:p>
        </w:tc>
        <w:tc>
          <w:tcPr>
            <w:tcW w:w="91" w:type="dxa"/>
            <w:tcBorders/>
            <w:vAlign w:val="center"/>
          </w:tcPr>
          <w:p>
            <w:pPr>
              <w:pStyle w:val="TableContents"/>
              <w:bidi w:val="0"/>
              <w:spacing w:before="0" w:after="283"/>
              <w:jc w:val="left"/>
              <w:rPr/>
            </w:pPr>
            <w:r>
              <w:rPr/>
              <w:t> </w:t>
            </w:r>
          </w:p>
        </w:tc>
        <w:tc>
          <w:tcPr>
            <w:tcW w:w="91" w:type="dxa"/>
            <w:tcBorders/>
            <w:vAlign w:val="center"/>
          </w:tcPr>
          <w:p>
            <w:pPr>
              <w:pStyle w:val="TableContents"/>
              <w:bidi w:val="0"/>
              <w:spacing w:before="0" w:after="283"/>
              <w:jc w:val="left"/>
              <w:rPr/>
            </w:pPr>
            <w:r>
              <w:rPr/>
              <w:t> </w:t>
            </w:r>
          </w:p>
        </w:tc>
        <w:tc>
          <w:tcPr>
            <w:tcW w:w="1488" w:type="dxa"/>
            <w:tcBorders/>
            <w:vAlign w:val="center"/>
          </w:tcPr>
          <w:p>
            <w:pPr>
              <w:pStyle w:val="TableContents"/>
              <w:bidi w:val="0"/>
              <w:spacing w:before="0" w:after="283"/>
              <w:jc w:val="left"/>
              <w:rPr/>
            </w:pPr>
            <w:r>
              <w:rPr/>
              <w:t> </w:t>
            </w:r>
          </w:p>
        </w:tc>
        <w:tc>
          <w:tcPr>
            <w:tcW w:w="290" w:type="dxa"/>
            <w:tcBorders/>
            <w:vAlign w:val="center"/>
          </w:tcPr>
          <w:p>
            <w:pPr>
              <w:pStyle w:val="TableContents"/>
              <w:bidi w:val="0"/>
              <w:spacing w:before="0" w:after="283"/>
              <w:jc w:val="left"/>
              <w:rPr/>
            </w:pPr>
            <w:r>
              <w:rPr/>
              <w:t> </w:t>
            </w:r>
          </w:p>
        </w:tc>
      </w:tr>
      <w:tr>
        <w:trPr/>
        <w:tc>
          <w:tcPr>
            <w:tcW w:w="213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center"/>
              <w:rPr/>
            </w:pPr>
            <w:r>
              <w:rPr/>
              <w:t> </w:t>
            </w:r>
          </w:p>
        </w:tc>
        <w:tc>
          <w:tcPr>
            <w:tcW w:w="90" w:type="dxa"/>
            <w:tcBorders>
              <w:bottom w:val="single" w:sz="12" w:space="0" w:color="000000"/>
            </w:tcBorders>
            <w:tcMar>
              <w:bottom w:w="28" w:type="dxa"/>
            </w:tcMar>
            <w:vAlign w:val="center"/>
          </w:tcPr>
          <w:p>
            <w:pPr>
              <w:pStyle w:val="TableContents"/>
              <w:bidi w:val="0"/>
              <w:spacing w:before="0" w:after="283"/>
              <w:jc w:val="center"/>
              <w:rPr/>
            </w:pPr>
            <w:r>
              <w:rPr/>
              <w:t> </w:t>
            </w:r>
          </w:p>
        </w:tc>
        <w:tc>
          <w:tcPr>
            <w:tcW w:w="3407" w:type="dxa"/>
            <w:gridSpan w:val="5"/>
            <w:tcBorders>
              <w:bottom w:val="single" w:sz="12" w:space="0" w:color="000000"/>
            </w:tcBorders>
            <w:tcMar>
              <w:bottom w:w="28" w:type="dxa"/>
            </w:tcMar>
            <w:vAlign w:val="center"/>
          </w:tcPr>
          <w:p>
            <w:pPr>
              <w:pStyle w:val="TableContents"/>
              <w:bidi w:val="0"/>
              <w:spacing w:before="0" w:after="283"/>
              <w:jc w:val="center"/>
              <w:rPr/>
            </w:pPr>
            <w:r>
              <w:rPr>
                <w:b/>
                <w:spacing w:val="0"/>
              </w:rPr>
              <w:t>Three Months Ended March 31,</w:t>
            </w:r>
            <w:r>
              <w:rPr/>
              <w:t xml:space="preserve"> </w:t>
            </w:r>
          </w:p>
        </w:tc>
        <w:tc>
          <w:tcPr>
            <w:tcW w:w="290" w:type="dxa"/>
            <w:tcBorders/>
            <w:vAlign w:val="center"/>
          </w:tcPr>
          <w:p>
            <w:pPr>
              <w:pStyle w:val="TableContents"/>
              <w:bidi w:val="0"/>
              <w:spacing w:before="0" w:after="283"/>
              <w:jc w:val="center"/>
              <w:rPr/>
            </w:pPr>
            <w:r>
              <w:rPr/>
              <w:t> </w:t>
            </w:r>
          </w:p>
        </w:tc>
      </w:tr>
      <w:tr>
        <w:trPr/>
        <w:tc>
          <w:tcPr>
            <w:tcW w:w="213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center"/>
              <w:rPr/>
            </w:pPr>
            <w:r>
              <w:rPr/>
              <w:t> </w:t>
            </w:r>
          </w:p>
        </w:tc>
        <w:tc>
          <w:tcPr>
            <w:tcW w:w="90" w:type="dxa"/>
            <w:tcBorders>
              <w:bottom w:val="single" w:sz="12" w:space="0" w:color="000000"/>
            </w:tcBorders>
            <w:tcMar>
              <w:bottom w:w="28" w:type="dxa"/>
            </w:tcMar>
            <w:vAlign w:val="center"/>
          </w:tcPr>
          <w:p>
            <w:pPr>
              <w:pStyle w:val="TableContents"/>
              <w:bidi w:val="0"/>
              <w:spacing w:before="0" w:after="283"/>
              <w:jc w:val="center"/>
              <w:rPr/>
            </w:pPr>
            <w:r>
              <w:rPr/>
              <w:t> </w:t>
            </w:r>
          </w:p>
        </w:tc>
        <w:tc>
          <w:tcPr>
            <w:tcW w:w="1488" w:type="dxa"/>
            <w:tcBorders>
              <w:bottom w:val="single" w:sz="12" w:space="0" w:color="000000"/>
            </w:tcBorders>
            <w:tcMar>
              <w:bottom w:w="28" w:type="dxa"/>
            </w:tcMar>
            <w:vAlign w:val="center"/>
          </w:tcPr>
          <w:p>
            <w:pPr>
              <w:pStyle w:val="TableContents"/>
              <w:bidi w:val="0"/>
              <w:spacing w:before="0" w:after="283"/>
              <w:jc w:val="center"/>
              <w:rPr/>
            </w:pPr>
            <w:r>
              <w:rPr>
                <w:b/>
              </w:rPr>
              <w:t>2026</w:t>
            </w:r>
            <w:r>
              <w:rPr/>
              <w:t xml:space="preserve"> </w:t>
            </w:r>
          </w:p>
        </w:tc>
        <w:tc>
          <w:tcPr>
            <w:tcW w:w="249" w:type="dxa"/>
            <w:tcBorders/>
            <w:vAlign w:val="center"/>
          </w:tcPr>
          <w:p>
            <w:pPr>
              <w:pStyle w:val="TableContents"/>
              <w:bidi w:val="0"/>
              <w:spacing w:before="0" w:after="283"/>
              <w:jc w:val="center"/>
              <w:rPr/>
            </w:pPr>
            <w:r>
              <w:rPr/>
              <w:t> </w:t>
            </w:r>
          </w:p>
        </w:tc>
        <w:tc>
          <w:tcPr>
            <w:tcW w:w="91" w:type="dxa"/>
            <w:tcBorders/>
            <w:vAlign w:val="center"/>
          </w:tcPr>
          <w:p>
            <w:pPr>
              <w:pStyle w:val="TableContents"/>
              <w:bidi w:val="0"/>
              <w:spacing w:before="0" w:after="283"/>
              <w:jc w:val="center"/>
              <w:rPr/>
            </w:pPr>
            <w:r>
              <w:rPr/>
              <w:t> </w:t>
            </w:r>
          </w:p>
        </w:tc>
        <w:tc>
          <w:tcPr>
            <w:tcW w:w="91" w:type="dxa"/>
            <w:tcBorders>
              <w:bottom w:val="single" w:sz="12" w:space="0" w:color="000000"/>
            </w:tcBorders>
            <w:tcMar>
              <w:bottom w:w="28" w:type="dxa"/>
            </w:tcMar>
            <w:vAlign w:val="center"/>
          </w:tcPr>
          <w:p>
            <w:pPr>
              <w:pStyle w:val="TableContents"/>
              <w:bidi w:val="0"/>
              <w:spacing w:before="0" w:after="283"/>
              <w:jc w:val="center"/>
              <w:rPr/>
            </w:pPr>
            <w:r>
              <w:rPr/>
              <w:t> </w:t>
            </w:r>
          </w:p>
        </w:tc>
        <w:tc>
          <w:tcPr>
            <w:tcW w:w="1488" w:type="dxa"/>
            <w:tcBorders>
              <w:bottom w:val="single" w:sz="12" w:space="0" w:color="000000"/>
            </w:tcBorders>
            <w:tcMar>
              <w:bottom w:w="28" w:type="dxa"/>
            </w:tcMar>
            <w:vAlign w:val="center"/>
          </w:tcPr>
          <w:p>
            <w:pPr>
              <w:pStyle w:val="TableContents"/>
              <w:bidi w:val="0"/>
              <w:spacing w:before="0" w:after="283"/>
              <w:jc w:val="center"/>
              <w:rPr/>
            </w:pPr>
            <w:r>
              <w:rPr>
                <w:b/>
              </w:rPr>
              <w:t>2025</w:t>
            </w:r>
            <w:r>
              <w:rPr/>
              <w:t xml:space="preserve"> </w:t>
            </w:r>
          </w:p>
        </w:tc>
        <w:tc>
          <w:tcPr>
            <w:tcW w:w="290" w:type="dxa"/>
            <w:tcBorders/>
            <w:vAlign w:val="center"/>
          </w:tcPr>
          <w:p>
            <w:pPr>
              <w:pStyle w:val="TableContents"/>
              <w:bidi w:val="0"/>
              <w:spacing w:before="0" w:after="283"/>
              <w:jc w:val="center"/>
              <w:rPr/>
            </w:pPr>
            <w:r>
              <w:rPr/>
              <w:t> </w:t>
            </w:r>
          </w:p>
        </w:tc>
      </w:tr>
      <w:tr>
        <w:trPr/>
        <w:tc>
          <w:tcPr>
            <w:tcW w:w="2135" w:type="dxa"/>
            <w:tcBorders/>
            <w:vAlign w:val="center"/>
          </w:tcPr>
          <w:p>
            <w:pPr>
              <w:pStyle w:val="TableContents"/>
              <w:bidi w:val="0"/>
              <w:spacing w:before="0" w:after="0"/>
              <w:ind w:left="0" w:right="0" w:hanging="144"/>
              <w:jc w:val="left"/>
              <w:rPr/>
            </w:pPr>
            <w:r>
              <w:rPr/>
              <w:t xml:space="preserve">Expected term </w:t>
            </w:r>
          </w:p>
        </w:tc>
        <w:tc>
          <w:tcPr>
            <w:tcW w:w="9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488" w:type="dxa"/>
            <w:tcBorders/>
            <w:vAlign w:val="center"/>
          </w:tcPr>
          <w:p>
            <w:pPr>
              <w:pStyle w:val="TableContents"/>
              <w:bidi w:val="0"/>
              <w:spacing w:before="0" w:after="283"/>
              <w:jc w:val="center"/>
              <w:rPr/>
            </w:pPr>
            <w:r>
              <w:rPr/>
              <w:t xml:space="preserve">5.5 - 6.3 years </w:t>
            </w:r>
          </w:p>
        </w:tc>
        <w:tc>
          <w:tcPr>
            <w:tcW w:w="249" w:type="dxa"/>
            <w:tcBorders/>
            <w:vAlign w:val="center"/>
          </w:tcPr>
          <w:p>
            <w:pPr>
              <w:pStyle w:val="TableContents"/>
              <w:bidi w:val="0"/>
              <w:spacing w:before="0" w:after="283"/>
              <w:jc w:val="center"/>
              <w:rPr/>
            </w:pPr>
            <w:r>
              <w:rPr/>
              <w:t> </w:t>
            </w:r>
          </w:p>
        </w:tc>
        <w:tc>
          <w:tcPr>
            <w:tcW w:w="91" w:type="dxa"/>
            <w:tcBorders/>
            <w:vAlign w:val="center"/>
          </w:tcPr>
          <w:p>
            <w:pPr>
              <w:pStyle w:val="TableContents"/>
              <w:bidi w:val="0"/>
              <w:spacing w:before="0" w:after="283"/>
              <w:jc w:val="center"/>
              <w:rPr/>
            </w:pPr>
            <w:r>
              <w:rPr/>
              <w:t> </w:t>
            </w:r>
          </w:p>
        </w:tc>
        <w:tc>
          <w:tcPr>
            <w:tcW w:w="91" w:type="dxa"/>
            <w:tcBorders/>
            <w:vAlign w:val="center"/>
          </w:tcPr>
          <w:p>
            <w:pPr>
              <w:pStyle w:val="TableContents"/>
              <w:bidi w:val="0"/>
              <w:spacing w:before="0" w:after="283"/>
              <w:jc w:val="center"/>
              <w:rPr/>
            </w:pPr>
            <w:r>
              <w:rPr/>
              <w:t> </w:t>
            </w:r>
          </w:p>
        </w:tc>
        <w:tc>
          <w:tcPr>
            <w:tcW w:w="1488" w:type="dxa"/>
            <w:tcBorders/>
            <w:vAlign w:val="center"/>
          </w:tcPr>
          <w:p>
            <w:pPr>
              <w:pStyle w:val="TableContents"/>
              <w:bidi w:val="0"/>
              <w:spacing w:before="0" w:after="283"/>
              <w:jc w:val="center"/>
              <w:rPr/>
            </w:pPr>
            <w:r>
              <w:rPr/>
              <w:t xml:space="preserve">5.5 - 6.3 years </w:t>
            </w:r>
          </w:p>
        </w:tc>
        <w:tc>
          <w:tcPr>
            <w:tcW w:w="290" w:type="dxa"/>
            <w:tcBorders/>
            <w:vAlign w:val="center"/>
          </w:tcPr>
          <w:p>
            <w:pPr>
              <w:pStyle w:val="TableContents"/>
              <w:bidi w:val="0"/>
              <w:spacing w:before="0" w:after="283"/>
              <w:jc w:val="center"/>
              <w:rPr/>
            </w:pPr>
            <w:r>
              <w:rPr/>
              <w:t> </w:t>
            </w:r>
          </w:p>
        </w:tc>
      </w:tr>
      <w:tr>
        <w:trPr/>
        <w:tc>
          <w:tcPr>
            <w:tcW w:w="2135" w:type="dxa"/>
            <w:tcBorders/>
            <w:shd w:fill="CCEEFF" w:val="clear"/>
            <w:vAlign w:val="center"/>
          </w:tcPr>
          <w:p>
            <w:pPr>
              <w:pStyle w:val="TableContents"/>
              <w:bidi w:val="0"/>
              <w:spacing w:before="0" w:after="0"/>
              <w:ind w:left="0" w:right="0" w:hanging="144"/>
              <w:jc w:val="left"/>
              <w:rPr/>
            </w:pPr>
            <w:r>
              <w:rPr/>
              <w:t xml:space="preserve">Volatility </w:t>
            </w:r>
          </w:p>
        </w:tc>
        <w:tc>
          <w:tcPr>
            <w:tcW w:w="90" w:type="dxa"/>
            <w:tcBorders/>
            <w:shd w:fill="CCEEFF" w:val="clear"/>
            <w:vAlign w:val="center"/>
          </w:tcPr>
          <w:p>
            <w:pPr>
              <w:pStyle w:val="TableContents"/>
              <w:bidi w:val="0"/>
              <w:spacing w:before="0" w:after="283"/>
              <w:jc w:val="center"/>
              <w:rPr/>
            </w:pPr>
            <w:r>
              <w:rPr/>
              <w:t> </w:t>
            </w:r>
          </w:p>
        </w:tc>
        <w:tc>
          <w:tcPr>
            <w:tcW w:w="90" w:type="dxa"/>
            <w:tcBorders/>
            <w:shd w:fill="CCEEFF" w:val="clear"/>
            <w:vAlign w:val="center"/>
          </w:tcPr>
          <w:p>
            <w:pPr>
              <w:pStyle w:val="TableContents"/>
              <w:bidi w:val="0"/>
              <w:spacing w:before="0" w:after="283"/>
              <w:jc w:val="left"/>
              <w:rPr/>
            </w:pPr>
            <w:r>
              <w:rPr/>
              <w:t> </w:t>
            </w:r>
          </w:p>
        </w:tc>
        <w:tc>
          <w:tcPr>
            <w:tcW w:w="1488" w:type="dxa"/>
            <w:tcBorders/>
            <w:shd w:fill="CCEEFF" w:val="clear"/>
            <w:vAlign w:val="center"/>
          </w:tcPr>
          <w:p>
            <w:pPr>
              <w:pStyle w:val="TableContents"/>
              <w:bidi w:val="0"/>
              <w:spacing w:before="0" w:after="283"/>
              <w:jc w:val="right"/>
              <w:rPr/>
            </w:pPr>
            <w:r>
              <w:rPr/>
              <w:t>69</w:t>
            </w:r>
          </w:p>
        </w:tc>
        <w:tc>
          <w:tcPr>
            <w:tcW w:w="249" w:type="dxa"/>
            <w:tcBorders/>
            <w:shd w:fill="CCEEFF" w:val="clear"/>
            <w:vAlign w:val="center"/>
          </w:tcPr>
          <w:p>
            <w:pPr>
              <w:pStyle w:val="TableContents"/>
              <w:bidi w:val="0"/>
              <w:spacing w:before="0" w:after="283"/>
              <w:jc w:val="left"/>
              <w:rPr/>
            </w:pPr>
            <w:r>
              <w:rPr/>
              <w:t>%</w:t>
            </w:r>
          </w:p>
        </w:tc>
        <w:tc>
          <w:tcPr>
            <w:tcW w:w="91" w:type="dxa"/>
            <w:tcBorders/>
            <w:shd w:fill="CCEEFF" w:val="clear"/>
            <w:vAlign w:val="center"/>
          </w:tcPr>
          <w:p>
            <w:pPr>
              <w:pStyle w:val="TableContents"/>
              <w:bidi w:val="0"/>
              <w:spacing w:before="0" w:after="283"/>
              <w:jc w:val="center"/>
              <w:rPr/>
            </w:pPr>
            <w:r>
              <w:rPr/>
              <w:t> </w:t>
            </w:r>
          </w:p>
        </w:tc>
        <w:tc>
          <w:tcPr>
            <w:tcW w:w="91" w:type="dxa"/>
            <w:tcBorders/>
            <w:shd w:fill="CCEEFF" w:val="clear"/>
            <w:vAlign w:val="center"/>
          </w:tcPr>
          <w:p>
            <w:pPr>
              <w:pStyle w:val="TableContents"/>
              <w:bidi w:val="0"/>
              <w:spacing w:before="0" w:after="283"/>
              <w:jc w:val="left"/>
              <w:rPr/>
            </w:pPr>
            <w:r>
              <w:rPr/>
              <w:t> </w:t>
            </w:r>
          </w:p>
        </w:tc>
        <w:tc>
          <w:tcPr>
            <w:tcW w:w="1488" w:type="dxa"/>
            <w:tcBorders/>
            <w:shd w:fill="CCEEFF" w:val="clear"/>
            <w:vAlign w:val="center"/>
          </w:tcPr>
          <w:p>
            <w:pPr>
              <w:pStyle w:val="TableContents"/>
              <w:bidi w:val="0"/>
              <w:spacing w:before="0" w:after="283"/>
              <w:jc w:val="right"/>
              <w:rPr/>
            </w:pPr>
            <w:r>
              <w:rPr/>
              <w:t>66</w:t>
            </w:r>
          </w:p>
        </w:tc>
        <w:tc>
          <w:tcPr>
            <w:tcW w:w="290" w:type="dxa"/>
            <w:tcBorders/>
            <w:shd w:fill="CCEEFF" w:val="clear"/>
            <w:vAlign w:val="center"/>
          </w:tcPr>
          <w:p>
            <w:pPr>
              <w:pStyle w:val="TableContents"/>
              <w:bidi w:val="0"/>
              <w:spacing w:before="0" w:after="283"/>
              <w:jc w:val="left"/>
              <w:rPr/>
            </w:pPr>
            <w:r>
              <w:rPr/>
              <w:t>%</w:t>
            </w:r>
          </w:p>
        </w:tc>
      </w:tr>
      <w:tr>
        <w:trPr/>
        <w:tc>
          <w:tcPr>
            <w:tcW w:w="2135" w:type="dxa"/>
            <w:tcBorders/>
            <w:vAlign w:val="center"/>
          </w:tcPr>
          <w:p>
            <w:pPr>
              <w:pStyle w:val="TableContents"/>
              <w:bidi w:val="0"/>
              <w:spacing w:before="0" w:after="0"/>
              <w:ind w:left="0" w:right="0" w:hanging="144"/>
              <w:jc w:val="left"/>
              <w:rPr/>
            </w:pPr>
            <w:r>
              <w:rPr/>
              <w:t xml:space="preserve">Dividend yield </w:t>
            </w:r>
          </w:p>
        </w:tc>
        <w:tc>
          <w:tcPr>
            <w:tcW w:w="9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1488" w:type="dxa"/>
            <w:tcBorders/>
            <w:vAlign w:val="center"/>
          </w:tcPr>
          <w:p>
            <w:pPr>
              <w:pStyle w:val="TableContents"/>
              <w:bidi w:val="0"/>
              <w:spacing w:before="0" w:after="283"/>
              <w:jc w:val="right"/>
              <w:rPr/>
            </w:pPr>
            <w:r>
              <w:rPr/>
              <w:t>0.0</w:t>
            </w:r>
          </w:p>
        </w:tc>
        <w:tc>
          <w:tcPr>
            <w:tcW w:w="249" w:type="dxa"/>
            <w:tcBorders/>
            <w:vAlign w:val="center"/>
          </w:tcPr>
          <w:p>
            <w:pPr>
              <w:pStyle w:val="TableContents"/>
              <w:bidi w:val="0"/>
              <w:spacing w:before="0" w:after="283"/>
              <w:jc w:val="left"/>
              <w:rPr/>
            </w:pPr>
            <w:r>
              <w:rPr/>
              <w:t> </w:t>
            </w:r>
          </w:p>
        </w:tc>
        <w:tc>
          <w:tcPr>
            <w:tcW w:w="91" w:type="dxa"/>
            <w:tcBorders/>
            <w:vAlign w:val="center"/>
          </w:tcPr>
          <w:p>
            <w:pPr>
              <w:pStyle w:val="TableContents"/>
              <w:bidi w:val="0"/>
              <w:spacing w:before="0" w:after="283"/>
              <w:jc w:val="center"/>
              <w:rPr/>
            </w:pPr>
            <w:r>
              <w:rPr/>
              <w:t> </w:t>
            </w:r>
          </w:p>
        </w:tc>
        <w:tc>
          <w:tcPr>
            <w:tcW w:w="91" w:type="dxa"/>
            <w:tcBorders/>
            <w:vAlign w:val="center"/>
          </w:tcPr>
          <w:p>
            <w:pPr>
              <w:pStyle w:val="TableContents"/>
              <w:bidi w:val="0"/>
              <w:spacing w:before="0" w:after="283"/>
              <w:jc w:val="left"/>
              <w:rPr/>
            </w:pPr>
            <w:r>
              <w:rPr/>
              <w:t> </w:t>
            </w:r>
          </w:p>
        </w:tc>
        <w:tc>
          <w:tcPr>
            <w:tcW w:w="1488" w:type="dxa"/>
            <w:tcBorders/>
            <w:vAlign w:val="center"/>
          </w:tcPr>
          <w:p>
            <w:pPr>
              <w:pStyle w:val="TableContents"/>
              <w:bidi w:val="0"/>
              <w:spacing w:before="0" w:after="283"/>
              <w:jc w:val="right"/>
              <w:rPr/>
            </w:pPr>
            <w:r>
              <w:rPr/>
              <w:t>0.0</w:t>
            </w:r>
          </w:p>
        </w:tc>
        <w:tc>
          <w:tcPr>
            <w:tcW w:w="290" w:type="dxa"/>
            <w:tcBorders/>
            <w:vAlign w:val="center"/>
          </w:tcPr>
          <w:p>
            <w:pPr>
              <w:pStyle w:val="TableContents"/>
              <w:bidi w:val="0"/>
              <w:spacing w:before="0" w:after="283"/>
              <w:jc w:val="left"/>
              <w:rPr/>
            </w:pPr>
            <w:r>
              <w:rPr/>
              <w:t> </w:t>
            </w:r>
          </w:p>
        </w:tc>
      </w:tr>
      <w:tr>
        <w:trPr/>
        <w:tc>
          <w:tcPr>
            <w:tcW w:w="2135" w:type="dxa"/>
            <w:tcBorders/>
            <w:shd w:fill="CCEEFF" w:val="clear"/>
            <w:vAlign w:val="center"/>
          </w:tcPr>
          <w:p>
            <w:pPr>
              <w:pStyle w:val="TableContents"/>
              <w:bidi w:val="0"/>
              <w:spacing w:before="0" w:after="0"/>
              <w:ind w:left="0" w:right="0" w:hanging="144"/>
              <w:jc w:val="left"/>
              <w:rPr/>
            </w:pPr>
            <w:r>
              <w:rPr/>
              <w:t xml:space="preserve">Risk-free interest rate </w:t>
            </w:r>
          </w:p>
        </w:tc>
        <w:tc>
          <w:tcPr>
            <w:tcW w:w="90" w:type="dxa"/>
            <w:tcBorders/>
            <w:shd w:fill="CCEEFF" w:val="clear"/>
            <w:vAlign w:val="center"/>
          </w:tcPr>
          <w:p>
            <w:pPr>
              <w:pStyle w:val="TableContents"/>
              <w:bidi w:val="0"/>
              <w:spacing w:before="0" w:after="283"/>
              <w:jc w:val="center"/>
              <w:rPr/>
            </w:pPr>
            <w:r>
              <w:rPr/>
              <w:t> </w:t>
            </w:r>
          </w:p>
        </w:tc>
        <w:tc>
          <w:tcPr>
            <w:tcW w:w="90" w:type="dxa"/>
            <w:tcBorders/>
            <w:shd w:fill="CCEEFF" w:val="clear"/>
            <w:vAlign w:val="center"/>
          </w:tcPr>
          <w:p>
            <w:pPr>
              <w:pStyle w:val="TableContents"/>
              <w:bidi w:val="0"/>
              <w:spacing w:before="0" w:after="283"/>
              <w:jc w:val="center"/>
              <w:rPr/>
            </w:pPr>
            <w:r>
              <w:rPr/>
              <w:t> </w:t>
            </w:r>
          </w:p>
        </w:tc>
        <w:tc>
          <w:tcPr>
            <w:tcW w:w="1488" w:type="dxa"/>
            <w:tcBorders/>
            <w:shd w:fill="CCEEFF" w:val="clear"/>
            <w:vAlign w:val="center"/>
          </w:tcPr>
          <w:p>
            <w:pPr>
              <w:pStyle w:val="TableContents"/>
              <w:bidi w:val="0"/>
              <w:spacing w:before="0" w:after="283"/>
              <w:jc w:val="right"/>
              <w:rPr/>
            </w:pPr>
            <w:r>
              <w:rPr/>
              <w:t>3.80-3.87</w:t>
            </w:r>
          </w:p>
        </w:tc>
        <w:tc>
          <w:tcPr>
            <w:tcW w:w="249" w:type="dxa"/>
            <w:tcBorders/>
            <w:shd w:fill="CCEEFF" w:val="clear"/>
            <w:vAlign w:val="center"/>
          </w:tcPr>
          <w:p>
            <w:pPr>
              <w:pStyle w:val="TableContents"/>
              <w:bidi w:val="0"/>
              <w:spacing w:before="0" w:after="283"/>
              <w:jc w:val="right"/>
              <w:rPr>
                <w:spacing w:val="0"/>
              </w:rPr>
            </w:pPr>
            <w:r>
              <w:rPr>
                <w:spacing w:val="0"/>
              </w:rPr>
              <w:t>%</w:t>
            </w:r>
          </w:p>
        </w:tc>
        <w:tc>
          <w:tcPr>
            <w:tcW w:w="91" w:type="dxa"/>
            <w:tcBorders/>
            <w:shd w:fill="CCEEFF" w:val="clear"/>
            <w:vAlign w:val="center"/>
          </w:tcPr>
          <w:p>
            <w:pPr>
              <w:pStyle w:val="TableContents"/>
              <w:bidi w:val="0"/>
              <w:spacing w:before="0" w:after="283"/>
              <w:jc w:val="center"/>
              <w:rPr/>
            </w:pPr>
            <w:r>
              <w:rPr/>
              <w:t> </w:t>
            </w:r>
          </w:p>
        </w:tc>
        <w:tc>
          <w:tcPr>
            <w:tcW w:w="91" w:type="dxa"/>
            <w:tcBorders/>
            <w:shd w:fill="CCEEFF" w:val="clear"/>
            <w:vAlign w:val="center"/>
          </w:tcPr>
          <w:p>
            <w:pPr>
              <w:pStyle w:val="TableContents"/>
              <w:bidi w:val="0"/>
              <w:spacing w:before="0" w:after="283"/>
              <w:jc w:val="left"/>
              <w:rPr/>
            </w:pPr>
            <w:r>
              <w:rPr/>
              <w:t> </w:t>
            </w:r>
          </w:p>
        </w:tc>
        <w:tc>
          <w:tcPr>
            <w:tcW w:w="1488" w:type="dxa"/>
            <w:tcBorders/>
            <w:shd w:fill="CCEEFF" w:val="clear"/>
            <w:vAlign w:val="center"/>
          </w:tcPr>
          <w:p>
            <w:pPr>
              <w:pStyle w:val="TableContents"/>
              <w:bidi w:val="0"/>
              <w:spacing w:before="0" w:after="283"/>
              <w:jc w:val="right"/>
              <w:rPr/>
            </w:pPr>
            <w:r>
              <w:rPr/>
              <w:t>4.40</w:t>
            </w:r>
          </w:p>
        </w:tc>
        <w:tc>
          <w:tcPr>
            <w:tcW w:w="290" w:type="dxa"/>
            <w:tcBorders/>
            <w:shd w:fill="CCEEFF" w:val="clear"/>
            <w:vAlign w:val="center"/>
          </w:tcPr>
          <w:p>
            <w:pPr>
              <w:pStyle w:val="TableContents"/>
              <w:bidi w:val="0"/>
              <w:spacing w:before="0" w:after="283"/>
              <w:jc w:val="left"/>
              <w:rPr/>
            </w:pPr>
            <w:r>
              <w:rPr/>
              <w:t>%</w:t>
            </w:r>
          </w:p>
        </w:tc>
      </w:tr>
    </w:tbl>
    <w:p>
      <w:pPr>
        <w:pStyle w:val="TextBody"/>
        <w:bidi w:val="0"/>
        <w:spacing w:before="0" w:after="0"/>
        <w:jc w:val="left"/>
        <w:rPr/>
      </w:pPr>
      <w:r>
        <w:rPr/>
        <w:t xml:space="preserve">  </w:t>
      </w:r>
    </w:p>
    <w:p>
      <w:pPr>
        <w:pStyle w:val="TextBody"/>
        <w:bidi w:val="0"/>
        <w:spacing w:before="0" w:after="0"/>
        <w:ind w:left="0" w:right="0" w:firstLine="720"/>
        <w:jc w:val="left"/>
        <w:rPr>
          <w:rFonts w:ascii="Times New Roman" w:hAnsi="Times New Roman"/>
          <w:sz w:val="20"/>
        </w:rPr>
      </w:pPr>
      <w:r>
        <w:rPr>
          <w:rFonts w:ascii="Times New Roman" w:hAnsi="Times New Roman"/>
          <w:sz w:val="20"/>
        </w:rPr>
        <w:t xml:space="preserve">The following table summarizes information about the Company’s stock options under the Company’s equity incentive plans and related information: </w:t>
      </w:r>
    </w:p>
    <w:p>
      <w:pPr>
        <w:pStyle w:val="TextBody"/>
        <w:bidi w:val="0"/>
        <w:spacing w:before="0" w:after="0"/>
        <w:jc w:val="left"/>
        <w:rPr/>
      </w:pPr>
      <w:r>
        <w:rPr/>
        <w:t xml:space="preserve">  </w:t>
      </w:r>
    </w:p>
    <w:p>
      <w:pPr>
        <w:pStyle w:val="TextBody"/>
        <w:bidi w:val="0"/>
        <w:spacing w:before="150" w:after="15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t>12</w:t>
      </w:r>
    </w:p>
    <w:p>
      <w:pPr>
        <w:pStyle w:val="HorizontalLine"/>
        <w:bidi w:val="0"/>
        <w:spacing w:before="150" w:after="150"/>
        <w:jc w:val="left"/>
        <w:rPr/>
      </w:pPr>
      <w:r>
        <w:rPr/>
      </w:r>
    </w:p>
    <w:p>
      <w:pPr>
        <w:pStyle w:val="TextBody"/>
        <w:bidi w:val="0"/>
        <w:spacing w:before="150" w:after="150"/>
        <w:jc w:val="left"/>
        <w:rPr/>
      </w:pPr>
      <w:hyperlink w:anchor="index">
        <w:r>
          <w:rPr>
            <w:rStyle w:val="InternetLink"/>
            <w:rFonts w:ascii="TimesNewRoman;Times New Roman;Times;Baskerville;Georgia;serif" w:hAnsi="TimesNewRoman;Times New Roman;Times;Baskerville;Georgia;serif"/>
            <w:b w:val="false"/>
            <w:i/>
            <w:caps w:val="false"/>
            <w:smallCaps w:val="false"/>
            <w:strike w:val="false"/>
            <w:dstrike w:val="false"/>
            <w:sz w:val="16"/>
            <w:u w:val="none"/>
            <w:effect w:val="none"/>
          </w:rPr>
          <w:t>Index</w:t>
        </w:r>
      </w:hyperlink>
    </w:p>
    <w:p>
      <w:pPr>
        <w:pStyle w:val="TextBody"/>
        <w:bidi w:val="0"/>
        <w:spacing w:before="0" w:after="0"/>
        <w:ind w:left="0" w:right="0" w:hanging="0"/>
        <w:jc w:val="center"/>
        <w:rPr>
          <w:rFonts w:ascii="Times New Roman" w:hAnsi="Times New Roman"/>
          <w:b/>
          <w:sz w:val="22"/>
        </w:rPr>
      </w:pPr>
      <w:r>
        <w:rPr>
          <w:rFonts w:ascii="Times New Roman" w:hAnsi="Times New Roman"/>
          <w:b/>
          <w:sz w:val="22"/>
        </w:rPr>
        <w:t>ADMA BIOLOGICS, INC. AND SUBSIDIARIES</w:t>
      </w:r>
    </w:p>
    <w:p>
      <w:pPr>
        <w:pStyle w:val="TextBody"/>
        <w:bidi w:val="0"/>
        <w:spacing w:before="0" w:after="0"/>
        <w:ind w:left="0" w:right="0" w:hanging="0"/>
        <w:jc w:val="center"/>
        <w:rPr>
          <w:rFonts w:ascii="Times New Roman" w:hAnsi="Times New Roman"/>
          <w:b/>
          <w:sz w:val="22"/>
        </w:rPr>
      </w:pPr>
      <w:r>
        <w:rPr>
          <w:rFonts w:ascii="Times New Roman" w:hAnsi="Times New Roman"/>
          <w:b/>
          <w:sz w:val="22"/>
        </w:rPr>
        <w:t>NOTES TO CONDENSED CONSOLIDATED FINANCIAL STATEMENTS (UNAUDITED)</w:t>
      </w:r>
    </w:p>
    <w:tbl>
      <w:tblPr>
        <w:tblW w:w="10205" w:type="dxa"/>
        <w:jc w:val="left"/>
        <w:tblInd w:w="0" w:type="dxa"/>
        <w:tblLayout w:type="fixed"/>
        <w:tblCellMar>
          <w:top w:w="0" w:type="dxa"/>
          <w:left w:w="0" w:type="dxa"/>
          <w:bottom w:w="0" w:type="dxa"/>
          <w:right w:w="0" w:type="dxa"/>
        </w:tblCellMar>
      </w:tblPr>
      <w:tblGrid>
        <w:gridCol w:w="6480"/>
        <w:gridCol w:w="90"/>
        <w:gridCol w:w="90"/>
        <w:gridCol w:w="1010"/>
        <w:gridCol w:w="185"/>
        <w:gridCol w:w="90"/>
        <w:gridCol w:w="170"/>
        <w:gridCol w:w="1955"/>
        <w:gridCol w:w="135"/>
      </w:tblGrid>
      <w:tr>
        <w:trPr/>
        <w:tc>
          <w:tcPr>
            <w:tcW w:w="648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10"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955" w:type="dxa"/>
            <w:tcBorders/>
            <w:vAlign w:val="center"/>
          </w:tcPr>
          <w:p>
            <w:pPr>
              <w:pStyle w:val="TableContents"/>
              <w:bidi w:val="0"/>
              <w:spacing w:before="0" w:after="283"/>
              <w:jc w:val="left"/>
              <w:rPr/>
            </w:pPr>
            <w:r>
              <w:rPr/>
              <w:t> </w:t>
            </w:r>
          </w:p>
        </w:tc>
        <w:tc>
          <w:tcPr>
            <w:tcW w:w="135" w:type="dxa"/>
            <w:tcBorders/>
            <w:vAlign w:val="center"/>
          </w:tcPr>
          <w:p>
            <w:pPr>
              <w:pStyle w:val="TableContents"/>
              <w:bidi w:val="0"/>
              <w:spacing w:before="0" w:after="283"/>
              <w:jc w:val="left"/>
              <w:rPr/>
            </w:pPr>
            <w:r>
              <w:rPr/>
              <w:t> </w:t>
            </w:r>
          </w:p>
        </w:tc>
      </w:tr>
      <w:tr>
        <w:trPr/>
        <w:tc>
          <w:tcPr>
            <w:tcW w:w="648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010" w:type="dxa"/>
            <w:tcBorders/>
            <w:vAlign w:val="center"/>
          </w:tcPr>
          <w:p>
            <w:pPr>
              <w:pStyle w:val="TableContents"/>
              <w:bidi w:val="0"/>
              <w:spacing w:before="0" w:after="283"/>
              <w:jc w:val="center"/>
              <w:rPr/>
            </w:pPr>
            <w:r>
              <w:rPr/>
              <w:t> </w:t>
            </w:r>
          </w:p>
        </w:tc>
        <w:tc>
          <w:tcPr>
            <w:tcW w:w="185"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70" w:type="dxa"/>
            <w:tcBorders/>
            <w:vAlign w:val="center"/>
          </w:tcPr>
          <w:p>
            <w:pPr>
              <w:pStyle w:val="TableContents"/>
              <w:bidi w:val="0"/>
              <w:spacing w:before="0" w:after="283"/>
              <w:jc w:val="center"/>
              <w:rPr/>
            </w:pPr>
            <w:r>
              <w:rPr/>
              <w:t> </w:t>
            </w:r>
          </w:p>
        </w:tc>
        <w:tc>
          <w:tcPr>
            <w:tcW w:w="1955" w:type="dxa"/>
            <w:tcBorders/>
            <w:vAlign w:val="center"/>
          </w:tcPr>
          <w:p>
            <w:pPr>
              <w:pStyle w:val="TableContents"/>
              <w:bidi w:val="0"/>
              <w:spacing w:before="0" w:after="283"/>
              <w:jc w:val="center"/>
              <w:rPr>
                <w:b/>
                <w:spacing w:val="0"/>
              </w:rPr>
            </w:pPr>
            <w:r>
              <w:rPr>
                <w:b/>
                <w:spacing w:val="0"/>
              </w:rPr>
              <w:t>Weighted-Average</w:t>
            </w:r>
          </w:p>
        </w:tc>
        <w:tc>
          <w:tcPr>
            <w:tcW w:w="135" w:type="dxa"/>
            <w:tcBorders/>
            <w:vAlign w:val="center"/>
          </w:tcPr>
          <w:p>
            <w:pPr>
              <w:pStyle w:val="TableContents"/>
              <w:bidi w:val="0"/>
              <w:spacing w:before="0" w:after="283"/>
              <w:jc w:val="center"/>
              <w:rPr/>
            </w:pPr>
            <w:r>
              <w:rPr/>
              <w:t> </w:t>
            </w:r>
          </w:p>
        </w:tc>
      </w:tr>
      <w:tr>
        <w:trPr/>
        <w:tc>
          <w:tcPr>
            <w:tcW w:w="648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center"/>
              <w:rPr/>
            </w:pPr>
            <w:r>
              <w:rPr/>
              <w:t> </w:t>
            </w:r>
          </w:p>
        </w:tc>
        <w:tc>
          <w:tcPr>
            <w:tcW w:w="90" w:type="dxa"/>
            <w:tcBorders>
              <w:bottom w:val="single" w:sz="12" w:space="0" w:color="000000"/>
            </w:tcBorders>
            <w:tcMar>
              <w:bottom w:w="28" w:type="dxa"/>
            </w:tcMar>
            <w:vAlign w:val="center"/>
          </w:tcPr>
          <w:p>
            <w:pPr>
              <w:pStyle w:val="TableContents"/>
              <w:bidi w:val="0"/>
              <w:spacing w:before="0" w:after="283"/>
              <w:jc w:val="center"/>
              <w:rPr/>
            </w:pPr>
            <w:r>
              <w:rPr/>
              <w:t> </w:t>
            </w:r>
          </w:p>
        </w:tc>
        <w:tc>
          <w:tcPr>
            <w:tcW w:w="1010" w:type="dxa"/>
            <w:tcBorders>
              <w:bottom w:val="single" w:sz="12" w:space="0" w:color="000000"/>
            </w:tcBorders>
            <w:tcMar>
              <w:bottom w:w="28" w:type="dxa"/>
            </w:tcMar>
            <w:vAlign w:val="center"/>
          </w:tcPr>
          <w:p>
            <w:pPr>
              <w:pStyle w:val="TableContents"/>
              <w:bidi w:val="0"/>
              <w:spacing w:before="0" w:after="283"/>
              <w:jc w:val="center"/>
              <w:rPr>
                <w:b/>
                <w:spacing w:val="0"/>
              </w:rPr>
            </w:pPr>
            <w:r>
              <w:rPr>
                <w:b/>
                <w:spacing w:val="0"/>
              </w:rPr>
              <w:t>Shares</w:t>
            </w:r>
          </w:p>
        </w:tc>
        <w:tc>
          <w:tcPr>
            <w:tcW w:w="185"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70" w:type="dxa"/>
            <w:tcBorders>
              <w:bottom w:val="single" w:sz="12" w:space="0" w:color="000000"/>
            </w:tcBorders>
            <w:tcMar>
              <w:bottom w:w="28" w:type="dxa"/>
            </w:tcMar>
            <w:vAlign w:val="center"/>
          </w:tcPr>
          <w:p>
            <w:pPr>
              <w:pStyle w:val="TableContents"/>
              <w:bidi w:val="0"/>
              <w:spacing w:before="0" w:after="283"/>
              <w:jc w:val="center"/>
              <w:rPr/>
            </w:pPr>
            <w:r>
              <w:rPr/>
              <w:t> </w:t>
            </w:r>
          </w:p>
        </w:tc>
        <w:tc>
          <w:tcPr>
            <w:tcW w:w="1955" w:type="dxa"/>
            <w:tcBorders>
              <w:bottom w:val="single" w:sz="12" w:space="0" w:color="000000"/>
            </w:tcBorders>
            <w:tcMar>
              <w:bottom w:w="28" w:type="dxa"/>
            </w:tcMar>
            <w:vAlign w:val="center"/>
          </w:tcPr>
          <w:p>
            <w:pPr>
              <w:pStyle w:val="TableContents"/>
              <w:bidi w:val="0"/>
              <w:spacing w:before="0" w:after="283"/>
              <w:jc w:val="center"/>
              <w:rPr>
                <w:b/>
                <w:spacing w:val="0"/>
              </w:rPr>
            </w:pPr>
            <w:r>
              <w:rPr>
                <w:b/>
                <w:spacing w:val="0"/>
              </w:rPr>
              <w:t>Exercise Price</w:t>
            </w:r>
          </w:p>
        </w:tc>
        <w:tc>
          <w:tcPr>
            <w:tcW w:w="135" w:type="dxa"/>
            <w:tcBorders/>
            <w:vAlign w:val="center"/>
          </w:tcPr>
          <w:p>
            <w:pPr>
              <w:pStyle w:val="TableContents"/>
              <w:bidi w:val="0"/>
              <w:spacing w:before="0" w:after="283"/>
              <w:jc w:val="center"/>
              <w:rPr/>
            </w:pPr>
            <w:r>
              <w:rPr/>
              <w:t> </w:t>
            </w:r>
          </w:p>
        </w:tc>
      </w:tr>
      <w:tr>
        <w:trPr/>
        <w:tc>
          <w:tcPr>
            <w:tcW w:w="6480" w:type="dxa"/>
            <w:tcBorders/>
            <w:shd w:fill="CCEEFF" w:val="clear"/>
            <w:vAlign w:val="center"/>
          </w:tcPr>
          <w:p>
            <w:pPr>
              <w:pStyle w:val="TableContents"/>
              <w:bidi w:val="0"/>
              <w:spacing w:before="0" w:after="0"/>
              <w:ind w:left="0" w:right="0" w:hanging="144"/>
              <w:jc w:val="left"/>
              <w:rPr/>
            </w:pPr>
            <w:r>
              <w:rPr/>
              <w:t xml:space="preserve">Options outstanding, vested and expected to vest at December 31, 2025 </w:t>
            </w:r>
          </w:p>
        </w:tc>
        <w:tc>
          <w:tcPr>
            <w:tcW w:w="90" w:type="dxa"/>
            <w:tcBorders/>
            <w:shd w:fill="CCEEFF" w:val="clear"/>
            <w:vAlign w:val="center"/>
          </w:tcPr>
          <w:p>
            <w:pPr>
              <w:pStyle w:val="TableContents"/>
              <w:bidi w:val="0"/>
              <w:spacing w:before="0" w:after="283"/>
              <w:jc w:val="right"/>
              <w:rPr/>
            </w:pPr>
            <w:r>
              <w:rPr/>
              <w:t> </w:t>
            </w:r>
          </w:p>
        </w:tc>
        <w:tc>
          <w:tcPr>
            <w:tcW w:w="90"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right"/>
              <w:rPr/>
            </w:pPr>
            <w:r>
              <w:rPr/>
              <w:t>4,682,783</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w:t>
            </w:r>
          </w:p>
        </w:tc>
        <w:tc>
          <w:tcPr>
            <w:tcW w:w="1955" w:type="dxa"/>
            <w:tcBorders/>
            <w:shd w:fill="CCEEFF" w:val="clear"/>
            <w:vAlign w:val="center"/>
          </w:tcPr>
          <w:p>
            <w:pPr>
              <w:pStyle w:val="TableContents"/>
              <w:bidi w:val="0"/>
              <w:spacing w:before="0" w:after="283"/>
              <w:jc w:val="right"/>
              <w:rPr/>
            </w:pPr>
            <w:r>
              <w:rPr/>
              <w:t>6.13</w:t>
            </w:r>
          </w:p>
        </w:tc>
        <w:tc>
          <w:tcPr>
            <w:tcW w:w="135" w:type="dxa"/>
            <w:tcBorders/>
            <w:shd w:fill="CCEEFF" w:val="clear"/>
            <w:vAlign w:val="center"/>
          </w:tcPr>
          <w:p>
            <w:pPr>
              <w:pStyle w:val="TableContents"/>
              <w:bidi w:val="0"/>
              <w:spacing w:before="0" w:after="283"/>
              <w:jc w:val="left"/>
              <w:rPr/>
            </w:pPr>
            <w:r>
              <w:rPr/>
              <w:t> </w:t>
            </w:r>
          </w:p>
        </w:tc>
      </w:tr>
      <w:tr>
        <w:trPr/>
        <w:tc>
          <w:tcPr>
            <w:tcW w:w="6480" w:type="dxa"/>
            <w:tcBorders/>
            <w:vAlign w:val="center"/>
          </w:tcPr>
          <w:p>
            <w:pPr>
              <w:pStyle w:val="TableContents"/>
              <w:bidi w:val="0"/>
              <w:spacing w:before="0" w:after="0"/>
              <w:ind w:left="0" w:right="0" w:hanging="144"/>
              <w:jc w:val="left"/>
              <w:rPr/>
            </w:pPr>
            <w:r>
              <w:rPr/>
              <w:t xml:space="preserve">Forfeited </w:t>
            </w:r>
          </w:p>
        </w:tc>
        <w:tc>
          <w:tcPr>
            <w:tcW w:w="90"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1010" w:type="dxa"/>
            <w:tcBorders/>
            <w:vAlign w:val="center"/>
          </w:tcPr>
          <w:p>
            <w:pPr>
              <w:pStyle w:val="TableContents"/>
              <w:bidi w:val="0"/>
              <w:spacing w:before="0" w:after="283"/>
              <w:jc w:val="right"/>
              <w:rPr/>
            </w:pPr>
            <w:r>
              <w:rPr/>
              <w:t xml:space="preserve">-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pPr>
            <w:r>
              <w:rPr/>
              <w:t>$</w:t>
            </w:r>
          </w:p>
        </w:tc>
        <w:tc>
          <w:tcPr>
            <w:tcW w:w="1955" w:type="dxa"/>
            <w:tcBorders/>
            <w:vAlign w:val="center"/>
          </w:tcPr>
          <w:p>
            <w:pPr>
              <w:pStyle w:val="TableContents"/>
              <w:bidi w:val="0"/>
              <w:spacing w:before="0" w:after="283"/>
              <w:jc w:val="right"/>
              <w:rPr/>
            </w:pPr>
            <w:r>
              <w:rPr/>
              <w:t xml:space="preserve">- </w:t>
            </w:r>
          </w:p>
        </w:tc>
        <w:tc>
          <w:tcPr>
            <w:tcW w:w="135" w:type="dxa"/>
            <w:tcBorders/>
            <w:vAlign w:val="center"/>
          </w:tcPr>
          <w:p>
            <w:pPr>
              <w:pStyle w:val="TableContents"/>
              <w:bidi w:val="0"/>
              <w:spacing w:before="0" w:after="283"/>
              <w:jc w:val="left"/>
              <w:rPr/>
            </w:pPr>
            <w:r>
              <w:rPr/>
              <w:t> </w:t>
            </w:r>
          </w:p>
        </w:tc>
      </w:tr>
      <w:tr>
        <w:trPr/>
        <w:tc>
          <w:tcPr>
            <w:tcW w:w="6480" w:type="dxa"/>
            <w:tcBorders/>
            <w:shd w:fill="CCEEFF" w:val="clear"/>
            <w:vAlign w:val="center"/>
          </w:tcPr>
          <w:p>
            <w:pPr>
              <w:pStyle w:val="TableContents"/>
              <w:bidi w:val="0"/>
              <w:spacing w:before="0" w:after="0"/>
              <w:ind w:left="0" w:right="0" w:hanging="144"/>
              <w:jc w:val="left"/>
              <w:rPr/>
            </w:pPr>
            <w:r>
              <w:rPr/>
              <w:t xml:space="preserve">Expired </w:t>
            </w:r>
          </w:p>
        </w:tc>
        <w:tc>
          <w:tcPr>
            <w:tcW w:w="90" w:type="dxa"/>
            <w:tcBorders/>
            <w:shd w:fill="CCEEFF" w:val="clear"/>
            <w:vAlign w:val="center"/>
          </w:tcPr>
          <w:p>
            <w:pPr>
              <w:pStyle w:val="TableContents"/>
              <w:bidi w:val="0"/>
              <w:spacing w:before="0" w:after="283"/>
              <w:jc w:val="right"/>
              <w:rPr/>
            </w:pPr>
            <w:r>
              <w:rPr/>
              <w:t> </w:t>
            </w:r>
          </w:p>
        </w:tc>
        <w:tc>
          <w:tcPr>
            <w:tcW w:w="90"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right"/>
              <w:rPr/>
            </w:pPr>
            <w:r>
              <w:rPr/>
              <w:t xml:space="preserve">- </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w:t>
            </w:r>
          </w:p>
        </w:tc>
        <w:tc>
          <w:tcPr>
            <w:tcW w:w="1955" w:type="dxa"/>
            <w:tcBorders/>
            <w:shd w:fill="CCEEFF" w:val="clear"/>
            <w:vAlign w:val="center"/>
          </w:tcPr>
          <w:p>
            <w:pPr>
              <w:pStyle w:val="TableContents"/>
              <w:bidi w:val="0"/>
              <w:spacing w:before="0" w:after="283"/>
              <w:jc w:val="right"/>
              <w:rPr/>
            </w:pPr>
            <w:r>
              <w:rPr/>
              <w:t xml:space="preserve">- </w:t>
            </w:r>
          </w:p>
        </w:tc>
        <w:tc>
          <w:tcPr>
            <w:tcW w:w="135" w:type="dxa"/>
            <w:tcBorders/>
            <w:shd w:fill="CCEEFF" w:val="clear"/>
            <w:vAlign w:val="center"/>
          </w:tcPr>
          <w:p>
            <w:pPr>
              <w:pStyle w:val="TableContents"/>
              <w:bidi w:val="0"/>
              <w:spacing w:before="0" w:after="283"/>
              <w:jc w:val="left"/>
              <w:rPr/>
            </w:pPr>
            <w:r>
              <w:rPr/>
              <w:t> </w:t>
            </w:r>
          </w:p>
        </w:tc>
      </w:tr>
      <w:tr>
        <w:trPr/>
        <w:tc>
          <w:tcPr>
            <w:tcW w:w="6480" w:type="dxa"/>
            <w:tcBorders/>
            <w:vAlign w:val="center"/>
          </w:tcPr>
          <w:p>
            <w:pPr>
              <w:pStyle w:val="TableContents"/>
              <w:bidi w:val="0"/>
              <w:spacing w:before="0" w:after="0"/>
              <w:ind w:left="0" w:right="0" w:hanging="144"/>
              <w:jc w:val="left"/>
              <w:rPr/>
            </w:pPr>
            <w:r>
              <w:rPr/>
              <w:t xml:space="preserve">Granted </w:t>
            </w:r>
          </w:p>
        </w:tc>
        <w:tc>
          <w:tcPr>
            <w:tcW w:w="90"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1010" w:type="dxa"/>
            <w:tcBorders/>
            <w:vAlign w:val="center"/>
          </w:tcPr>
          <w:p>
            <w:pPr>
              <w:pStyle w:val="TableContents"/>
              <w:bidi w:val="0"/>
              <w:spacing w:before="0" w:after="283"/>
              <w:jc w:val="right"/>
              <w:rPr/>
            </w:pPr>
            <w:r>
              <w:rPr/>
              <w:t>695,321</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pPr>
            <w:r>
              <w:rPr/>
              <w:t>$</w:t>
            </w:r>
          </w:p>
        </w:tc>
        <w:tc>
          <w:tcPr>
            <w:tcW w:w="1955" w:type="dxa"/>
            <w:tcBorders/>
            <w:vAlign w:val="center"/>
          </w:tcPr>
          <w:p>
            <w:pPr>
              <w:pStyle w:val="TableContents"/>
              <w:bidi w:val="0"/>
              <w:spacing w:before="0" w:after="283"/>
              <w:jc w:val="right"/>
              <w:rPr/>
            </w:pPr>
            <w:r>
              <w:rPr/>
              <w:t>16.37</w:t>
            </w:r>
          </w:p>
        </w:tc>
        <w:tc>
          <w:tcPr>
            <w:tcW w:w="135" w:type="dxa"/>
            <w:tcBorders/>
            <w:vAlign w:val="center"/>
          </w:tcPr>
          <w:p>
            <w:pPr>
              <w:pStyle w:val="TableContents"/>
              <w:bidi w:val="0"/>
              <w:spacing w:before="0" w:after="283"/>
              <w:jc w:val="left"/>
              <w:rPr/>
            </w:pPr>
            <w:r>
              <w:rPr/>
              <w:t> </w:t>
            </w:r>
          </w:p>
        </w:tc>
      </w:tr>
      <w:tr>
        <w:trPr/>
        <w:tc>
          <w:tcPr>
            <w:tcW w:w="6480" w:type="dxa"/>
            <w:tcBorders/>
            <w:shd w:fill="CCEEFF" w:val="clear"/>
            <w:vAlign w:val="center"/>
          </w:tcPr>
          <w:p>
            <w:pPr>
              <w:pStyle w:val="TableContents"/>
              <w:bidi w:val="0"/>
              <w:spacing w:before="0" w:after="0"/>
              <w:ind w:left="0" w:right="0" w:hanging="144"/>
              <w:jc w:val="left"/>
              <w:rPr/>
            </w:pPr>
            <w:r>
              <w:rPr/>
              <w:t xml:space="preserve">Exercised </w:t>
            </w:r>
          </w:p>
        </w:tc>
        <w:tc>
          <w:tcPr>
            <w:tcW w:w="90" w:type="dxa"/>
            <w:tcBorders/>
            <w:shd w:fill="CCEEFF" w:val="clear"/>
            <w:vAlign w:val="center"/>
          </w:tcPr>
          <w:p>
            <w:pPr>
              <w:pStyle w:val="TableContents"/>
              <w:bidi w:val="0"/>
              <w:spacing w:before="0" w:after="283"/>
              <w:jc w:val="righ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10" w:type="dxa"/>
            <w:tcBorders>
              <w:bottom w:val="single" w:sz="12" w:space="0" w:color="000000"/>
            </w:tcBorders>
            <w:shd w:fill="CCEEFF" w:val="clear"/>
            <w:tcMar>
              <w:bottom w:w="28" w:type="dxa"/>
            </w:tcMar>
            <w:vAlign w:val="center"/>
          </w:tcPr>
          <w:p>
            <w:pPr>
              <w:pStyle w:val="TableContents"/>
              <w:bidi w:val="0"/>
              <w:spacing w:before="0" w:after="283"/>
              <w:jc w:val="right"/>
              <w:rPr/>
            </w:pPr>
            <w:r>
              <w:rPr/>
              <w:t>(192,187</w:t>
            </w:r>
          </w:p>
        </w:tc>
        <w:tc>
          <w:tcPr>
            <w:tcW w:w="18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w:t>
            </w:r>
          </w:p>
        </w:tc>
        <w:tc>
          <w:tcPr>
            <w:tcW w:w="1955" w:type="dxa"/>
            <w:tcBorders/>
            <w:shd w:fill="CCEEFF" w:val="clear"/>
            <w:vAlign w:val="center"/>
          </w:tcPr>
          <w:p>
            <w:pPr>
              <w:pStyle w:val="TableContents"/>
              <w:bidi w:val="0"/>
              <w:spacing w:before="0" w:after="283"/>
              <w:jc w:val="right"/>
              <w:rPr/>
            </w:pPr>
            <w:r>
              <w:rPr/>
              <w:t>3.34</w:t>
            </w:r>
          </w:p>
        </w:tc>
        <w:tc>
          <w:tcPr>
            <w:tcW w:w="135" w:type="dxa"/>
            <w:tcBorders/>
            <w:shd w:fill="CCEEFF" w:val="clear"/>
            <w:vAlign w:val="center"/>
          </w:tcPr>
          <w:p>
            <w:pPr>
              <w:pStyle w:val="TableContents"/>
              <w:bidi w:val="0"/>
              <w:spacing w:before="0" w:after="283"/>
              <w:jc w:val="left"/>
              <w:rPr/>
            </w:pPr>
            <w:r>
              <w:rPr/>
              <w:t> </w:t>
            </w:r>
          </w:p>
        </w:tc>
      </w:tr>
      <w:tr>
        <w:trPr/>
        <w:tc>
          <w:tcPr>
            <w:tcW w:w="6480" w:type="dxa"/>
            <w:tcBorders/>
            <w:vAlign w:val="center"/>
          </w:tcPr>
          <w:p>
            <w:pPr>
              <w:pStyle w:val="TableContents"/>
              <w:bidi w:val="0"/>
              <w:spacing w:before="0" w:after="0"/>
              <w:ind w:left="0" w:right="0" w:hanging="144"/>
              <w:jc w:val="left"/>
              <w:rPr/>
            </w:pPr>
            <w:r>
              <w:rPr/>
              <w:t xml:space="preserve">Options outstanding, vested and expected to vest at March 31, 2026 </w:t>
            </w:r>
          </w:p>
        </w:tc>
        <w:tc>
          <w:tcPr>
            <w:tcW w:w="90" w:type="dxa"/>
            <w:tcBorders/>
            <w:vAlign w:val="center"/>
          </w:tcPr>
          <w:p>
            <w:pPr>
              <w:pStyle w:val="TableContents"/>
              <w:bidi w:val="0"/>
              <w:spacing w:before="0" w:after="283"/>
              <w:jc w:val="right"/>
              <w:rPr/>
            </w:pPr>
            <w:r>
              <w:rPr/>
              <w:t> </w:t>
            </w:r>
          </w:p>
        </w:tc>
        <w:tc>
          <w:tcPr>
            <w:tcW w:w="90" w:type="dxa"/>
            <w:tcBorders>
              <w:bottom w:val="double" w:sz="8" w:space="0" w:color="000000"/>
            </w:tcBorders>
            <w:tcMar>
              <w:bottom w:w="28" w:type="dxa"/>
            </w:tcMar>
            <w:vAlign w:val="center"/>
          </w:tcPr>
          <w:p>
            <w:pPr>
              <w:pStyle w:val="TableContents"/>
              <w:bidi w:val="0"/>
              <w:spacing w:before="0" w:after="283"/>
              <w:jc w:val="left"/>
              <w:rPr/>
            </w:pPr>
            <w:r>
              <w:rPr/>
              <w:t> </w:t>
            </w:r>
          </w:p>
        </w:tc>
        <w:tc>
          <w:tcPr>
            <w:tcW w:w="1010" w:type="dxa"/>
            <w:tcBorders>
              <w:bottom w:val="double" w:sz="8" w:space="0" w:color="000000"/>
            </w:tcBorders>
            <w:tcMar>
              <w:bottom w:w="28" w:type="dxa"/>
            </w:tcMar>
            <w:vAlign w:val="center"/>
          </w:tcPr>
          <w:p>
            <w:pPr>
              <w:pStyle w:val="TableContents"/>
              <w:bidi w:val="0"/>
              <w:spacing w:before="0" w:after="283"/>
              <w:jc w:val="right"/>
              <w:rPr/>
            </w:pPr>
            <w:r>
              <w:rPr/>
              <w:t>5,185,917</w:t>
            </w:r>
          </w:p>
        </w:tc>
        <w:tc>
          <w:tcPr>
            <w:tcW w:w="185" w:type="dxa"/>
            <w:tcBorders>
              <w:bottom w:val="double" w:sz="8" w:space="0" w:color="000000"/>
            </w:tcBorders>
            <w:tcMar>
              <w:bottom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pPr>
            <w:r>
              <w:rPr/>
              <w:t>$</w:t>
            </w:r>
          </w:p>
        </w:tc>
        <w:tc>
          <w:tcPr>
            <w:tcW w:w="1955" w:type="dxa"/>
            <w:tcBorders/>
            <w:vAlign w:val="center"/>
          </w:tcPr>
          <w:p>
            <w:pPr>
              <w:pStyle w:val="TableContents"/>
              <w:bidi w:val="0"/>
              <w:spacing w:before="0" w:after="283"/>
              <w:jc w:val="right"/>
              <w:rPr/>
            </w:pPr>
            <w:r>
              <w:rPr/>
              <w:t>7.61</w:t>
            </w:r>
          </w:p>
        </w:tc>
        <w:tc>
          <w:tcPr>
            <w:tcW w:w="135" w:type="dxa"/>
            <w:tcBorders/>
            <w:vAlign w:val="center"/>
          </w:tcPr>
          <w:p>
            <w:pPr>
              <w:pStyle w:val="TableContents"/>
              <w:bidi w:val="0"/>
              <w:spacing w:before="0" w:after="283"/>
              <w:jc w:val="left"/>
              <w:rPr/>
            </w:pPr>
            <w:r>
              <w:rPr/>
              <w:t> </w:t>
            </w:r>
          </w:p>
        </w:tc>
      </w:tr>
      <w:tr>
        <w:trPr/>
        <w:tc>
          <w:tcPr>
            <w:tcW w:w="648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955" w:type="dxa"/>
            <w:tcBorders/>
            <w:shd w:fill="CCEEFF" w:val="clear"/>
            <w:vAlign w:val="center"/>
          </w:tcPr>
          <w:p>
            <w:pPr>
              <w:pStyle w:val="TableContents"/>
              <w:bidi w:val="0"/>
              <w:spacing w:before="0" w:after="283"/>
              <w:jc w:val="left"/>
              <w:rPr/>
            </w:pPr>
            <w:r>
              <w:rPr/>
              <w:t> </w:t>
            </w:r>
          </w:p>
        </w:tc>
        <w:tc>
          <w:tcPr>
            <w:tcW w:w="135" w:type="dxa"/>
            <w:tcBorders/>
            <w:shd w:fill="CCEEFF" w:val="clear"/>
            <w:vAlign w:val="center"/>
          </w:tcPr>
          <w:p>
            <w:pPr>
              <w:pStyle w:val="TableContents"/>
              <w:bidi w:val="0"/>
              <w:spacing w:before="0" w:after="283"/>
              <w:jc w:val="left"/>
              <w:rPr/>
            </w:pPr>
            <w:r>
              <w:rPr/>
              <w:t> </w:t>
            </w:r>
          </w:p>
        </w:tc>
      </w:tr>
      <w:tr>
        <w:trPr/>
        <w:tc>
          <w:tcPr>
            <w:tcW w:w="6480" w:type="dxa"/>
            <w:tcBorders/>
            <w:vAlign w:val="center"/>
          </w:tcPr>
          <w:p>
            <w:pPr>
              <w:pStyle w:val="TableContents"/>
              <w:bidi w:val="0"/>
              <w:spacing w:before="0" w:after="0"/>
              <w:ind w:left="0" w:right="0" w:hanging="144"/>
              <w:jc w:val="left"/>
              <w:rPr/>
            </w:pPr>
            <w:r>
              <w:rPr/>
              <w:t xml:space="preserve">Options exercisable </w:t>
            </w:r>
          </w:p>
        </w:tc>
        <w:tc>
          <w:tcPr>
            <w:tcW w:w="90" w:type="dxa"/>
            <w:tcBorders/>
            <w:vAlign w:val="center"/>
          </w:tcPr>
          <w:p>
            <w:pPr>
              <w:pStyle w:val="TableContents"/>
              <w:bidi w:val="0"/>
              <w:spacing w:before="0" w:after="283"/>
              <w:jc w:val="right"/>
              <w:rPr/>
            </w:pPr>
            <w:r>
              <w:rPr/>
              <w:t> </w:t>
            </w:r>
          </w:p>
        </w:tc>
        <w:tc>
          <w:tcPr>
            <w:tcW w:w="90" w:type="dxa"/>
            <w:tcBorders>
              <w:bottom w:val="double" w:sz="8" w:space="0" w:color="000000"/>
            </w:tcBorders>
            <w:tcMar>
              <w:bottom w:w="28" w:type="dxa"/>
            </w:tcMar>
            <w:vAlign w:val="center"/>
          </w:tcPr>
          <w:p>
            <w:pPr>
              <w:pStyle w:val="TableContents"/>
              <w:bidi w:val="0"/>
              <w:spacing w:before="0" w:after="283"/>
              <w:jc w:val="left"/>
              <w:rPr/>
            </w:pPr>
            <w:r>
              <w:rPr/>
              <w:t> </w:t>
            </w:r>
          </w:p>
        </w:tc>
        <w:tc>
          <w:tcPr>
            <w:tcW w:w="1010" w:type="dxa"/>
            <w:tcBorders>
              <w:bottom w:val="double" w:sz="8" w:space="0" w:color="000000"/>
            </w:tcBorders>
            <w:tcMar>
              <w:bottom w:w="28" w:type="dxa"/>
            </w:tcMar>
            <w:vAlign w:val="center"/>
          </w:tcPr>
          <w:p>
            <w:pPr>
              <w:pStyle w:val="TableContents"/>
              <w:bidi w:val="0"/>
              <w:spacing w:before="0" w:after="283"/>
              <w:jc w:val="right"/>
              <w:rPr/>
            </w:pPr>
            <w:r>
              <w:rPr/>
              <w:t>3,053,223</w:t>
            </w:r>
          </w:p>
        </w:tc>
        <w:tc>
          <w:tcPr>
            <w:tcW w:w="185" w:type="dxa"/>
            <w:tcBorders>
              <w:bottom w:val="double" w:sz="8" w:space="0" w:color="000000"/>
            </w:tcBorders>
            <w:tcMar>
              <w:bottom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right"/>
              <w:rPr/>
            </w:pPr>
            <w:r>
              <w:rPr/>
              <w:t> </w:t>
            </w:r>
          </w:p>
        </w:tc>
        <w:tc>
          <w:tcPr>
            <w:tcW w:w="170" w:type="dxa"/>
            <w:tcBorders>
              <w:bottom w:val="double" w:sz="8" w:space="0" w:color="000000"/>
            </w:tcBorders>
            <w:tcMar>
              <w:bottom w:w="28" w:type="dxa"/>
            </w:tcMar>
            <w:vAlign w:val="center"/>
          </w:tcPr>
          <w:p>
            <w:pPr>
              <w:pStyle w:val="TableContents"/>
              <w:bidi w:val="0"/>
              <w:spacing w:before="0" w:after="283"/>
              <w:jc w:val="left"/>
              <w:rPr/>
            </w:pPr>
            <w:r>
              <w:rPr/>
              <w:t>$</w:t>
            </w:r>
          </w:p>
        </w:tc>
        <w:tc>
          <w:tcPr>
            <w:tcW w:w="1955" w:type="dxa"/>
            <w:tcBorders>
              <w:bottom w:val="double" w:sz="8" w:space="0" w:color="000000"/>
            </w:tcBorders>
            <w:tcMar>
              <w:bottom w:w="28" w:type="dxa"/>
            </w:tcMar>
            <w:vAlign w:val="center"/>
          </w:tcPr>
          <w:p>
            <w:pPr>
              <w:pStyle w:val="TableContents"/>
              <w:bidi w:val="0"/>
              <w:spacing w:before="0" w:after="283"/>
              <w:jc w:val="right"/>
              <w:rPr/>
            </w:pPr>
            <w:r>
              <w:rPr/>
              <w:t>4.73</w:t>
            </w:r>
          </w:p>
        </w:tc>
        <w:tc>
          <w:tcPr>
            <w:tcW w:w="135" w:type="dxa"/>
            <w:tcBorders/>
            <w:vAlign w:val="center"/>
          </w:tcPr>
          <w:p>
            <w:pPr>
              <w:pStyle w:val="TableContents"/>
              <w:bidi w:val="0"/>
              <w:spacing w:before="0" w:after="283"/>
              <w:jc w:val="left"/>
              <w:rPr/>
            </w:pPr>
            <w:r>
              <w:rPr/>
              <w:t> </w:t>
            </w:r>
          </w:p>
        </w:tc>
      </w:tr>
    </w:tbl>
    <w:p>
      <w:pPr>
        <w:pStyle w:val="TextBody"/>
        <w:bidi w:val="0"/>
        <w:spacing w:before="0" w:after="0"/>
        <w:jc w:val="center"/>
        <w:rPr/>
      </w:pPr>
      <w:r>
        <w:rPr/>
        <w:t xml:space="preserve">  </w:t>
      </w:r>
    </w:p>
    <w:p>
      <w:pPr>
        <w:pStyle w:val="TextBody"/>
        <w:bidi w:val="0"/>
        <w:spacing w:before="0" w:after="0"/>
        <w:ind w:left="0" w:right="0" w:firstLine="720"/>
        <w:jc w:val="both"/>
        <w:rPr>
          <w:rFonts w:ascii="Times New Roman" w:hAnsi="Times New Roman"/>
          <w:sz w:val="20"/>
        </w:rPr>
      </w:pPr>
      <w:r>
        <w:rPr>
          <w:rFonts w:ascii="Times New Roman" w:hAnsi="Times New Roman"/>
          <w:sz w:val="20"/>
        </w:rPr>
        <w:t xml:space="preserve">As of March 31, 2026, the Company had $15.8 million of unrecognized compensation expense related to stock options granted under the Company’s equity incentive plans, which is expected to be recognized over a weighted-average period of 3.0 years. </w:t>
      </w:r>
    </w:p>
    <w:p>
      <w:pPr>
        <w:pStyle w:val="TextBody"/>
        <w:bidi w:val="0"/>
        <w:spacing w:before="0" w:after="0"/>
        <w:jc w:val="both"/>
        <w:rPr/>
      </w:pPr>
      <w:r>
        <w:rPr/>
        <w:t xml:space="preserve">  </w:t>
      </w:r>
    </w:p>
    <w:p>
      <w:pPr>
        <w:pStyle w:val="TextBody"/>
        <w:bidi w:val="0"/>
        <w:spacing w:before="0" w:after="0"/>
        <w:jc w:val="left"/>
        <w:rPr>
          <w:rFonts w:ascii="Times New Roman" w:hAnsi="Times New Roman"/>
          <w:sz w:val="20"/>
        </w:rPr>
      </w:pPr>
      <w:r>
        <w:rPr>
          <w:rFonts w:ascii="Times New Roman" w:hAnsi="Times New Roman"/>
          <w:i/>
          <w:sz w:val="20"/>
        </w:rPr>
        <w:t>Restricted Stock Units</w:t>
      </w:r>
      <w:r>
        <w:rPr>
          <w:rFonts w:ascii="Times New Roman" w:hAnsi="Times New Roman"/>
          <w:sz w:val="20"/>
        </w:rPr>
        <w:t xml:space="preserve"> </w:t>
      </w:r>
    </w:p>
    <w:p>
      <w:pPr>
        <w:pStyle w:val="TextBody"/>
        <w:bidi w:val="0"/>
        <w:spacing w:before="0" w:after="0"/>
        <w:jc w:val="left"/>
        <w:rPr/>
      </w:pPr>
      <w:r>
        <w:rPr/>
        <w:t xml:space="preserve">  </w:t>
      </w:r>
    </w:p>
    <w:p>
      <w:pPr>
        <w:pStyle w:val="TextBody"/>
        <w:bidi w:val="0"/>
        <w:spacing w:before="0" w:after="0"/>
        <w:ind w:left="0" w:right="0" w:firstLine="720"/>
        <w:jc w:val="both"/>
        <w:rPr>
          <w:rFonts w:ascii="Times New Roman" w:hAnsi="Times New Roman"/>
          <w:sz w:val="20"/>
        </w:rPr>
      </w:pPr>
      <w:r>
        <w:rPr>
          <w:rFonts w:ascii="Times New Roman" w:hAnsi="Times New Roman"/>
          <w:sz w:val="20"/>
        </w:rPr>
        <w:t xml:space="preserve">The Company grants RSUs to certain employees and consultants of the Company and to members of its Board. The RSUs generally vest annually over a period of four years for employees and semi-annually over a period of one year for directors. </w:t>
      </w:r>
    </w:p>
    <w:p>
      <w:pPr>
        <w:pStyle w:val="TextBody"/>
        <w:bidi w:val="0"/>
        <w:spacing w:before="0" w:after="0"/>
        <w:jc w:val="both"/>
        <w:rPr/>
      </w:pPr>
      <w:r>
        <w:rPr/>
        <w:t xml:space="preserve">  </w:t>
      </w:r>
    </w:p>
    <w:p>
      <w:pPr>
        <w:pStyle w:val="TextBody"/>
        <w:bidi w:val="0"/>
        <w:spacing w:before="0" w:after="0"/>
        <w:ind w:left="0" w:right="0" w:firstLine="720"/>
        <w:jc w:val="both"/>
        <w:rPr>
          <w:rFonts w:ascii="Times New Roman" w:hAnsi="Times New Roman"/>
          <w:sz w:val="20"/>
        </w:rPr>
      </w:pPr>
      <w:r>
        <w:rPr>
          <w:rFonts w:ascii="Times New Roman" w:hAnsi="Times New Roman"/>
          <w:sz w:val="20"/>
        </w:rPr>
        <w:t xml:space="preserve">A summary of the Company’s RSU activity and related information is as follows: </w:t>
      </w:r>
    </w:p>
    <w:p>
      <w:pPr>
        <w:pStyle w:val="TextBody"/>
        <w:bidi w:val="0"/>
        <w:spacing w:before="0" w:after="0"/>
        <w:jc w:val="center"/>
        <w:rPr/>
      </w:pPr>
      <w:r>
        <w:rPr/>
        <w:t xml:space="preserve">  </w:t>
      </w:r>
    </w:p>
    <w:tbl>
      <w:tblPr>
        <w:tblW w:w="6580" w:type="dxa"/>
        <w:jc w:val="left"/>
        <w:tblInd w:w="0" w:type="dxa"/>
        <w:tblLayout w:type="fixed"/>
        <w:tblCellMar>
          <w:top w:w="0" w:type="dxa"/>
          <w:left w:w="0" w:type="dxa"/>
          <w:bottom w:w="0" w:type="dxa"/>
          <w:right w:w="0" w:type="dxa"/>
        </w:tblCellMar>
      </w:tblPr>
      <w:tblGrid>
        <w:gridCol w:w="3050"/>
        <w:gridCol w:w="90"/>
        <w:gridCol w:w="90"/>
        <w:gridCol w:w="1085"/>
        <w:gridCol w:w="185"/>
        <w:gridCol w:w="90"/>
        <w:gridCol w:w="170"/>
        <w:gridCol w:w="1685"/>
        <w:gridCol w:w="135"/>
      </w:tblGrid>
      <w:tr>
        <w:trPr/>
        <w:tc>
          <w:tcPr>
            <w:tcW w:w="305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85"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685" w:type="dxa"/>
            <w:tcBorders/>
            <w:vAlign w:val="center"/>
          </w:tcPr>
          <w:p>
            <w:pPr>
              <w:pStyle w:val="TableContents"/>
              <w:bidi w:val="0"/>
              <w:spacing w:before="0" w:after="283"/>
              <w:jc w:val="left"/>
              <w:rPr/>
            </w:pPr>
            <w:r>
              <w:rPr/>
              <w:t> </w:t>
            </w:r>
          </w:p>
        </w:tc>
        <w:tc>
          <w:tcPr>
            <w:tcW w:w="135" w:type="dxa"/>
            <w:tcBorders/>
            <w:vAlign w:val="center"/>
          </w:tcPr>
          <w:p>
            <w:pPr>
              <w:pStyle w:val="TableContents"/>
              <w:bidi w:val="0"/>
              <w:spacing w:before="0" w:after="283"/>
              <w:jc w:val="left"/>
              <w:rPr/>
            </w:pPr>
            <w:r>
              <w:rPr/>
              <w:t> </w:t>
            </w:r>
          </w:p>
        </w:tc>
      </w:tr>
      <w:tr>
        <w:trPr/>
        <w:tc>
          <w:tcPr>
            <w:tcW w:w="305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center"/>
              <w:rPr/>
            </w:pPr>
            <w:r>
              <w:rPr/>
              <w:t> </w:t>
            </w:r>
          </w:p>
        </w:tc>
        <w:tc>
          <w:tcPr>
            <w:tcW w:w="90" w:type="dxa"/>
            <w:tcBorders>
              <w:bottom w:val="single" w:sz="12" w:space="0" w:color="000000"/>
            </w:tcBorders>
            <w:tcMar>
              <w:bottom w:w="28" w:type="dxa"/>
            </w:tcMar>
            <w:vAlign w:val="center"/>
          </w:tcPr>
          <w:p>
            <w:pPr>
              <w:pStyle w:val="TableContents"/>
              <w:bidi w:val="0"/>
              <w:spacing w:before="0" w:after="283"/>
              <w:jc w:val="center"/>
              <w:rPr/>
            </w:pPr>
            <w:r>
              <w:rPr/>
              <w:t> </w:t>
            </w:r>
          </w:p>
        </w:tc>
        <w:tc>
          <w:tcPr>
            <w:tcW w:w="1085" w:type="dxa"/>
            <w:tcBorders>
              <w:bottom w:val="single" w:sz="12" w:space="0" w:color="000000"/>
            </w:tcBorders>
            <w:tcMar>
              <w:bottom w:w="28" w:type="dxa"/>
            </w:tcMar>
            <w:vAlign w:val="center"/>
          </w:tcPr>
          <w:p>
            <w:pPr>
              <w:pStyle w:val="TableContents"/>
              <w:bidi w:val="0"/>
              <w:spacing w:before="0" w:after="283"/>
              <w:jc w:val="center"/>
              <w:rPr>
                <w:b/>
                <w:spacing w:val="0"/>
              </w:rPr>
            </w:pPr>
            <w:r>
              <w:rPr>
                <w:b/>
                <w:spacing w:val="0"/>
              </w:rPr>
              <w:t>Shares</w:t>
            </w:r>
          </w:p>
        </w:tc>
        <w:tc>
          <w:tcPr>
            <w:tcW w:w="185"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right"/>
              <w:rPr/>
            </w:pPr>
            <w:r>
              <w:rPr/>
              <w:t> </w:t>
            </w:r>
          </w:p>
        </w:tc>
        <w:tc>
          <w:tcPr>
            <w:tcW w:w="170" w:type="dxa"/>
            <w:tcBorders>
              <w:bottom w:val="single" w:sz="12" w:space="0" w:color="000000"/>
            </w:tcBorders>
            <w:tcMar>
              <w:bottom w:w="28" w:type="dxa"/>
            </w:tcMar>
            <w:vAlign w:val="center"/>
          </w:tcPr>
          <w:p>
            <w:pPr>
              <w:pStyle w:val="TableContents"/>
              <w:bidi w:val="0"/>
              <w:spacing w:before="0" w:after="283"/>
              <w:jc w:val="right"/>
              <w:rPr/>
            </w:pPr>
            <w:r>
              <w:rPr/>
              <w:t> </w:t>
            </w:r>
          </w:p>
        </w:tc>
        <w:tc>
          <w:tcPr>
            <w:tcW w:w="1685" w:type="dxa"/>
            <w:tcBorders>
              <w:bottom w:val="single" w:sz="12" w:space="0" w:color="000000"/>
            </w:tcBorders>
            <w:tcMar>
              <w:bottom w:w="28" w:type="dxa"/>
            </w:tcMar>
            <w:vAlign w:val="center"/>
          </w:tcPr>
          <w:p>
            <w:pPr>
              <w:pStyle w:val="TableContents"/>
              <w:bidi w:val="0"/>
              <w:spacing w:before="0" w:after="283"/>
              <w:jc w:val="center"/>
              <w:rPr>
                <w:b/>
                <w:spacing w:val="0"/>
              </w:rPr>
            </w:pPr>
            <w:r>
              <w:rPr>
                <w:b/>
                <w:spacing w:val="0"/>
              </w:rPr>
              <w:t>Weighted-</w:t>
              <w:br/>
              <w:t>Average Grant</w:t>
              <w:br/>
              <w:t>Date Fair Value</w:t>
            </w:r>
          </w:p>
        </w:tc>
        <w:tc>
          <w:tcPr>
            <w:tcW w:w="135" w:type="dxa"/>
            <w:tcBorders/>
            <w:vAlign w:val="center"/>
          </w:tcPr>
          <w:p>
            <w:pPr>
              <w:pStyle w:val="TableContents"/>
              <w:bidi w:val="0"/>
              <w:spacing w:before="0" w:after="283"/>
              <w:jc w:val="right"/>
              <w:rPr/>
            </w:pPr>
            <w:r>
              <w:rPr/>
              <w:t> </w:t>
            </w:r>
          </w:p>
        </w:tc>
      </w:tr>
      <w:tr>
        <w:trPr/>
        <w:tc>
          <w:tcPr>
            <w:tcW w:w="3050" w:type="dxa"/>
            <w:tcBorders/>
            <w:shd w:fill="CCEEFF" w:val="clear"/>
            <w:vAlign w:val="center"/>
          </w:tcPr>
          <w:p>
            <w:pPr>
              <w:pStyle w:val="TableContents"/>
              <w:bidi w:val="0"/>
              <w:spacing w:before="0" w:after="0"/>
              <w:ind w:left="0" w:right="0" w:hanging="144"/>
              <w:jc w:val="left"/>
              <w:rPr/>
            </w:pPr>
            <w:r>
              <w:rPr/>
              <w:t xml:space="preserve">Balance at December 31, 2025 </w:t>
            </w:r>
          </w:p>
        </w:tc>
        <w:tc>
          <w:tcPr>
            <w:tcW w:w="90" w:type="dxa"/>
            <w:tcBorders/>
            <w:shd w:fill="CCEEFF" w:val="clear"/>
            <w:vAlign w:val="center"/>
          </w:tcPr>
          <w:p>
            <w:pPr>
              <w:pStyle w:val="TableContents"/>
              <w:bidi w:val="0"/>
              <w:spacing w:before="0" w:after="283"/>
              <w:jc w:val="right"/>
              <w:rPr/>
            </w:pPr>
            <w:r>
              <w:rPr/>
              <w:t> </w:t>
            </w:r>
          </w:p>
        </w:tc>
        <w:tc>
          <w:tcPr>
            <w:tcW w:w="90" w:type="dxa"/>
            <w:tcBorders/>
            <w:shd w:fill="CCEEFF" w:val="clear"/>
            <w:vAlign w:val="center"/>
          </w:tcPr>
          <w:p>
            <w:pPr>
              <w:pStyle w:val="TableContents"/>
              <w:bidi w:val="0"/>
              <w:spacing w:before="0" w:after="283"/>
              <w:jc w:val="left"/>
              <w:rPr/>
            </w:pPr>
            <w:r>
              <w:rPr/>
              <w:t> </w:t>
            </w:r>
          </w:p>
        </w:tc>
        <w:tc>
          <w:tcPr>
            <w:tcW w:w="1085" w:type="dxa"/>
            <w:tcBorders/>
            <w:shd w:fill="CCEEFF" w:val="clear"/>
            <w:vAlign w:val="center"/>
          </w:tcPr>
          <w:p>
            <w:pPr>
              <w:pStyle w:val="TableContents"/>
              <w:bidi w:val="0"/>
              <w:spacing w:before="0" w:after="283"/>
              <w:jc w:val="right"/>
              <w:rPr/>
            </w:pPr>
            <w:r>
              <w:rPr/>
              <w:t>5,144,503</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w:t>
            </w:r>
          </w:p>
        </w:tc>
        <w:tc>
          <w:tcPr>
            <w:tcW w:w="1685" w:type="dxa"/>
            <w:tcBorders/>
            <w:shd w:fill="CCEEFF" w:val="clear"/>
            <w:vAlign w:val="center"/>
          </w:tcPr>
          <w:p>
            <w:pPr>
              <w:pStyle w:val="TableContents"/>
              <w:bidi w:val="0"/>
              <w:spacing w:before="0" w:after="283"/>
              <w:jc w:val="right"/>
              <w:rPr/>
            </w:pPr>
            <w:r>
              <w:rPr/>
              <w:t>9.31</w:t>
            </w:r>
          </w:p>
        </w:tc>
        <w:tc>
          <w:tcPr>
            <w:tcW w:w="135" w:type="dxa"/>
            <w:tcBorders/>
            <w:shd w:fill="CCEEFF" w:val="clear"/>
            <w:vAlign w:val="center"/>
          </w:tcPr>
          <w:p>
            <w:pPr>
              <w:pStyle w:val="TableContents"/>
              <w:bidi w:val="0"/>
              <w:spacing w:before="0" w:after="283"/>
              <w:jc w:val="left"/>
              <w:rPr/>
            </w:pPr>
            <w:r>
              <w:rPr/>
              <w:t> </w:t>
            </w:r>
          </w:p>
        </w:tc>
      </w:tr>
      <w:tr>
        <w:trPr/>
        <w:tc>
          <w:tcPr>
            <w:tcW w:w="3050" w:type="dxa"/>
            <w:tcBorders/>
            <w:vAlign w:val="center"/>
          </w:tcPr>
          <w:p>
            <w:pPr>
              <w:pStyle w:val="TableContents"/>
              <w:bidi w:val="0"/>
              <w:spacing w:before="0" w:after="0"/>
              <w:ind w:left="0" w:right="0" w:hanging="144"/>
              <w:jc w:val="left"/>
              <w:rPr/>
            </w:pPr>
            <w:r>
              <w:rPr/>
              <w:t xml:space="preserve">Granted </w:t>
            </w:r>
          </w:p>
        </w:tc>
        <w:tc>
          <w:tcPr>
            <w:tcW w:w="90"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1085" w:type="dxa"/>
            <w:tcBorders/>
            <w:vAlign w:val="center"/>
          </w:tcPr>
          <w:p>
            <w:pPr>
              <w:pStyle w:val="TableContents"/>
              <w:bidi w:val="0"/>
              <w:spacing w:before="0" w:after="283"/>
              <w:jc w:val="right"/>
              <w:rPr/>
            </w:pPr>
            <w:r>
              <w:rPr/>
              <w:t>1,184,203</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pPr>
            <w:r>
              <w:rPr/>
              <w:t>$</w:t>
            </w:r>
          </w:p>
        </w:tc>
        <w:tc>
          <w:tcPr>
            <w:tcW w:w="1685" w:type="dxa"/>
            <w:tcBorders/>
            <w:vAlign w:val="center"/>
          </w:tcPr>
          <w:p>
            <w:pPr>
              <w:pStyle w:val="TableContents"/>
              <w:bidi w:val="0"/>
              <w:spacing w:before="0" w:after="283"/>
              <w:jc w:val="right"/>
              <w:rPr/>
            </w:pPr>
            <w:r>
              <w:rPr/>
              <w:t>16.33</w:t>
            </w:r>
          </w:p>
        </w:tc>
        <w:tc>
          <w:tcPr>
            <w:tcW w:w="135" w:type="dxa"/>
            <w:tcBorders/>
            <w:vAlign w:val="center"/>
          </w:tcPr>
          <w:p>
            <w:pPr>
              <w:pStyle w:val="TableContents"/>
              <w:bidi w:val="0"/>
              <w:spacing w:before="0" w:after="283"/>
              <w:jc w:val="left"/>
              <w:rPr/>
            </w:pPr>
            <w:r>
              <w:rPr/>
              <w:t> </w:t>
            </w:r>
          </w:p>
        </w:tc>
      </w:tr>
      <w:tr>
        <w:trPr/>
        <w:tc>
          <w:tcPr>
            <w:tcW w:w="3050" w:type="dxa"/>
            <w:tcBorders/>
            <w:shd w:fill="CCEEFF" w:val="clear"/>
            <w:vAlign w:val="center"/>
          </w:tcPr>
          <w:p>
            <w:pPr>
              <w:pStyle w:val="TableContents"/>
              <w:bidi w:val="0"/>
              <w:spacing w:before="0" w:after="0"/>
              <w:ind w:left="0" w:right="0" w:hanging="144"/>
              <w:jc w:val="left"/>
              <w:rPr/>
            </w:pPr>
            <w:r>
              <w:rPr/>
              <w:t xml:space="preserve">Vested </w:t>
            </w:r>
          </w:p>
        </w:tc>
        <w:tc>
          <w:tcPr>
            <w:tcW w:w="90" w:type="dxa"/>
            <w:tcBorders/>
            <w:shd w:fill="CCEEFF" w:val="clear"/>
            <w:vAlign w:val="center"/>
          </w:tcPr>
          <w:p>
            <w:pPr>
              <w:pStyle w:val="TableContents"/>
              <w:bidi w:val="0"/>
              <w:spacing w:before="0" w:after="283"/>
              <w:jc w:val="right"/>
              <w:rPr/>
            </w:pPr>
            <w:r>
              <w:rPr/>
              <w:t> </w:t>
            </w:r>
          </w:p>
        </w:tc>
        <w:tc>
          <w:tcPr>
            <w:tcW w:w="90" w:type="dxa"/>
            <w:tcBorders/>
            <w:shd w:fill="CCEEFF" w:val="clear"/>
            <w:vAlign w:val="center"/>
          </w:tcPr>
          <w:p>
            <w:pPr>
              <w:pStyle w:val="TableContents"/>
              <w:bidi w:val="0"/>
              <w:spacing w:before="0" w:after="283"/>
              <w:jc w:val="left"/>
              <w:rPr/>
            </w:pPr>
            <w:r>
              <w:rPr/>
              <w:t> </w:t>
            </w:r>
          </w:p>
        </w:tc>
        <w:tc>
          <w:tcPr>
            <w:tcW w:w="1085" w:type="dxa"/>
            <w:tcBorders/>
            <w:shd w:fill="CCEEFF" w:val="clear"/>
            <w:vAlign w:val="center"/>
          </w:tcPr>
          <w:p>
            <w:pPr>
              <w:pStyle w:val="TableContents"/>
              <w:bidi w:val="0"/>
              <w:spacing w:before="0" w:after="283"/>
              <w:jc w:val="right"/>
              <w:rPr/>
            </w:pPr>
            <w:r>
              <w:rPr/>
              <w:t>(1,515,572</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w:t>
            </w:r>
          </w:p>
        </w:tc>
        <w:tc>
          <w:tcPr>
            <w:tcW w:w="1685" w:type="dxa"/>
            <w:tcBorders/>
            <w:shd w:fill="CCEEFF" w:val="clear"/>
            <w:vAlign w:val="center"/>
          </w:tcPr>
          <w:p>
            <w:pPr>
              <w:pStyle w:val="TableContents"/>
              <w:bidi w:val="0"/>
              <w:spacing w:before="0" w:after="283"/>
              <w:jc w:val="right"/>
              <w:rPr/>
            </w:pPr>
            <w:r>
              <w:rPr/>
              <w:t>7.22</w:t>
            </w:r>
          </w:p>
        </w:tc>
        <w:tc>
          <w:tcPr>
            <w:tcW w:w="135" w:type="dxa"/>
            <w:tcBorders/>
            <w:shd w:fill="CCEEFF" w:val="clear"/>
            <w:vAlign w:val="center"/>
          </w:tcPr>
          <w:p>
            <w:pPr>
              <w:pStyle w:val="TableContents"/>
              <w:bidi w:val="0"/>
              <w:spacing w:before="0" w:after="283"/>
              <w:jc w:val="left"/>
              <w:rPr/>
            </w:pPr>
            <w:r>
              <w:rPr/>
              <w:t> </w:t>
            </w:r>
          </w:p>
        </w:tc>
      </w:tr>
      <w:tr>
        <w:trPr/>
        <w:tc>
          <w:tcPr>
            <w:tcW w:w="3050" w:type="dxa"/>
            <w:tcBorders/>
            <w:vAlign w:val="center"/>
          </w:tcPr>
          <w:p>
            <w:pPr>
              <w:pStyle w:val="TableContents"/>
              <w:bidi w:val="0"/>
              <w:spacing w:before="0" w:after="0"/>
              <w:ind w:left="0" w:right="0" w:hanging="144"/>
              <w:jc w:val="left"/>
              <w:rPr/>
            </w:pPr>
            <w:r>
              <w:rPr/>
              <w:t xml:space="preserve">Forfeited </w:t>
            </w:r>
          </w:p>
        </w:tc>
        <w:tc>
          <w:tcPr>
            <w:tcW w:w="90" w:type="dxa"/>
            <w:tcBorders/>
            <w:vAlign w:val="center"/>
          </w:tcPr>
          <w:p>
            <w:pPr>
              <w:pStyle w:val="TableContents"/>
              <w:bidi w:val="0"/>
              <w:spacing w:before="0" w:after="283"/>
              <w:jc w:val="right"/>
              <w:rPr/>
            </w:pPr>
            <w:r>
              <w:rPr/>
              <w:t> </w:t>
            </w:r>
          </w:p>
        </w:tc>
        <w:tc>
          <w:tcPr>
            <w:tcW w:w="90" w:type="dxa"/>
            <w:tcBorders>
              <w:bottom w:val="single" w:sz="12" w:space="0" w:color="000000"/>
            </w:tcBorders>
            <w:tcMar>
              <w:bottom w:w="28" w:type="dxa"/>
            </w:tcMar>
            <w:vAlign w:val="center"/>
          </w:tcPr>
          <w:p>
            <w:pPr>
              <w:pStyle w:val="TableContents"/>
              <w:bidi w:val="0"/>
              <w:spacing w:before="0" w:after="283"/>
              <w:jc w:val="left"/>
              <w:rPr/>
            </w:pPr>
            <w:r>
              <w:rPr/>
              <w:t> </w:t>
            </w:r>
          </w:p>
        </w:tc>
        <w:tc>
          <w:tcPr>
            <w:tcW w:w="1085" w:type="dxa"/>
            <w:tcBorders>
              <w:bottom w:val="single" w:sz="12" w:space="0" w:color="000000"/>
            </w:tcBorders>
            <w:tcMar>
              <w:bottom w:w="28" w:type="dxa"/>
            </w:tcMar>
            <w:vAlign w:val="center"/>
          </w:tcPr>
          <w:p>
            <w:pPr>
              <w:pStyle w:val="TableContents"/>
              <w:bidi w:val="0"/>
              <w:spacing w:before="0" w:after="283"/>
              <w:jc w:val="right"/>
              <w:rPr/>
            </w:pPr>
            <w:r>
              <w:rPr/>
              <w:t>(154,516</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pPr>
            <w:r>
              <w:rPr/>
              <w:t>$</w:t>
            </w:r>
          </w:p>
        </w:tc>
        <w:tc>
          <w:tcPr>
            <w:tcW w:w="1685" w:type="dxa"/>
            <w:tcBorders/>
            <w:vAlign w:val="center"/>
          </w:tcPr>
          <w:p>
            <w:pPr>
              <w:pStyle w:val="TableContents"/>
              <w:bidi w:val="0"/>
              <w:spacing w:before="0" w:after="283"/>
              <w:jc w:val="right"/>
              <w:rPr/>
            </w:pPr>
            <w:r>
              <w:rPr/>
              <w:t>11.59</w:t>
            </w:r>
          </w:p>
        </w:tc>
        <w:tc>
          <w:tcPr>
            <w:tcW w:w="135" w:type="dxa"/>
            <w:tcBorders/>
            <w:vAlign w:val="center"/>
          </w:tcPr>
          <w:p>
            <w:pPr>
              <w:pStyle w:val="TableContents"/>
              <w:bidi w:val="0"/>
              <w:spacing w:before="0" w:after="283"/>
              <w:jc w:val="left"/>
              <w:rPr/>
            </w:pPr>
            <w:r>
              <w:rPr/>
              <w:t> </w:t>
            </w:r>
          </w:p>
        </w:tc>
      </w:tr>
      <w:tr>
        <w:trPr/>
        <w:tc>
          <w:tcPr>
            <w:tcW w:w="3050" w:type="dxa"/>
            <w:tcBorders/>
            <w:shd w:fill="CCEEFF" w:val="clear"/>
            <w:vAlign w:val="center"/>
          </w:tcPr>
          <w:p>
            <w:pPr>
              <w:pStyle w:val="TableContents"/>
              <w:bidi w:val="0"/>
              <w:spacing w:before="0" w:after="0"/>
              <w:ind w:left="0" w:right="0" w:hanging="144"/>
              <w:jc w:val="left"/>
              <w:rPr/>
            </w:pPr>
            <w:r>
              <w:rPr/>
              <w:t xml:space="preserve">Balance at March 31, 2026 </w:t>
            </w:r>
          </w:p>
        </w:tc>
        <w:tc>
          <w:tcPr>
            <w:tcW w:w="90" w:type="dxa"/>
            <w:tcBorders/>
            <w:shd w:fill="CCEEFF" w:val="clear"/>
            <w:vAlign w:val="center"/>
          </w:tcPr>
          <w:p>
            <w:pPr>
              <w:pStyle w:val="TableContents"/>
              <w:bidi w:val="0"/>
              <w:spacing w:before="0" w:after="283"/>
              <w:jc w:val="right"/>
              <w:rPr/>
            </w:pPr>
            <w:r>
              <w:rPr/>
              <w:t> </w:t>
            </w:r>
          </w:p>
        </w:tc>
        <w:tc>
          <w:tcPr>
            <w:tcW w:w="90" w:type="dxa"/>
            <w:tcBorders>
              <w:bottom w:val="double" w:sz="8" w:space="0" w:color="000000"/>
            </w:tcBorders>
            <w:shd w:fill="CCEEFF" w:val="clear"/>
            <w:tcMar>
              <w:bottom w:w="28" w:type="dxa"/>
            </w:tcMar>
            <w:vAlign w:val="center"/>
          </w:tcPr>
          <w:p>
            <w:pPr>
              <w:pStyle w:val="TableContents"/>
              <w:bidi w:val="0"/>
              <w:spacing w:before="0" w:after="283"/>
              <w:jc w:val="left"/>
              <w:rPr/>
            </w:pPr>
            <w:r>
              <w:rPr/>
              <w:t> </w:t>
            </w:r>
          </w:p>
        </w:tc>
        <w:tc>
          <w:tcPr>
            <w:tcW w:w="1085" w:type="dxa"/>
            <w:tcBorders>
              <w:bottom w:val="double" w:sz="8" w:space="0" w:color="000000"/>
            </w:tcBorders>
            <w:shd w:fill="CCEEFF" w:val="clear"/>
            <w:tcMar>
              <w:bottom w:w="28" w:type="dxa"/>
            </w:tcMar>
            <w:vAlign w:val="center"/>
          </w:tcPr>
          <w:p>
            <w:pPr>
              <w:pStyle w:val="TableContents"/>
              <w:bidi w:val="0"/>
              <w:spacing w:before="0" w:after="283"/>
              <w:jc w:val="right"/>
              <w:rPr/>
            </w:pPr>
            <w:r>
              <w:rPr/>
              <w:t>4,658,618</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w:t>
            </w:r>
          </w:p>
        </w:tc>
        <w:tc>
          <w:tcPr>
            <w:tcW w:w="1685" w:type="dxa"/>
            <w:tcBorders/>
            <w:shd w:fill="CCEEFF" w:val="clear"/>
            <w:vAlign w:val="center"/>
          </w:tcPr>
          <w:p>
            <w:pPr>
              <w:pStyle w:val="TableContents"/>
              <w:bidi w:val="0"/>
              <w:spacing w:before="0" w:after="283"/>
              <w:jc w:val="right"/>
              <w:rPr/>
            </w:pPr>
            <w:r>
              <w:rPr/>
              <w:t>11.70</w:t>
            </w:r>
          </w:p>
        </w:tc>
        <w:tc>
          <w:tcPr>
            <w:tcW w:w="135" w:type="dxa"/>
            <w:tcBorders/>
            <w:shd w:fill="CCEEFF" w:val="clear"/>
            <w:vAlign w:val="center"/>
          </w:tcPr>
          <w:p>
            <w:pPr>
              <w:pStyle w:val="TableContents"/>
              <w:bidi w:val="0"/>
              <w:spacing w:before="0" w:after="283"/>
              <w:jc w:val="left"/>
              <w:rPr/>
            </w:pPr>
            <w:r>
              <w:rPr/>
              <w:t> </w:t>
            </w:r>
          </w:p>
        </w:tc>
      </w:tr>
    </w:tbl>
    <w:p>
      <w:pPr>
        <w:pStyle w:val="TextBody"/>
        <w:bidi w:val="0"/>
        <w:spacing w:before="0" w:after="0"/>
        <w:jc w:val="center"/>
        <w:rPr/>
      </w:pPr>
      <w:r>
        <w:rPr/>
        <w:t> </w:t>
      </w:r>
    </w:p>
    <w:p>
      <w:pPr>
        <w:pStyle w:val="TextBody"/>
        <w:bidi w:val="0"/>
        <w:spacing w:before="0" w:after="0"/>
        <w:ind w:left="0" w:right="0" w:firstLine="720"/>
        <w:jc w:val="both"/>
        <w:rPr>
          <w:rFonts w:ascii="Times New Roman" w:hAnsi="Times New Roman"/>
          <w:sz w:val="20"/>
        </w:rPr>
      </w:pPr>
      <w:r>
        <w:rPr>
          <w:rFonts w:ascii="Times New Roman" w:hAnsi="Times New Roman"/>
          <w:sz w:val="20"/>
        </w:rPr>
        <w:t xml:space="preserve">As of March 31, 2026, the Company had $50.4 million of unrecognized compensation expense related to unvested RSUs granted under the Company’s equity incentive plans, which is expected to be recognized over a weighted-average period of 3.0 years. </w:t>
      </w:r>
    </w:p>
    <w:p>
      <w:pPr>
        <w:pStyle w:val="TextBody"/>
        <w:bidi w:val="0"/>
        <w:spacing w:before="0" w:after="0"/>
        <w:ind w:left="180" w:right="0" w:hanging="0"/>
        <w:jc w:val="both"/>
        <w:rPr/>
      </w:pPr>
      <w:r>
        <w:rPr/>
        <w:t xml:space="preserve">  </w:t>
      </w:r>
    </w:p>
    <w:p>
      <w:pPr>
        <w:pStyle w:val="TextBody"/>
        <w:bidi w:val="0"/>
        <w:spacing w:before="0" w:after="0"/>
        <w:ind w:left="0" w:right="0" w:firstLine="720"/>
        <w:jc w:val="both"/>
        <w:rPr>
          <w:rFonts w:ascii="Times New Roman" w:hAnsi="Times New Roman"/>
          <w:sz w:val="20"/>
        </w:rPr>
      </w:pPr>
      <w:r>
        <w:rPr>
          <w:rFonts w:ascii="Times New Roman" w:hAnsi="Times New Roman"/>
          <w:sz w:val="20"/>
        </w:rPr>
        <w:t xml:space="preserve">Total stock-based compensation expense for all awards granted under the Company’s equity incentive plans for the three months ended March 31, 2026 and 2025 was as follows: </w:t>
      </w:r>
    </w:p>
    <w:p>
      <w:pPr>
        <w:pStyle w:val="TextBody"/>
        <w:bidi w:val="0"/>
        <w:spacing w:before="0" w:after="0"/>
        <w:ind w:left="360" w:right="0" w:hanging="0"/>
        <w:jc w:val="left"/>
        <w:rPr/>
      </w:pPr>
      <w:r>
        <w:rPr/>
        <w:t xml:space="preserve">  </w:t>
      </w:r>
    </w:p>
    <w:tbl>
      <w:tblPr>
        <w:tblW w:w="7781" w:type="dxa"/>
        <w:jc w:val="left"/>
        <w:tblInd w:w="0" w:type="dxa"/>
        <w:tblLayout w:type="fixed"/>
        <w:tblCellMar>
          <w:top w:w="0" w:type="dxa"/>
          <w:left w:w="0" w:type="dxa"/>
          <w:bottom w:w="0" w:type="dxa"/>
          <w:right w:w="0" w:type="dxa"/>
        </w:tblCellMar>
      </w:tblPr>
      <w:tblGrid>
        <w:gridCol w:w="3980"/>
        <w:gridCol w:w="90"/>
        <w:gridCol w:w="170"/>
        <w:gridCol w:w="1314"/>
        <w:gridCol w:w="200"/>
        <w:gridCol w:w="200"/>
        <w:gridCol w:w="378"/>
        <w:gridCol w:w="1314"/>
        <w:gridCol w:w="135"/>
      </w:tblGrid>
      <w:tr>
        <w:trPr/>
        <w:tc>
          <w:tcPr>
            <w:tcW w:w="398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314"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 </w:t>
            </w:r>
          </w:p>
        </w:tc>
        <w:tc>
          <w:tcPr>
            <w:tcW w:w="378" w:type="dxa"/>
            <w:tcBorders/>
            <w:vAlign w:val="center"/>
          </w:tcPr>
          <w:p>
            <w:pPr>
              <w:pStyle w:val="TableContents"/>
              <w:bidi w:val="0"/>
              <w:spacing w:before="0" w:after="283"/>
              <w:jc w:val="left"/>
              <w:rPr/>
            </w:pPr>
            <w:r>
              <w:rPr/>
              <w:t> </w:t>
            </w:r>
          </w:p>
        </w:tc>
        <w:tc>
          <w:tcPr>
            <w:tcW w:w="1314" w:type="dxa"/>
            <w:tcBorders/>
            <w:vAlign w:val="center"/>
          </w:tcPr>
          <w:p>
            <w:pPr>
              <w:pStyle w:val="TableContents"/>
              <w:bidi w:val="0"/>
              <w:spacing w:before="0" w:after="283"/>
              <w:jc w:val="left"/>
              <w:rPr/>
            </w:pPr>
            <w:r>
              <w:rPr/>
              <w:t> </w:t>
            </w:r>
          </w:p>
        </w:tc>
        <w:tc>
          <w:tcPr>
            <w:tcW w:w="135" w:type="dxa"/>
            <w:tcBorders/>
            <w:vAlign w:val="center"/>
          </w:tcPr>
          <w:p>
            <w:pPr>
              <w:pStyle w:val="TableContents"/>
              <w:bidi w:val="0"/>
              <w:spacing w:before="0" w:after="283"/>
              <w:jc w:val="left"/>
              <w:rPr/>
            </w:pPr>
            <w:r>
              <w:rPr/>
              <w:t> </w:t>
            </w:r>
          </w:p>
        </w:tc>
      </w:tr>
      <w:tr>
        <w:trPr/>
        <w:tc>
          <w:tcPr>
            <w:tcW w:w="398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r>
          </w:p>
        </w:tc>
        <w:tc>
          <w:tcPr>
            <w:tcW w:w="170" w:type="dxa"/>
            <w:tcBorders>
              <w:bottom w:val="single" w:sz="12" w:space="0" w:color="000000"/>
            </w:tcBorders>
            <w:tcMar>
              <w:bottom w:w="28" w:type="dxa"/>
            </w:tcMar>
            <w:vAlign w:val="center"/>
          </w:tcPr>
          <w:p>
            <w:pPr>
              <w:pStyle w:val="TableContents"/>
              <w:bidi w:val="0"/>
              <w:spacing w:before="0" w:after="283"/>
              <w:jc w:val="center"/>
              <w:rPr/>
            </w:pPr>
            <w:r>
              <w:rPr/>
              <w:t> </w:t>
            </w:r>
          </w:p>
        </w:tc>
        <w:tc>
          <w:tcPr>
            <w:tcW w:w="3406" w:type="dxa"/>
            <w:gridSpan w:val="5"/>
            <w:tcBorders>
              <w:bottom w:val="single" w:sz="12" w:space="0" w:color="000000"/>
            </w:tcBorders>
            <w:tcMar>
              <w:bottom w:w="28" w:type="dxa"/>
            </w:tcMar>
            <w:vAlign w:val="center"/>
          </w:tcPr>
          <w:p>
            <w:pPr>
              <w:pStyle w:val="TableContents"/>
              <w:bidi w:val="0"/>
              <w:spacing w:before="0" w:after="283"/>
              <w:jc w:val="center"/>
              <w:rPr/>
            </w:pPr>
            <w:r>
              <w:rPr>
                <w:b/>
                <w:spacing w:val="0"/>
              </w:rPr>
              <w:t>Three Months Ended March 31,</w:t>
            </w:r>
            <w:r>
              <w:rPr/>
              <w:t xml:space="preserve"> </w:t>
            </w:r>
          </w:p>
        </w:tc>
        <w:tc>
          <w:tcPr>
            <w:tcW w:w="135" w:type="dxa"/>
            <w:tcBorders/>
            <w:vAlign w:val="center"/>
          </w:tcPr>
          <w:p>
            <w:pPr>
              <w:pStyle w:val="TableContents"/>
              <w:bidi w:val="0"/>
              <w:spacing w:before="0" w:after="283"/>
              <w:jc w:val="center"/>
              <w:rPr/>
            </w:pPr>
            <w:r>
              <w:rPr/>
              <w:t> </w:t>
            </w:r>
          </w:p>
        </w:tc>
      </w:tr>
      <w:tr>
        <w:trPr/>
        <w:tc>
          <w:tcPr>
            <w:tcW w:w="3980" w:type="dxa"/>
            <w:tcBorders/>
            <w:vAlign w:val="center"/>
          </w:tcPr>
          <w:p>
            <w:pPr>
              <w:pStyle w:val="TableContents"/>
              <w:bidi w:val="0"/>
              <w:spacing w:before="0" w:after="0"/>
              <w:jc w:val="left"/>
              <w:rPr/>
            </w:pPr>
            <w:r>
              <w:rPr>
                <w:i/>
              </w:rPr>
              <w:t>(in thousands)</w:t>
            </w:r>
            <w:r>
              <w:rPr/>
              <w:t xml:space="preserve"> </w:t>
            </w:r>
          </w:p>
        </w:tc>
        <w:tc>
          <w:tcPr>
            <w:tcW w:w="90" w:type="dxa"/>
            <w:tcBorders/>
            <w:vAlign w:val="center"/>
          </w:tcPr>
          <w:p>
            <w:pPr>
              <w:pStyle w:val="TableContents"/>
              <w:bidi w:val="0"/>
              <w:spacing w:before="0" w:after="283"/>
              <w:jc w:val="center"/>
              <w:rPr/>
            </w:pPr>
            <w:r>
              <w:rPr/>
              <w:t> </w:t>
            </w:r>
          </w:p>
        </w:tc>
        <w:tc>
          <w:tcPr>
            <w:tcW w:w="170" w:type="dxa"/>
            <w:tcBorders>
              <w:bottom w:val="single" w:sz="12" w:space="0" w:color="000000"/>
            </w:tcBorders>
            <w:tcMar>
              <w:bottom w:w="28" w:type="dxa"/>
            </w:tcMar>
            <w:vAlign w:val="center"/>
          </w:tcPr>
          <w:p>
            <w:pPr>
              <w:pStyle w:val="TableContents"/>
              <w:bidi w:val="0"/>
              <w:spacing w:before="0" w:after="283"/>
              <w:jc w:val="center"/>
              <w:rPr/>
            </w:pPr>
            <w:r>
              <w:rPr/>
              <w:t> </w:t>
            </w:r>
          </w:p>
        </w:tc>
        <w:tc>
          <w:tcPr>
            <w:tcW w:w="1314" w:type="dxa"/>
            <w:tcBorders>
              <w:bottom w:val="single" w:sz="12" w:space="0" w:color="000000"/>
            </w:tcBorders>
            <w:tcMar>
              <w:bottom w:w="28" w:type="dxa"/>
            </w:tcMar>
            <w:vAlign w:val="center"/>
          </w:tcPr>
          <w:p>
            <w:pPr>
              <w:pStyle w:val="TableContents"/>
              <w:bidi w:val="0"/>
              <w:spacing w:before="0" w:after="283"/>
              <w:jc w:val="center"/>
              <w:rPr/>
            </w:pPr>
            <w:r>
              <w:rPr>
                <w:b/>
              </w:rPr>
              <w:t>2026</w:t>
            </w:r>
            <w:r>
              <w:rPr/>
              <w:t xml:space="preserve"> </w:t>
            </w:r>
          </w:p>
        </w:tc>
        <w:tc>
          <w:tcPr>
            <w:tcW w:w="200" w:type="dxa"/>
            <w:tcBorders/>
            <w:vAlign w:val="center"/>
          </w:tcPr>
          <w:p>
            <w:pPr>
              <w:pStyle w:val="TableContents"/>
              <w:bidi w:val="0"/>
              <w:spacing w:before="0" w:after="283"/>
              <w:jc w:val="center"/>
              <w:rPr/>
            </w:pPr>
            <w:r>
              <w:rPr/>
              <w:t> </w:t>
            </w:r>
          </w:p>
        </w:tc>
        <w:tc>
          <w:tcPr>
            <w:tcW w:w="200" w:type="dxa"/>
            <w:tcBorders/>
            <w:vAlign w:val="center"/>
          </w:tcPr>
          <w:p>
            <w:pPr>
              <w:pStyle w:val="TableContents"/>
              <w:bidi w:val="0"/>
              <w:spacing w:before="0" w:after="283"/>
              <w:jc w:val="center"/>
              <w:rPr/>
            </w:pPr>
            <w:r>
              <w:rPr/>
              <w:t> </w:t>
            </w:r>
          </w:p>
        </w:tc>
        <w:tc>
          <w:tcPr>
            <w:tcW w:w="378" w:type="dxa"/>
            <w:tcBorders>
              <w:bottom w:val="single" w:sz="12" w:space="0" w:color="000000"/>
            </w:tcBorders>
            <w:tcMar>
              <w:bottom w:w="28" w:type="dxa"/>
            </w:tcMar>
            <w:vAlign w:val="center"/>
          </w:tcPr>
          <w:p>
            <w:pPr>
              <w:pStyle w:val="TableContents"/>
              <w:bidi w:val="0"/>
              <w:spacing w:before="0" w:after="283"/>
              <w:jc w:val="center"/>
              <w:rPr/>
            </w:pPr>
            <w:r>
              <w:rPr/>
              <w:t> </w:t>
            </w:r>
          </w:p>
        </w:tc>
        <w:tc>
          <w:tcPr>
            <w:tcW w:w="1314" w:type="dxa"/>
            <w:tcBorders>
              <w:bottom w:val="single" w:sz="12" w:space="0" w:color="000000"/>
            </w:tcBorders>
            <w:tcMar>
              <w:bottom w:w="28" w:type="dxa"/>
            </w:tcMar>
            <w:vAlign w:val="center"/>
          </w:tcPr>
          <w:p>
            <w:pPr>
              <w:pStyle w:val="TableContents"/>
              <w:bidi w:val="0"/>
              <w:spacing w:before="0" w:after="283"/>
              <w:jc w:val="center"/>
              <w:rPr/>
            </w:pPr>
            <w:r>
              <w:rPr>
                <w:b/>
              </w:rPr>
              <w:t>2025</w:t>
            </w:r>
            <w:r>
              <w:rPr/>
              <w:t xml:space="preserve"> </w:t>
            </w:r>
          </w:p>
        </w:tc>
        <w:tc>
          <w:tcPr>
            <w:tcW w:w="135" w:type="dxa"/>
            <w:tcBorders/>
            <w:vAlign w:val="center"/>
          </w:tcPr>
          <w:p>
            <w:pPr>
              <w:pStyle w:val="TableContents"/>
              <w:bidi w:val="0"/>
              <w:spacing w:before="0" w:after="283"/>
              <w:jc w:val="center"/>
              <w:rPr/>
            </w:pPr>
            <w:r>
              <w:rPr/>
              <w:t> </w:t>
            </w:r>
          </w:p>
        </w:tc>
      </w:tr>
      <w:tr>
        <w:trPr/>
        <w:tc>
          <w:tcPr>
            <w:tcW w:w="3980" w:type="dxa"/>
            <w:tcBorders/>
            <w:shd w:fill="CCEEFF" w:val="clear"/>
            <w:vAlign w:val="center"/>
          </w:tcPr>
          <w:p>
            <w:pPr>
              <w:pStyle w:val="TableContents"/>
              <w:bidi w:val="0"/>
              <w:spacing w:before="0" w:after="0"/>
              <w:ind w:left="0" w:right="0" w:hanging="144"/>
              <w:jc w:val="left"/>
              <w:rPr/>
            </w:pPr>
            <w:r>
              <w:rPr/>
              <w:t xml:space="preserve">Research and development </w:t>
            </w:r>
          </w:p>
        </w:tc>
        <w:tc>
          <w:tcPr>
            <w:tcW w:w="90"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w:t>
            </w:r>
          </w:p>
        </w:tc>
        <w:tc>
          <w:tcPr>
            <w:tcW w:w="1314" w:type="dxa"/>
            <w:tcBorders/>
            <w:shd w:fill="CCEEFF" w:val="clear"/>
            <w:vAlign w:val="center"/>
          </w:tcPr>
          <w:p>
            <w:pPr>
              <w:pStyle w:val="TableContents"/>
              <w:bidi w:val="0"/>
              <w:spacing w:before="0" w:after="283"/>
              <w:jc w:val="right"/>
              <w:rPr/>
            </w:pPr>
            <w:r>
              <w:rPr/>
              <w:t>66</w:t>
            </w:r>
          </w:p>
        </w:tc>
        <w:tc>
          <w:tcPr>
            <w:tcW w:w="200" w:type="dxa"/>
            <w:tcBorders/>
            <w:shd w:fill="CCEEFF" w:val="clear"/>
            <w:vAlign w:val="center"/>
          </w:tcPr>
          <w:p>
            <w:pPr>
              <w:pStyle w:val="TableContents"/>
              <w:bidi w:val="0"/>
              <w:spacing w:before="0" w:after="283"/>
              <w:jc w:val="left"/>
              <w:rPr/>
            </w:pPr>
            <w:r>
              <w:rPr/>
              <w:t> </w:t>
            </w:r>
          </w:p>
        </w:tc>
        <w:tc>
          <w:tcPr>
            <w:tcW w:w="200" w:type="dxa"/>
            <w:tcBorders/>
            <w:shd w:fill="CCEEFF" w:val="clear"/>
            <w:vAlign w:val="center"/>
          </w:tcPr>
          <w:p>
            <w:pPr>
              <w:pStyle w:val="TableContents"/>
              <w:bidi w:val="0"/>
              <w:spacing w:before="0" w:after="283"/>
              <w:jc w:val="right"/>
              <w:rPr/>
            </w:pPr>
            <w:r>
              <w:rPr/>
              <w:t> </w:t>
            </w:r>
          </w:p>
        </w:tc>
        <w:tc>
          <w:tcPr>
            <w:tcW w:w="378" w:type="dxa"/>
            <w:tcBorders/>
            <w:shd w:fill="CCEEFF" w:val="clear"/>
            <w:vAlign w:val="center"/>
          </w:tcPr>
          <w:p>
            <w:pPr>
              <w:pStyle w:val="TableContents"/>
              <w:bidi w:val="0"/>
              <w:spacing w:before="0" w:after="283"/>
              <w:jc w:val="left"/>
              <w:rPr/>
            </w:pPr>
            <w:r>
              <w:rPr/>
              <w:t>$</w:t>
            </w:r>
          </w:p>
        </w:tc>
        <w:tc>
          <w:tcPr>
            <w:tcW w:w="1314" w:type="dxa"/>
            <w:tcBorders/>
            <w:shd w:fill="CCEEFF" w:val="clear"/>
            <w:vAlign w:val="center"/>
          </w:tcPr>
          <w:p>
            <w:pPr>
              <w:pStyle w:val="TableContents"/>
              <w:bidi w:val="0"/>
              <w:spacing w:before="0" w:after="283"/>
              <w:jc w:val="right"/>
              <w:rPr/>
            </w:pPr>
            <w:r>
              <w:rPr/>
              <w:t>39</w:t>
            </w:r>
          </w:p>
        </w:tc>
        <w:tc>
          <w:tcPr>
            <w:tcW w:w="135" w:type="dxa"/>
            <w:tcBorders/>
            <w:shd w:fill="CCEEFF" w:val="clear"/>
            <w:vAlign w:val="center"/>
          </w:tcPr>
          <w:p>
            <w:pPr>
              <w:pStyle w:val="TableContents"/>
              <w:bidi w:val="0"/>
              <w:spacing w:before="0" w:after="283"/>
              <w:jc w:val="left"/>
              <w:rPr/>
            </w:pPr>
            <w:r>
              <w:rPr/>
              <w:t> </w:t>
            </w:r>
          </w:p>
        </w:tc>
      </w:tr>
      <w:tr>
        <w:trPr/>
        <w:tc>
          <w:tcPr>
            <w:tcW w:w="3980" w:type="dxa"/>
            <w:tcBorders/>
            <w:vAlign w:val="center"/>
          </w:tcPr>
          <w:p>
            <w:pPr>
              <w:pStyle w:val="TableContents"/>
              <w:bidi w:val="0"/>
              <w:spacing w:before="0" w:after="0"/>
              <w:jc w:val="left"/>
              <w:rPr/>
            </w:pPr>
            <w:r>
              <w:rPr/>
              <w:t xml:space="preserve">Plasma center operating expenses </w:t>
            </w:r>
          </w:p>
        </w:tc>
        <w:tc>
          <w:tcPr>
            <w:tcW w:w="90"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pPr>
            <w:r>
              <w:rPr/>
              <w:t> </w:t>
            </w:r>
          </w:p>
        </w:tc>
        <w:tc>
          <w:tcPr>
            <w:tcW w:w="1314" w:type="dxa"/>
            <w:tcBorders/>
            <w:vAlign w:val="center"/>
          </w:tcPr>
          <w:p>
            <w:pPr>
              <w:pStyle w:val="TableContents"/>
              <w:bidi w:val="0"/>
              <w:spacing w:before="0" w:after="283"/>
              <w:jc w:val="right"/>
              <w:rPr/>
            </w:pPr>
            <w:r>
              <w:rPr/>
              <w:t>123</w:t>
            </w:r>
          </w:p>
        </w:tc>
        <w:tc>
          <w:tcPr>
            <w:tcW w:w="200"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right"/>
              <w:rPr/>
            </w:pPr>
            <w:r>
              <w:rPr/>
              <w:t> </w:t>
            </w:r>
          </w:p>
        </w:tc>
        <w:tc>
          <w:tcPr>
            <w:tcW w:w="378" w:type="dxa"/>
            <w:tcBorders/>
            <w:vAlign w:val="center"/>
          </w:tcPr>
          <w:p>
            <w:pPr>
              <w:pStyle w:val="TableContents"/>
              <w:bidi w:val="0"/>
              <w:spacing w:before="0" w:after="283"/>
              <w:jc w:val="left"/>
              <w:rPr/>
            </w:pPr>
            <w:r>
              <w:rPr/>
              <w:t> </w:t>
            </w:r>
          </w:p>
        </w:tc>
        <w:tc>
          <w:tcPr>
            <w:tcW w:w="1314" w:type="dxa"/>
            <w:tcBorders/>
            <w:vAlign w:val="center"/>
          </w:tcPr>
          <w:p>
            <w:pPr>
              <w:pStyle w:val="TableContents"/>
              <w:bidi w:val="0"/>
              <w:spacing w:before="0" w:after="283"/>
              <w:jc w:val="right"/>
              <w:rPr/>
            </w:pPr>
            <w:r>
              <w:rPr/>
              <w:t>77</w:t>
            </w:r>
          </w:p>
        </w:tc>
        <w:tc>
          <w:tcPr>
            <w:tcW w:w="135" w:type="dxa"/>
            <w:tcBorders/>
            <w:vAlign w:val="center"/>
          </w:tcPr>
          <w:p>
            <w:pPr>
              <w:pStyle w:val="TableContents"/>
              <w:bidi w:val="0"/>
              <w:spacing w:before="0" w:after="283"/>
              <w:jc w:val="left"/>
              <w:rPr/>
            </w:pPr>
            <w:r>
              <w:rPr/>
              <w:t> </w:t>
            </w:r>
          </w:p>
        </w:tc>
      </w:tr>
      <w:tr>
        <w:trPr/>
        <w:tc>
          <w:tcPr>
            <w:tcW w:w="3980" w:type="dxa"/>
            <w:tcBorders/>
            <w:shd w:fill="CCEEFF" w:val="clear"/>
            <w:vAlign w:val="center"/>
          </w:tcPr>
          <w:p>
            <w:pPr>
              <w:pStyle w:val="TableContents"/>
              <w:bidi w:val="0"/>
              <w:spacing w:before="0" w:after="0"/>
              <w:ind w:left="0" w:right="0" w:hanging="144"/>
              <w:jc w:val="left"/>
              <w:rPr/>
            </w:pPr>
            <w:r>
              <w:rPr/>
              <w:t xml:space="preserve">Selling, general and administrative </w:t>
            </w:r>
          </w:p>
        </w:tc>
        <w:tc>
          <w:tcPr>
            <w:tcW w:w="90"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 </w:t>
            </w:r>
          </w:p>
        </w:tc>
        <w:tc>
          <w:tcPr>
            <w:tcW w:w="1314" w:type="dxa"/>
            <w:tcBorders/>
            <w:shd w:fill="CCEEFF" w:val="clear"/>
            <w:vAlign w:val="center"/>
          </w:tcPr>
          <w:p>
            <w:pPr>
              <w:pStyle w:val="TableContents"/>
              <w:bidi w:val="0"/>
              <w:spacing w:before="0" w:after="283"/>
              <w:jc w:val="right"/>
              <w:rPr/>
            </w:pPr>
            <w:r>
              <w:rPr/>
              <w:t>5,150</w:t>
            </w:r>
          </w:p>
        </w:tc>
        <w:tc>
          <w:tcPr>
            <w:tcW w:w="200" w:type="dxa"/>
            <w:tcBorders/>
            <w:shd w:fill="CCEEFF" w:val="clear"/>
            <w:vAlign w:val="center"/>
          </w:tcPr>
          <w:p>
            <w:pPr>
              <w:pStyle w:val="TableContents"/>
              <w:bidi w:val="0"/>
              <w:spacing w:before="0" w:after="283"/>
              <w:jc w:val="left"/>
              <w:rPr/>
            </w:pPr>
            <w:r>
              <w:rPr/>
              <w:t> </w:t>
            </w:r>
          </w:p>
        </w:tc>
        <w:tc>
          <w:tcPr>
            <w:tcW w:w="200" w:type="dxa"/>
            <w:tcBorders/>
            <w:shd w:fill="CCEEFF" w:val="clear"/>
            <w:vAlign w:val="center"/>
          </w:tcPr>
          <w:p>
            <w:pPr>
              <w:pStyle w:val="TableContents"/>
              <w:bidi w:val="0"/>
              <w:spacing w:before="0" w:after="283"/>
              <w:jc w:val="right"/>
              <w:rPr/>
            </w:pPr>
            <w:r>
              <w:rPr/>
              <w:t> </w:t>
            </w:r>
          </w:p>
        </w:tc>
        <w:tc>
          <w:tcPr>
            <w:tcW w:w="378" w:type="dxa"/>
            <w:tcBorders/>
            <w:shd w:fill="CCEEFF" w:val="clear"/>
            <w:vAlign w:val="center"/>
          </w:tcPr>
          <w:p>
            <w:pPr>
              <w:pStyle w:val="TableContents"/>
              <w:bidi w:val="0"/>
              <w:spacing w:before="0" w:after="283"/>
              <w:jc w:val="left"/>
              <w:rPr/>
            </w:pPr>
            <w:r>
              <w:rPr/>
              <w:t> </w:t>
            </w:r>
          </w:p>
        </w:tc>
        <w:tc>
          <w:tcPr>
            <w:tcW w:w="1314" w:type="dxa"/>
            <w:tcBorders/>
            <w:shd w:fill="CCEEFF" w:val="clear"/>
            <w:vAlign w:val="center"/>
          </w:tcPr>
          <w:p>
            <w:pPr>
              <w:pStyle w:val="TableContents"/>
              <w:bidi w:val="0"/>
              <w:spacing w:before="0" w:after="283"/>
              <w:jc w:val="right"/>
              <w:rPr/>
            </w:pPr>
            <w:r>
              <w:rPr/>
              <w:t>3,873</w:t>
            </w:r>
          </w:p>
        </w:tc>
        <w:tc>
          <w:tcPr>
            <w:tcW w:w="135" w:type="dxa"/>
            <w:tcBorders/>
            <w:shd w:fill="CCEEFF" w:val="clear"/>
            <w:vAlign w:val="center"/>
          </w:tcPr>
          <w:p>
            <w:pPr>
              <w:pStyle w:val="TableContents"/>
              <w:bidi w:val="0"/>
              <w:spacing w:before="0" w:after="283"/>
              <w:jc w:val="left"/>
              <w:rPr/>
            </w:pPr>
            <w:r>
              <w:rPr/>
              <w:t> </w:t>
            </w:r>
          </w:p>
        </w:tc>
      </w:tr>
      <w:tr>
        <w:trPr/>
        <w:tc>
          <w:tcPr>
            <w:tcW w:w="3980" w:type="dxa"/>
            <w:tcBorders/>
            <w:vAlign w:val="center"/>
          </w:tcPr>
          <w:p>
            <w:pPr>
              <w:pStyle w:val="TableContents"/>
              <w:bidi w:val="0"/>
              <w:spacing w:before="0" w:after="0"/>
              <w:ind w:left="0" w:right="0" w:hanging="144"/>
              <w:jc w:val="left"/>
              <w:rPr/>
            </w:pPr>
            <w:r>
              <w:rPr/>
              <w:t xml:space="preserve">Cost of product revenue </w:t>
            </w:r>
          </w:p>
        </w:tc>
        <w:tc>
          <w:tcPr>
            <w:tcW w:w="90" w:type="dxa"/>
            <w:tcBorders/>
            <w:vAlign w:val="center"/>
          </w:tcPr>
          <w:p>
            <w:pPr>
              <w:pStyle w:val="TableContents"/>
              <w:bidi w:val="0"/>
              <w:spacing w:before="0" w:after="283"/>
              <w:jc w:val="righ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1314" w:type="dxa"/>
            <w:tcBorders>
              <w:bottom w:val="single" w:sz="12" w:space="0" w:color="000000"/>
            </w:tcBorders>
            <w:tcMar>
              <w:bottom w:w="28" w:type="dxa"/>
            </w:tcMar>
            <w:vAlign w:val="center"/>
          </w:tcPr>
          <w:p>
            <w:pPr>
              <w:pStyle w:val="TableContents"/>
              <w:bidi w:val="0"/>
              <w:spacing w:before="0" w:after="283"/>
              <w:jc w:val="right"/>
              <w:rPr/>
            </w:pPr>
            <w:r>
              <w:rPr/>
              <w:t>990</w:t>
            </w:r>
          </w:p>
        </w:tc>
        <w:tc>
          <w:tcPr>
            <w:tcW w:w="200"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right"/>
              <w:rPr/>
            </w:pPr>
            <w:r>
              <w:rPr/>
              <w:t> </w:t>
            </w:r>
          </w:p>
        </w:tc>
        <w:tc>
          <w:tcPr>
            <w:tcW w:w="378" w:type="dxa"/>
            <w:tcBorders>
              <w:bottom w:val="single" w:sz="12" w:space="0" w:color="000000"/>
            </w:tcBorders>
            <w:tcMar>
              <w:bottom w:w="28" w:type="dxa"/>
            </w:tcMar>
            <w:vAlign w:val="center"/>
          </w:tcPr>
          <w:p>
            <w:pPr>
              <w:pStyle w:val="TableContents"/>
              <w:bidi w:val="0"/>
              <w:spacing w:before="0" w:after="283"/>
              <w:jc w:val="left"/>
              <w:rPr/>
            </w:pPr>
            <w:r>
              <w:rPr/>
              <w:t> </w:t>
            </w:r>
          </w:p>
        </w:tc>
        <w:tc>
          <w:tcPr>
            <w:tcW w:w="1314" w:type="dxa"/>
            <w:tcBorders>
              <w:bottom w:val="single" w:sz="12" w:space="0" w:color="000000"/>
            </w:tcBorders>
            <w:tcMar>
              <w:bottom w:w="28" w:type="dxa"/>
            </w:tcMar>
            <w:vAlign w:val="center"/>
          </w:tcPr>
          <w:p>
            <w:pPr>
              <w:pStyle w:val="TableContents"/>
              <w:bidi w:val="0"/>
              <w:spacing w:before="0" w:after="283"/>
              <w:jc w:val="right"/>
              <w:rPr/>
            </w:pPr>
            <w:r>
              <w:rPr/>
              <w:t>635</w:t>
            </w:r>
          </w:p>
        </w:tc>
        <w:tc>
          <w:tcPr>
            <w:tcW w:w="135" w:type="dxa"/>
            <w:tcBorders/>
            <w:vAlign w:val="center"/>
          </w:tcPr>
          <w:p>
            <w:pPr>
              <w:pStyle w:val="TableContents"/>
              <w:bidi w:val="0"/>
              <w:spacing w:before="0" w:after="283"/>
              <w:jc w:val="left"/>
              <w:rPr/>
            </w:pPr>
            <w:r>
              <w:rPr/>
              <w:t> </w:t>
            </w:r>
          </w:p>
        </w:tc>
      </w:tr>
      <w:tr>
        <w:trPr/>
        <w:tc>
          <w:tcPr>
            <w:tcW w:w="3980" w:type="dxa"/>
            <w:tcBorders/>
            <w:shd w:fill="CCEEFF" w:val="clear"/>
            <w:vAlign w:val="center"/>
          </w:tcPr>
          <w:p>
            <w:pPr>
              <w:pStyle w:val="TableContents"/>
              <w:bidi w:val="0"/>
              <w:spacing w:before="0" w:after="0"/>
              <w:jc w:val="left"/>
              <w:rPr/>
            </w:pPr>
            <w:r>
              <w:rPr/>
              <w:t xml:space="preserve">Total stock-based compensation expense </w:t>
            </w:r>
          </w:p>
        </w:tc>
        <w:tc>
          <w:tcPr>
            <w:tcW w:w="90" w:type="dxa"/>
            <w:tcBorders/>
            <w:shd w:fill="CCEEFF" w:val="clear"/>
            <w:vAlign w:val="center"/>
          </w:tcPr>
          <w:p>
            <w:pPr>
              <w:pStyle w:val="TableContents"/>
              <w:bidi w:val="0"/>
              <w:spacing w:before="0" w:after="283"/>
              <w:jc w:val="right"/>
              <w:rPr/>
            </w:pPr>
            <w:r>
              <w:rPr/>
              <w:t> </w:t>
            </w:r>
          </w:p>
        </w:tc>
        <w:tc>
          <w:tcPr>
            <w:tcW w:w="170" w:type="dxa"/>
            <w:tcBorders>
              <w:bottom w:val="double" w:sz="8" w:space="0" w:color="000000"/>
            </w:tcBorders>
            <w:shd w:fill="CCEEFF" w:val="clear"/>
            <w:tcMar>
              <w:bottom w:w="28" w:type="dxa"/>
            </w:tcMar>
            <w:vAlign w:val="center"/>
          </w:tcPr>
          <w:p>
            <w:pPr>
              <w:pStyle w:val="TableContents"/>
              <w:bidi w:val="0"/>
              <w:spacing w:before="0" w:after="283"/>
              <w:jc w:val="left"/>
              <w:rPr/>
            </w:pPr>
            <w:r>
              <w:rPr/>
              <w:t>$</w:t>
            </w:r>
          </w:p>
        </w:tc>
        <w:tc>
          <w:tcPr>
            <w:tcW w:w="1314" w:type="dxa"/>
            <w:tcBorders>
              <w:bottom w:val="double" w:sz="8" w:space="0" w:color="000000"/>
            </w:tcBorders>
            <w:shd w:fill="CCEEFF" w:val="clear"/>
            <w:tcMar>
              <w:bottom w:w="28" w:type="dxa"/>
            </w:tcMar>
            <w:vAlign w:val="center"/>
          </w:tcPr>
          <w:p>
            <w:pPr>
              <w:pStyle w:val="TableContents"/>
              <w:bidi w:val="0"/>
              <w:spacing w:before="0" w:after="283"/>
              <w:jc w:val="right"/>
              <w:rPr/>
            </w:pPr>
            <w:r>
              <w:rPr/>
              <w:t>6,329</w:t>
            </w:r>
          </w:p>
        </w:tc>
        <w:tc>
          <w:tcPr>
            <w:tcW w:w="200" w:type="dxa"/>
            <w:tcBorders/>
            <w:shd w:fill="CCEEFF" w:val="clear"/>
            <w:vAlign w:val="center"/>
          </w:tcPr>
          <w:p>
            <w:pPr>
              <w:pStyle w:val="TableContents"/>
              <w:bidi w:val="0"/>
              <w:spacing w:before="0" w:after="283"/>
              <w:jc w:val="left"/>
              <w:rPr/>
            </w:pPr>
            <w:r>
              <w:rPr/>
              <w:t> </w:t>
            </w:r>
          </w:p>
        </w:tc>
        <w:tc>
          <w:tcPr>
            <w:tcW w:w="200" w:type="dxa"/>
            <w:tcBorders/>
            <w:shd w:fill="CCEEFF" w:val="clear"/>
            <w:vAlign w:val="center"/>
          </w:tcPr>
          <w:p>
            <w:pPr>
              <w:pStyle w:val="TableContents"/>
              <w:bidi w:val="0"/>
              <w:spacing w:before="0" w:after="283"/>
              <w:jc w:val="right"/>
              <w:rPr/>
            </w:pPr>
            <w:r>
              <w:rPr/>
              <w:t> </w:t>
            </w:r>
          </w:p>
        </w:tc>
        <w:tc>
          <w:tcPr>
            <w:tcW w:w="378" w:type="dxa"/>
            <w:tcBorders>
              <w:bottom w:val="double" w:sz="8" w:space="0" w:color="000000"/>
            </w:tcBorders>
            <w:shd w:fill="CCEEFF" w:val="clear"/>
            <w:tcMar>
              <w:bottom w:w="28" w:type="dxa"/>
            </w:tcMar>
            <w:vAlign w:val="center"/>
          </w:tcPr>
          <w:p>
            <w:pPr>
              <w:pStyle w:val="TableContents"/>
              <w:bidi w:val="0"/>
              <w:spacing w:before="0" w:after="283"/>
              <w:jc w:val="left"/>
              <w:rPr/>
            </w:pPr>
            <w:r>
              <w:rPr/>
              <w:t>$</w:t>
            </w:r>
          </w:p>
        </w:tc>
        <w:tc>
          <w:tcPr>
            <w:tcW w:w="1314" w:type="dxa"/>
            <w:tcBorders>
              <w:bottom w:val="double" w:sz="8" w:space="0" w:color="000000"/>
            </w:tcBorders>
            <w:shd w:fill="CCEEFF" w:val="clear"/>
            <w:tcMar>
              <w:bottom w:w="28" w:type="dxa"/>
            </w:tcMar>
            <w:vAlign w:val="center"/>
          </w:tcPr>
          <w:p>
            <w:pPr>
              <w:pStyle w:val="TableContents"/>
              <w:bidi w:val="0"/>
              <w:spacing w:before="0" w:after="283"/>
              <w:jc w:val="right"/>
              <w:rPr/>
            </w:pPr>
            <w:r>
              <w:rPr/>
              <w:t>4,624</w:t>
            </w:r>
          </w:p>
        </w:tc>
        <w:tc>
          <w:tcPr>
            <w:tcW w:w="135" w:type="dxa"/>
            <w:tcBorders/>
            <w:shd w:fill="CCEEFF" w:val="clear"/>
            <w:vAlign w:val="center"/>
          </w:tcPr>
          <w:p>
            <w:pPr>
              <w:pStyle w:val="TableContents"/>
              <w:bidi w:val="0"/>
              <w:spacing w:before="0" w:after="283"/>
              <w:jc w:val="left"/>
              <w:rPr/>
            </w:pPr>
            <w:r>
              <w:rPr/>
              <w:t> </w:t>
            </w:r>
          </w:p>
        </w:tc>
      </w:tr>
    </w:tbl>
    <w:p>
      <w:pPr>
        <w:pStyle w:val="TextBody"/>
        <w:bidi w:val="0"/>
        <w:spacing w:before="0" w:after="0"/>
        <w:jc w:val="left"/>
        <w:rPr/>
      </w:pPr>
      <w:r>
        <w:rPr/>
        <w:t xml:space="preserve">  </w:t>
      </w:r>
    </w:p>
    <w:p>
      <w:pPr>
        <w:pStyle w:val="TextBody"/>
        <w:bidi w:val="0"/>
        <w:spacing w:before="150" w:after="15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t>13</w:t>
      </w:r>
    </w:p>
    <w:p>
      <w:pPr>
        <w:pStyle w:val="HorizontalLine"/>
        <w:bidi w:val="0"/>
        <w:spacing w:before="150" w:after="150"/>
        <w:jc w:val="left"/>
        <w:rPr/>
      </w:pPr>
      <w:r>
        <w:rPr/>
      </w:r>
    </w:p>
    <w:p>
      <w:pPr>
        <w:pStyle w:val="TextBody"/>
        <w:bidi w:val="0"/>
        <w:spacing w:before="150" w:after="150"/>
        <w:jc w:val="left"/>
        <w:rPr/>
      </w:pPr>
      <w:hyperlink w:anchor="index">
        <w:r>
          <w:rPr>
            <w:rStyle w:val="InternetLink"/>
            <w:rFonts w:ascii="TimesNewRoman;Times New Roman;Times;Baskerville;Georgia;serif" w:hAnsi="TimesNewRoman;Times New Roman;Times;Baskerville;Georgia;serif"/>
            <w:b w:val="false"/>
            <w:i/>
            <w:caps w:val="false"/>
            <w:smallCaps w:val="false"/>
            <w:strike w:val="false"/>
            <w:dstrike w:val="false"/>
            <w:sz w:val="16"/>
            <w:u w:val="none"/>
            <w:effect w:val="none"/>
          </w:rPr>
          <w:t>Index</w:t>
        </w:r>
      </w:hyperlink>
    </w:p>
    <w:p>
      <w:pPr>
        <w:pStyle w:val="TextBody"/>
        <w:bidi w:val="0"/>
        <w:spacing w:before="0" w:after="0"/>
        <w:ind w:left="0" w:right="0" w:hanging="0"/>
        <w:jc w:val="center"/>
        <w:rPr>
          <w:rFonts w:ascii="Times New Roman" w:hAnsi="Times New Roman"/>
          <w:b/>
          <w:sz w:val="22"/>
        </w:rPr>
      </w:pPr>
      <w:r>
        <w:rPr>
          <w:rFonts w:ascii="Times New Roman" w:hAnsi="Times New Roman"/>
          <w:b/>
          <w:sz w:val="22"/>
        </w:rPr>
        <w:t>ADMA BIOLOGICS, INC. AND SUBSIDIARIES</w:t>
      </w:r>
    </w:p>
    <w:p>
      <w:pPr>
        <w:pStyle w:val="TextBody"/>
        <w:bidi w:val="0"/>
        <w:spacing w:before="0" w:after="0"/>
        <w:ind w:left="0" w:right="0" w:hanging="0"/>
        <w:jc w:val="center"/>
        <w:rPr>
          <w:rFonts w:ascii="Times New Roman" w:hAnsi="Times New Roman"/>
          <w:b/>
          <w:sz w:val="22"/>
        </w:rPr>
      </w:pPr>
      <w:r>
        <w:rPr>
          <w:rFonts w:ascii="Times New Roman" w:hAnsi="Times New Roman"/>
          <w:b/>
          <w:sz w:val="22"/>
        </w:rPr>
        <w:t>NOTES TO CONDENSED CONSOLIDATED FINANCIAL STATEMENTS (UNAUDITED)</w:t>
      </w:r>
    </w:p>
    <w:p>
      <w:pPr>
        <w:pStyle w:val="TextBody"/>
        <w:bidi w:val="0"/>
        <w:spacing w:before="0" w:after="0"/>
        <w:ind w:left="0" w:right="0" w:hanging="0"/>
        <w:jc w:val="center"/>
        <w:rPr/>
      </w:pPr>
      <w:r>
        <w:rPr/>
        <w:t> </w:t>
      </w:r>
    </w:p>
    <w:p>
      <w:pPr>
        <w:pStyle w:val="TextBody"/>
        <w:bidi w:val="0"/>
        <w:spacing w:before="0" w:after="0"/>
        <w:ind w:left="0" w:right="0" w:hanging="540"/>
        <w:jc w:val="left"/>
        <w:rPr>
          <w:rFonts w:ascii="Times New Roman" w:hAnsi="Times New Roman"/>
          <w:sz w:val="20"/>
        </w:rPr>
      </w:pPr>
      <w:r>
        <w:rPr>
          <w:rFonts w:ascii="Times New Roman" w:hAnsi="Times New Roman"/>
          <w:b/>
          <w:sz w:val="20"/>
          <w:u w:val="single"/>
        </w:rPr>
        <w:t>RELATED PARTY TRANSACTIONS</w:t>
      </w:r>
      <w:r>
        <w:rPr>
          <w:rFonts w:ascii="Times New Roman" w:hAnsi="Times New Roman"/>
          <w:sz w:val="20"/>
        </w:rPr>
        <w:t xml:space="preserve"> </w:t>
      </w:r>
      <w:r>
        <mc:AlternateContent>
          <mc:Choice Requires="wps">
            <w:drawing>
              <wp:anchor behindDoc="0" distT="0" distB="0" distL="0" distR="0" simplePos="0" locked="0" layoutInCell="1" allowOverlap="1" relativeHeight="51">
                <wp:simplePos x="0" y="0"/>
                <wp:positionH relativeFrom="column">
                  <wp:align>left</wp:align>
                </wp:positionH>
                <wp:positionV relativeFrom="line">
                  <wp:posOffset>635</wp:posOffset>
                </wp:positionV>
                <wp:extent cx="342900" cy="175260"/>
                <wp:effectExtent l="0" t="0" r="0" b="0"/>
                <wp:wrapSquare wrapText="right"/>
                <wp:docPr id="50" name="Frame50"/>
                <a:graphic xmlns:a="http://schemas.openxmlformats.org/drawingml/2006/main">
                  <a:graphicData uri="http://schemas.microsoft.com/office/word/2010/wordprocessingShape">
                    <wps:wsp>
                      <wps:cNvSpPr txBox="1"/>
                      <wps:spPr>
                        <a:xfrm>
                          <a:off x="0" y="0"/>
                          <a:ext cx="342900" cy="175260"/>
                        </a:xfrm>
                        <a:prstGeom prst="rect"/>
                        <a:solidFill>
                          <a:srgbClr val="FFFFFF"/>
                        </a:solidFill>
                      </wps:spPr>
                      <wps:txbx>
                        <w:txbxContent>
                          <w:p>
                            <w:pPr>
                              <w:pStyle w:val="TextBody"/>
                              <w:bidi w:val="0"/>
                              <w:spacing w:before="0" w:after="283"/>
                              <w:jc w:val="left"/>
                              <w:rPr/>
                            </w:pPr>
                            <w:r>
                              <w:rPr>
                                <w:b/>
                              </w:rPr>
                              <w:t>9.</w:t>
                            </w:r>
                            <w:r>
                              <w:rPr/>
                              <w:t xml:space="preserve"> </w:t>
                            </w:r>
                          </w:p>
                        </w:txbxContent>
                      </wps:txbx>
                      <wps:bodyPr anchor="t" lIns="0" tIns="0" rIns="0" bIns="0">
                        <a:noAutofit/>
                      </wps:bodyPr>
                    </wps:wsp>
                  </a:graphicData>
                </a:graphic>
              </wp:anchor>
            </w:drawing>
          </mc:Choice>
          <mc:Fallback>
            <w:pict>
              <v:rect style="position:absolute;rotation:-0;width:2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b/>
                        </w:rPr>
                        <w:t>9.</w:t>
                      </w:r>
                      <w:r>
                        <w:rPr/>
                        <w:t xml:space="preserve"> </w:t>
                      </w:r>
                    </w:p>
                  </w:txbxContent>
                </v:textbox>
                <w10:wrap type="square" side="right"/>
              </v:rect>
            </w:pict>
          </mc:Fallback>
        </mc:AlternateContent>
      </w:r>
    </w:p>
    <w:p>
      <w:pPr>
        <w:pStyle w:val="TextBody"/>
        <w:bidi w:val="0"/>
        <w:spacing w:before="0" w:after="0"/>
        <w:ind w:left="360" w:right="0" w:hanging="0"/>
        <w:jc w:val="left"/>
        <w:rPr/>
      </w:pPr>
      <w:r>
        <w:rPr/>
        <w:t xml:space="preserve">  </w:t>
      </w:r>
    </w:p>
    <w:p>
      <w:pPr>
        <w:pStyle w:val="TextBody"/>
        <w:bidi w:val="0"/>
        <w:spacing w:before="0" w:after="0"/>
        <w:ind w:left="0" w:right="0" w:firstLine="720"/>
        <w:jc w:val="both"/>
        <w:rPr>
          <w:rFonts w:ascii="Times New Roman" w:hAnsi="Times New Roman"/>
          <w:sz w:val="20"/>
        </w:rPr>
      </w:pPr>
      <w:r>
        <w:rPr>
          <w:rFonts w:ascii="Times New Roman" w:hAnsi="Times New Roman"/>
          <w:sz w:val="20"/>
        </w:rPr>
        <w:t xml:space="preserve">The Company leases an office building and equipment from Areth, LLC (“Areth”) pursuant to an agreement for services effective as of January 1, 2016, as amended from time to time, and pays monthly rent on this facility in the amount of $10,000. The Company amended the original Areth agreement to extend its term to December, 31, 2026, with automatic successive one-year renewals thereafter. Either party may terminate the agreement by providing the other party with one year’s prior written notice. Rent expense for the three months ended March 31, 2026 and 2025 amounted to $30,000. Areth is a company controlled by Dr. Jerrold B. Grossman, the Vice Chairman of the Board, and Adam S. Grossman, the Company’s President and Chief Executive Officer. </w:t>
      </w:r>
    </w:p>
    <w:p>
      <w:pPr>
        <w:pStyle w:val="TextBody"/>
        <w:bidi w:val="0"/>
        <w:spacing w:before="0" w:after="0"/>
        <w:jc w:val="left"/>
        <w:rPr/>
      </w:pPr>
      <w:r>
        <w:rPr/>
        <w:t xml:space="preserve">  </w:t>
      </w:r>
    </w:p>
    <w:p>
      <w:pPr>
        <w:pStyle w:val="TextBody"/>
        <w:bidi w:val="0"/>
        <w:spacing w:before="0" w:after="0"/>
        <w:ind w:left="0" w:right="0" w:firstLine="720"/>
        <w:jc w:val="both"/>
        <w:rPr>
          <w:rFonts w:ascii="Times New Roman" w:hAnsi="Times New Roman"/>
          <w:sz w:val="20"/>
        </w:rPr>
      </w:pPr>
      <w:r>
        <w:rPr>
          <w:rFonts w:ascii="Times New Roman" w:hAnsi="Times New Roman"/>
          <w:sz w:val="20"/>
        </w:rPr>
        <w:t xml:space="preserve">During the three months ended March 31, 2025, the Company purchased certain specialized equipment and repair services used for the collection and processing of source plasma from GenesisBPS in the amount of approximately $34,000. GenesisBPS was owned by Dr. Grossman and Adam Grossman until September 30, 2025. </w:t>
      </w:r>
    </w:p>
    <w:p>
      <w:pPr>
        <w:pStyle w:val="TextBody"/>
        <w:bidi w:val="0"/>
        <w:spacing w:before="0" w:after="0"/>
        <w:jc w:val="left"/>
        <w:rPr/>
      </w:pPr>
      <w:r>
        <w:rPr/>
        <w:t xml:space="preserve">  </w:t>
      </w:r>
    </w:p>
    <w:p>
      <w:pPr>
        <w:pStyle w:val="TextBody"/>
        <w:bidi w:val="0"/>
        <w:spacing w:before="0" w:after="0"/>
        <w:ind w:left="0" w:right="0" w:hanging="540"/>
        <w:jc w:val="left"/>
        <w:rPr>
          <w:rFonts w:ascii="Times New Roman" w:hAnsi="Times New Roman"/>
          <w:sz w:val="20"/>
        </w:rPr>
      </w:pPr>
      <w:r>
        <w:rPr>
          <w:rFonts w:ascii="Times New Roman" w:hAnsi="Times New Roman"/>
          <w:b/>
          <w:sz w:val="20"/>
          <w:u w:val="single"/>
        </w:rPr>
        <w:t>COMMITMENTS AND CONTINGENCIES</w:t>
      </w:r>
      <w:r>
        <w:rPr>
          <w:rFonts w:ascii="Times New Roman" w:hAnsi="Times New Roman"/>
          <w:sz w:val="20"/>
        </w:rPr>
        <w:t xml:space="preserve"> </w:t>
      </w:r>
      <w:r>
        <mc:AlternateContent>
          <mc:Choice Requires="wps">
            <w:drawing>
              <wp:anchor behindDoc="0" distT="0" distB="0" distL="0" distR="0" simplePos="0" locked="0" layoutInCell="1" allowOverlap="1" relativeHeight="52">
                <wp:simplePos x="0" y="0"/>
                <wp:positionH relativeFrom="column">
                  <wp:align>left</wp:align>
                </wp:positionH>
                <wp:positionV relativeFrom="line">
                  <wp:posOffset>635</wp:posOffset>
                </wp:positionV>
                <wp:extent cx="342900" cy="175260"/>
                <wp:effectExtent l="0" t="0" r="0" b="0"/>
                <wp:wrapSquare wrapText="right"/>
                <wp:docPr id="51" name="Frame51"/>
                <a:graphic xmlns:a="http://schemas.openxmlformats.org/drawingml/2006/main">
                  <a:graphicData uri="http://schemas.microsoft.com/office/word/2010/wordprocessingShape">
                    <wps:wsp>
                      <wps:cNvSpPr txBox="1"/>
                      <wps:spPr>
                        <a:xfrm>
                          <a:off x="0" y="0"/>
                          <a:ext cx="342900" cy="175260"/>
                        </a:xfrm>
                        <a:prstGeom prst="rect"/>
                        <a:solidFill>
                          <a:srgbClr val="FFFFFF"/>
                        </a:solidFill>
                      </wps:spPr>
                      <wps:txbx>
                        <w:txbxContent>
                          <w:p>
                            <w:pPr>
                              <w:pStyle w:val="TextBody"/>
                              <w:bidi w:val="0"/>
                              <w:spacing w:before="0" w:after="283"/>
                              <w:jc w:val="left"/>
                              <w:rPr/>
                            </w:pPr>
                            <w:r>
                              <w:rPr>
                                <w:b/>
                              </w:rPr>
                              <w:t>10.</w:t>
                            </w:r>
                            <w:r>
                              <w:rPr/>
                              <w:t xml:space="preserve"> </w:t>
                            </w:r>
                          </w:p>
                        </w:txbxContent>
                      </wps:txbx>
                      <wps:bodyPr anchor="t" lIns="0" tIns="0" rIns="0" bIns="0">
                        <a:noAutofit/>
                      </wps:bodyPr>
                    </wps:wsp>
                  </a:graphicData>
                </a:graphic>
              </wp:anchor>
            </w:drawing>
          </mc:Choice>
          <mc:Fallback>
            <w:pict>
              <v:rect style="position:absolute;rotation:-0;width:2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b/>
                        </w:rPr>
                        <w:t>10.</w:t>
                      </w:r>
                      <w:r>
                        <w:rPr/>
                        <w:t xml:space="preserve"> </w:t>
                      </w:r>
                    </w:p>
                  </w:txbxContent>
                </v:textbox>
                <w10:wrap type="square" side="right"/>
              </v:rect>
            </w:pict>
          </mc:Fallback>
        </mc:AlternateContent>
      </w:r>
    </w:p>
    <w:p>
      <w:pPr>
        <w:pStyle w:val="TextBody"/>
        <w:bidi w:val="0"/>
        <w:spacing w:before="0" w:after="0"/>
        <w:ind w:left="360" w:right="0" w:hanging="0"/>
        <w:jc w:val="left"/>
        <w:rPr/>
      </w:pPr>
      <w:r>
        <w:rPr/>
        <w:t xml:space="preserve">  </w:t>
      </w:r>
    </w:p>
    <w:p>
      <w:pPr>
        <w:pStyle w:val="TextBody"/>
        <w:bidi w:val="0"/>
        <w:spacing w:before="0" w:after="0"/>
        <w:jc w:val="left"/>
        <w:rPr>
          <w:rFonts w:ascii="Times New Roman" w:hAnsi="Times New Roman"/>
          <w:sz w:val="20"/>
        </w:rPr>
      </w:pPr>
      <w:r>
        <w:rPr>
          <w:rFonts w:ascii="Times New Roman" w:hAnsi="Times New Roman"/>
          <w:i/>
          <w:sz w:val="20"/>
          <w:u w:val="single"/>
        </w:rPr>
        <w:t>General Legal Matters</w:t>
      </w:r>
      <w:r>
        <w:rPr>
          <w:rFonts w:ascii="Times New Roman" w:hAnsi="Times New Roman"/>
          <w:sz w:val="20"/>
        </w:rPr>
        <w:t xml:space="preserve"> </w:t>
      </w:r>
    </w:p>
    <w:p>
      <w:pPr>
        <w:pStyle w:val="TextBody"/>
        <w:bidi w:val="0"/>
        <w:spacing w:before="0" w:after="0"/>
        <w:jc w:val="left"/>
        <w:rPr/>
      </w:pPr>
      <w:r>
        <w:rPr/>
        <w:t xml:space="preserve">  </w:t>
      </w:r>
    </w:p>
    <w:p>
      <w:pPr>
        <w:pStyle w:val="TextBody"/>
        <w:bidi w:val="0"/>
        <w:spacing w:before="0" w:after="0"/>
        <w:ind w:left="0" w:right="0" w:firstLine="720"/>
        <w:jc w:val="both"/>
        <w:rPr>
          <w:rFonts w:ascii="Times New Roman" w:hAnsi="Times New Roman"/>
          <w:sz w:val="20"/>
        </w:rPr>
      </w:pPr>
      <w:r>
        <w:rPr>
          <w:rFonts w:ascii="Times New Roman" w:hAnsi="Times New Roman"/>
          <w:sz w:val="20"/>
        </w:rPr>
        <w:t xml:space="preserve">From time to time the Company is or may become subject to certain legal proceedings and claims arising in connection with the normal course of its business. Management does not expect that the outcome of any such claims or actions will have a material effect on the Company’s liquidity, results of operations or financial condition. </w:t>
      </w:r>
    </w:p>
    <w:p>
      <w:pPr>
        <w:pStyle w:val="TextBody"/>
        <w:bidi w:val="0"/>
        <w:spacing w:before="0" w:after="0"/>
        <w:ind w:left="360" w:right="0" w:hanging="0"/>
        <w:jc w:val="left"/>
        <w:rPr/>
      </w:pPr>
      <w:r>
        <w:rPr/>
        <w:t xml:space="preserve">  </w:t>
      </w:r>
    </w:p>
    <w:p>
      <w:pPr>
        <w:pStyle w:val="TextBody"/>
        <w:bidi w:val="0"/>
        <w:spacing w:before="0" w:after="0"/>
        <w:jc w:val="left"/>
        <w:rPr>
          <w:rFonts w:ascii="Times New Roman" w:hAnsi="Times New Roman"/>
          <w:sz w:val="20"/>
        </w:rPr>
      </w:pPr>
      <w:r>
        <w:rPr>
          <w:rFonts w:ascii="Times New Roman" w:hAnsi="Times New Roman"/>
          <w:i/>
          <w:sz w:val="20"/>
          <w:u w:val="single"/>
        </w:rPr>
        <w:t>Vendor Commitments</w:t>
      </w:r>
      <w:r>
        <w:rPr>
          <w:rFonts w:ascii="Times New Roman" w:hAnsi="Times New Roman"/>
          <w:sz w:val="20"/>
        </w:rPr>
        <w:t xml:space="preserve"> </w:t>
      </w:r>
    </w:p>
    <w:p>
      <w:pPr>
        <w:pStyle w:val="TextBody"/>
        <w:bidi w:val="0"/>
        <w:spacing w:before="0" w:after="0"/>
        <w:jc w:val="left"/>
        <w:rPr/>
      </w:pPr>
      <w:r>
        <w:rPr/>
        <w:t xml:space="preserve">  </w:t>
      </w:r>
    </w:p>
    <w:p>
      <w:pPr>
        <w:pStyle w:val="TextBody"/>
        <w:bidi w:val="0"/>
        <w:spacing w:before="0" w:after="0"/>
        <w:ind w:left="0" w:right="0" w:firstLine="720"/>
        <w:jc w:val="both"/>
        <w:rPr>
          <w:rFonts w:ascii="Times New Roman" w:hAnsi="Times New Roman"/>
          <w:sz w:val="20"/>
        </w:rPr>
      </w:pPr>
      <w:r>
        <w:rPr>
          <w:rFonts w:ascii="Times New Roman" w:hAnsi="Times New Roman"/>
          <w:sz w:val="20"/>
        </w:rPr>
        <w:t xml:space="preserve">Pursuant to the terms of a Plasma Purchase Agreement dated as of November 17, 2011 (the “2011 Plasma Purchase Agreement”), the Company agreed to purchase from its former contract manufacturer an annual minimum volume of source plasma containing antibodies to RSV to be used in the manufacture of ASCENIV. The Company must purchase a to-be-determined and agreed upon annual minimum volume from the counterparty, and under the original 2011 Plasma Purchase Agreement the Company was permitted to also collect high-titer plasma from up to five wholly owned ADMA plasma collection facilities. During 2015, the Company amended the 2011 Plasma Purchase Agreement to (i) allow the Company to collect its raw material high-titer plasma from any number of wholly owned ADMA plasma collection facilities and (ii) allow the Company to purchase its raw material high-titer plasma from other third-party collection organizations, in each case, provided that the annual minimum volumes from the Company’s former contract manufacturer were met, thus allowing the Company to expand its reach for raw material supply as it executes its commercialization plans for ASCENIV. On December 10, 2018, the Company’s former contract manufacturer assigned its rights and obligations under the 2011 Plasma Purchase Agreement to Grifols Worldwide Operations Limited (“Grifols”) as its successor-in-interest, effective January 1, 2019. Effective October 1, 2024, the Company entered into an Amended and Restated Plasma Purchase Agreement with Grifols (the “A&amp;R Grifols Agreement”) with a term expiring in September 2039, after which it may be renewed for two additional multi-year periods if agreed to by the parties. Pursuant to the A&amp;R Grifols Agreement, Grifols supplies, on a non-exclusive basis, to ADMA BioManufacturing a minimum of 35,000 liters of RSV plasma annually to be used in the manufacture of ASCENIV, with an escalating price per liter depending on the volume supplied in a given 12-month period, with a minimum annual price increase every 12 months. Additionally, Grifols will be entitled to receive a fixed bonus payment in the event that a specified liter amount of high-titer plasma is supplied to the Company in any 12-month period during the term of the A&amp;R Grifols Agreement. </w:t>
      </w:r>
    </w:p>
    <w:p>
      <w:pPr>
        <w:pStyle w:val="TextBody"/>
        <w:bidi w:val="0"/>
        <w:spacing w:before="0" w:after="0"/>
        <w:jc w:val="both"/>
        <w:rPr/>
      </w:pPr>
      <w:r>
        <w:rPr/>
        <w:t xml:space="preserve">  </w:t>
      </w:r>
    </w:p>
    <w:p>
      <w:pPr>
        <w:pStyle w:val="TextBody"/>
        <w:bidi w:val="0"/>
        <w:spacing w:before="0" w:after="0"/>
        <w:ind w:left="0" w:right="0" w:firstLine="720"/>
        <w:jc w:val="both"/>
        <w:rPr>
          <w:rFonts w:ascii="Times New Roman" w:hAnsi="Times New Roman"/>
          <w:sz w:val="20"/>
        </w:rPr>
      </w:pPr>
      <w:r>
        <w:rPr>
          <w:rFonts w:ascii="Times New Roman" w:hAnsi="Times New Roman"/>
          <w:sz w:val="20"/>
        </w:rPr>
        <w:t xml:space="preserve">Effective August 6, 2024, the Company entered into a Plasma Purchase Agreement with KEDPlasma LLC (“KEDPlasma”) with a term expiring in July 2031, after which it may be renewed for an additional five-year period if agreed to by the parties (the “KEDPlasma Agreement”). Pursuant to the KEDPlasma Agreement, KEDPlasma supplies, on a non-exclusive basis, to ADMA BioManufacturing a minimum of 35,000 liters of RSV plasma annually commencing with the 12-month period ending July 31, 2026, with an escalating price per liter depending on the volume supplied in a given 12-month period. The price per liter of high-titer plasma supplied pursuant to the KEDPlasma Agreement is also scheduled to increase on an annual basis. Additionally, KEDPlasma will be entitled to receive a fixed bonus payment in the event that a specified liter amount of RSV plasma is supplied to the Company in any 12-month period during the term of the KEDPlasma Agreement. </w:t>
      </w:r>
    </w:p>
    <w:p>
      <w:pPr>
        <w:pStyle w:val="TextBody"/>
        <w:bidi w:val="0"/>
        <w:spacing w:before="150" w:after="15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t>14</w:t>
      </w:r>
    </w:p>
    <w:p>
      <w:pPr>
        <w:pStyle w:val="HorizontalLine"/>
        <w:bidi w:val="0"/>
        <w:spacing w:before="150" w:after="150"/>
        <w:jc w:val="left"/>
        <w:rPr/>
      </w:pPr>
      <w:r>
        <w:rPr/>
      </w:r>
    </w:p>
    <w:p>
      <w:pPr>
        <w:pStyle w:val="TextBody"/>
        <w:bidi w:val="0"/>
        <w:spacing w:before="150" w:after="150"/>
        <w:jc w:val="left"/>
        <w:rPr/>
      </w:pPr>
      <w:hyperlink w:anchor="index">
        <w:r>
          <w:rPr>
            <w:rStyle w:val="InternetLink"/>
            <w:rFonts w:ascii="TimesNewRoman;Times New Roman;Times;Baskerville;Georgia;serif" w:hAnsi="TimesNewRoman;Times New Roman;Times;Baskerville;Georgia;serif"/>
            <w:b w:val="false"/>
            <w:i/>
            <w:caps w:val="false"/>
            <w:smallCaps w:val="false"/>
            <w:strike w:val="false"/>
            <w:dstrike w:val="false"/>
            <w:sz w:val="16"/>
            <w:u w:val="none"/>
            <w:effect w:val="none"/>
          </w:rPr>
          <w:t>Index</w:t>
        </w:r>
      </w:hyperlink>
    </w:p>
    <w:p>
      <w:pPr>
        <w:pStyle w:val="TextBody"/>
        <w:bidi w:val="0"/>
        <w:spacing w:before="0" w:after="0"/>
        <w:ind w:left="0" w:right="0" w:hanging="0"/>
        <w:jc w:val="center"/>
        <w:rPr>
          <w:rFonts w:ascii="Times New Roman" w:hAnsi="Times New Roman"/>
          <w:b/>
          <w:sz w:val="22"/>
        </w:rPr>
      </w:pPr>
      <w:r>
        <w:rPr>
          <w:rFonts w:ascii="Times New Roman" w:hAnsi="Times New Roman"/>
          <w:b/>
          <w:sz w:val="22"/>
        </w:rPr>
        <w:t>ADMA BIOLOGICS, INC. AND SUBSIDIARIES</w:t>
      </w:r>
    </w:p>
    <w:p>
      <w:pPr>
        <w:pStyle w:val="TextBody"/>
        <w:bidi w:val="0"/>
        <w:spacing w:before="0" w:after="0"/>
        <w:ind w:left="0" w:right="0" w:hanging="0"/>
        <w:jc w:val="center"/>
        <w:rPr>
          <w:rFonts w:ascii="Times New Roman" w:hAnsi="Times New Roman"/>
          <w:b/>
          <w:sz w:val="22"/>
        </w:rPr>
      </w:pPr>
      <w:r>
        <w:rPr>
          <w:rFonts w:ascii="Times New Roman" w:hAnsi="Times New Roman"/>
          <w:b/>
          <w:sz w:val="22"/>
        </w:rPr>
        <w:t>NOTES TO CONDENSED CONSOLIDATED FINANCIAL STATEMENTS (UNAUDITED)</w:t>
      </w:r>
    </w:p>
    <w:p>
      <w:pPr>
        <w:pStyle w:val="TextBody"/>
        <w:bidi w:val="0"/>
        <w:spacing w:before="0" w:after="0"/>
        <w:jc w:val="both"/>
        <w:rPr/>
      </w:pPr>
      <w:r>
        <w:rPr/>
        <w:t> </w:t>
      </w:r>
    </w:p>
    <w:p>
      <w:pPr>
        <w:pStyle w:val="TextBody"/>
        <w:bidi w:val="0"/>
        <w:spacing w:before="0" w:after="0"/>
        <w:ind w:left="0" w:right="0" w:firstLine="720"/>
        <w:jc w:val="both"/>
        <w:rPr>
          <w:rFonts w:ascii="Times New Roman" w:hAnsi="Times New Roman"/>
          <w:sz w:val="20"/>
        </w:rPr>
      </w:pPr>
      <w:r>
        <w:rPr>
          <w:rFonts w:ascii="Times New Roman" w:hAnsi="Times New Roman"/>
          <w:sz w:val="20"/>
        </w:rPr>
        <w:t xml:space="preserve">On June 6, 2017, the Company entered into a Plasma Supply Agreement with its former contract manufacturer, pursuant to which the counterparty supplies, on an exclusive basis subject to certain exceptions, to ADMA BioManufacturing an annual minimum volume of hyperimmune plasma that contain antibodies to the Hepatitis B virus for the manufacture of Nabi-HB. The Plasma Supply Agreement has a 10-year term. On July 19, 2018, the Plasma Supply Agreement was amended to provide, among other things, that in the event the counterparty elects not to supply in excess of ADMA BioManufacturing’s specified amount of Hepatitis B plasma and ADMA BioManufacturing is unable to secure Hepatitis B plasma from a third party at a price that is within a low double- digit percentage of the price that ADMA BioManufacturing pays to the counterparty, then the counterparty shall reimburse ADMA BioManufacturing for the difference in price ADMA BioManufacturing incurs. On December 10, 2018, the Company’s former contract manufacturer assigned its rights and obligations under the Plasma Supply Agreement to Grifols, effective January 1, 2019. </w:t>
      </w:r>
    </w:p>
    <w:p>
      <w:pPr>
        <w:pStyle w:val="TextBody"/>
        <w:bidi w:val="0"/>
        <w:spacing w:before="0" w:after="0"/>
        <w:jc w:val="left"/>
        <w:rPr/>
      </w:pPr>
      <w:r>
        <w:rPr/>
        <w:t xml:space="preserve">  </w:t>
      </w:r>
    </w:p>
    <w:p>
      <w:pPr>
        <w:pStyle w:val="TextBody"/>
        <w:bidi w:val="0"/>
        <w:spacing w:before="0" w:after="0"/>
        <w:jc w:val="left"/>
        <w:rPr>
          <w:rFonts w:ascii="Times New Roman" w:hAnsi="Times New Roman"/>
          <w:sz w:val="20"/>
        </w:rPr>
      </w:pPr>
      <w:r>
        <w:rPr>
          <w:rFonts w:ascii="Times New Roman" w:hAnsi="Times New Roman"/>
          <w:i/>
          <w:sz w:val="20"/>
          <w:u w:val="single"/>
        </w:rPr>
        <w:t>Other Commitments</w:t>
      </w:r>
      <w:r>
        <w:rPr>
          <w:rFonts w:ascii="Times New Roman" w:hAnsi="Times New Roman"/>
          <w:sz w:val="20"/>
        </w:rPr>
        <w:t xml:space="preserve"> </w:t>
      </w:r>
    </w:p>
    <w:p>
      <w:pPr>
        <w:pStyle w:val="TextBody"/>
        <w:bidi w:val="0"/>
        <w:spacing w:before="0" w:after="0"/>
        <w:jc w:val="left"/>
        <w:rPr/>
      </w:pPr>
      <w:r>
        <w:rPr/>
        <w:t xml:space="preserve">  </w:t>
      </w:r>
    </w:p>
    <w:p>
      <w:pPr>
        <w:pStyle w:val="TextBody"/>
        <w:bidi w:val="0"/>
        <w:spacing w:before="0" w:after="0"/>
        <w:ind w:left="0" w:right="0" w:firstLine="720"/>
        <w:jc w:val="both"/>
        <w:rPr>
          <w:rFonts w:ascii="Times New Roman" w:hAnsi="Times New Roman"/>
          <w:sz w:val="20"/>
        </w:rPr>
      </w:pPr>
      <w:r>
        <w:rPr>
          <w:rFonts w:ascii="Times New Roman" w:hAnsi="Times New Roman"/>
          <w:sz w:val="20"/>
        </w:rPr>
        <w:t xml:space="preserve">In the normal course of business, the Company enters into contracts that contain a variety of indemnifications with its employees, licensors, suppliers and service providers. Further, the Company indemnifies its directors and officers who are, or were, serving at the Company’s request in such capacities. The Company’s maximum exposure under these arrangements is unknown as of March 31, 2026. The Company does not anticipate recognizing any significant losses relating to these arrangements. </w:t>
      </w:r>
    </w:p>
    <w:p>
      <w:pPr>
        <w:pStyle w:val="TextBody"/>
        <w:bidi w:val="0"/>
        <w:spacing w:before="0" w:after="0"/>
        <w:jc w:val="left"/>
        <w:rPr/>
      </w:pPr>
      <w:r>
        <w:rPr/>
        <w:t xml:space="preserve">  </w:t>
      </w:r>
    </w:p>
    <w:p>
      <w:pPr>
        <w:pStyle w:val="TextBody"/>
        <w:bidi w:val="0"/>
        <w:spacing w:before="0" w:after="0"/>
        <w:ind w:left="0" w:right="0" w:hanging="540"/>
        <w:jc w:val="left"/>
        <w:rPr>
          <w:rFonts w:ascii="Times New Roman" w:hAnsi="Times New Roman"/>
          <w:sz w:val="20"/>
        </w:rPr>
      </w:pPr>
      <w:r>
        <w:rPr>
          <w:rFonts w:ascii="Times New Roman" w:hAnsi="Times New Roman"/>
          <w:b/>
          <w:sz w:val="20"/>
          <w:u w:val="single"/>
        </w:rPr>
        <w:t>SEGMENTS</w:t>
      </w:r>
      <w:r>
        <w:rPr>
          <w:rFonts w:ascii="Times New Roman" w:hAnsi="Times New Roman"/>
          <w:sz w:val="20"/>
        </w:rPr>
        <w:t xml:space="preserve"> </w:t>
      </w:r>
      <w:r>
        <mc:AlternateContent>
          <mc:Choice Requires="wps">
            <w:drawing>
              <wp:anchor behindDoc="0" distT="0" distB="0" distL="0" distR="0" simplePos="0" locked="0" layoutInCell="1" allowOverlap="1" relativeHeight="53">
                <wp:simplePos x="0" y="0"/>
                <wp:positionH relativeFrom="column">
                  <wp:align>left</wp:align>
                </wp:positionH>
                <wp:positionV relativeFrom="line">
                  <wp:posOffset>635</wp:posOffset>
                </wp:positionV>
                <wp:extent cx="342900" cy="175260"/>
                <wp:effectExtent l="0" t="0" r="0" b="0"/>
                <wp:wrapSquare wrapText="right"/>
                <wp:docPr id="52" name="Frame52"/>
                <a:graphic xmlns:a="http://schemas.openxmlformats.org/drawingml/2006/main">
                  <a:graphicData uri="http://schemas.microsoft.com/office/word/2010/wordprocessingShape">
                    <wps:wsp>
                      <wps:cNvSpPr txBox="1"/>
                      <wps:spPr>
                        <a:xfrm>
                          <a:off x="0" y="0"/>
                          <a:ext cx="342900" cy="175260"/>
                        </a:xfrm>
                        <a:prstGeom prst="rect"/>
                        <a:solidFill>
                          <a:srgbClr val="FFFFFF"/>
                        </a:solidFill>
                      </wps:spPr>
                      <wps:txbx>
                        <w:txbxContent>
                          <w:p>
                            <w:pPr>
                              <w:pStyle w:val="TextBody"/>
                              <w:bidi w:val="0"/>
                              <w:spacing w:before="0" w:after="283"/>
                              <w:jc w:val="left"/>
                              <w:rPr/>
                            </w:pPr>
                            <w:r>
                              <w:rPr>
                                <w:b/>
                              </w:rPr>
                              <w:t>11.</w:t>
                            </w:r>
                            <w:r>
                              <w:rPr/>
                              <w:t xml:space="preserve"> </w:t>
                            </w:r>
                          </w:p>
                        </w:txbxContent>
                      </wps:txbx>
                      <wps:bodyPr anchor="t" lIns="0" tIns="0" rIns="0" bIns="0">
                        <a:noAutofit/>
                      </wps:bodyPr>
                    </wps:wsp>
                  </a:graphicData>
                </a:graphic>
              </wp:anchor>
            </w:drawing>
          </mc:Choice>
          <mc:Fallback>
            <w:pict>
              <v:rect style="position:absolute;rotation:-0;width:2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b/>
                        </w:rPr>
                        <w:t>11.</w:t>
                      </w:r>
                      <w:r>
                        <w:rPr/>
                        <w:t xml:space="preserve"> </w:t>
                      </w:r>
                    </w:p>
                  </w:txbxContent>
                </v:textbox>
                <w10:wrap type="square" side="right"/>
              </v:rect>
            </w:pict>
          </mc:Fallback>
        </mc:AlternateContent>
      </w:r>
    </w:p>
    <w:p>
      <w:pPr>
        <w:pStyle w:val="TextBody"/>
        <w:bidi w:val="0"/>
        <w:spacing w:before="0" w:after="0"/>
        <w:ind w:left="360" w:right="0" w:hanging="0"/>
        <w:jc w:val="left"/>
        <w:rPr/>
      </w:pPr>
      <w:r>
        <w:rPr/>
        <w:t xml:space="preserve">  </w:t>
      </w:r>
    </w:p>
    <w:p>
      <w:pPr>
        <w:pStyle w:val="TextBody"/>
        <w:bidi w:val="0"/>
        <w:spacing w:before="0" w:after="0"/>
        <w:ind w:left="0" w:right="0" w:firstLine="720"/>
        <w:jc w:val="both"/>
        <w:rPr>
          <w:rFonts w:ascii="Times New Roman" w:hAnsi="Times New Roman"/>
          <w:sz w:val="20"/>
        </w:rPr>
      </w:pPr>
      <w:r>
        <w:rPr>
          <w:rFonts w:ascii="Times New Roman" w:hAnsi="Times New Roman"/>
          <w:sz w:val="20"/>
        </w:rPr>
        <w:t xml:space="preserve">The Company is engaged in the manufacture, marketing and development of specialty plasma-derived biologics. The Company’s ADMA BioManufacturing operating segment reflects the Company’s immunoglobulin manufacturing, commercial and development operations in Boca Raton, FL. The Plasma Collection Centers operating segment consisted of ten plasma collection facilities as of March 31, 2025 and seven plasma collection facilities as of March 31, 2026, all located throughout the United States. All facilities, were operational, collecting plasma and holding FDA licenses as of each respective period. The Company defines its operating segments as those business units whose operating results are regularly reviewed by the chief operating decision maker (“CODM”) to analyze performance and allocate resources. The Corporate information included in the reconciliations below generally consists of certain unallocated general and administrative overhead expenses and interest expense on the Company’s senior debt (see Note 7). The Company’s CODM is its President and Chief Executive Officer. For the Company’s two operating segments, the CODM uses income before taxes as the measure of segment profit to determine the allocation of resources for each segment. Transactions between the two operating segments consist solely of the transfer of raw material plasma inventory at cost from the Plasma Collection Centers segment to the ADMA BioManufacturing segment with no markup or intercompany profit. Income tax benefit/expense is recorded in the Corporate entity and is not allocated to the operating segments. Summarized financial information concerning reportable segments is shown in the following tables: </w:t>
      </w:r>
    </w:p>
    <w:p>
      <w:pPr>
        <w:pStyle w:val="TextBody"/>
        <w:bidi w:val="0"/>
        <w:spacing w:before="0" w:after="0"/>
        <w:jc w:val="center"/>
        <w:rPr/>
      </w:pPr>
      <w:r>
        <w:rPr/>
        <w:t xml:space="preserve">  </w:t>
      </w:r>
    </w:p>
    <w:p>
      <w:pPr>
        <w:pStyle w:val="TextBody"/>
        <w:bidi w:val="0"/>
        <w:spacing w:before="150" w:after="15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t>15</w:t>
      </w:r>
    </w:p>
    <w:p>
      <w:pPr>
        <w:pStyle w:val="HorizontalLine"/>
        <w:bidi w:val="0"/>
        <w:spacing w:before="150" w:after="150"/>
        <w:jc w:val="left"/>
        <w:rPr/>
      </w:pPr>
      <w:r>
        <w:rPr/>
      </w:r>
    </w:p>
    <w:p>
      <w:pPr>
        <w:pStyle w:val="TextBody"/>
        <w:bidi w:val="0"/>
        <w:spacing w:before="150" w:after="150"/>
        <w:jc w:val="left"/>
        <w:rPr/>
      </w:pPr>
      <w:hyperlink w:anchor="index">
        <w:r>
          <w:rPr>
            <w:rStyle w:val="InternetLink"/>
            <w:rFonts w:ascii="TimesNewRoman;Times New Roman;Times;Baskerville;Georgia;serif" w:hAnsi="TimesNewRoman;Times New Roman;Times;Baskerville;Georgia;serif"/>
            <w:b w:val="false"/>
            <w:i/>
            <w:caps w:val="false"/>
            <w:smallCaps w:val="false"/>
            <w:strike w:val="false"/>
            <w:dstrike w:val="false"/>
            <w:sz w:val="16"/>
            <w:u w:val="none"/>
            <w:effect w:val="none"/>
          </w:rPr>
          <w:t>Index</w:t>
        </w:r>
      </w:hyperlink>
    </w:p>
    <w:p>
      <w:pPr>
        <w:pStyle w:val="TextBody"/>
        <w:bidi w:val="0"/>
        <w:spacing w:before="0" w:after="0"/>
        <w:ind w:left="0" w:right="0" w:hanging="0"/>
        <w:jc w:val="center"/>
        <w:rPr>
          <w:rFonts w:ascii="Times New Roman" w:hAnsi="Times New Roman"/>
          <w:b/>
          <w:sz w:val="20"/>
        </w:rPr>
      </w:pPr>
      <w:r>
        <w:rPr>
          <w:rFonts w:ascii="Times New Roman" w:hAnsi="Times New Roman"/>
          <w:b/>
          <w:sz w:val="20"/>
        </w:rPr>
        <w:t>ADMA BIOLOGICS, INC. AND SUBSIDIARIES</w:t>
      </w:r>
    </w:p>
    <w:p>
      <w:pPr>
        <w:pStyle w:val="TextBody"/>
        <w:bidi w:val="0"/>
        <w:spacing w:before="0" w:after="0"/>
        <w:ind w:left="0" w:right="0" w:hanging="0"/>
        <w:jc w:val="center"/>
        <w:rPr>
          <w:rFonts w:ascii="Times New Roman" w:hAnsi="Times New Roman"/>
          <w:b/>
          <w:sz w:val="20"/>
        </w:rPr>
      </w:pPr>
      <w:r>
        <w:rPr>
          <w:rFonts w:ascii="Times New Roman" w:hAnsi="Times New Roman"/>
          <w:b/>
          <w:sz w:val="20"/>
        </w:rPr>
        <w:t>NOTES TO CONDENSED CONSOLIDATED FINANCIAL STATEMENTS (UNAUDITED)</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4113"/>
        <w:gridCol w:w="101"/>
        <w:gridCol w:w="191"/>
        <w:gridCol w:w="2187"/>
        <w:gridCol w:w="208"/>
        <w:gridCol w:w="90"/>
        <w:gridCol w:w="170"/>
        <w:gridCol w:w="1638"/>
        <w:gridCol w:w="185"/>
        <w:gridCol w:w="90"/>
        <w:gridCol w:w="170"/>
        <w:gridCol w:w="830"/>
        <w:gridCol w:w="232"/>
      </w:tblGrid>
      <w:tr>
        <w:trPr/>
        <w:tc>
          <w:tcPr>
            <w:tcW w:w="4113" w:type="dxa"/>
            <w:tcBorders/>
            <w:vAlign w:val="center"/>
          </w:tcPr>
          <w:p>
            <w:pPr>
              <w:pStyle w:val="TableContents"/>
              <w:bidi w:val="0"/>
              <w:spacing w:before="0" w:after="283"/>
              <w:jc w:val="left"/>
              <w:rPr/>
            </w:pPr>
            <w:r>
              <w:rPr/>
              <w:t> </w:t>
            </w:r>
          </w:p>
        </w:tc>
        <w:tc>
          <w:tcPr>
            <w:tcW w:w="101" w:type="dxa"/>
            <w:tcBorders/>
            <w:vAlign w:val="center"/>
          </w:tcPr>
          <w:p>
            <w:pPr>
              <w:pStyle w:val="TableContents"/>
              <w:bidi w:val="0"/>
              <w:spacing w:before="0" w:after="283"/>
              <w:jc w:val="left"/>
              <w:rPr/>
            </w:pPr>
            <w:r>
              <w:rPr/>
              <w:t> </w:t>
            </w:r>
          </w:p>
        </w:tc>
        <w:tc>
          <w:tcPr>
            <w:tcW w:w="191" w:type="dxa"/>
            <w:tcBorders/>
            <w:vAlign w:val="center"/>
          </w:tcPr>
          <w:p>
            <w:pPr>
              <w:pStyle w:val="TableContents"/>
              <w:bidi w:val="0"/>
              <w:spacing w:before="0" w:after="283"/>
              <w:jc w:val="left"/>
              <w:rPr/>
            </w:pPr>
            <w:r>
              <w:rPr/>
              <w:t> </w:t>
            </w:r>
          </w:p>
        </w:tc>
        <w:tc>
          <w:tcPr>
            <w:tcW w:w="2187" w:type="dxa"/>
            <w:tcBorders/>
            <w:vAlign w:val="center"/>
          </w:tcPr>
          <w:p>
            <w:pPr>
              <w:pStyle w:val="TableContents"/>
              <w:bidi w:val="0"/>
              <w:spacing w:before="0" w:after="283"/>
              <w:jc w:val="left"/>
              <w:rPr/>
            </w:pPr>
            <w:r>
              <w:rPr/>
              <w:t> </w:t>
            </w:r>
          </w:p>
        </w:tc>
        <w:tc>
          <w:tcPr>
            <w:tcW w:w="208"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638"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left"/>
              <w:rPr/>
            </w:pPr>
            <w:r>
              <w:rPr/>
              <w:t> </w:t>
            </w:r>
          </w:p>
        </w:tc>
        <w:tc>
          <w:tcPr>
            <w:tcW w:w="232" w:type="dxa"/>
            <w:tcBorders/>
            <w:vAlign w:val="center"/>
          </w:tcPr>
          <w:p>
            <w:pPr>
              <w:pStyle w:val="TableContents"/>
              <w:bidi w:val="0"/>
              <w:spacing w:before="0" w:after="283"/>
              <w:jc w:val="left"/>
              <w:rPr/>
            </w:pPr>
            <w:r>
              <w:rPr/>
              <w:t> </w:t>
            </w:r>
          </w:p>
        </w:tc>
      </w:tr>
      <w:tr>
        <w:trPr/>
        <w:tc>
          <w:tcPr>
            <w:tcW w:w="10205" w:type="dxa"/>
            <w:gridSpan w:val="13"/>
            <w:tcBorders>
              <w:bottom w:val="single" w:sz="12" w:space="0" w:color="000000"/>
            </w:tcBorders>
            <w:tcMar>
              <w:bottom w:w="28" w:type="dxa"/>
            </w:tcMar>
          </w:tcPr>
          <w:p>
            <w:pPr>
              <w:pStyle w:val="TableContents"/>
              <w:bidi w:val="0"/>
              <w:spacing w:before="0" w:after="0"/>
              <w:ind w:left="0" w:right="0" w:hanging="0"/>
              <w:jc w:val="center"/>
              <w:rPr>
                <w:b/>
              </w:rPr>
            </w:pPr>
            <w:r>
              <w:rPr>
                <w:b/>
              </w:rPr>
              <w:t>Three Months Ended March 31, 2026</w:t>
            </w:r>
          </w:p>
        </w:tc>
      </w:tr>
      <w:tr>
        <w:trPr/>
        <w:tc>
          <w:tcPr>
            <w:tcW w:w="4113" w:type="dxa"/>
            <w:tcBorders/>
          </w:tcPr>
          <w:p>
            <w:pPr>
              <w:pStyle w:val="TableContents"/>
              <w:bidi w:val="0"/>
              <w:spacing w:before="0" w:after="0"/>
              <w:ind w:left="144" w:right="0" w:hanging="144"/>
              <w:jc w:val="left"/>
              <w:rPr>
                <w:i/>
              </w:rPr>
            </w:pPr>
            <w:r>
              <w:rPr>
                <w:i/>
              </w:rPr>
              <w:t>(in thousands)</w:t>
            </w:r>
          </w:p>
        </w:tc>
        <w:tc>
          <w:tcPr>
            <w:tcW w:w="101" w:type="dxa"/>
            <w:tcBorders/>
          </w:tcPr>
          <w:p>
            <w:pPr>
              <w:pStyle w:val="TableContents"/>
              <w:bidi w:val="0"/>
              <w:spacing w:before="0" w:after="283"/>
              <w:jc w:val="center"/>
              <w:rPr/>
            </w:pPr>
            <w:r>
              <w:rPr/>
              <w:t> </w:t>
            </w:r>
          </w:p>
        </w:tc>
        <w:tc>
          <w:tcPr>
            <w:tcW w:w="191" w:type="dxa"/>
            <w:tcBorders>
              <w:bottom w:val="single" w:sz="12" w:space="0" w:color="000000"/>
            </w:tcBorders>
            <w:tcMar>
              <w:bottom w:w="28" w:type="dxa"/>
            </w:tcMar>
          </w:tcPr>
          <w:p>
            <w:pPr>
              <w:pStyle w:val="TableContents"/>
              <w:bidi w:val="0"/>
              <w:spacing w:before="0" w:after="283"/>
              <w:jc w:val="center"/>
              <w:rPr/>
            </w:pPr>
            <w:r>
              <w:rPr/>
              <w:t> </w:t>
            </w:r>
          </w:p>
        </w:tc>
        <w:tc>
          <w:tcPr>
            <w:tcW w:w="2187" w:type="dxa"/>
            <w:tcBorders>
              <w:bottom w:val="single" w:sz="12" w:space="0" w:color="000000"/>
            </w:tcBorders>
            <w:tcMar>
              <w:bottom w:w="28" w:type="dxa"/>
            </w:tcMar>
          </w:tcPr>
          <w:p>
            <w:pPr>
              <w:pStyle w:val="TableContents"/>
              <w:bidi w:val="0"/>
              <w:spacing w:before="0" w:after="0"/>
              <w:ind w:left="0" w:right="0" w:hanging="0"/>
              <w:jc w:val="center"/>
              <w:rPr>
                <w:b/>
              </w:rPr>
            </w:pPr>
            <w:r>
              <w:rPr>
                <w:b/>
              </w:rPr>
              <w:t>ADMA</w:t>
              <w:br/>
              <w:t>BioManufacturing</w:t>
            </w:r>
          </w:p>
        </w:tc>
        <w:tc>
          <w:tcPr>
            <w:tcW w:w="208" w:type="dxa"/>
            <w:tcBorders>
              <w:bottom w:val="single" w:sz="12" w:space="0" w:color="000000"/>
            </w:tcBorders>
            <w:tcMar>
              <w:bottom w:w="28" w:type="dxa"/>
            </w:tcMar>
          </w:tcPr>
          <w:p>
            <w:pPr>
              <w:pStyle w:val="TableContents"/>
              <w:bidi w:val="0"/>
              <w:spacing w:before="0" w:after="283"/>
              <w:jc w:val="center"/>
              <w:rPr/>
            </w:pPr>
            <w:r>
              <w:rPr/>
              <w:t> </w:t>
            </w:r>
          </w:p>
        </w:tc>
        <w:tc>
          <w:tcPr>
            <w:tcW w:w="90" w:type="dxa"/>
            <w:tcBorders/>
          </w:tcPr>
          <w:p>
            <w:pPr>
              <w:pStyle w:val="TableContents"/>
              <w:bidi w:val="0"/>
              <w:spacing w:before="0" w:after="283"/>
              <w:jc w:val="center"/>
              <w:rPr/>
            </w:pPr>
            <w:r>
              <w:rPr/>
              <w:t> </w:t>
            </w:r>
          </w:p>
        </w:tc>
        <w:tc>
          <w:tcPr>
            <w:tcW w:w="170" w:type="dxa"/>
            <w:tcBorders>
              <w:bottom w:val="single" w:sz="12" w:space="0" w:color="000000"/>
            </w:tcBorders>
            <w:tcMar>
              <w:bottom w:w="28" w:type="dxa"/>
            </w:tcMar>
          </w:tcPr>
          <w:p>
            <w:pPr>
              <w:pStyle w:val="TableContents"/>
              <w:bidi w:val="0"/>
              <w:spacing w:before="0" w:after="283"/>
              <w:jc w:val="center"/>
              <w:rPr/>
            </w:pPr>
            <w:r>
              <w:rPr/>
              <w:t> </w:t>
            </w:r>
          </w:p>
        </w:tc>
        <w:tc>
          <w:tcPr>
            <w:tcW w:w="1638" w:type="dxa"/>
            <w:tcBorders>
              <w:bottom w:val="single" w:sz="12" w:space="0" w:color="000000"/>
            </w:tcBorders>
            <w:tcMar>
              <w:bottom w:w="28" w:type="dxa"/>
            </w:tcMar>
          </w:tcPr>
          <w:p>
            <w:pPr>
              <w:pStyle w:val="TableContents"/>
              <w:bidi w:val="0"/>
              <w:spacing w:before="0" w:after="0"/>
              <w:ind w:left="0" w:right="0" w:hanging="0"/>
              <w:jc w:val="center"/>
              <w:rPr>
                <w:b/>
              </w:rPr>
            </w:pPr>
            <w:r>
              <w:rPr>
                <w:b/>
              </w:rPr>
              <w:t>Plasma Collection</w:t>
              <w:br/>
              <w:t>Centers</w:t>
            </w:r>
          </w:p>
        </w:tc>
        <w:tc>
          <w:tcPr>
            <w:tcW w:w="185" w:type="dxa"/>
            <w:tcBorders>
              <w:bottom w:val="single" w:sz="12" w:space="0" w:color="000000"/>
            </w:tcBorders>
            <w:tcMar>
              <w:bottom w:w="28" w:type="dxa"/>
            </w:tcMar>
          </w:tcPr>
          <w:p>
            <w:pPr>
              <w:pStyle w:val="TableContents"/>
              <w:bidi w:val="0"/>
              <w:spacing w:before="0" w:after="283"/>
              <w:jc w:val="center"/>
              <w:rPr/>
            </w:pPr>
            <w:r>
              <w:rPr/>
              <w:t> </w:t>
            </w:r>
          </w:p>
        </w:tc>
        <w:tc>
          <w:tcPr>
            <w:tcW w:w="90" w:type="dxa"/>
            <w:tcBorders/>
          </w:tcPr>
          <w:p>
            <w:pPr>
              <w:pStyle w:val="TableContents"/>
              <w:bidi w:val="0"/>
              <w:spacing w:before="0" w:after="283"/>
              <w:jc w:val="center"/>
              <w:rPr/>
            </w:pPr>
            <w:r>
              <w:rPr/>
              <w:t> </w:t>
            </w:r>
          </w:p>
        </w:tc>
        <w:tc>
          <w:tcPr>
            <w:tcW w:w="170" w:type="dxa"/>
            <w:tcBorders>
              <w:bottom w:val="single" w:sz="12" w:space="0" w:color="000000"/>
            </w:tcBorders>
            <w:tcMar>
              <w:bottom w:w="28" w:type="dxa"/>
            </w:tcMar>
          </w:tcPr>
          <w:p>
            <w:pPr>
              <w:pStyle w:val="TableContents"/>
              <w:bidi w:val="0"/>
              <w:spacing w:before="0" w:after="283"/>
              <w:jc w:val="center"/>
              <w:rPr/>
            </w:pPr>
            <w:r>
              <w:rPr/>
              <w:t> </w:t>
            </w:r>
          </w:p>
        </w:tc>
        <w:tc>
          <w:tcPr>
            <w:tcW w:w="830" w:type="dxa"/>
            <w:tcBorders>
              <w:bottom w:val="single" w:sz="12" w:space="0" w:color="000000"/>
            </w:tcBorders>
            <w:tcMar>
              <w:bottom w:w="28" w:type="dxa"/>
            </w:tcMar>
          </w:tcPr>
          <w:p>
            <w:pPr>
              <w:pStyle w:val="TableContents"/>
              <w:bidi w:val="0"/>
              <w:spacing w:before="0" w:after="0"/>
              <w:ind w:left="0" w:right="0" w:hanging="0"/>
              <w:jc w:val="center"/>
              <w:rPr>
                <w:b/>
              </w:rPr>
            </w:pPr>
            <w:r>
              <w:rPr>
                <w:b/>
              </w:rPr>
              <w:t>Total</w:t>
            </w:r>
          </w:p>
        </w:tc>
        <w:tc>
          <w:tcPr>
            <w:tcW w:w="232" w:type="dxa"/>
            <w:tcBorders>
              <w:bottom w:val="single" w:sz="12" w:space="0" w:color="000000"/>
            </w:tcBorders>
            <w:tcMar>
              <w:bottom w:w="28" w:type="dxa"/>
            </w:tcMar>
          </w:tcPr>
          <w:p>
            <w:pPr>
              <w:pStyle w:val="TableContents"/>
              <w:bidi w:val="0"/>
              <w:spacing w:before="0" w:after="283"/>
              <w:jc w:val="center"/>
              <w:rPr/>
            </w:pPr>
            <w:r>
              <w:rPr/>
              <w:t> </w:t>
            </w:r>
          </w:p>
        </w:tc>
      </w:tr>
      <w:tr>
        <w:trPr/>
        <w:tc>
          <w:tcPr>
            <w:tcW w:w="4113" w:type="dxa"/>
            <w:tcBorders/>
            <w:shd w:fill="CCEEFF" w:val="clear"/>
          </w:tcPr>
          <w:p>
            <w:pPr>
              <w:pStyle w:val="TableContents"/>
              <w:bidi w:val="0"/>
              <w:spacing w:before="0" w:after="0"/>
              <w:ind w:left="0" w:right="0" w:hanging="0"/>
              <w:jc w:val="left"/>
              <w:rPr/>
            </w:pPr>
            <w:r>
              <w:rPr/>
              <w:t>Revenues</w:t>
            </w:r>
          </w:p>
        </w:tc>
        <w:tc>
          <w:tcPr>
            <w:tcW w:w="101" w:type="dxa"/>
            <w:tcBorders/>
            <w:shd w:fill="CCEEFF" w:val="clear"/>
          </w:tcPr>
          <w:p>
            <w:pPr>
              <w:pStyle w:val="TableContents"/>
              <w:bidi w:val="0"/>
              <w:spacing w:before="0" w:after="0"/>
              <w:ind w:left="0" w:right="0" w:hanging="0"/>
              <w:jc w:val="right"/>
              <w:rPr/>
            </w:pPr>
            <w:r>
              <w:rPr/>
              <w:t> </w:t>
            </w:r>
          </w:p>
        </w:tc>
        <w:tc>
          <w:tcPr>
            <w:tcW w:w="191" w:type="dxa"/>
            <w:tcBorders/>
            <w:shd w:fill="CCEEFF" w:val="clear"/>
          </w:tcPr>
          <w:p>
            <w:pPr>
              <w:pStyle w:val="TableContents"/>
              <w:bidi w:val="0"/>
              <w:spacing w:before="0" w:after="0"/>
              <w:ind w:left="0" w:right="0" w:hanging="0"/>
              <w:jc w:val="left"/>
              <w:rPr/>
            </w:pPr>
            <w:r>
              <w:rPr/>
              <w:t>$</w:t>
            </w:r>
          </w:p>
        </w:tc>
        <w:tc>
          <w:tcPr>
            <w:tcW w:w="2187" w:type="dxa"/>
            <w:tcBorders/>
            <w:shd w:fill="CCEEFF" w:val="clear"/>
          </w:tcPr>
          <w:p>
            <w:pPr>
              <w:pStyle w:val="TableContents"/>
              <w:bidi w:val="0"/>
              <w:spacing w:before="0" w:after="0"/>
              <w:ind w:left="0" w:right="0" w:hanging="0"/>
              <w:jc w:val="right"/>
              <w:rPr/>
            </w:pPr>
            <w:r>
              <w:rPr/>
              <w:t>113,741</w:t>
            </w:r>
          </w:p>
        </w:tc>
        <w:tc>
          <w:tcPr>
            <w:tcW w:w="208" w:type="dxa"/>
            <w:tcBorders/>
            <w:shd w:fill="CCEEFF" w:val="clear"/>
          </w:tcPr>
          <w:p>
            <w:pPr>
              <w:pStyle w:val="TableContents"/>
              <w:bidi w:val="0"/>
              <w:spacing w:before="0" w:after="0"/>
              <w:ind w:left="0" w:right="0" w:hanging="0"/>
              <w:jc w:val="left"/>
              <w:rPr/>
            </w:pPr>
            <w:r>
              <w:rPr/>
              <w:t> </w:t>
            </w:r>
          </w:p>
        </w:tc>
        <w:tc>
          <w:tcPr>
            <w:tcW w:w="90" w:type="dxa"/>
            <w:tcBorders/>
            <w:shd w:fill="CCEEFF" w:val="clear"/>
          </w:tcPr>
          <w:p>
            <w:pPr>
              <w:pStyle w:val="TableContents"/>
              <w:bidi w:val="0"/>
              <w:spacing w:before="0" w:after="0"/>
              <w:ind w:left="0" w:right="0" w:hanging="0"/>
              <w:jc w:val="right"/>
              <w:rPr/>
            </w:pPr>
            <w:r>
              <w:rPr/>
              <w:t> </w:t>
            </w:r>
          </w:p>
        </w:tc>
        <w:tc>
          <w:tcPr>
            <w:tcW w:w="170" w:type="dxa"/>
            <w:tcBorders/>
            <w:shd w:fill="CCEEFF" w:val="clear"/>
          </w:tcPr>
          <w:p>
            <w:pPr>
              <w:pStyle w:val="TableContents"/>
              <w:bidi w:val="0"/>
              <w:spacing w:before="0" w:after="0"/>
              <w:ind w:left="0" w:right="0" w:hanging="0"/>
              <w:jc w:val="left"/>
              <w:rPr/>
            </w:pPr>
            <w:r>
              <w:rPr/>
              <w:t>$</w:t>
            </w:r>
          </w:p>
        </w:tc>
        <w:tc>
          <w:tcPr>
            <w:tcW w:w="1638" w:type="dxa"/>
            <w:tcBorders/>
            <w:shd w:fill="CCEEFF" w:val="clear"/>
          </w:tcPr>
          <w:p>
            <w:pPr>
              <w:pStyle w:val="TableContents"/>
              <w:bidi w:val="0"/>
              <w:spacing w:before="0" w:after="0"/>
              <w:ind w:left="0" w:right="0" w:hanging="0"/>
              <w:jc w:val="right"/>
              <w:rPr/>
            </w:pPr>
            <w:r>
              <w:rPr/>
              <w:t>716</w:t>
            </w:r>
          </w:p>
        </w:tc>
        <w:tc>
          <w:tcPr>
            <w:tcW w:w="185" w:type="dxa"/>
            <w:tcBorders/>
            <w:shd w:fill="CCEEFF" w:val="clear"/>
          </w:tcPr>
          <w:p>
            <w:pPr>
              <w:pStyle w:val="TableContents"/>
              <w:bidi w:val="0"/>
              <w:spacing w:before="0" w:after="0"/>
              <w:ind w:left="0" w:right="0" w:hanging="0"/>
              <w:jc w:val="left"/>
              <w:rPr/>
            </w:pPr>
            <w:r>
              <w:rPr/>
              <w:t> </w:t>
            </w:r>
          </w:p>
        </w:tc>
        <w:tc>
          <w:tcPr>
            <w:tcW w:w="90" w:type="dxa"/>
            <w:tcBorders/>
            <w:shd w:fill="CCEEFF" w:val="clear"/>
          </w:tcPr>
          <w:p>
            <w:pPr>
              <w:pStyle w:val="TableContents"/>
              <w:bidi w:val="0"/>
              <w:spacing w:before="0" w:after="0"/>
              <w:ind w:left="0" w:right="0" w:hanging="0"/>
              <w:jc w:val="right"/>
              <w:rPr/>
            </w:pPr>
            <w:r>
              <w:rPr/>
              <w:t> </w:t>
            </w:r>
          </w:p>
        </w:tc>
        <w:tc>
          <w:tcPr>
            <w:tcW w:w="170" w:type="dxa"/>
            <w:tcBorders/>
            <w:shd w:fill="CCEEFF" w:val="clear"/>
          </w:tcPr>
          <w:p>
            <w:pPr>
              <w:pStyle w:val="TableContents"/>
              <w:bidi w:val="0"/>
              <w:spacing w:before="0" w:after="0"/>
              <w:ind w:left="0" w:right="0" w:hanging="0"/>
              <w:jc w:val="left"/>
              <w:rPr/>
            </w:pPr>
            <w:r>
              <w:rPr/>
              <w:t>$</w:t>
            </w:r>
          </w:p>
        </w:tc>
        <w:tc>
          <w:tcPr>
            <w:tcW w:w="830" w:type="dxa"/>
            <w:tcBorders/>
            <w:shd w:fill="CCEEFF" w:val="clear"/>
          </w:tcPr>
          <w:p>
            <w:pPr>
              <w:pStyle w:val="TableContents"/>
              <w:bidi w:val="0"/>
              <w:spacing w:before="0" w:after="0"/>
              <w:ind w:left="0" w:right="0" w:hanging="0"/>
              <w:jc w:val="right"/>
              <w:rPr/>
            </w:pPr>
            <w:r>
              <w:rPr/>
              <w:t>114,457</w:t>
            </w:r>
          </w:p>
        </w:tc>
        <w:tc>
          <w:tcPr>
            <w:tcW w:w="232" w:type="dxa"/>
            <w:tcBorders/>
            <w:shd w:fill="CCEEFF" w:val="clear"/>
          </w:tcPr>
          <w:p>
            <w:pPr>
              <w:pStyle w:val="TableContents"/>
              <w:bidi w:val="0"/>
              <w:spacing w:before="0" w:after="0"/>
              <w:jc w:val="left"/>
              <w:rPr/>
            </w:pPr>
            <w:r>
              <w:rPr/>
              <w:t> </w:t>
            </w:r>
          </w:p>
        </w:tc>
      </w:tr>
      <w:tr>
        <w:trPr/>
        <w:tc>
          <w:tcPr>
            <w:tcW w:w="4113" w:type="dxa"/>
            <w:tcBorders/>
          </w:tcPr>
          <w:p>
            <w:pPr>
              <w:pStyle w:val="TableContents"/>
              <w:bidi w:val="0"/>
              <w:spacing w:before="0" w:after="283"/>
              <w:jc w:val="left"/>
              <w:rPr/>
            </w:pPr>
            <w:r>
              <w:rPr/>
              <w:t> </w:t>
            </w:r>
          </w:p>
        </w:tc>
        <w:tc>
          <w:tcPr>
            <w:tcW w:w="101" w:type="dxa"/>
            <w:tcBorders/>
          </w:tcPr>
          <w:p>
            <w:pPr>
              <w:pStyle w:val="TableContents"/>
              <w:bidi w:val="0"/>
              <w:spacing w:before="0" w:after="283"/>
              <w:jc w:val="left"/>
              <w:rPr/>
            </w:pPr>
            <w:r>
              <w:rPr/>
              <w:t> </w:t>
            </w:r>
          </w:p>
        </w:tc>
        <w:tc>
          <w:tcPr>
            <w:tcW w:w="191" w:type="dxa"/>
            <w:tcBorders/>
          </w:tcPr>
          <w:p>
            <w:pPr>
              <w:pStyle w:val="TableContents"/>
              <w:bidi w:val="0"/>
              <w:spacing w:before="0" w:after="283"/>
              <w:jc w:val="left"/>
              <w:rPr/>
            </w:pPr>
            <w:r>
              <w:rPr/>
              <w:t> </w:t>
            </w:r>
          </w:p>
        </w:tc>
        <w:tc>
          <w:tcPr>
            <w:tcW w:w="2187" w:type="dxa"/>
            <w:tcBorders/>
          </w:tcPr>
          <w:p>
            <w:pPr>
              <w:pStyle w:val="TableContents"/>
              <w:bidi w:val="0"/>
              <w:spacing w:before="0" w:after="283"/>
              <w:jc w:val="left"/>
              <w:rPr/>
            </w:pPr>
            <w:r>
              <w:rPr/>
              <w:t> </w:t>
            </w:r>
          </w:p>
        </w:tc>
        <w:tc>
          <w:tcPr>
            <w:tcW w:w="208" w:type="dxa"/>
            <w:tcBorders/>
          </w:tcPr>
          <w:p>
            <w:pPr>
              <w:pStyle w:val="TableContents"/>
              <w:bidi w:val="0"/>
              <w:spacing w:before="0" w:after="283"/>
              <w:jc w:val="left"/>
              <w:rPr/>
            </w:pPr>
            <w:r>
              <w:rPr/>
              <w:t> </w:t>
            </w:r>
          </w:p>
        </w:tc>
        <w:tc>
          <w:tcPr>
            <w:tcW w:w="90" w:type="dxa"/>
            <w:tcBorders/>
          </w:tcPr>
          <w:p>
            <w:pPr>
              <w:pStyle w:val="TableContents"/>
              <w:bidi w:val="0"/>
              <w:spacing w:before="0" w:after="283"/>
              <w:jc w:val="left"/>
              <w:rPr/>
            </w:pPr>
            <w:r>
              <w:rPr/>
              <w:t> </w:t>
            </w:r>
          </w:p>
        </w:tc>
        <w:tc>
          <w:tcPr>
            <w:tcW w:w="170" w:type="dxa"/>
            <w:tcBorders/>
          </w:tcPr>
          <w:p>
            <w:pPr>
              <w:pStyle w:val="TableContents"/>
              <w:bidi w:val="0"/>
              <w:spacing w:before="0" w:after="283"/>
              <w:jc w:val="left"/>
              <w:rPr/>
            </w:pPr>
            <w:r>
              <w:rPr/>
              <w:t> </w:t>
            </w:r>
          </w:p>
        </w:tc>
        <w:tc>
          <w:tcPr>
            <w:tcW w:w="1638" w:type="dxa"/>
            <w:tcBorders/>
          </w:tcPr>
          <w:p>
            <w:pPr>
              <w:pStyle w:val="TableContents"/>
              <w:bidi w:val="0"/>
              <w:spacing w:before="0" w:after="283"/>
              <w:jc w:val="left"/>
              <w:rPr/>
            </w:pPr>
            <w:r>
              <w:rPr/>
              <w:t> </w:t>
            </w:r>
          </w:p>
        </w:tc>
        <w:tc>
          <w:tcPr>
            <w:tcW w:w="185" w:type="dxa"/>
            <w:tcBorders/>
          </w:tcPr>
          <w:p>
            <w:pPr>
              <w:pStyle w:val="TableContents"/>
              <w:bidi w:val="0"/>
              <w:spacing w:before="0" w:after="283"/>
              <w:jc w:val="left"/>
              <w:rPr/>
            </w:pPr>
            <w:r>
              <w:rPr/>
              <w:t> </w:t>
            </w:r>
          </w:p>
        </w:tc>
        <w:tc>
          <w:tcPr>
            <w:tcW w:w="90" w:type="dxa"/>
            <w:tcBorders/>
          </w:tcPr>
          <w:p>
            <w:pPr>
              <w:pStyle w:val="TableContents"/>
              <w:bidi w:val="0"/>
              <w:spacing w:before="0" w:after="283"/>
              <w:jc w:val="left"/>
              <w:rPr/>
            </w:pPr>
            <w:r>
              <w:rPr/>
              <w:t> </w:t>
            </w:r>
          </w:p>
        </w:tc>
        <w:tc>
          <w:tcPr>
            <w:tcW w:w="170" w:type="dxa"/>
            <w:tcBorders/>
          </w:tcPr>
          <w:p>
            <w:pPr>
              <w:pStyle w:val="TableContents"/>
              <w:bidi w:val="0"/>
              <w:spacing w:before="0" w:after="283"/>
              <w:jc w:val="left"/>
              <w:rPr/>
            </w:pPr>
            <w:r>
              <w:rPr/>
              <w:t> </w:t>
            </w:r>
          </w:p>
        </w:tc>
        <w:tc>
          <w:tcPr>
            <w:tcW w:w="830" w:type="dxa"/>
            <w:tcBorders/>
          </w:tcPr>
          <w:p>
            <w:pPr>
              <w:pStyle w:val="TableContents"/>
              <w:bidi w:val="0"/>
              <w:spacing w:before="0" w:after="283"/>
              <w:jc w:val="left"/>
              <w:rPr/>
            </w:pPr>
            <w:r>
              <w:rPr/>
              <w:t> </w:t>
            </w:r>
          </w:p>
        </w:tc>
        <w:tc>
          <w:tcPr>
            <w:tcW w:w="232" w:type="dxa"/>
            <w:tcBorders/>
          </w:tcPr>
          <w:p>
            <w:pPr>
              <w:pStyle w:val="TableContents"/>
              <w:bidi w:val="0"/>
              <w:spacing w:before="0" w:after="283"/>
              <w:jc w:val="left"/>
              <w:rPr/>
            </w:pPr>
            <w:r>
              <w:rPr/>
              <w:t> </w:t>
            </w:r>
          </w:p>
        </w:tc>
      </w:tr>
      <w:tr>
        <w:trPr/>
        <w:tc>
          <w:tcPr>
            <w:tcW w:w="4113" w:type="dxa"/>
            <w:tcBorders/>
            <w:shd w:fill="CCEEFF" w:val="clear"/>
          </w:tcPr>
          <w:p>
            <w:pPr>
              <w:pStyle w:val="TableContents"/>
              <w:bidi w:val="0"/>
              <w:spacing w:before="0" w:after="0"/>
              <w:ind w:left="0" w:right="0" w:hanging="0"/>
              <w:jc w:val="left"/>
              <w:rPr/>
            </w:pPr>
            <w:r>
              <w:rPr/>
              <w:t>Cost of product revenue</w:t>
            </w:r>
          </w:p>
        </w:tc>
        <w:tc>
          <w:tcPr>
            <w:tcW w:w="101" w:type="dxa"/>
            <w:tcBorders/>
            <w:shd w:fill="CCEEFF" w:val="clear"/>
          </w:tcPr>
          <w:p>
            <w:pPr>
              <w:pStyle w:val="TableContents"/>
              <w:bidi w:val="0"/>
              <w:spacing w:before="0" w:after="0"/>
              <w:ind w:left="0" w:right="0" w:hanging="0"/>
              <w:jc w:val="right"/>
              <w:rPr/>
            </w:pPr>
            <w:r>
              <w:rPr/>
              <w:t> </w:t>
            </w:r>
          </w:p>
        </w:tc>
        <w:tc>
          <w:tcPr>
            <w:tcW w:w="191" w:type="dxa"/>
            <w:tcBorders/>
            <w:shd w:fill="CCEEFF" w:val="clear"/>
          </w:tcPr>
          <w:p>
            <w:pPr>
              <w:pStyle w:val="TableContents"/>
              <w:bidi w:val="0"/>
              <w:spacing w:before="0" w:after="0"/>
              <w:ind w:left="0" w:right="0" w:hanging="0"/>
              <w:jc w:val="left"/>
              <w:rPr/>
            </w:pPr>
            <w:r>
              <w:rPr/>
              <w:t> </w:t>
            </w:r>
          </w:p>
        </w:tc>
        <w:tc>
          <w:tcPr>
            <w:tcW w:w="2187" w:type="dxa"/>
            <w:tcBorders/>
            <w:shd w:fill="CCEEFF" w:val="clear"/>
          </w:tcPr>
          <w:p>
            <w:pPr>
              <w:pStyle w:val="TableContents"/>
              <w:bidi w:val="0"/>
              <w:spacing w:before="0" w:after="0"/>
              <w:ind w:left="0" w:right="0" w:hanging="0"/>
              <w:jc w:val="right"/>
              <w:rPr/>
            </w:pPr>
            <w:r>
              <w:rPr/>
              <w:t>32,950</w:t>
            </w:r>
          </w:p>
        </w:tc>
        <w:tc>
          <w:tcPr>
            <w:tcW w:w="208" w:type="dxa"/>
            <w:tcBorders/>
            <w:shd w:fill="CCEEFF" w:val="clear"/>
          </w:tcPr>
          <w:p>
            <w:pPr>
              <w:pStyle w:val="TableContents"/>
              <w:bidi w:val="0"/>
              <w:spacing w:before="0" w:after="0"/>
              <w:ind w:left="0" w:right="0" w:hanging="0"/>
              <w:jc w:val="left"/>
              <w:rPr/>
            </w:pPr>
            <w:r>
              <w:rPr/>
              <w:t> </w:t>
            </w:r>
          </w:p>
        </w:tc>
        <w:tc>
          <w:tcPr>
            <w:tcW w:w="90" w:type="dxa"/>
            <w:tcBorders/>
            <w:shd w:fill="CCEEFF" w:val="clear"/>
          </w:tcPr>
          <w:p>
            <w:pPr>
              <w:pStyle w:val="TableContents"/>
              <w:bidi w:val="0"/>
              <w:spacing w:before="0" w:after="0"/>
              <w:ind w:left="0" w:right="0" w:hanging="0"/>
              <w:jc w:val="right"/>
              <w:rPr/>
            </w:pPr>
            <w:r>
              <w:rPr/>
              <w:t> </w:t>
            </w:r>
          </w:p>
        </w:tc>
        <w:tc>
          <w:tcPr>
            <w:tcW w:w="170" w:type="dxa"/>
            <w:tcBorders/>
            <w:shd w:fill="CCEEFF" w:val="clear"/>
          </w:tcPr>
          <w:p>
            <w:pPr>
              <w:pStyle w:val="TableContents"/>
              <w:bidi w:val="0"/>
              <w:spacing w:before="0" w:after="0"/>
              <w:ind w:left="0" w:right="0" w:hanging="0"/>
              <w:jc w:val="left"/>
              <w:rPr/>
            </w:pPr>
            <w:r>
              <w:rPr/>
              <w:t> </w:t>
            </w:r>
          </w:p>
        </w:tc>
        <w:tc>
          <w:tcPr>
            <w:tcW w:w="1638" w:type="dxa"/>
            <w:tcBorders/>
            <w:shd w:fill="CCEEFF" w:val="clear"/>
          </w:tcPr>
          <w:p>
            <w:pPr>
              <w:pStyle w:val="TableContents"/>
              <w:bidi w:val="0"/>
              <w:spacing w:before="0" w:after="0"/>
              <w:ind w:left="0" w:right="0" w:hanging="0"/>
              <w:jc w:val="right"/>
              <w:rPr/>
            </w:pPr>
            <w:r>
              <w:rPr/>
              <w:t>793</w:t>
            </w:r>
          </w:p>
        </w:tc>
        <w:tc>
          <w:tcPr>
            <w:tcW w:w="185" w:type="dxa"/>
            <w:tcBorders/>
            <w:shd w:fill="CCEEFF" w:val="clear"/>
          </w:tcPr>
          <w:p>
            <w:pPr>
              <w:pStyle w:val="TableContents"/>
              <w:bidi w:val="0"/>
              <w:spacing w:before="0" w:after="0"/>
              <w:ind w:left="0" w:right="0" w:hanging="0"/>
              <w:jc w:val="left"/>
              <w:rPr/>
            </w:pPr>
            <w:r>
              <w:rPr/>
              <w:t> </w:t>
            </w:r>
          </w:p>
        </w:tc>
        <w:tc>
          <w:tcPr>
            <w:tcW w:w="90" w:type="dxa"/>
            <w:tcBorders/>
            <w:shd w:fill="CCEEFF" w:val="clear"/>
          </w:tcPr>
          <w:p>
            <w:pPr>
              <w:pStyle w:val="TableContents"/>
              <w:bidi w:val="0"/>
              <w:spacing w:before="0" w:after="0"/>
              <w:ind w:left="0" w:right="0" w:hanging="0"/>
              <w:jc w:val="right"/>
              <w:rPr/>
            </w:pPr>
            <w:r>
              <w:rPr/>
              <w:t> </w:t>
            </w:r>
          </w:p>
        </w:tc>
        <w:tc>
          <w:tcPr>
            <w:tcW w:w="170" w:type="dxa"/>
            <w:tcBorders/>
            <w:shd w:fill="CCEEFF" w:val="clear"/>
          </w:tcPr>
          <w:p>
            <w:pPr>
              <w:pStyle w:val="TableContents"/>
              <w:bidi w:val="0"/>
              <w:spacing w:before="0" w:after="0"/>
              <w:ind w:left="0" w:right="0" w:hanging="0"/>
              <w:jc w:val="left"/>
              <w:rPr/>
            </w:pPr>
            <w:r>
              <w:rPr/>
              <w:t> </w:t>
            </w:r>
          </w:p>
        </w:tc>
        <w:tc>
          <w:tcPr>
            <w:tcW w:w="830" w:type="dxa"/>
            <w:tcBorders/>
            <w:shd w:fill="CCEEFF" w:val="clear"/>
          </w:tcPr>
          <w:p>
            <w:pPr>
              <w:pStyle w:val="TableContents"/>
              <w:bidi w:val="0"/>
              <w:spacing w:before="0" w:after="0"/>
              <w:ind w:left="0" w:right="0" w:hanging="0"/>
              <w:jc w:val="right"/>
              <w:rPr/>
            </w:pPr>
            <w:r>
              <w:rPr/>
              <w:t>33,743</w:t>
            </w:r>
          </w:p>
        </w:tc>
        <w:tc>
          <w:tcPr>
            <w:tcW w:w="232" w:type="dxa"/>
            <w:tcBorders/>
            <w:shd w:fill="CCEEFF" w:val="clear"/>
          </w:tcPr>
          <w:p>
            <w:pPr>
              <w:pStyle w:val="TableContents"/>
              <w:bidi w:val="0"/>
              <w:spacing w:before="0" w:after="0"/>
              <w:jc w:val="left"/>
              <w:rPr/>
            </w:pPr>
            <w:r>
              <w:rPr/>
              <w:t> </w:t>
            </w:r>
          </w:p>
        </w:tc>
      </w:tr>
      <w:tr>
        <w:trPr/>
        <w:tc>
          <w:tcPr>
            <w:tcW w:w="4113" w:type="dxa"/>
            <w:tcBorders/>
          </w:tcPr>
          <w:p>
            <w:pPr>
              <w:pStyle w:val="TableContents"/>
              <w:bidi w:val="0"/>
              <w:spacing w:before="0" w:after="283"/>
              <w:jc w:val="left"/>
              <w:rPr/>
            </w:pPr>
            <w:r>
              <w:rPr/>
              <w:t> </w:t>
            </w:r>
          </w:p>
        </w:tc>
        <w:tc>
          <w:tcPr>
            <w:tcW w:w="101" w:type="dxa"/>
            <w:tcBorders/>
          </w:tcPr>
          <w:p>
            <w:pPr>
              <w:pStyle w:val="TableContents"/>
              <w:bidi w:val="0"/>
              <w:spacing w:before="0" w:after="283"/>
              <w:jc w:val="left"/>
              <w:rPr/>
            </w:pPr>
            <w:r>
              <w:rPr/>
              <w:t> </w:t>
            </w:r>
          </w:p>
        </w:tc>
        <w:tc>
          <w:tcPr>
            <w:tcW w:w="191" w:type="dxa"/>
            <w:tcBorders/>
          </w:tcPr>
          <w:p>
            <w:pPr>
              <w:pStyle w:val="TableContents"/>
              <w:bidi w:val="0"/>
              <w:spacing w:before="0" w:after="283"/>
              <w:jc w:val="left"/>
              <w:rPr/>
            </w:pPr>
            <w:r>
              <w:rPr/>
              <w:t> </w:t>
            </w:r>
          </w:p>
        </w:tc>
        <w:tc>
          <w:tcPr>
            <w:tcW w:w="2187" w:type="dxa"/>
            <w:tcBorders/>
          </w:tcPr>
          <w:p>
            <w:pPr>
              <w:pStyle w:val="TableContents"/>
              <w:bidi w:val="0"/>
              <w:spacing w:before="0" w:after="283"/>
              <w:jc w:val="left"/>
              <w:rPr/>
            </w:pPr>
            <w:r>
              <w:rPr/>
              <w:t> </w:t>
            </w:r>
          </w:p>
        </w:tc>
        <w:tc>
          <w:tcPr>
            <w:tcW w:w="208" w:type="dxa"/>
            <w:tcBorders/>
          </w:tcPr>
          <w:p>
            <w:pPr>
              <w:pStyle w:val="TableContents"/>
              <w:bidi w:val="0"/>
              <w:spacing w:before="0" w:after="283"/>
              <w:jc w:val="left"/>
              <w:rPr/>
            </w:pPr>
            <w:r>
              <w:rPr/>
              <w:t> </w:t>
            </w:r>
          </w:p>
        </w:tc>
        <w:tc>
          <w:tcPr>
            <w:tcW w:w="90" w:type="dxa"/>
            <w:tcBorders/>
          </w:tcPr>
          <w:p>
            <w:pPr>
              <w:pStyle w:val="TableContents"/>
              <w:bidi w:val="0"/>
              <w:spacing w:before="0" w:after="283"/>
              <w:jc w:val="left"/>
              <w:rPr/>
            </w:pPr>
            <w:r>
              <w:rPr/>
              <w:t> </w:t>
            </w:r>
          </w:p>
        </w:tc>
        <w:tc>
          <w:tcPr>
            <w:tcW w:w="170" w:type="dxa"/>
            <w:tcBorders/>
          </w:tcPr>
          <w:p>
            <w:pPr>
              <w:pStyle w:val="TableContents"/>
              <w:bidi w:val="0"/>
              <w:spacing w:before="0" w:after="283"/>
              <w:jc w:val="left"/>
              <w:rPr/>
            </w:pPr>
            <w:r>
              <w:rPr/>
              <w:t> </w:t>
            </w:r>
          </w:p>
        </w:tc>
        <w:tc>
          <w:tcPr>
            <w:tcW w:w="1638" w:type="dxa"/>
            <w:tcBorders/>
          </w:tcPr>
          <w:p>
            <w:pPr>
              <w:pStyle w:val="TableContents"/>
              <w:bidi w:val="0"/>
              <w:spacing w:before="0" w:after="283"/>
              <w:jc w:val="left"/>
              <w:rPr/>
            </w:pPr>
            <w:r>
              <w:rPr/>
              <w:t> </w:t>
            </w:r>
          </w:p>
        </w:tc>
        <w:tc>
          <w:tcPr>
            <w:tcW w:w="185" w:type="dxa"/>
            <w:tcBorders/>
          </w:tcPr>
          <w:p>
            <w:pPr>
              <w:pStyle w:val="TableContents"/>
              <w:bidi w:val="0"/>
              <w:spacing w:before="0" w:after="283"/>
              <w:jc w:val="left"/>
              <w:rPr/>
            </w:pPr>
            <w:r>
              <w:rPr/>
              <w:t> </w:t>
            </w:r>
          </w:p>
        </w:tc>
        <w:tc>
          <w:tcPr>
            <w:tcW w:w="90" w:type="dxa"/>
            <w:tcBorders/>
          </w:tcPr>
          <w:p>
            <w:pPr>
              <w:pStyle w:val="TableContents"/>
              <w:bidi w:val="0"/>
              <w:spacing w:before="0" w:after="283"/>
              <w:jc w:val="left"/>
              <w:rPr/>
            </w:pPr>
            <w:r>
              <w:rPr/>
              <w:t> </w:t>
            </w:r>
          </w:p>
        </w:tc>
        <w:tc>
          <w:tcPr>
            <w:tcW w:w="170" w:type="dxa"/>
            <w:tcBorders/>
          </w:tcPr>
          <w:p>
            <w:pPr>
              <w:pStyle w:val="TableContents"/>
              <w:bidi w:val="0"/>
              <w:spacing w:before="0" w:after="283"/>
              <w:jc w:val="left"/>
              <w:rPr/>
            </w:pPr>
            <w:r>
              <w:rPr/>
              <w:t> </w:t>
            </w:r>
          </w:p>
        </w:tc>
        <w:tc>
          <w:tcPr>
            <w:tcW w:w="830" w:type="dxa"/>
            <w:tcBorders/>
          </w:tcPr>
          <w:p>
            <w:pPr>
              <w:pStyle w:val="TableContents"/>
              <w:bidi w:val="0"/>
              <w:spacing w:before="0" w:after="283"/>
              <w:jc w:val="left"/>
              <w:rPr/>
            </w:pPr>
            <w:r>
              <w:rPr/>
              <w:t> </w:t>
            </w:r>
          </w:p>
        </w:tc>
        <w:tc>
          <w:tcPr>
            <w:tcW w:w="232" w:type="dxa"/>
            <w:tcBorders/>
          </w:tcPr>
          <w:p>
            <w:pPr>
              <w:pStyle w:val="TableContents"/>
              <w:bidi w:val="0"/>
              <w:spacing w:before="0" w:after="283"/>
              <w:jc w:val="left"/>
              <w:rPr/>
            </w:pPr>
            <w:r>
              <w:rPr/>
              <w:t> </w:t>
            </w:r>
          </w:p>
        </w:tc>
      </w:tr>
      <w:tr>
        <w:trPr/>
        <w:tc>
          <w:tcPr>
            <w:tcW w:w="4113" w:type="dxa"/>
            <w:tcBorders/>
            <w:shd w:fill="CCEEFF" w:val="clear"/>
          </w:tcPr>
          <w:p>
            <w:pPr>
              <w:pStyle w:val="TableContents"/>
              <w:bidi w:val="0"/>
              <w:spacing w:before="0" w:after="0"/>
              <w:ind w:left="0" w:right="0" w:hanging="0"/>
              <w:jc w:val="left"/>
              <w:rPr/>
            </w:pPr>
            <w:r>
              <w:rPr/>
              <w:t>Research and development</w:t>
            </w:r>
          </w:p>
        </w:tc>
        <w:tc>
          <w:tcPr>
            <w:tcW w:w="101" w:type="dxa"/>
            <w:tcBorders/>
            <w:shd w:fill="CCEEFF" w:val="clear"/>
          </w:tcPr>
          <w:p>
            <w:pPr>
              <w:pStyle w:val="TableContents"/>
              <w:bidi w:val="0"/>
              <w:spacing w:before="0" w:after="0"/>
              <w:ind w:left="0" w:right="0" w:hanging="0"/>
              <w:jc w:val="right"/>
              <w:rPr/>
            </w:pPr>
            <w:r>
              <w:rPr/>
              <w:t> </w:t>
            </w:r>
          </w:p>
        </w:tc>
        <w:tc>
          <w:tcPr>
            <w:tcW w:w="191" w:type="dxa"/>
            <w:tcBorders/>
            <w:shd w:fill="CCEEFF" w:val="clear"/>
          </w:tcPr>
          <w:p>
            <w:pPr>
              <w:pStyle w:val="TableContents"/>
              <w:bidi w:val="0"/>
              <w:spacing w:before="0" w:after="0"/>
              <w:ind w:left="0" w:right="0" w:hanging="0"/>
              <w:jc w:val="left"/>
              <w:rPr/>
            </w:pPr>
            <w:r>
              <w:rPr/>
              <w:t> </w:t>
            </w:r>
          </w:p>
        </w:tc>
        <w:tc>
          <w:tcPr>
            <w:tcW w:w="2187" w:type="dxa"/>
            <w:tcBorders/>
            <w:shd w:fill="CCEEFF" w:val="clear"/>
          </w:tcPr>
          <w:p>
            <w:pPr>
              <w:pStyle w:val="TableContents"/>
              <w:bidi w:val="0"/>
              <w:spacing w:before="0" w:after="0"/>
              <w:ind w:left="0" w:right="0" w:hanging="0"/>
              <w:jc w:val="right"/>
              <w:rPr/>
            </w:pPr>
            <w:r>
              <w:rPr/>
              <w:t>2,597</w:t>
            </w:r>
          </w:p>
        </w:tc>
        <w:tc>
          <w:tcPr>
            <w:tcW w:w="208" w:type="dxa"/>
            <w:tcBorders/>
            <w:shd w:fill="CCEEFF" w:val="clear"/>
          </w:tcPr>
          <w:p>
            <w:pPr>
              <w:pStyle w:val="TableContents"/>
              <w:bidi w:val="0"/>
              <w:spacing w:before="0" w:after="0"/>
              <w:ind w:left="0" w:right="0" w:hanging="0"/>
              <w:jc w:val="left"/>
              <w:rPr/>
            </w:pPr>
            <w:r>
              <w:rPr/>
              <w:t> </w:t>
            </w:r>
          </w:p>
        </w:tc>
        <w:tc>
          <w:tcPr>
            <w:tcW w:w="90" w:type="dxa"/>
            <w:tcBorders/>
            <w:shd w:fill="CCEEFF" w:val="clear"/>
          </w:tcPr>
          <w:p>
            <w:pPr>
              <w:pStyle w:val="TableContents"/>
              <w:bidi w:val="0"/>
              <w:spacing w:before="0" w:after="0"/>
              <w:ind w:left="0" w:right="0" w:hanging="0"/>
              <w:jc w:val="right"/>
              <w:rPr/>
            </w:pPr>
            <w:r>
              <w:rPr/>
              <w:t> </w:t>
            </w:r>
          </w:p>
        </w:tc>
        <w:tc>
          <w:tcPr>
            <w:tcW w:w="170" w:type="dxa"/>
            <w:tcBorders/>
            <w:shd w:fill="CCEEFF" w:val="clear"/>
          </w:tcPr>
          <w:p>
            <w:pPr>
              <w:pStyle w:val="TableContents"/>
              <w:bidi w:val="0"/>
              <w:spacing w:before="0" w:after="0"/>
              <w:ind w:left="0" w:right="0" w:hanging="0"/>
              <w:jc w:val="left"/>
              <w:rPr/>
            </w:pPr>
            <w:r>
              <w:rPr/>
              <w:t> </w:t>
            </w:r>
          </w:p>
        </w:tc>
        <w:tc>
          <w:tcPr>
            <w:tcW w:w="1638" w:type="dxa"/>
            <w:tcBorders/>
            <w:shd w:fill="CCEEFF" w:val="clear"/>
          </w:tcPr>
          <w:p>
            <w:pPr>
              <w:pStyle w:val="TableContents"/>
              <w:bidi w:val="0"/>
              <w:spacing w:before="0" w:after="0"/>
              <w:ind w:left="0" w:right="0" w:hanging="0"/>
              <w:jc w:val="right"/>
              <w:rPr/>
            </w:pPr>
            <w:r>
              <w:rPr/>
              <w:t>-</w:t>
            </w:r>
          </w:p>
        </w:tc>
        <w:tc>
          <w:tcPr>
            <w:tcW w:w="185" w:type="dxa"/>
            <w:tcBorders/>
            <w:shd w:fill="CCEEFF" w:val="clear"/>
          </w:tcPr>
          <w:p>
            <w:pPr>
              <w:pStyle w:val="TableContents"/>
              <w:bidi w:val="0"/>
              <w:spacing w:before="0" w:after="0"/>
              <w:ind w:left="0" w:right="0" w:hanging="0"/>
              <w:jc w:val="left"/>
              <w:rPr/>
            </w:pPr>
            <w:r>
              <w:rPr/>
              <w:t> </w:t>
            </w:r>
          </w:p>
        </w:tc>
        <w:tc>
          <w:tcPr>
            <w:tcW w:w="90" w:type="dxa"/>
            <w:tcBorders/>
            <w:shd w:fill="CCEEFF" w:val="clear"/>
          </w:tcPr>
          <w:p>
            <w:pPr>
              <w:pStyle w:val="TableContents"/>
              <w:bidi w:val="0"/>
              <w:spacing w:before="0" w:after="0"/>
              <w:ind w:left="0" w:right="0" w:hanging="0"/>
              <w:jc w:val="right"/>
              <w:rPr/>
            </w:pPr>
            <w:r>
              <w:rPr/>
              <w:t> </w:t>
            </w:r>
          </w:p>
        </w:tc>
        <w:tc>
          <w:tcPr>
            <w:tcW w:w="170" w:type="dxa"/>
            <w:tcBorders/>
            <w:shd w:fill="CCEEFF" w:val="clear"/>
          </w:tcPr>
          <w:p>
            <w:pPr>
              <w:pStyle w:val="TableContents"/>
              <w:bidi w:val="0"/>
              <w:spacing w:before="0" w:after="0"/>
              <w:ind w:left="0" w:right="0" w:hanging="0"/>
              <w:jc w:val="left"/>
              <w:rPr/>
            </w:pPr>
            <w:r>
              <w:rPr/>
              <w:t> </w:t>
            </w:r>
          </w:p>
        </w:tc>
        <w:tc>
          <w:tcPr>
            <w:tcW w:w="830" w:type="dxa"/>
            <w:tcBorders/>
            <w:shd w:fill="CCEEFF" w:val="clear"/>
          </w:tcPr>
          <w:p>
            <w:pPr>
              <w:pStyle w:val="TableContents"/>
              <w:bidi w:val="0"/>
              <w:spacing w:before="0" w:after="0"/>
              <w:ind w:left="0" w:right="0" w:hanging="0"/>
              <w:jc w:val="right"/>
              <w:rPr/>
            </w:pPr>
            <w:r>
              <w:rPr/>
              <w:t>2,597</w:t>
            </w:r>
          </w:p>
        </w:tc>
        <w:tc>
          <w:tcPr>
            <w:tcW w:w="232" w:type="dxa"/>
            <w:tcBorders/>
            <w:shd w:fill="CCEEFF" w:val="clear"/>
          </w:tcPr>
          <w:p>
            <w:pPr>
              <w:pStyle w:val="TableContents"/>
              <w:bidi w:val="0"/>
              <w:spacing w:before="0" w:after="0"/>
              <w:jc w:val="left"/>
              <w:rPr/>
            </w:pPr>
            <w:r>
              <w:rPr/>
              <w:t> </w:t>
            </w:r>
          </w:p>
        </w:tc>
      </w:tr>
      <w:tr>
        <w:trPr/>
        <w:tc>
          <w:tcPr>
            <w:tcW w:w="4113" w:type="dxa"/>
            <w:tcBorders/>
          </w:tcPr>
          <w:p>
            <w:pPr>
              <w:pStyle w:val="TableContents"/>
              <w:bidi w:val="0"/>
              <w:spacing w:before="0" w:after="283"/>
              <w:jc w:val="left"/>
              <w:rPr/>
            </w:pPr>
            <w:r>
              <w:rPr/>
              <w:t> </w:t>
            </w:r>
          </w:p>
        </w:tc>
        <w:tc>
          <w:tcPr>
            <w:tcW w:w="101" w:type="dxa"/>
            <w:tcBorders/>
          </w:tcPr>
          <w:p>
            <w:pPr>
              <w:pStyle w:val="TableContents"/>
              <w:bidi w:val="0"/>
              <w:spacing w:before="0" w:after="283"/>
              <w:jc w:val="left"/>
              <w:rPr/>
            </w:pPr>
            <w:r>
              <w:rPr/>
              <w:t> </w:t>
            </w:r>
          </w:p>
        </w:tc>
        <w:tc>
          <w:tcPr>
            <w:tcW w:w="191" w:type="dxa"/>
            <w:tcBorders/>
          </w:tcPr>
          <w:p>
            <w:pPr>
              <w:pStyle w:val="TableContents"/>
              <w:bidi w:val="0"/>
              <w:spacing w:before="0" w:after="283"/>
              <w:jc w:val="left"/>
              <w:rPr/>
            </w:pPr>
            <w:r>
              <w:rPr/>
              <w:t> </w:t>
            </w:r>
          </w:p>
        </w:tc>
        <w:tc>
          <w:tcPr>
            <w:tcW w:w="2187" w:type="dxa"/>
            <w:tcBorders/>
          </w:tcPr>
          <w:p>
            <w:pPr>
              <w:pStyle w:val="TableContents"/>
              <w:bidi w:val="0"/>
              <w:spacing w:before="0" w:after="283"/>
              <w:jc w:val="left"/>
              <w:rPr/>
            </w:pPr>
            <w:r>
              <w:rPr/>
              <w:t> </w:t>
            </w:r>
          </w:p>
        </w:tc>
        <w:tc>
          <w:tcPr>
            <w:tcW w:w="208" w:type="dxa"/>
            <w:tcBorders/>
          </w:tcPr>
          <w:p>
            <w:pPr>
              <w:pStyle w:val="TableContents"/>
              <w:bidi w:val="0"/>
              <w:spacing w:before="0" w:after="283"/>
              <w:jc w:val="left"/>
              <w:rPr/>
            </w:pPr>
            <w:r>
              <w:rPr/>
              <w:t> </w:t>
            </w:r>
          </w:p>
        </w:tc>
        <w:tc>
          <w:tcPr>
            <w:tcW w:w="90" w:type="dxa"/>
            <w:tcBorders/>
          </w:tcPr>
          <w:p>
            <w:pPr>
              <w:pStyle w:val="TableContents"/>
              <w:bidi w:val="0"/>
              <w:spacing w:before="0" w:after="283"/>
              <w:jc w:val="left"/>
              <w:rPr/>
            </w:pPr>
            <w:r>
              <w:rPr/>
              <w:t> </w:t>
            </w:r>
          </w:p>
        </w:tc>
        <w:tc>
          <w:tcPr>
            <w:tcW w:w="170" w:type="dxa"/>
            <w:tcBorders/>
          </w:tcPr>
          <w:p>
            <w:pPr>
              <w:pStyle w:val="TableContents"/>
              <w:bidi w:val="0"/>
              <w:spacing w:before="0" w:after="283"/>
              <w:jc w:val="left"/>
              <w:rPr/>
            </w:pPr>
            <w:r>
              <w:rPr/>
              <w:t> </w:t>
            </w:r>
          </w:p>
        </w:tc>
        <w:tc>
          <w:tcPr>
            <w:tcW w:w="1638" w:type="dxa"/>
            <w:tcBorders/>
          </w:tcPr>
          <w:p>
            <w:pPr>
              <w:pStyle w:val="TableContents"/>
              <w:bidi w:val="0"/>
              <w:spacing w:before="0" w:after="283"/>
              <w:jc w:val="left"/>
              <w:rPr/>
            </w:pPr>
            <w:r>
              <w:rPr/>
              <w:t> </w:t>
            </w:r>
          </w:p>
        </w:tc>
        <w:tc>
          <w:tcPr>
            <w:tcW w:w="185" w:type="dxa"/>
            <w:tcBorders/>
          </w:tcPr>
          <w:p>
            <w:pPr>
              <w:pStyle w:val="TableContents"/>
              <w:bidi w:val="0"/>
              <w:spacing w:before="0" w:after="283"/>
              <w:jc w:val="left"/>
              <w:rPr/>
            </w:pPr>
            <w:r>
              <w:rPr/>
              <w:t> </w:t>
            </w:r>
          </w:p>
        </w:tc>
        <w:tc>
          <w:tcPr>
            <w:tcW w:w="90" w:type="dxa"/>
            <w:tcBorders/>
          </w:tcPr>
          <w:p>
            <w:pPr>
              <w:pStyle w:val="TableContents"/>
              <w:bidi w:val="0"/>
              <w:spacing w:before="0" w:after="283"/>
              <w:jc w:val="left"/>
              <w:rPr/>
            </w:pPr>
            <w:r>
              <w:rPr/>
              <w:t> </w:t>
            </w:r>
          </w:p>
        </w:tc>
        <w:tc>
          <w:tcPr>
            <w:tcW w:w="170" w:type="dxa"/>
            <w:tcBorders/>
          </w:tcPr>
          <w:p>
            <w:pPr>
              <w:pStyle w:val="TableContents"/>
              <w:bidi w:val="0"/>
              <w:spacing w:before="0" w:after="283"/>
              <w:jc w:val="left"/>
              <w:rPr/>
            </w:pPr>
            <w:r>
              <w:rPr/>
              <w:t> </w:t>
            </w:r>
          </w:p>
        </w:tc>
        <w:tc>
          <w:tcPr>
            <w:tcW w:w="830" w:type="dxa"/>
            <w:tcBorders/>
          </w:tcPr>
          <w:p>
            <w:pPr>
              <w:pStyle w:val="TableContents"/>
              <w:bidi w:val="0"/>
              <w:spacing w:before="0" w:after="283"/>
              <w:jc w:val="left"/>
              <w:rPr/>
            </w:pPr>
            <w:r>
              <w:rPr/>
              <w:t> </w:t>
            </w:r>
          </w:p>
        </w:tc>
        <w:tc>
          <w:tcPr>
            <w:tcW w:w="232" w:type="dxa"/>
            <w:tcBorders/>
          </w:tcPr>
          <w:p>
            <w:pPr>
              <w:pStyle w:val="TableContents"/>
              <w:bidi w:val="0"/>
              <w:spacing w:before="0" w:after="283"/>
              <w:jc w:val="left"/>
              <w:rPr/>
            </w:pPr>
            <w:r>
              <w:rPr/>
              <w:t> </w:t>
            </w:r>
          </w:p>
        </w:tc>
      </w:tr>
      <w:tr>
        <w:trPr/>
        <w:tc>
          <w:tcPr>
            <w:tcW w:w="4113" w:type="dxa"/>
            <w:tcBorders/>
            <w:shd w:fill="CCEEFF" w:val="clear"/>
          </w:tcPr>
          <w:p>
            <w:pPr>
              <w:pStyle w:val="TableContents"/>
              <w:bidi w:val="0"/>
              <w:spacing w:before="0" w:after="0"/>
              <w:ind w:left="0" w:right="0" w:hanging="0"/>
              <w:jc w:val="left"/>
              <w:rPr/>
            </w:pPr>
            <w:r>
              <w:rPr/>
              <w:t>Plasma center operating expenses</w:t>
            </w:r>
          </w:p>
        </w:tc>
        <w:tc>
          <w:tcPr>
            <w:tcW w:w="101" w:type="dxa"/>
            <w:tcBorders/>
            <w:shd w:fill="CCEEFF" w:val="clear"/>
          </w:tcPr>
          <w:p>
            <w:pPr>
              <w:pStyle w:val="TableContents"/>
              <w:bidi w:val="0"/>
              <w:spacing w:before="0" w:after="0"/>
              <w:ind w:left="0" w:right="0" w:hanging="0"/>
              <w:jc w:val="right"/>
              <w:rPr/>
            </w:pPr>
            <w:r>
              <w:rPr/>
              <w:t> </w:t>
            </w:r>
          </w:p>
        </w:tc>
        <w:tc>
          <w:tcPr>
            <w:tcW w:w="191" w:type="dxa"/>
            <w:tcBorders/>
            <w:shd w:fill="CCEEFF" w:val="clear"/>
          </w:tcPr>
          <w:p>
            <w:pPr>
              <w:pStyle w:val="TableContents"/>
              <w:bidi w:val="0"/>
              <w:spacing w:before="0" w:after="0"/>
              <w:ind w:left="0" w:right="0" w:hanging="0"/>
              <w:jc w:val="left"/>
              <w:rPr/>
            </w:pPr>
            <w:r>
              <w:rPr/>
              <w:t> </w:t>
            </w:r>
          </w:p>
        </w:tc>
        <w:tc>
          <w:tcPr>
            <w:tcW w:w="2187" w:type="dxa"/>
            <w:tcBorders/>
            <w:shd w:fill="CCEEFF" w:val="clear"/>
          </w:tcPr>
          <w:p>
            <w:pPr>
              <w:pStyle w:val="TableContents"/>
              <w:bidi w:val="0"/>
              <w:spacing w:before="0" w:after="0"/>
              <w:ind w:left="0" w:right="0" w:hanging="0"/>
              <w:jc w:val="right"/>
              <w:rPr/>
            </w:pPr>
            <w:r>
              <w:rPr/>
              <w:t>-</w:t>
            </w:r>
          </w:p>
        </w:tc>
        <w:tc>
          <w:tcPr>
            <w:tcW w:w="208" w:type="dxa"/>
            <w:tcBorders/>
            <w:shd w:fill="CCEEFF" w:val="clear"/>
          </w:tcPr>
          <w:p>
            <w:pPr>
              <w:pStyle w:val="TableContents"/>
              <w:bidi w:val="0"/>
              <w:spacing w:before="0" w:after="0"/>
              <w:ind w:left="0" w:right="0" w:hanging="0"/>
              <w:jc w:val="left"/>
              <w:rPr/>
            </w:pPr>
            <w:r>
              <w:rPr/>
              <w:t> </w:t>
            </w:r>
          </w:p>
        </w:tc>
        <w:tc>
          <w:tcPr>
            <w:tcW w:w="90" w:type="dxa"/>
            <w:tcBorders/>
            <w:shd w:fill="CCEEFF" w:val="clear"/>
          </w:tcPr>
          <w:p>
            <w:pPr>
              <w:pStyle w:val="TableContents"/>
              <w:bidi w:val="0"/>
              <w:spacing w:before="0" w:after="0"/>
              <w:ind w:left="0" w:right="0" w:hanging="0"/>
              <w:jc w:val="right"/>
              <w:rPr/>
            </w:pPr>
            <w:r>
              <w:rPr/>
              <w:t> </w:t>
            </w:r>
          </w:p>
        </w:tc>
        <w:tc>
          <w:tcPr>
            <w:tcW w:w="170" w:type="dxa"/>
            <w:tcBorders/>
            <w:shd w:fill="CCEEFF" w:val="clear"/>
          </w:tcPr>
          <w:p>
            <w:pPr>
              <w:pStyle w:val="TableContents"/>
              <w:bidi w:val="0"/>
              <w:spacing w:before="0" w:after="0"/>
              <w:ind w:left="0" w:right="0" w:hanging="0"/>
              <w:jc w:val="left"/>
              <w:rPr/>
            </w:pPr>
            <w:r>
              <w:rPr/>
              <w:t> </w:t>
            </w:r>
          </w:p>
        </w:tc>
        <w:tc>
          <w:tcPr>
            <w:tcW w:w="1638" w:type="dxa"/>
            <w:tcBorders/>
            <w:shd w:fill="CCEEFF" w:val="clear"/>
          </w:tcPr>
          <w:p>
            <w:pPr>
              <w:pStyle w:val="TableContents"/>
              <w:bidi w:val="0"/>
              <w:spacing w:before="0" w:after="0"/>
              <w:ind w:left="0" w:right="0" w:hanging="0"/>
              <w:jc w:val="right"/>
              <w:rPr/>
            </w:pPr>
            <w:r>
              <w:rPr/>
              <w:t>1,062</w:t>
            </w:r>
          </w:p>
        </w:tc>
        <w:tc>
          <w:tcPr>
            <w:tcW w:w="185" w:type="dxa"/>
            <w:tcBorders/>
            <w:shd w:fill="CCEEFF" w:val="clear"/>
          </w:tcPr>
          <w:p>
            <w:pPr>
              <w:pStyle w:val="TableContents"/>
              <w:bidi w:val="0"/>
              <w:spacing w:before="0" w:after="0"/>
              <w:ind w:left="0" w:right="0" w:hanging="0"/>
              <w:jc w:val="left"/>
              <w:rPr/>
            </w:pPr>
            <w:r>
              <w:rPr/>
              <w:t> </w:t>
            </w:r>
          </w:p>
        </w:tc>
        <w:tc>
          <w:tcPr>
            <w:tcW w:w="90" w:type="dxa"/>
            <w:tcBorders/>
            <w:shd w:fill="CCEEFF" w:val="clear"/>
          </w:tcPr>
          <w:p>
            <w:pPr>
              <w:pStyle w:val="TableContents"/>
              <w:bidi w:val="0"/>
              <w:spacing w:before="0" w:after="0"/>
              <w:ind w:left="0" w:right="0" w:hanging="0"/>
              <w:jc w:val="right"/>
              <w:rPr/>
            </w:pPr>
            <w:r>
              <w:rPr/>
              <w:t> </w:t>
            </w:r>
          </w:p>
        </w:tc>
        <w:tc>
          <w:tcPr>
            <w:tcW w:w="170" w:type="dxa"/>
            <w:tcBorders/>
            <w:shd w:fill="CCEEFF" w:val="clear"/>
          </w:tcPr>
          <w:p>
            <w:pPr>
              <w:pStyle w:val="TableContents"/>
              <w:bidi w:val="0"/>
              <w:spacing w:before="0" w:after="0"/>
              <w:ind w:left="0" w:right="0" w:hanging="0"/>
              <w:jc w:val="left"/>
              <w:rPr/>
            </w:pPr>
            <w:r>
              <w:rPr/>
              <w:t> </w:t>
            </w:r>
          </w:p>
        </w:tc>
        <w:tc>
          <w:tcPr>
            <w:tcW w:w="830" w:type="dxa"/>
            <w:tcBorders/>
            <w:shd w:fill="CCEEFF" w:val="clear"/>
          </w:tcPr>
          <w:p>
            <w:pPr>
              <w:pStyle w:val="TableContents"/>
              <w:bidi w:val="0"/>
              <w:spacing w:before="0" w:after="0"/>
              <w:ind w:left="0" w:right="0" w:hanging="0"/>
              <w:jc w:val="right"/>
              <w:rPr/>
            </w:pPr>
            <w:r>
              <w:rPr/>
              <w:t>1,062</w:t>
            </w:r>
          </w:p>
        </w:tc>
        <w:tc>
          <w:tcPr>
            <w:tcW w:w="232" w:type="dxa"/>
            <w:tcBorders/>
            <w:shd w:fill="CCEEFF" w:val="clear"/>
          </w:tcPr>
          <w:p>
            <w:pPr>
              <w:pStyle w:val="TableContents"/>
              <w:bidi w:val="0"/>
              <w:spacing w:before="0" w:after="0"/>
              <w:jc w:val="left"/>
              <w:rPr/>
            </w:pPr>
            <w:r>
              <w:rPr/>
              <w:t> </w:t>
            </w:r>
          </w:p>
        </w:tc>
      </w:tr>
      <w:tr>
        <w:trPr/>
        <w:tc>
          <w:tcPr>
            <w:tcW w:w="4113" w:type="dxa"/>
            <w:tcBorders/>
          </w:tcPr>
          <w:p>
            <w:pPr>
              <w:pStyle w:val="TableContents"/>
              <w:bidi w:val="0"/>
              <w:spacing w:before="0" w:after="283"/>
              <w:jc w:val="left"/>
              <w:rPr/>
            </w:pPr>
            <w:r>
              <w:rPr/>
              <w:t> </w:t>
            </w:r>
          </w:p>
        </w:tc>
        <w:tc>
          <w:tcPr>
            <w:tcW w:w="101" w:type="dxa"/>
            <w:tcBorders/>
          </w:tcPr>
          <w:p>
            <w:pPr>
              <w:pStyle w:val="TableContents"/>
              <w:bidi w:val="0"/>
              <w:spacing w:before="0" w:after="283"/>
              <w:jc w:val="left"/>
              <w:rPr/>
            </w:pPr>
            <w:r>
              <w:rPr/>
              <w:t> </w:t>
            </w:r>
          </w:p>
        </w:tc>
        <w:tc>
          <w:tcPr>
            <w:tcW w:w="191" w:type="dxa"/>
            <w:tcBorders/>
          </w:tcPr>
          <w:p>
            <w:pPr>
              <w:pStyle w:val="TableContents"/>
              <w:bidi w:val="0"/>
              <w:spacing w:before="0" w:after="283"/>
              <w:jc w:val="left"/>
              <w:rPr/>
            </w:pPr>
            <w:r>
              <w:rPr/>
              <w:t> </w:t>
            </w:r>
          </w:p>
        </w:tc>
        <w:tc>
          <w:tcPr>
            <w:tcW w:w="2187" w:type="dxa"/>
            <w:tcBorders/>
          </w:tcPr>
          <w:p>
            <w:pPr>
              <w:pStyle w:val="TableContents"/>
              <w:bidi w:val="0"/>
              <w:spacing w:before="0" w:after="283"/>
              <w:jc w:val="left"/>
              <w:rPr/>
            </w:pPr>
            <w:r>
              <w:rPr/>
              <w:t> </w:t>
            </w:r>
          </w:p>
        </w:tc>
        <w:tc>
          <w:tcPr>
            <w:tcW w:w="208" w:type="dxa"/>
            <w:tcBorders/>
          </w:tcPr>
          <w:p>
            <w:pPr>
              <w:pStyle w:val="TableContents"/>
              <w:bidi w:val="0"/>
              <w:spacing w:before="0" w:after="283"/>
              <w:jc w:val="left"/>
              <w:rPr/>
            </w:pPr>
            <w:r>
              <w:rPr/>
              <w:t> </w:t>
            </w:r>
          </w:p>
        </w:tc>
        <w:tc>
          <w:tcPr>
            <w:tcW w:w="90" w:type="dxa"/>
            <w:tcBorders/>
          </w:tcPr>
          <w:p>
            <w:pPr>
              <w:pStyle w:val="TableContents"/>
              <w:bidi w:val="0"/>
              <w:spacing w:before="0" w:after="283"/>
              <w:jc w:val="left"/>
              <w:rPr/>
            </w:pPr>
            <w:r>
              <w:rPr/>
              <w:t> </w:t>
            </w:r>
          </w:p>
        </w:tc>
        <w:tc>
          <w:tcPr>
            <w:tcW w:w="170" w:type="dxa"/>
            <w:tcBorders/>
          </w:tcPr>
          <w:p>
            <w:pPr>
              <w:pStyle w:val="TableContents"/>
              <w:bidi w:val="0"/>
              <w:spacing w:before="0" w:after="283"/>
              <w:jc w:val="left"/>
              <w:rPr/>
            </w:pPr>
            <w:r>
              <w:rPr/>
              <w:t> </w:t>
            </w:r>
          </w:p>
        </w:tc>
        <w:tc>
          <w:tcPr>
            <w:tcW w:w="1638" w:type="dxa"/>
            <w:tcBorders/>
          </w:tcPr>
          <w:p>
            <w:pPr>
              <w:pStyle w:val="TableContents"/>
              <w:bidi w:val="0"/>
              <w:spacing w:before="0" w:after="283"/>
              <w:jc w:val="left"/>
              <w:rPr/>
            </w:pPr>
            <w:r>
              <w:rPr/>
              <w:t> </w:t>
            </w:r>
          </w:p>
        </w:tc>
        <w:tc>
          <w:tcPr>
            <w:tcW w:w="185" w:type="dxa"/>
            <w:tcBorders/>
          </w:tcPr>
          <w:p>
            <w:pPr>
              <w:pStyle w:val="TableContents"/>
              <w:bidi w:val="0"/>
              <w:spacing w:before="0" w:after="283"/>
              <w:jc w:val="left"/>
              <w:rPr/>
            </w:pPr>
            <w:r>
              <w:rPr/>
              <w:t> </w:t>
            </w:r>
          </w:p>
        </w:tc>
        <w:tc>
          <w:tcPr>
            <w:tcW w:w="90" w:type="dxa"/>
            <w:tcBorders/>
          </w:tcPr>
          <w:p>
            <w:pPr>
              <w:pStyle w:val="TableContents"/>
              <w:bidi w:val="0"/>
              <w:spacing w:before="0" w:after="283"/>
              <w:jc w:val="left"/>
              <w:rPr/>
            </w:pPr>
            <w:r>
              <w:rPr/>
              <w:t> </w:t>
            </w:r>
          </w:p>
        </w:tc>
        <w:tc>
          <w:tcPr>
            <w:tcW w:w="170" w:type="dxa"/>
            <w:tcBorders/>
          </w:tcPr>
          <w:p>
            <w:pPr>
              <w:pStyle w:val="TableContents"/>
              <w:bidi w:val="0"/>
              <w:spacing w:before="0" w:after="283"/>
              <w:jc w:val="left"/>
              <w:rPr/>
            </w:pPr>
            <w:r>
              <w:rPr/>
              <w:t> </w:t>
            </w:r>
          </w:p>
        </w:tc>
        <w:tc>
          <w:tcPr>
            <w:tcW w:w="830" w:type="dxa"/>
            <w:tcBorders/>
          </w:tcPr>
          <w:p>
            <w:pPr>
              <w:pStyle w:val="TableContents"/>
              <w:bidi w:val="0"/>
              <w:spacing w:before="0" w:after="283"/>
              <w:jc w:val="left"/>
              <w:rPr/>
            </w:pPr>
            <w:r>
              <w:rPr/>
              <w:t> </w:t>
            </w:r>
          </w:p>
        </w:tc>
        <w:tc>
          <w:tcPr>
            <w:tcW w:w="232" w:type="dxa"/>
            <w:tcBorders/>
          </w:tcPr>
          <w:p>
            <w:pPr>
              <w:pStyle w:val="TableContents"/>
              <w:bidi w:val="0"/>
              <w:spacing w:before="0" w:after="283"/>
              <w:jc w:val="left"/>
              <w:rPr/>
            </w:pPr>
            <w:r>
              <w:rPr/>
              <w:t> </w:t>
            </w:r>
          </w:p>
        </w:tc>
      </w:tr>
      <w:tr>
        <w:trPr/>
        <w:tc>
          <w:tcPr>
            <w:tcW w:w="4113" w:type="dxa"/>
            <w:tcBorders/>
            <w:shd w:fill="CCEEFF" w:val="clear"/>
          </w:tcPr>
          <w:p>
            <w:pPr>
              <w:pStyle w:val="TableContents"/>
              <w:bidi w:val="0"/>
              <w:spacing w:before="0" w:after="0"/>
              <w:ind w:left="0" w:right="0" w:hanging="0"/>
              <w:jc w:val="left"/>
              <w:rPr/>
            </w:pPr>
            <w:r>
              <w:rPr/>
              <w:t>Gain on sale of plasma centers</w:t>
            </w:r>
          </w:p>
        </w:tc>
        <w:tc>
          <w:tcPr>
            <w:tcW w:w="101" w:type="dxa"/>
            <w:tcBorders/>
            <w:shd w:fill="CCEEFF" w:val="clear"/>
          </w:tcPr>
          <w:p>
            <w:pPr>
              <w:pStyle w:val="TableContents"/>
              <w:bidi w:val="0"/>
              <w:spacing w:before="0" w:after="0"/>
              <w:ind w:left="0" w:right="0" w:hanging="0"/>
              <w:jc w:val="right"/>
              <w:rPr/>
            </w:pPr>
            <w:r>
              <w:rPr/>
              <w:t> </w:t>
            </w:r>
          </w:p>
        </w:tc>
        <w:tc>
          <w:tcPr>
            <w:tcW w:w="191" w:type="dxa"/>
            <w:tcBorders/>
            <w:shd w:fill="CCEEFF" w:val="clear"/>
          </w:tcPr>
          <w:p>
            <w:pPr>
              <w:pStyle w:val="TableContents"/>
              <w:bidi w:val="0"/>
              <w:spacing w:before="0" w:after="0"/>
              <w:ind w:left="0" w:right="0" w:hanging="0"/>
              <w:jc w:val="left"/>
              <w:rPr/>
            </w:pPr>
            <w:r>
              <w:rPr/>
              <w:t> </w:t>
            </w:r>
          </w:p>
        </w:tc>
        <w:tc>
          <w:tcPr>
            <w:tcW w:w="2187" w:type="dxa"/>
            <w:tcBorders/>
            <w:shd w:fill="CCEEFF" w:val="clear"/>
          </w:tcPr>
          <w:p>
            <w:pPr>
              <w:pStyle w:val="TableContents"/>
              <w:bidi w:val="0"/>
              <w:spacing w:before="0" w:after="0"/>
              <w:ind w:left="0" w:right="0" w:hanging="0"/>
              <w:jc w:val="right"/>
              <w:rPr/>
            </w:pPr>
            <w:r>
              <w:rPr/>
              <w:t>-</w:t>
            </w:r>
          </w:p>
        </w:tc>
        <w:tc>
          <w:tcPr>
            <w:tcW w:w="208" w:type="dxa"/>
            <w:tcBorders/>
            <w:shd w:fill="CCEEFF" w:val="clear"/>
          </w:tcPr>
          <w:p>
            <w:pPr>
              <w:pStyle w:val="TableContents"/>
              <w:bidi w:val="0"/>
              <w:spacing w:before="0" w:after="0"/>
              <w:ind w:left="0" w:right="0" w:hanging="0"/>
              <w:jc w:val="left"/>
              <w:rPr/>
            </w:pPr>
            <w:r>
              <w:rPr/>
              <w:t> </w:t>
            </w:r>
          </w:p>
        </w:tc>
        <w:tc>
          <w:tcPr>
            <w:tcW w:w="90" w:type="dxa"/>
            <w:tcBorders/>
            <w:shd w:fill="CCEEFF" w:val="clear"/>
          </w:tcPr>
          <w:p>
            <w:pPr>
              <w:pStyle w:val="TableContents"/>
              <w:bidi w:val="0"/>
              <w:spacing w:before="0" w:after="0"/>
              <w:ind w:left="0" w:right="0" w:hanging="0"/>
              <w:jc w:val="right"/>
              <w:rPr/>
            </w:pPr>
            <w:r>
              <w:rPr/>
              <w:t> </w:t>
            </w:r>
          </w:p>
        </w:tc>
        <w:tc>
          <w:tcPr>
            <w:tcW w:w="170" w:type="dxa"/>
            <w:tcBorders/>
            <w:shd w:fill="CCEEFF" w:val="clear"/>
          </w:tcPr>
          <w:p>
            <w:pPr>
              <w:pStyle w:val="TableContents"/>
              <w:bidi w:val="0"/>
              <w:spacing w:before="0" w:after="0"/>
              <w:ind w:left="0" w:right="0" w:hanging="0"/>
              <w:jc w:val="left"/>
              <w:rPr/>
            </w:pPr>
            <w:r>
              <w:rPr/>
              <w:t> </w:t>
            </w:r>
          </w:p>
        </w:tc>
        <w:tc>
          <w:tcPr>
            <w:tcW w:w="1638" w:type="dxa"/>
            <w:tcBorders/>
            <w:shd w:fill="CCEEFF" w:val="clear"/>
          </w:tcPr>
          <w:p>
            <w:pPr>
              <w:pStyle w:val="TableContents"/>
              <w:bidi w:val="0"/>
              <w:spacing w:before="0" w:after="0"/>
              <w:ind w:left="0" w:right="0" w:hanging="0"/>
              <w:jc w:val="right"/>
              <w:rPr/>
            </w:pPr>
            <w:r>
              <w:rPr/>
              <w:t>(7,980</w:t>
            </w:r>
          </w:p>
        </w:tc>
        <w:tc>
          <w:tcPr>
            <w:tcW w:w="185" w:type="dxa"/>
            <w:tcBorders/>
            <w:shd w:fill="CCEEFF" w:val="clear"/>
          </w:tcPr>
          <w:p>
            <w:pPr>
              <w:pStyle w:val="TableContents"/>
              <w:bidi w:val="0"/>
              <w:spacing w:before="0" w:after="0"/>
              <w:ind w:left="0" w:right="0" w:hanging="0"/>
              <w:jc w:val="left"/>
              <w:rPr/>
            </w:pPr>
            <w:r>
              <w:rPr/>
              <w:t>) </w:t>
            </w:r>
          </w:p>
        </w:tc>
        <w:tc>
          <w:tcPr>
            <w:tcW w:w="90" w:type="dxa"/>
            <w:tcBorders/>
            <w:shd w:fill="CCEEFF" w:val="clear"/>
          </w:tcPr>
          <w:p>
            <w:pPr>
              <w:pStyle w:val="TableContents"/>
              <w:bidi w:val="0"/>
              <w:spacing w:before="0" w:after="0"/>
              <w:ind w:left="0" w:right="0" w:hanging="0"/>
              <w:jc w:val="right"/>
              <w:rPr/>
            </w:pPr>
            <w:r>
              <w:rPr/>
              <w:t> </w:t>
            </w:r>
          </w:p>
        </w:tc>
        <w:tc>
          <w:tcPr>
            <w:tcW w:w="170" w:type="dxa"/>
            <w:tcBorders/>
            <w:shd w:fill="CCEEFF" w:val="clear"/>
          </w:tcPr>
          <w:p>
            <w:pPr>
              <w:pStyle w:val="TableContents"/>
              <w:bidi w:val="0"/>
              <w:spacing w:before="0" w:after="0"/>
              <w:ind w:left="0" w:right="0" w:hanging="0"/>
              <w:jc w:val="left"/>
              <w:rPr/>
            </w:pPr>
            <w:r>
              <w:rPr/>
              <w:t> </w:t>
            </w:r>
          </w:p>
        </w:tc>
        <w:tc>
          <w:tcPr>
            <w:tcW w:w="830" w:type="dxa"/>
            <w:tcBorders/>
            <w:shd w:fill="CCEEFF" w:val="clear"/>
          </w:tcPr>
          <w:p>
            <w:pPr>
              <w:pStyle w:val="TableContents"/>
              <w:bidi w:val="0"/>
              <w:spacing w:before="0" w:after="0"/>
              <w:ind w:left="0" w:right="0" w:hanging="0"/>
              <w:jc w:val="right"/>
              <w:rPr/>
            </w:pPr>
            <w:r>
              <w:rPr/>
              <w:t>(7,980</w:t>
            </w:r>
          </w:p>
        </w:tc>
        <w:tc>
          <w:tcPr>
            <w:tcW w:w="232" w:type="dxa"/>
            <w:tcBorders/>
            <w:shd w:fill="CCEEFF" w:val="clear"/>
          </w:tcPr>
          <w:p>
            <w:pPr>
              <w:pStyle w:val="TableContents"/>
              <w:bidi w:val="0"/>
              <w:spacing w:before="0" w:after="0"/>
              <w:jc w:val="left"/>
              <w:rPr/>
            </w:pPr>
            <w:r>
              <w:rPr/>
              <w:t>) </w:t>
            </w:r>
          </w:p>
        </w:tc>
      </w:tr>
      <w:tr>
        <w:trPr/>
        <w:tc>
          <w:tcPr>
            <w:tcW w:w="4113" w:type="dxa"/>
            <w:tcBorders/>
          </w:tcPr>
          <w:p>
            <w:pPr>
              <w:pStyle w:val="TableContents"/>
              <w:bidi w:val="0"/>
              <w:spacing w:before="0" w:after="283"/>
              <w:jc w:val="left"/>
              <w:rPr/>
            </w:pPr>
            <w:r>
              <w:rPr/>
              <w:t> </w:t>
            </w:r>
          </w:p>
        </w:tc>
        <w:tc>
          <w:tcPr>
            <w:tcW w:w="101" w:type="dxa"/>
            <w:tcBorders/>
          </w:tcPr>
          <w:p>
            <w:pPr>
              <w:pStyle w:val="TableContents"/>
              <w:bidi w:val="0"/>
              <w:spacing w:before="0" w:after="283"/>
              <w:jc w:val="left"/>
              <w:rPr/>
            </w:pPr>
            <w:r>
              <w:rPr/>
              <w:t> </w:t>
            </w:r>
          </w:p>
        </w:tc>
        <w:tc>
          <w:tcPr>
            <w:tcW w:w="191" w:type="dxa"/>
            <w:tcBorders/>
          </w:tcPr>
          <w:p>
            <w:pPr>
              <w:pStyle w:val="TableContents"/>
              <w:bidi w:val="0"/>
              <w:spacing w:before="0" w:after="283"/>
              <w:jc w:val="left"/>
              <w:rPr/>
            </w:pPr>
            <w:r>
              <w:rPr/>
              <w:t> </w:t>
            </w:r>
          </w:p>
        </w:tc>
        <w:tc>
          <w:tcPr>
            <w:tcW w:w="2187" w:type="dxa"/>
            <w:tcBorders/>
          </w:tcPr>
          <w:p>
            <w:pPr>
              <w:pStyle w:val="TableContents"/>
              <w:bidi w:val="0"/>
              <w:spacing w:before="0" w:after="283"/>
              <w:jc w:val="left"/>
              <w:rPr/>
            </w:pPr>
            <w:r>
              <w:rPr/>
              <w:t> </w:t>
            </w:r>
          </w:p>
        </w:tc>
        <w:tc>
          <w:tcPr>
            <w:tcW w:w="208" w:type="dxa"/>
            <w:tcBorders/>
          </w:tcPr>
          <w:p>
            <w:pPr>
              <w:pStyle w:val="TableContents"/>
              <w:bidi w:val="0"/>
              <w:spacing w:before="0" w:after="283"/>
              <w:jc w:val="left"/>
              <w:rPr/>
            </w:pPr>
            <w:r>
              <w:rPr/>
              <w:t> </w:t>
            </w:r>
          </w:p>
        </w:tc>
        <w:tc>
          <w:tcPr>
            <w:tcW w:w="90" w:type="dxa"/>
            <w:tcBorders/>
          </w:tcPr>
          <w:p>
            <w:pPr>
              <w:pStyle w:val="TableContents"/>
              <w:bidi w:val="0"/>
              <w:spacing w:before="0" w:after="283"/>
              <w:jc w:val="left"/>
              <w:rPr/>
            </w:pPr>
            <w:r>
              <w:rPr/>
              <w:t> </w:t>
            </w:r>
          </w:p>
        </w:tc>
        <w:tc>
          <w:tcPr>
            <w:tcW w:w="170" w:type="dxa"/>
            <w:tcBorders/>
          </w:tcPr>
          <w:p>
            <w:pPr>
              <w:pStyle w:val="TableContents"/>
              <w:bidi w:val="0"/>
              <w:spacing w:before="0" w:after="283"/>
              <w:jc w:val="left"/>
              <w:rPr/>
            </w:pPr>
            <w:r>
              <w:rPr/>
              <w:t> </w:t>
            </w:r>
          </w:p>
        </w:tc>
        <w:tc>
          <w:tcPr>
            <w:tcW w:w="1638" w:type="dxa"/>
            <w:tcBorders/>
          </w:tcPr>
          <w:p>
            <w:pPr>
              <w:pStyle w:val="TableContents"/>
              <w:bidi w:val="0"/>
              <w:spacing w:before="0" w:after="283"/>
              <w:jc w:val="left"/>
              <w:rPr/>
            </w:pPr>
            <w:r>
              <w:rPr/>
              <w:t> </w:t>
            </w:r>
          </w:p>
        </w:tc>
        <w:tc>
          <w:tcPr>
            <w:tcW w:w="185" w:type="dxa"/>
            <w:tcBorders/>
          </w:tcPr>
          <w:p>
            <w:pPr>
              <w:pStyle w:val="TableContents"/>
              <w:bidi w:val="0"/>
              <w:spacing w:before="0" w:after="283"/>
              <w:jc w:val="left"/>
              <w:rPr/>
            </w:pPr>
            <w:r>
              <w:rPr/>
              <w:t> </w:t>
            </w:r>
          </w:p>
        </w:tc>
        <w:tc>
          <w:tcPr>
            <w:tcW w:w="90" w:type="dxa"/>
            <w:tcBorders/>
          </w:tcPr>
          <w:p>
            <w:pPr>
              <w:pStyle w:val="TableContents"/>
              <w:bidi w:val="0"/>
              <w:spacing w:before="0" w:after="283"/>
              <w:jc w:val="left"/>
              <w:rPr/>
            </w:pPr>
            <w:r>
              <w:rPr/>
              <w:t> </w:t>
            </w:r>
          </w:p>
        </w:tc>
        <w:tc>
          <w:tcPr>
            <w:tcW w:w="170" w:type="dxa"/>
            <w:tcBorders/>
          </w:tcPr>
          <w:p>
            <w:pPr>
              <w:pStyle w:val="TableContents"/>
              <w:bidi w:val="0"/>
              <w:spacing w:before="0" w:after="283"/>
              <w:jc w:val="left"/>
              <w:rPr/>
            </w:pPr>
            <w:r>
              <w:rPr/>
              <w:t> </w:t>
            </w:r>
          </w:p>
        </w:tc>
        <w:tc>
          <w:tcPr>
            <w:tcW w:w="830" w:type="dxa"/>
            <w:tcBorders/>
          </w:tcPr>
          <w:p>
            <w:pPr>
              <w:pStyle w:val="TableContents"/>
              <w:bidi w:val="0"/>
              <w:spacing w:before="0" w:after="283"/>
              <w:jc w:val="left"/>
              <w:rPr/>
            </w:pPr>
            <w:r>
              <w:rPr/>
              <w:t> </w:t>
            </w:r>
          </w:p>
        </w:tc>
        <w:tc>
          <w:tcPr>
            <w:tcW w:w="232" w:type="dxa"/>
            <w:tcBorders/>
          </w:tcPr>
          <w:p>
            <w:pPr>
              <w:pStyle w:val="TableContents"/>
              <w:bidi w:val="0"/>
              <w:spacing w:before="0" w:after="283"/>
              <w:jc w:val="left"/>
              <w:rPr/>
            </w:pPr>
            <w:r>
              <w:rPr/>
              <w:t> </w:t>
            </w:r>
          </w:p>
        </w:tc>
      </w:tr>
      <w:tr>
        <w:trPr/>
        <w:tc>
          <w:tcPr>
            <w:tcW w:w="4113" w:type="dxa"/>
            <w:tcBorders/>
            <w:shd w:fill="CCEEFF" w:val="clear"/>
          </w:tcPr>
          <w:p>
            <w:pPr>
              <w:pStyle w:val="TableContents"/>
              <w:bidi w:val="0"/>
              <w:spacing w:before="0" w:after="0"/>
              <w:ind w:left="0" w:right="0" w:hanging="0"/>
              <w:jc w:val="left"/>
              <w:rPr/>
            </w:pPr>
            <w:r>
              <w:rPr/>
              <w:t>Selling, marketing and distribution</w:t>
            </w:r>
          </w:p>
        </w:tc>
        <w:tc>
          <w:tcPr>
            <w:tcW w:w="101" w:type="dxa"/>
            <w:tcBorders/>
            <w:shd w:fill="CCEEFF" w:val="clear"/>
          </w:tcPr>
          <w:p>
            <w:pPr>
              <w:pStyle w:val="TableContents"/>
              <w:bidi w:val="0"/>
              <w:spacing w:before="0" w:after="0"/>
              <w:ind w:left="0" w:right="0" w:hanging="0"/>
              <w:jc w:val="right"/>
              <w:rPr/>
            </w:pPr>
            <w:r>
              <w:rPr/>
              <w:t> </w:t>
            </w:r>
          </w:p>
        </w:tc>
        <w:tc>
          <w:tcPr>
            <w:tcW w:w="191" w:type="dxa"/>
            <w:tcBorders/>
            <w:shd w:fill="CCEEFF" w:val="clear"/>
          </w:tcPr>
          <w:p>
            <w:pPr>
              <w:pStyle w:val="TableContents"/>
              <w:bidi w:val="0"/>
              <w:spacing w:before="0" w:after="0"/>
              <w:ind w:left="0" w:right="0" w:hanging="0"/>
              <w:jc w:val="left"/>
              <w:rPr/>
            </w:pPr>
            <w:r>
              <w:rPr/>
              <w:t> </w:t>
            </w:r>
          </w:p>
        </w:tc>
        <w:tc>
          <w:tcPr>
            <w:tcW w:w="2187" w:type="dxa"/>
            <w:tcBorders/>
            <w:shd w:fill="CCEEFF" w:val="clear"/>
          </w:tcPr>
          <w:p>
            <w:pPr>
              <w:pStyle w:val="TableContents"/>
              <w:bidi w:val="0"/>
              <w:spacing w:before="0" w:after="0"/>
              <w:ind w:left="0" w:right="0" w:hanging="0"/>
              <w:jc w:val="right"/>
              <w:rPr/>
            </w:pPr>
            <w:r>
              <w:rPr/>
              <w:t>7,196</w:t>
            </w:r>
          </w:p>
        </w:tc>
        <w:tc>
          <w:tcPr>
            <w:tcW w:w="208" w:type="dxa"/>
            <w:tcBorders/>
            <w:shd w:fill="CCEEFF" w:val="clear"/>
          </w:tcPr>
          <w:p>
            <w:pPr>
              <w:pStyle w:val="TableContents"/>
              <w:bidi w:val="0"/>
              <w:spacing w:before="0" w:after="0"/>
              <w:ind w:left="0" w:right="0" w:hanging="0"/>
              <w:jc w:val="left"/>
              <w:rPr/>
            </w:pPr>
            <w:r>
              <w:rPr/>
              <w:t> </w:t>
            </w:r>
          </w:p>
        </w:tc>
        <w:tc>
          <w:tcPr>
            <w:tcW w:w="90" w:type="dxa"/>
            <w:tcBorders/>
            <w:shd w:fill="CCEEFF" w:val="clear"/>
          </w:tcPr>
          <w:p>
            <w:pPr>
              <w:pStyle w:val="TableContents"/>
              <w:bidi w:val="0"/>
              <w:spacing w:before="0" w:after="0"/>
              <w:ind w:left="0" w:right="0" w:hanging="0"/>
              <w:jc w:val="right"/>
              <w:rPr/>
            </w:pPr>
            <w:r>
              <w:rPr/>
              <w:t> </w:t>
            </w:r>
          </w:p>
        </w:tc>
        <w:tc>
          <w:tcPr>
            <w:tcW w:w="170" w:type="dxa"/>
            <w:tcBorders/>
            <w:shd w:fill="CCEEFF" w:val="clear"/>
          </w:tcPr>
          <w:p>
            <w:pPr>
              <w:pStyle w:val="TableContents"/>
              <w:bidi w:val="0"/>
              <w:spacing w:before="0" w:after="0"/>
              <w:ind w:left="0" w:right="0" w:hanging="0"/>
              <w:jc w:val="left"/>
              <w:rPr/>
            </w:pPr>
            <w:r>
              <w:rPr/>
              <w:t> </w:t>
            </w:r>
          </w:p>
        </w:tc>
        <w:tc>
          <w:tcPr>
            <w:tcW w:w="1638" w:type="dxa"/>
            <w:tcBorders/>
            <w:shd w:fill="CCEEFF" w:val="clear"/>
          </w:tcPr>
          <w:p>
            <w:pPr>
              <w:pStyle w:val="TableContents"/>
              <w:bidi w:val="0"/>
              <w:spacing w:before="0" w:after="0"/>
              <w:ind w:left="0" w:right="0" w:hanging="0"/>
              <w:jc w:val="right"/>
              <w:rPr/>
            </w:pPr>
            <w:r>
              <w:rPr/>
              <w:t>-</w:t>
            </w:r>
          </w:p>
        </w:tc>
        <w:tc>
          <w:tcPr>
            <w:tcW w:w="185" w:type="dxa"/>
            <w:tcBorders/>
            <w:shd w:fill="CCEEFF" w:val="clear"/>
          </w:tcPr>
          <w:p>
            <w:pPr>
              <w:pStyle w:val="TableContents"/>
              <w:bidi w:val="0"/>
              <w:spacing w:before="0" w:after="0"/>
              <w:ind w:left="0" w:right="0" w:hanging="0"/>
              <w:jc w:val="left"/>
              <w:rPr/>
            </w:pPr>
            <w:r>
              <w:rPr/>
              <w:t> </w:t>
            </w:r>
          </w:p>
        </w:tc>
        <w:tc>
          <w:tcPr>
            <w:tcW w:w="90" w:type="dxa"/>
            <w:tcBorders/>
            <w:shd w:fill="CCEEFF" w:val="clear"/>
          </w:tcPr>
          <w:p>
            <w:pPr>
              <w:pStyle w:val="TableContents"/>
              <w:bidi w:val="0"/>
              <w:spacing w:before="0" w:after="0"/>
              <w:ind w:left="0" w:right="0" w:hanging="0"/>
              <w:jc w:val="right"/>
              <w:rPr/>
            </w:pPr>
            <w:r>
              <w:rPr/>
              <w:t> </w:t>
            </w:r>
          </w:p>
        </w:tc>
        <w:tc>
          <w:tcPr>
            <w:tcW w:w="170" w:type="dxa"/>
            <w:tcBorders/>
            <w:shd w:fill="CCEEFF" w:val="clear"/>
          </w:tcPr>
          <w:p>
            <w:pPr>
              <w:pStyle w:val="TableContents"/>
              <w:bidi w:val="0"/>
              <w:spacing w:before="0" w:after="0"/>
              <w:ind w:left="0" w:right="0" w:hanging="0"/>
              <w:jc w:val="left"/>
              <w:rPr/>
            </w:pPr>
            <w:r>
              <w:rPr/>
              <w:t> </w:t>
            </w:r>
          </w:p>
        </w:tc>
        <w:tc>
          <w:tcPr>
            <w:tcW w:w="830" w:type="dxa"/>
            <w:tcBorders/>
            <w:shd w:fill="CCEEFF" w:val="clear"/>
          </w:tcPr>
          <w:p>
            <w:pPr>
              <w:pStyle w:val="TableContents"/>
              <w:bidi w:val="0"/>
              <w:spacing w:before="0" w:after="0"/>
              <w:ind w:left="0" w:right="0" w:hanging="0"/>
              <w:jc w:val="right"/>
              <w:rPr/>
            </w:pPr>
            <w:r>
              <w:rPr/>
              <w:t>7,196</w:t>
            </w:r>
          </w:p>
        </w:tc>
        <w:tc>
          <w:tcPr>
            <w:tcW w:w="232" w:type="dxa"/>
            <w:tcBorders/>
            <w:shd w:fill="CCEEFF" w:val="clear"/>
          </w:tcPr>
          <w:p>
            <w:pPr>
              <w:pStyle w:val="TableContents"/>
              <w:bidi w:val="0"/>
              <w:spacing w:before="0" w:after="0"/>
              <w:jc w:val="left"/>
              <w:rPr/>
            </w:pPr>
            <w:r>
              <w:rPr/>
              <w:t> </w:t>
            </w:r>
          </w:p>
        </w:tc>
      </w:tr>
      <w:tr>
        <w:trPr/>
        <w:tc>
          <w:tcPr>
            <w:tcW w:w="4113" w:type="dxa"/>
            <w:tcBorders/>
          </w:tcPr>
          <w:p>
            <w:pPr>
              <w:pStyle w:val="TableContents"/>
              <w:bidi w:val="0"/>
              <w:spacing w:before="0" w:after="283"/>
              <w:jc w:val="left"/>
              <w:rPr/>
            </w:pPr>
            <w:r>
              <w:rPr/>
              <w:t> </w:t>
            </w:r>
          </w:p>
        </w:tc>
        <w:tc>
          <w:tcPr>
            <w:tcW w:w="101" w:type="dxa"/>
            <w:tcBorders/>
          </w:tcPr>
          <w:p>
            <w:pPr>
              <w:pStyle w:val="TableContents"/>
              <w:bidi w:val="0"/>
              <w:spacing w:before="0" w:after="283"/>
              <w:jc w:val="left"/>
              <w:rPr/>
            </w:pPr>
            <w:r>
              <w:rPr/>
              <w:t> </w:t>
            </w:r>
          </w:p>
        </w:tc>
        <w:tc>
          <w:tcPr>
            <w:tcW w:w="191" w:type="dxa"/>
            <w:tcBorders/>
          </w:tcPr>
          <w:p>
            <w:pPr>
              <w:pStyle w:val="TableContents"/>
              <w:bidi w:val="0"/>
              <w:spacing w:before="0" w:after="283"/>
              <w:jc w:val="left"/>
              <w:rPr/>
            </w:pPr>
            <w:r>
              <w:rPr/>
              <w:t> </w:t>
            </w:r>
          </w:p>
        </w:tc>
        <w:tc>
          <w:tcPr>
            <w:tcW w:w="2187" w:type="dxa"/>
            <w:tcBorders/>
          </w:tcPr>
          <w:p>
            <w:pPr>
              <w:pStyle w:val="TableContents"/>
              <w:bidi w:val="0"/>
              <w:spacing w:before="0" w:after="283"/>
              <w:jc w:val="left"/>
              <w:rPr/>
            </w:pPr>
            <w:r>
              <w:rPr/>
              <w:t> </w:t>
            </w:r>
          </w:p>
        </w:tc>
        <w:tc>
          <w:tcPr>
            <w:tcW w:w="208" w:type="dxa"/>
            <w:tcBorders/>
          </w:tcPr>
          <w:p>
            <w:pPr>
              <w:pStyle w:val="TableContents"/>
              <w:bidi w:val="0"/>
              <w:spacing w:before="0" w:after="283"/>
              <w:jc w:val="left"/>
              <w:rPr/>
            </w:pPr>
            <w:r>
              <w:rPr/>
              <w:t> </w:t>
            </w:r>
          </w:p>
        </w:tc>
        <w:tc>
          <w:tcPr>
            <w:tcW w:w="90" w:type="dxa"/>
            <w:tcBorders/>
          </w:tcPr>
          <w:p>
            <w:pPr>
              <w:pStyle w:val="TableContents"/>
              <w:bidi w:val="0"/>
              <w:spacing w:before="0" w:after="283"/>
              <w:jc w:val="left"/>
              <w:rPr/>
            </w:pPr>
            <w:r>
              <w:rPr/>
              <w:t> </w:t>
            </w:r>
          </w:p>
        </w:tc>
        <w:tc>
          <w:tcPr>
            <w:tcW w:w="170" w:type="dxa"/>
            <w:tcBorders/>
          </w:tcPr>
          <w:p>
            <w:pPr>
              <w:pStyle w:val="TableContents"/>
              <w:bidi w:val="0"/>
              <w:spacing w:before="0" w:after="283"/>
              <w:jc w:val="left"/>
              <w:rPr/>
            </w:pPr>
            <w:r>
              <w:rPr/>
              <w:t> </w:t>
            </w:r>
          </w:p>
        </w:tc>
        <w:tc>
          <w:tcPr>
            <w:tcW w:w="1638" w:type="dxa"/>
            <w:tcBorders/>
          </w:tcPr>
          <w:p>
            <w:pPr>
              <w:pStyle w:val="TableContents"/>
              <w:bidi w:val="0"/>
              <w:spacing w:before="0" w:after="283"/>
              <w:jc w:val="left"/>
              <w:rPr/>
            </w:pPr>
            <w:r>
              <w:rPr/>
              <w:t> </w:t>
            </w:r>
          </w:p>
        </w:tc>
        <w:tc>
          <w:tcPr>
            <w:tcW w:w="185" w:type="dxa"/>
            <w:tcBorders/>
          </w:tcPr>
          <w:p>
            <w:pPr>
              <w:pStyle w:val="TableContents"/>
              <w:bidi w:val="0"/>
              <w:spacing w:before="0" w:after="283"/>
              <w:jc w:val="left"/>
              <w:rPr/>
            </w:pPr>
            <w:r>
              <w:rPr/>
              <w:t> </w:t>
            </w:r>
          </w:p>
        </w:tc>
        <w:tc>
          <w:tcPr>
            <w:tcW w:w="90" w:type="dxa"/>
            <w:tcBorders/>
          </w:tcPr>
          <w:p>
            <w:pPr>
              <w:pStyle w:val="TableContents"/>
              <w:bidi w:val="0"/>
              <w:spacing w:before="0" w:after="283"/>
              <w:jc w:val="left"/>
              <w:rPr/>
            </w:pPr>
            <w:r>
              <w:rPr/>
              <w:t> </w:t>
            </w:r>
          </w:p>
        </w:tc>
        <w:tc>
          <w:tcPr>
            <w:tcW w:w="170" w:type="dxa"/>
            <w:tcBorders/>
          </w:tcPr>
          <w:p>
            <w:pPr>
              <w:pStyle w:val="TableContents"/>
              <w:bidi w:val="0"/>
              <w:spacing w:before="0" w:after="283"/>
              <w:jc w:val="left"/>
              <w:rPr/>
            </w:pPr>
            <w:r>
              <w:rPr/>
              <w:t> </w:t>
            </w:r>
          </w:p>
        </w:tc>
        <w:tc>
          <w:tcPr>
            <w:tcW w:w="830" w:type="dxa"/>
            <w:tcBorders/>
          </w:tcPr>
          <w:p>
            <w:pPr>
              <w:pStyle w:val="TableContents"/>
              <w:bidi w:val="0"/>
              <w:spacing w:before="0" w:after="283"/>
              <w:jc w:val="left"/>
              <w:rPr/>
            </w:pPr>
            <w:r>
              <w:rPr/>
              <w:t> </w:t>
            </w:r>
          </w:p>
        </w:tc>
        <w:tc>
          <w:tcPr>
            <w:tcW w:w="232" w:type="dxa"/>
            <w:tcBorders/>
          </w:tcPr>
          <w:p>
            <w:pPr>
              <w:pStyle w:val="TableContents"/>
              <w:bidi w:val="0"/>
              <w:spacing w:before="0" w:after="283"/>
              <w:jc w:val="left"/>
              <w:rPr/>
            </w:pPr>
            <w:r>
              <w:rPr/>
              <w:t> </w:t>
            </w:r>
          </w:p>
        </w:tc>
      </w:tr>
      <w:tr>
        <w:trPr/>
        <w:tc>
          <w:tcPr>
            <w:tcW w:w="4113" w:type="dxa"/>
            <w:tcBorders/>
            <w:shd w:fill="CCEEFF" w:val="clear"/>
          </w:tcPr>
          <w:p>
            <w:pPr>
              <w:pStyle w:val="TableContents"/>
              <w:bidi w:val="0"/>
              <w:spacing w:before="0" w:after="0"/>
              <w:ind w:left="0" w:right="0" w:hanging="0"/>
              <w:jc w:val="left"/>
              <w:rPr>
                <w:sz w:val="19"/>
              </w:rPr>
            </w:pPr>
            <w:r>
              <w:rPr>
                <w:sz w:val="19"/>
              </w:rPr>
              <w:t>Depreciation and amortization expense</w:t>
            </w:r>
          </w:p>
        </w:tc>
        <w:tc>
          <w:tcPr>
            <w:tcW w:w="101" w:type="dxa"/>
            <w:tcBorders/>
            <w:shd w:fill="CCEEFF" w:val="clear"/>
          </w:tcPr>
          <w:p>
            <w:pPr>
              <w:pStyle w:val="TableContents"/>
              <w:bidi w:val="0"/>
              <w:spacing w:before="0" w:after="0"/>
              <w:ind w:left="0" w:right="0" w:hanging="0"/>
              <w:jc w:val="right"/>
              <w:rPr/>
            </w:pPr>
            <w:r>
              <w:rPr/>
              <w:t> </w:t>
            </w:r>
          </w:p>
        </w:tc>
        <w:tc>
          <w:tcPr>
            <w:tcW w:w="191" w:type="dxa"/>
            <w:tcBorders/>
            <w:shd w:fill="CCEEFF" w:val="clear"/>
          </w:tcPr>
          <w:p>
            <w:pPr>
              <w:pStyle w:val="TableContents"/>
              <w:bidi w:val="0"/>
              <w:spacing w:before="0" w:after="0"/>
              <w:ind w:left="0" w:right="0" w:hanging="0"/>
              <w:jc w:val="left"/>
              <w:rPr/>
            </w:pPr>
            <w:r>
              <w:rPr/>
              <w:t> </w:t>
            </w:r>
          </w:p>
        </w:tc>
        <w:tc>
          <w:tcPr>
            <w:tcW w:w="2187" w:type="dxa"/>
            <w:tcBorders/>
            <w:shd w:fill="CCEEFF" w:val="clear"/>
          </w:tcPr>
          <w:p>
            <w:pPr>
              <w:pStyle w:val="TableContents"/>
              <w:bidi w:val="0"/>
              <w:spacing w:before="0" w:after="0"/>
              <w:ind w:left="0" w:right="0" w:hanging="0"/>
              <w:jc w:val="right"/>
              <w:rPr/>
            </w:pPr>
            <w:r>
              <w:rPr/>
              <w:t>1,274</w:t>
            </w:r>
          </w:p>
        </w:tc>
        <w:tc>
          <w:tcPr>
            <w:tcW w:w="208" w:type="dxa"/>
            <w:tcBorders/>
            <w:shd w:fill="CCEEFF" w:val="clear"/>
          </w:tcPr>
          <w:p>
            <w:pPr>
              <w:pStyle w:val="TableContents"/>
              <w:bidi w:val="0"/>
              <w:spacing w:before="0" w:after="0"/>
              <w:ind w:left="0" w:right="0" w:hanging="0"/>
              <w:jc w:val="left"/>
              <w:rPr/>
            </w:pPr>
            <w:r>
              <w:rPr/>
              <w:t> </w:t>
            </w:r>
          </w:p>
        </w:tc>
        <w:tc>
          <w:tcPr>
            <w:tcW w:w="90" w:type="dxa"/>
            <w:tcBorders/>
            <w:shd w:fill="CCEEFF" w:val="clear"/>
          </w:tcPr>
          <w:p>
            <w:pPr>
              <w:pStyle w:val="TableContents"/>
              <w:bidi w:val="0"/>
              <w:spacing w:before="0" w:after="0"/>
              <w:ind w:left="0" w:right="0" w:hanging="0"/>
              <w:jc w:val="right"/>
              <w:rPr/>
            </w:pPr>
            <w:r>
              <w:rPr/>
              <w:t> </w:t>
            </w:r>
          </w:p>
        </w:tc>
        <w:tc>
          <w:tcPr>
            <w:tcW w:w="170" w:type="dxa"/>
            <w:tcBorders/>
            <w:shd w:fill="CCEEFF" w:val="clear"/>
          </w:tcPr>
          <w:p>
            <w:pPr>
              <w:pStyle w:val="TableContents"/>
              <w:bidi w:val="0"/>
              <w:spacing w:before="0" w:after="0"/>
              <w:ind w:left="0" w:right="0" w:hanging="0"/>
              <w:jc w:val="left"/>
              <w:rPr/>
            </w:pPr>
            <w:r>
              <w:rPr/>
              <w:t> </w:t>
            </w:r>
          </w:p>
        </w:tc>
        <w:tc>
          <w:tcPr>
            <w:tcW w:w="1638" w:type="dxa"/>
            <w:tcBorders/>
            <w:shd w:fill="CCEEFF" w:val="clear"/>
          </w:tcPr>
          <w:p>
            <w:pPr>
              <w:pStyle w:val="TableContents"/>
              <w:bidi w:val="0"/>
              <w:spacing w:before="0" w:after="0"/>
              <w:ind w:left="0" w:right="0" w:hanging="0"/>
              <w:jc w:val="right"/>
              <w:rPr/>
            </w:pPr>
            <w:r>
              <w:rPr/>
              <w:t>565</w:t>
            </w:r>
          </w:p>
        </w:tc>
        <w:tc>
          <w:tcPr>
            <w:tcW w:w="185" w:type="dxa"/>
            <w:tcBorders/>
            <w:shd w:fill="CCEEFF" w:val="clear"/>
          </w:tcPr>
          <w:p>
            <w:pPr>
              <w:pStyle w:val="TableContents"/>
              <w:bidi w:val="0"/>
              <w:spacing w:before="0" w:after="0"/>
              <w:ind w:left="0" w:right="0" w:hanging="0"/>
              <w:jc w:val="left"/>
              <w:rPr/>
            </w:pPr>
            <w:r>
              <w:rPr/>
              <w:t> </w:t>
            </w:r>
          </w:p>
        </w:tc>
        <w:tc>
          <w:tcPr>
            <w:tcW w:w="90" w:type="dxa"/>
            <w:tcBorders/>
            <w:shd w:fill="CCEEFF" w:val="clear"/>
          </w:tcPr>
          <w:p>
            <w:pPr>
              <w:pStyle w:val="TableContents"/>
              <w:bidi w:val="0"/>
              <w:spacing w:before="0" w:after="0"/>
              <w:ind w:left="0" w:right="0" w:hanging="0"/>
              <w:jc w:val="right"/>
              <w:rPr/>
            </w:pPr>
            <w:r>
              <w:rPr/>
              <w:t> </w:t>
            </w:r>
          </w:p>
        </w:tc>
        <w:tc>
          <w:tcPr>
            <w:tcW w:w="170" w:type="dxa"/>
            <w:tcBorders/>
            <w:shd w:fill="CCEEFF" w:val="clear"/>
          </w:tcPr>
          <w:p>
            <w:pPr>
              <w:pStyle w:val="TableContents"/>
              <w:bidi w:val="0"/>
              <w:spacing w:before="0" w:after="0"/>
              <w:ind w:left="0" w:right="0" w:hanging="0"/>
              <w:jc w:val="left"/>
              <w:rPr/>
            </w:pPr>
            <w:r>
              <w:rPr/>
              <w:t> </w:t>
            </w:r>
          </w:p>
        </w:tc>
        <w:tc>
          <w:tcPr>
            <w:tcW w:w="830" w:type="dxa"/>
            <w:tcBorders/>
            <w:shd w:fill="CCEEFF" w:val="clear"/>
          </w:tcPr>
          <w:p>
            <w:pPr>
              <w:pStyle w:val="TableContents"/>
              <w:bidi w:val="0"/>
              <w:spacing w:before="0" w:after="0"/>
              <w:ind w:left="0" w:right="0" w:hanging="0"/>
              <w:jc w:val="right"/>
              <w:rPr/>
            </w:pPr>
            <w:r>
              <w:rPr/>
              <w:t>1,839</w:t>
            </w:r>
          </w:p>
        </w:tc>
        <w:tc>
          <w:tcPr>
            <w:tcW w:w="232" w:type="dxa"/>
            <w:tcBorders/>
            <w:shd w:fill="CCEEFF" w:val="clear"/>
          </w:tcPr>
          <w:p>
            <w:pPr>
              <w:pStyle w:val="TableContents"/>
              <w:bidi w:val="0"/>
              <w:spacing w:before="0" w:after="0"/>
              <w:jc w:val="left"/>
              <w:rPr/>
            </w:pPr>
            <w:r>
              <w:rPr/>
              <w:t> </w:t>
            </w:r>
          </w:p>
        </w:tc>
      </w:tr>
      <w:tr>
        <w:trPr/>
        <w:tc>
          <w:tcPr>
            <w:tcW w:w="4113" w:type="dxa"/>
            <w:tcBorders/>
          </w:tcPr>
          <w:p>
            <w:pPr>
              <w:pStyle w:val="TableContents"/>
              <w:bidi w:val="0"/>
              <w:spacing w:before="0" w:after="283"/>
              <w:jc w:val="left"/>
              <w:rPr/>
            </w:pPr>
            <w:r>
              <w:rPr/>
              <w:t> </w:t>
            </w:r>
          </w:p>
        </w:tc>
        <w:tc>
          <w:tcPr>
            <w:tcW w:w="101" w:type="dxa"/>
            <w:tcBorders/>
          </w:tcPr>
          <w:p>
            <w:pPr>
              <w:pStyle w:val="TableContents"/>
              <w:bidi w:val="0"/>
              <w:spacing w:before="0" w:after="283"/>
              <w:jc w:val="left"/>
              <w:rPr/>
            </w:pPr>
            <w:r>
              <w:rPr/>
              <w:t> </w:t>
            </w:r>
          </w:p>
        </w:tc>
        <w:tc>
          <w:tcPr>
            <w:tcW w:w="191" w:type="dxa"/>
            <w:tcBorders/>
          </w:tcPr>
          <w:p>
            <w:pPr>
              <w:pStyle w:val="TableContents"/>
              <w:bidi w:val="0"/>
              <w:spacing w:before="0" w:after="283"/>
              <w:jc w:val="left"/>
              <w:rPr/>
            </w:pPr>
            <w:r>
              <w:rPr/>
              <w:t> </w:t>
            </w:r>
          </w:p>
        </w:tc>
        <w:tc>
          <w:tcPr>
            <w:tcW w:w="2187" w:type="dxa"/>
            <w:tcBorders/>
          </w:tcPr>
          <w:p>
            <w:pPr>
              <w:pStyle w:val="TableContents"/>
              <w:bidi w:val="0"/>
              <w:spacing w:before="0" w:after="283"/>
              <w:jc w:val="left"/>
              <w:rPr/>
            </w:pPr>
            <w:r>
              <w:rPr/>
              <w:t> </w:t>
            </w:r>
          </w:p>
        </w:tc>
        <w:tc>
          <w:tcPr>
            <w:tcW w:w="208" w:type="dxa"/>
            <w:tcBorders/>
          </w:tcPr>
          <w:p>
            <w:pPr>
              <w:pStyle w:val="TableContents"/>
              <w:bidi w:val="0"/>
              <w:spacing w:before="0" w:after="283"/>
              <w:jc w:val="left"/>
              <w:rPr/>
            </w:pPr>
            <w:r>
              <w:rPr/>
              <w:t> </w:t>
            </w:r>
          </w:p>
        </w:tc>
        <w:tc>
          <w:tcPr>
            <w:tcW w:w="90" w:type="dxa"/>
            <w:tcBorders/>
          </w:tcPr>
          <w:p>
            <w:pPr>
              <w:pStyle w:val="TableContents"/>
              <w:bidi w:val="0"/>
              <w:spacing w:before="0" w:after="283"/>
              <w:jc w:val="left"/>
              <w:rPr/>
            </w:pPr>
            <w:r>
              <w:rPr/>
              <w:t> </w:t>
            </w:r>
          </w:p>
        </w:tc>
        <w:tc>
          <w:tcPr>
            <w:tcW w:w="170" w:type="dxa"/>
            <w:tcBorders/>
          </w:tcPr>
          <w:p>
            <w:pPr>
              <w:pStyle w:val="TableContents"/>
              <w:bidi w:val="0"/>
              <w:spacing w:before="0" w:after="283"/>
              <w:jc w:val="left"/>
              <w:rPr/>
            </w:pPr>
            <w:r>
              <w:rPr/>
              <w:t> </w:t>
            </w:r>
          </w:p>
        </w:tc>
        <w:tc>
          <w:tcPr>
            <w:tcW w:w="1638" w:type="dxa"/>
            <w:tcBorders/>
          </w:tcPr>
          <w:p>
            <w:pPr>
              <w:pStyle w:val="TableContents"/>
              <w:bidi w:val="0"/>
              <w:spacing w:before="0" w:after="283"/>
              <w:jc w:val="left"/>
              <w:rPr/>
            </w:pPr>
            <w:r>
              <w:rPr/>
              <w:t> </w:t>
            </w:r>
          </w:p>
        </w:tc>
        <w:tc>
          <w:tcPr>
            <w:tcW w:w="185" w:type="dxa"/>
            <w:tcBorders/>
          </w:tcPr>
          <w:p>
            <w:pPr>
              <w:pStyle w:val="TableContents"/>
              <w:bidi w:val="0"/>
              <w:spacing w:before="0" w:after="283"/>
              <w:jc w:val="left"/>
              <w:rPr/>
            </w:pPr>
            <w:r>
              <w:rPr/>
              <w:t> </w:t>
            </w:r>
          </w:p>
        </w:tc>
        <w:tc>
          <w:tcPr>
            <w:tcW w:w="90" w:type="dxa"/>
            <w:tcBorders/>
          </w:tcPr>
          <w:p>
            <w:pPr>
              <w:pStyle w:val="TableContents"/>
              <w:bidi w:val="0"/>
              <w:spacing w:before="0" w:after="283"/>
              <w:jc w:val="left"/>
              <w:rPr/>
            </w:pPr>
            <w:r>
              <w:rPr/>
              <w:t> </w:t>
            </w:r>
          </w:p>
        </w:tc>
        <w:tc>
          <w:tcPr>
            <w:tcW w:w="170" w:type="dxa"/>
            <w:tcBorders/>
          </w:tcPr>
          <w:p>
            <w:pPr>
              <w:pStyle w:val="TableContents"/>
              <w:bidi w:val="0"/>
              <w:spacing w:before="0" w:after="283"/>
              <w:jc w:val="left"/>
              <w:rPr/>
            </w:pPr>
            <w:r>
              <w:rPr/>
              <w:t> </w:t>
            </w:r>
          </w:p>
        </w:tc>
        <w:tc>
          <w:tcPr>
            <w:tcW w:w="830" w:type="dxa"/>
            <w:tcBorders/>
          </w:tcPr>
          <w:p>
            <w:pPr>
              <w:pStyle w:val="TableContents"/>
              <w:bidi w:val="0"/>
              <w:spacing w:before="0" w:after="283"/>
              <w:jc w:val="left"/>
              <w:rPr/>
            </w:pPr>
            <w:r>
              <w:rPr/>
              <w:t> </w:t>
            </w:r>
          </w:p>
        </w:tc>
        <w:tc>
          <w:tcPr>
            <w:tcW w:w="232" w:type="dxa"/>
            <w:tcBorders/>
          </w:tcPr>
          <w:p>
            <w:pPr>
              <w:pStyle w:val="TableContents"/>
              <w:bidi w:val="0"/>
              <w:spacing w:before="0" w:after="283"/>
              <w:jc w:val="left"/>
              <w:rPr/>
            </w:pPr>
            <w:r>
              <w:rPr/>
              <w:t> </w:t>
            </w:r>
          </w:p>
        </w:tc>
      </w:tr>
      <w:tr>
        <w:trPr/>
        <w:tc>
          <w:tcPr>
            <w:tcW w:w="4113" w:type="dxa"/>
            <w:tcBorders/>
            <w:shd w:fill="CCEEFF" w:val="clear"/>
          </w:tcPr>
          <w:p>
            <w:pPr>
              <w:pStyle w:val="TableContents"/>
              <w:bidi w:val="0"/>
              <w:spacing w:before="0" w:after="0"/>
              <w:ind w:left="0" w:right="0" w:hanging="0"/>
              <w:jc w:val="left"/>
              <w:rPr/>
            </w:pPr>
            <w:r>
              <w:rPr/>
              <w:t>General and administrative expense</w:t>
            </w:r>
          </w:p>
        </w:tc>
        <w:tc>
          <w:tcPr>
            <w:tcW w:w="101" w:type="dxa"/>
            <w:tcBorders/>
            <w:shd w:fill="CCEEFF" w:val="clear"/>
          </w:tcPr>
          <w:p>
            <w:pPr>
              <w:pStyle w:val="TableContents"/>
              <w:bidi w:val="0"/>
              <w:spacing w:before="0" w:after="0"/>
              <w:ind w:left="0" w:right="0" w:hanging="0"/>
              <w:jc w:val="right"/>
              <w:rPr/>
            </w:pPr>
            <w:r>
              <w:rPr/>
              <w:t> </w:t>
            </w:r>
          </w:p>
        </w:tc>
        <w:tc>
          <w:tcPr>
            <w:tcW w:w="191" w:type="dxa"/>
            <w:tcBorders/>
            <w:shd w:fill="CCEEFF" w:val="clear"/>
          </w:tcPr>
          <w:p>
            <w:pPr>
              <w:pStyle w:val="TableContents"/>
              <w:bidi w:val="0"/>
              <w:spacing w:before="0" w:after="0"/>
              <w:ind w:left="0" w:right="0" w:hanging="0"/>
              <w:jc w:val="left"/>
              <w:rPr/>
            </w:pPr>
            <w:r>
              <w:rPr/>
              <w:t> </w:t>
            </w:r>
          </w:p>
        </w:tc>
        <w:tc>
          <w:tcPr>
            <w:tcW w:w="2187" w:type="dxa"/>
            <w:tcBorders/>
            <w:shd w:fill="CCEEFF" w:val="clear"/>
          </w:tcPr>
          <w:p>
            <w:pPr>
              <w:pStyle w:val="TableContents"/>
              <w:bidi w:val="0"/>
              <w:spacing w:before="0" w:after="0"/>
              <w:ind w:left="0" w:right="0" w:hanging="0"/>
              <w:jc w:val="right"/>
              <w:rPr/>
            </w:pPr>
            <w:r>
              <w:rPr/>
              <w:t>8,458</w:t>
            </w:r>
          </w:p>
        </w:tc>
        <w:tc>
          <w:tcPr>
            <w:tcW w:w="208" w:type="dxa"/>
            <w:tcBorders/>
            <w:shd w:fill="CCEEFF" w:val="clear"/>
          </w:tcPr>
          <w:p>
            <w:pPr>
              <w:pStyle w:val="TableContents"/>
              <w:bidi w:val="0"/>
              <w:spacing w:before="0" w:after="0"/>
              <w:ind w:left="0" w:right="0" w:hanging="0"/>
              <w:jc w:val="left"/>
              <w:rPr/>
            </w:pPr>
            <w:r>
              <w:rPr/>
              <w:t> </w:t>
            </w:r>
          </w:p>
        </w:tc>
        <w:tc>
          <w:tcPr>
            <w:tcW w:w="90" w:type="dxa"/>
            <w:tcBorders/>
            <w:shd w:fill="CCEEFF" w:val="clear"/>
          </w:tcPr>
          <w:p>
            <w:pPr>
              <w:pStyle w:val="TableContents"/>
              <w:bidi w:val="0"/>
              <w:spacing w:before="0" w:after="0"/>
              <w:ind w:left="0" w:right="0" w:hanging="0"/>
              <w:jc w:val="right"/>
              <w:rPr/>
            </w:pPr>
            <w:r>
              <w:rPr/>
              <w:t> </w:t>
            </w:r>
          </w:p>
        </w:tc>
        <w:tc>
          <w:tcPr>
            <w:tcW w:w="170" w:type="dxa"/>
            <w:tcBorders/>
            <w:shd w:fill="CCEEFF" w:val="clear"/>
          </w:tcPr>
          <w:p>
            <w:pPr>
              <w:pStyle w:val="TableContents"/>
              <w:bidi w:val="0"/>
              <w:spacing w:before="0" w:after="0"/>
              <w:ind w:left="0" w:right="0" w:hanging="0"/>
              <w:jc w:val="left"/>
              <w:rPr/>
            </w:pPr>
            <w:r>
              <w:rPr/>
              <w:t> </w:t>
            </w:r>
          </w:p>
        </w:tc>
        <w:tc>
          <w:tcPr>
            <w:tcW w:w="1638" w:type="dxa"/>
            <w:tcBorders/>
            <w:shd w:fill="CCEEFF" w:val="clear"/>
          </w:tcPr>
          <w:p>
            <w:pPr>
              <w:pStyle w:val="TableContents"/>
              <w:bidi w:val="0"/>
              <w:spacing w:before="0" w:after="0"/>
              <w:ind w:left="0" w:right="0" w:hanging="0"/>
              <w:jc w:val="right"/>
              <w:rPr/>
            </w:pPr>
            <w:r>
              <w:rPr/>
              <w:t>-</w:t>
            </w:r>
          </w:p>
        </w:tc>
        <w:tc>
          <w:tcPr>
            <w:tcW w:w="185" w:type="dxa"/>
            <w:tcBorders/>
            <w:shd w:fill="CCEEFF" w:val="clear"/>
          </w:tcPr>
          <w:p>
            <w:pPr>
              <w:pStyle w:val="TableContents"/>
              <w:bidi w:val="0"/>
              <w:spacing w:before="0" w:after="0"/>
              <w:ind w:left="0" w:right="0" w:hanging="0"/>
              <w:jc w:val="left"/>
              <w:rPr/>
            </w:pPr>
            <w:r>
              <w:rPr/>
              <w:t> </w:t>
            </w:r>
          </w:p>
        </w:tc>
        <w:tc>
          <w:tcPr>
            <w:tcW w:w="90" w:type="dxa"/>
            <w:tcBorders/>
            <w:shd w:fill="CCEEFF" w:val="clear"/>
          </w:tcPr>
          <w:p>
            <w:pPr>
              <w:pStyle w:val="TableContents"/>
              <w:bidi w:val="0"/>
              <w:spacing w:before="0" w:after="0"/>
              <w:ind w:left="0" w:right="0" w:hanging="0"/>
              <w:jc w:val="right"/>
              <w:rPr/>
            </w:pPr>
            <w:r>
              <w:rPr/>
              <w:t> </w:t>
            </w:r>
          </w:p>
        </w:tc>
        <w:tc>
          <w:tcPr>
            <w:tcW w:w="170" w:type="dxa"/>
            <w:tcBorders/>
            <w:shd w:fill="CCEEFF" w:val="clear"/>
          </w:tcPr>
          <w:p>
            <w:pPr>
              <w:pStyle w:val="TableContents"/>
              <w:bidi w:val="0"/>
              <w:spacing w:before="0" w:after="0"/>
              <w:ind w:left="0" w:right="0" w:hanging="0"/>
              <w:jc w:val="left"/>
              <w:rPr/>
            </w:pPr>
            <w:r>
              <w:rPr/>
              <w:t> </w:t>
            </w:r>
          </w:p>
        </w:tc>
        <w:tc>
          <w:tcPr>
            <w:tcW w:w="830" w:type="dxa"/>
            <w:tcBorders/>
            <w:shd w:fill="CCEEFF" w:val="clear"/>
          </w:tcPr>
          <w:p>
            <w:pPr>
              <w:pStyle w:val="TableContents"/>
              <w:bidi w:val="0"/>
              <w:spacing w:before="0" w:after="0"/>
              <w:ind w:left="0" w:right="0" w:hanging="0"/>
              <w:jc w:val="right"/>
              <w:rPr/>
            </w:pPr>
            <w:r>
              <w:rPr/>
              <w:t>8,458</w:t>
            </w:r>
          </w:p>
        </w:tc>
        <w:tc>
          <w:tcPr>
            <w:tcW w:w="232" w:type="dxa"/>
            <w:tcBorders/>
            <w:shd w:fill="CCEEFF" w:val="clear"/>
          </w:tcPr>
          <w:p>
            <w:pPr>
              <w:pStyle w:val="TableContents"/>
              <w:bidi w:val="0"/>
              <w:spacing w:before="0" w:after="0"/>
              <w:jc w:val="left"/>
              <w:rPr/>
            </w:pPr>
            <w:r>
              <w:rPr/>
              <w:t> </w:t>
            </w:r>
          </w:p>
        </w:tc>
      </w:tr>
      <w:tr>
        <w:trPr/>
        <w:tc>
          <w:tcPr>
            <w:tcW w:w="4113" w:type="dxa"/>
            <w:tcBorders/>
          </w:tcPr>
          <w:p>
            <w:pPr>
              <w:pStyle w:val="TableContents"/>
              <w:bidi w:val="0"/>
              <w:spacing w:before="0" w:after="283"/>
              <w:jc w:val="left"/>
              <w:rPr/>
            </w:pPr>
            <w:r>
              <w:rPr/>
              <w:t> </w:t>
            </w:r>
          </w:p>
        </w:tc>
        <w:tc>
          <w:tcPr>
            <w:tcW w:w="101" w:type="dxa"/>
            <w:tcBorders/>
          </w:tcPr>
          <w:p>
            <w:pPr>
              <w:pStyle w:val="TableContents"/>
              <w:bidi w:val="0"/>
              <w:spacing w:before="0" w:after="283"/>
              <w:jc w:val="left"/>
              <w:rPr/>
            </w:pPr>
            <w:r>
              <w:rPr/>
              <w:t> </w:t>
            </w:r>
          </w:p>
        </w:tc>
        <w:tc>
          <w:tcPr>
            <w:tcW w:w="191" w:type="dxa"/>
            <w:tcBorders/>
          </w:tcPr>
          <w:p>
            <w:pPr>
              <w:pStyle w:val="TableContents"/>
              <w:bidi w:val="0"/>
              <w:spacing w:before="0" w:after="283"/>
              <w:jc w:val="left"/>
              <w:rPr/>
            </w:pPr>
            <w:r>
              <w:rPr/>
              <w:t> </w:t>
            </w:r>
          </w:p>
        </w:tc>
        <w:tc>
          <w:tcPr>
            <w:tcW w:w="2187" w:type="dxa"/>
            <w:tcBorders/>
          </w:tcPr>
          <w:p>
            <w:pPr>
              <w:pStyle w:val="TableContents"/>
              <w:bidi w:val="0"/>
              <w:spacing w:before="0" w:after="283"/>
              <w:jc w:val="left"/>
              <w:rPr/>
            </w:pPr>
            <w:r>
              <w:rPr/>
              <w:t> </w:t>
            </w:r>
          </w:p>
        </w:tc>
        <w:tc>
          <w:tcPr>
            <w:tcW w:w="208" w:type="dxa"/>
            <w:tcBorders/>
          </w:tcPr>
          <w:p>
            <w:pPr>
              <w:pStyle w:val="TableContents"/>
              <w:bidi w:val="0"/>
              <w:spacing w:before="0" w:after="283"/>
              <w:jc w:val="left"/>
              <w:rPr/>
            </w:pPr>
            <w:r>
              <w:rPr/>
              <w:t> </w:t>
            </w:r>
          </w:p>
        </w:tc>
        <w:tc>
          <w:tcPr>
            <w:tcW w:w="90" w:type="dxa"/>
            <w:tcBorders/>
          </w:tcPr>
          <w:p>
            <w:pPr>
              <w:pStyle w:val="TableContents"/>
              <w:bidi w:val="0"/>
              <w:spacing w:before="0" w:after="283"/>
              <w:jc w:val="left"/>
              <w:rPr/>
            </w:pPr>
            <w:r>
              <w:rPr/>
              <w:t> </w:t>
            </w:r>
          </w:p>
        </w:tc>
        <w:tc>
          <w:tcPr>
            <w:tcW w:w="170" w:type="dxa"/>
            <w:tcBorders/>
          </w:tcPr>
          <w:p>
            <w:pPr>
              <w:pStyle w:val="TableContents"/>
              <w:bidi w:val="0"/>
              <w:spacing w:before="0" w:after="283"/>
              <w:jc w:val="left"/>
              <w:rPr/>
            </w:pPr>
            <w:r>
              <w:rPr/>
              <w:t> </w:t>
            </w:r>
          </w:p>
        </w:tc>
        <w:tc>
          <w:tcPr>
            <w:tcW w:w="1638" w:type="dxa"/>
            <w:tcBorders/>
          </w:tcPr>
          <w:p>
            <w:pPr>
              <w:pStyle w:val="TableContents"/>
              <w:bidi w:val="0"/>
              <w:spacing w:before="0" w:after="283"/>
              <w:jc w:val="left"/>
              <w:rPr/>
            </w:pPr>
            <w:r>
              <w:rPr/>
              <w:t> </w:t>
            </w:r>
          </w:p>
        </w:tc>
        <w:tc>
          <w:tcPr>
            <w:tcW w:w="185" w:type="dxa"/>
            <w:tcBorders/>
          </w:tcPr>
          <w:p>
            <w:pPr>
              <w:pStyle w:val="TableContents"/>
              <w:bidi w:val="0"/>
              <w:spacing w:before="0" w:after="283"/>
              <w:jc w:val="left"/>
              <w:rPr/>
            </w:pPr>
            <w:r>
              <w:rPr/>
              <w:t> </w:t>
            </w:r>
          </w:p>
        </w:tc>
        <w:tc>
          <w:tcPr>
            <w:tcW w:w="90" w:type="dxa"/>
            <w:tcBorders/>
          </w:tcPr>
          <w:p>
            <w:pPr>
              <w:pStyle w:val="TableContents"/>
              <w:bidi w:val="0"/>
              <w:spacing w:before="0" w:after="283"/>
              <w:jc w:val="left"/>
              <w:rPr/>
            </w:pPr>
            <w:r>
              <w:rPr/>
              <w:t> </w:t>
            </w:r>
          </w:p>
        </w:tc>
        <w:tc>
          <w:tcPr>
            <w:tcW w:w="170" w:type="dxa"/>
            <w:tcBorders/>
          </w:tcPr>
          <w:p>
            <w:pPr>
              <w:pStyle w:val="TableContents"/>
              <w:bidi w:val="0"/>
              <w:spacing w:before="0" w:after="283"/>
              <w:jc w:val="left"/>
              <w:rPr/>
            </w:pPr>
            <w:r>
              <w:rPr/>
              <w:t> </w:t>
            </w:r>
          </w:p>
        </w:tc>
        <w:tc>
          <w:tcPr>
            <w:tcW w:w="830" w:type="dxa"/>
            <w:tcBorders/>
          </w:tcPr>
          <w:p>
            <w:pPr>
              <w:pStyle w:val="TableContents"/>
              <w:bidi w:val="0"/>
              <w:spacing w:before="0" w:after="283"/>
              <w:jc w:val="left"/>
              <w:rPr/>
            </w:pPr>
            <w:r>
              <w:rPr/>
              <w:t> </w:t>
            </w:r>
          </w:p>
        </w:tc>
        <w:tc>
          <w:tcPr>
            <w:tcW w:w="232" w:type="dxa"/>
            <w:tcBorders/>
          </w:tcPr>
          <w:p>
            <w:pPr>
              <w:pStyle w:val="TableContents"/>
              <w:bidi w:val="0"/>
              <w:spacing w:before="0" w:after="283"/>
              <w:jc w:val="left"/>
              <w:rPr/>
            </w:pPr>
            <w:r>
              <w:rPr/>
              <w:t> </w:t>
            </w:r>
          </w:p>
        </w:tc>
      </w:tr>
      <w:tr>
        <w:trPr/>
        <w:tc>
          <w:tcPr>
            <w:tcW w:w="4113" w:type="dxa"/>
            <w:tcBorders/>
            <w:shd w:fill="CCEEFF" w:val="clear"/>
          </w:tcPr>
          <w:p>
            <w:pPr>
              <w:pStyle w:val="TableContents"/>
              <w:bidi w:val="0"/>
              <w:spacing w:before="0" w:after="0"/>
              <w:ind w:left="0" w:right="0" w:hanging="0"/>
              <w:jc w:val="left"/>
              <w:rPr/>
            </w:pPr>
            <w:r>
              <w:rPr/>
              <w:t>Other income (expense), net</w:t>
            </w:r>
          </w:p>
        </w:tc>
        <w:tc>
          <w:tcPr>
            <w:tcW w:w="101" w:type="dxa"/>
            <w:tcBorders/>
            <w:shd w:fill="CCEEFF" w:val="clear"/>
          </w:tcPr>
          <w:p>
            <w:pPr>
              <w:pStyle w:val="TableContents"/>
              <w:bidi w:val="0"/>
              <w:spacing w:before="0" w:after="0"/>
              <w:ind w:left="0" w:right="0" w:hanging="0"/>
              <w:jc w:val="right"/>
              <w:rPr/>
            </w:pPr>
            <w:r>
              <w:rPr/>
              <w:t> </w:t>
            </w:r>
          </w:p>
        </w:tc>
        <w:tc>
          <w:tcPr>
            <w:tcW w:w="191" w:type="dxa"/>
            <w:tcBorders/>
            <w:shd w:fill="CCEEFF" w:val="clear"/>
          </w:tcPr>
          <w:p>
            <w:pPr>
              <w:pStyle w:val="TableContents"/>
              <w:bidi w:val="0"/>
              <w:spacing w:before="0" w:after="0"/>
              <w:ind w:left="0" w:right="0" w:hanging="0"/>
              <w:jc w:val="left"/>
              <w:rPr/>
            </w:pPr>
            <w:r>
              <w:rPr/>
              <w:t> </w:t>
            </w:r>
          </w:p>
        </w:tc>
        <w:tc>
          <w:tcPr>
            <w:tcW w:w="2187" w:type="dxa"/>
            <w:tcBorders/>
            <w:shd w:fill="CCEEFF" w:val="clear"/>
          </w:tcPr>
          <w:p>
            <w:pPr>
              <w:pStyle w:val="TableContents"/>
              <w:bidi w:val="0"/>
              <w:spacing w:before="0" w:after="0"/>
              <w:ind w:left="0" w:right="0" w:hanging="0"/>
              <w:jc w:val="right"/>
              <w:rPr/>
            </w:pPr>
            <w:r>
              <w:rPr/>
              <w:t>(187</w:t>
            </w:r>
          </w:p>
        </w:tc>
        <w:tc>
          <w:tcPr>
            <w:tcW w:w="208" w:type="dxa"/>
            <w:tcBorders/>
            <w:shd w:fill="CCEEFF" w:val="clear"/>
          </w:tcPr>
          <w:p>
            <w:pPr>
              <w:pStyle w:val="TableContents"/>
              <w:bidi w:val="0"/>
              <w:spacing w:before="0" w:after="0"/>
              <w:ind w:left="0" w:right="0" w:hanging="0"/>
              <w:jc w:val="left"/>
              <w:rPr/>
            </w:pPr>
            <w:r>
              <w:rPr/>
              <w:t>) </w:t>
            </w:r>
          </w:p>
        </w:tc>
        <w:tc>
          <w:tcPr>
            <w:tcW w:w="90" w:type="dxa"/>
            <w:tcBorders/>
            <w:shd w:fill="CCEEFF" w:val="clear"/>
          </w:tcPr>
          <w:p>
            <w:pPr>
              <w:pStyle w:val="TableContents"/>
              <w:bidi w:val="0"/>
              <w:spacing w:before="0" w:after="0"/>
              <w:ind w:left="0" w:right="0" w:hanging="0"/>
              <w:jc w:val="right"/>
              <w:rPr/>
            </w:pPr>
            <w:r>
              <w:rPr/>
              <w:t> </w:t>
            </w:r>
          </w:p>
        </w:tc>
        <w:tc>
          <w:tcPr>
            <w:tcW w:w="170" w:type="dxa"/>
            <w:tcBorders/>
            <w:shd w:fill="CCEEFF" w:val="clear"/>
          </w:tcPr>
          <w:p>
            <w:pPr>
              <w:pStyle w:val="TableContents"/>
              <w:bidi w:val="0"/>
              <w:spacing w:before="0" w:after="0"/>
              <w:ind w:left="0" w:right="0" w:hanging="0"/>
              <w:jc w:val="left"/>
              <w:rPr/>
            </w:pPr>
            <w:r>
              <w:rPr/>
              <w:t> </w:t>
            </w:r>
          </w:p>
        </w:tc>
        <w:tc>
          <w:tcPr>
            <w:tcW w:w="1638" w:type="dxa"/>
            <w:tcBorders/>
            <w:shd w:fill="CCEEFF" w:val="clear"/>
          </w:tcPr>
          <w:p>
            <w:pPr>
              <w:pStyle w:val="TableContents"/>
              <w:bidi w:val="0"/>
              <w:spacing w:before="0" w:after="0"/>
              <w:ind w:left="0" w:right="0" w:hanging="0"/>
              <w:jc w:val="right"/>
              <w:rPr/>
            </w:pPr>
            <w:r>
              <w:rPr/>
              <w:t>68</w:t>
            </w:r>
          </w:p>
        </w:tc>
        <w:tc>
          <w:tcPr>
            <w:tcW w:w="185" w:type="dxa"/>
            <w:tcBorders/>
            <w:shd w:fill="CCEEFF" w:val="clear"/>
          </w:tcPr>
          <w:p>
            <w:pPr>
              <w:pStyle w:val="TableContents"/>
              <w:bidi w:val="0"/>
              <w:spacing w:before="0" w:after="0"/>
              <w:ind w:left="0" w:right="0" w:hanging="0"/>
              <w:jc w:val="left"/>
              <w:rPr/>
            </w:pPr>
            <w:r>
              <w:rPr/>
              <w:t> </w:t>
            </w:r>
          </w:p>
        </w:tc>
        <w:tc>
          <w:tcPr>
            <w:tcW w:w="90" w:type="dxa"/>
            <w:tcBorders/>
            <w:shd w:fill="CCEEFF" w:val="clear"/>
          </w:tcPr>
          <w:p>
            <w:pPr>
              <w:pStyle w:val="TableContents"/>
              <w:bidi w:val="0"/>
              <w:spacing w:before="0" w:after="0"/>
              <w:ind w:left="0" w:right="0" w:hanging="0"/>
              <w:jc w:val="right"/>
              <w:rPr/>
            </w:pPr>
            <w:r>
              <w:rPr/>
              <w:t> </w:t>
            </w:r>
          </w:p>
        </w:tc>
        <w:tc>
          <w:tcPr>
            <w:tcW w:w="170" w:type="dxa"/>
            <w:tcBorders/>
            <w:shd w:fill="CCEEFF" w:val="clear"/>
          </w:tcPr>
          <w:p>
            <w:pPr>
              <w:pStyle w:val="TableContents"/>
              <w:bidi w:val="0"/>
              <w:spacing w:before="0" w:after="0"/>
              <w:ind w:left="0" w:right="0" w:hanging="0"/>
              <w:jc w:val="left"/>
              <w:rPr/>
            </w:pPr>
            <w:r>
              <w:rPr/>
              <w:t> </w:t>
            </w:r>
          </w:p>
        </w:tc>
        <w:tc>
          <w:tcPr>
            <w:tcW w:w="830" w:type="dxa"/>
            <w:tcBorders/>
            <w:shd w:fill="CCEEFF" w:val="clear"/>
          </w:tcPr>
          <w:p>
            <w:pPr>
              <w:pStyle w:val="TableContents"/>
              <w:bidi w:val="0"/>
              <w:spacing w:before="0" w:after="0"/>
              <w:ind w:left="0" w:right="0" w:hanging="0"/>
              <w:jc w:val="right"/>
              <w:rPr/>
            </w:pPr>
            <w:r>
              <w:rPr/>
              <w:t>(119</w:t>
            </w:r>
          </w:p>
        </w:tc>
        <w:tc>
          <w:tcPr>
            <w:tcW w:w="232" w:type="dxa"/>
            <w:tcBorders/>
            <w:shd w:fill="CCEEFF" w:val="clear"/>
          </w:tcPr>
          <w:p>
            <w:pPr>
              <w:pStyle w:val="TableContents"/>
              <w:bidi w:val="0"/>
              <w:spacing w:before="0" w:after="0"/>
              <w:jc w:val="left"/>
              <w:rPr/>
            </w:pPr>
            <w:r>
              <w:rPr/>
              <w:t>) </w:t>
            </w:r>
          </w:p>
        </w:tc>
      </w:tr>
      <w:tr>
        <w:trPr/>
        <w:tc>
          <w:tcPr>
            <w:tcW w:w="4113" w:type="dxa"/>
            <w:tcBorders/>
          </w:tcPr>
          <w:p>
            <w:pPr>
              <w:pStyle w:val="TableContents"/>
              <w:bidi w:val="0"/>
              <w:spacing w:before="0" w:after="283"/>
              <w:jc w:val="left"/>
              <w:rPr/>
            </w:pPr>
            <w:r>
              <w:rPr/>
              <w:t> </w:t>
            </w:r>
          </w:p>
        </w:tc>
        <w:tc>
          <w:tcPr>
            <w:tcW w:w="101" w:type="dxa"/>
            <w:tcBorders/>
          </w:tcPr>
          <w:p>
            <w:pPr>
              <w:pStyle w:val="TableContents"/>
              <w:bidi w:val="0"/>
              <w:spacing w:before="0" w:after="283"/>
              <w:jc w:val="left"/>
              <w:rPr/>
            </w:pPr>
            <w:r>
              <w:rPr/>
              <w:t> </w:t>
            </w:r>
          </w:p>
        </w:tc>
        <w:tc>
          <w:tcPr>
            <w:tcW w:w="191" w:type="dxa"/>
            <w:tcBorders/>
          </w:tcPr>
          <w:p>
            <w:pPr>
              <w:pStyle w:val="TableContents"/>
              <w:bidi w:val="0"/>
              <w:spacing w:before="0" w:after="283"/>
              <w:jc w:val="left"/>
              <w:rPr/>
            </w:pPr>
            <w:r>
              <w:rPr/>
              <w:t> </w:t>
            </w:r>
          </w:p>
        </w:tc>
        <w:tc>
          <w:tcPr>
            <w:tcW w:w="2187" w:type="dxa"/>
            <w:tcBorders/>
          </w:tcPr>
          <w:p>
            <w:pPr>
              <w:pStyle w:val="TableContents"/>
              <w:bidi w:val="0"/>
              <w:spacing w:before="0" w:after="283"/>
              <w:jc w:val="left"/>
              <w:rPr/>
            </w:pPr>
            <w:r>
              <w:rPr/>
              <w:t> </w:t>
            </w:r>
          </w:p>
        </w:tc>
        <w:tc>
          <w:tcPr>
            <w:tcW w:w="208" w:type="dxa"/>
            <w:tcBorders/>
          </w:tcPr>
          <w:p>
            <w:pPr>
              <w:pStyle w:val="TableContents"/>
              <w:bidi w:val="0"/>
              <w:spacing w:before="0" w:after="283"/>
              <w:jc w:val="left"/>
              <w:rPr/>
            </w:pPr>
            <w:r>
              <w:rPr/>
              <w:t> </w:t>
            </w:r>
          </w:p>
        </w:tc>
        <w:tc>
          <w:tcPr>
            <w:tcW w:w="90" w:type="dxa"/>
            <w:tcBorders/>
          </w:tcPr>
          <w:p>
            <w:pPr>
              <w:pStyle w:val="TableContents"/>
              <w:bidi w:val="0"/>
              <w:spacing w:before="0" w:after="283"/>
              <w:jc w:val="left"/>
              <w:rPr/>
            </w:pPr>
            <w:r>
              <w:rPr/>
              <w:t> </w:t>
            </w:r>
          </w:p>
        </w:tc>
        <w:tc>
          <w:tcPr>
            <w:tcW w:w="170" w:type="dxa"/>
            <w:tcBorders/>
          </w:tcPr>
          <w:p>
            <w:pPr>
              <w:pStyle w:val="TableContents"/>
              <w:bidi w:val="0"/>
              <w:spacing w:before="0" w:after="283"/>
              <w:jc w:val="left"/>
              <w:rPr/>
            </w:pPr>
            <w:r>
              <w:rPr/>
              <w:t> </w:t>
            </w:r>
          </w:p>
        </w:tc>
        <w:tc>
          <w:tcPr>
            <w:tcW w:w="1638" w:type="dxa"/>
            <w:tcBorders/>
          </w:tcPr>
          <w:p>
            <w:pPr>
              <w:pStyle w:val="TableContents"/>
              <w:bidi w:val="0"/>
              <w:spacing w:before="0" w:after="283"/>
              <w:jc w:val="left"/>
              <w:rPr/>
            </w:pPr>
            <w:r>
              <w:rPr/>
              <w:t> </w:t>
            </w:r>
          </w:p>
        </w:tc>
        <w:tc>
          <w:tcPr>
            <w:tcW w:w="185" w:type="dxa"/>
            <w:tcBorders/>
          </w:tcPr>
          <w:p>
            <w:pPr>
              <w:pStyle w:val="TableContents"/>
              <w:bidi w:val="0"/>
              <w:spacing w:before="0" w:after="283"/>
              <w:jc w:val="left"/>
              <w:rPr/>
            </w:pPr>
            <w:r>
              <w:rPr/>
              <w:t> </w:t>
            </w:r>
          </w:p>
        </w:tc>
        <w:tc>
          <w:tcPr>
            <w:tcW w:w="90" w:type="dxa"/>
            <w:tcBorders/>
          </w:tcPr>
          <w:p>
            <w:pPr>
              <w:pStyle w:val="TableContents"/>
              <w:bidi w:val="0"/>
              <w:spacing w:before="0" w:after="283"/>
              <w:jc w:val="left"/>
              <w:rPr/>
            </w:pPr>
            <w:r>
              <w:rPr/>
              <w:t> </w:t>
            </w:r>
          </w:p>
        </w:tc>
        <w:tc>
          <w:tcPr>
            <w:tcW w:w="170" w:type="dxa"/>
            <w:tcBorders/>
          </w:tcPr>
          <w:p>
            <w:pPr>
              <w:pStyle w:val="TableContents"/>
              <w:bidi w:val="0"/>
              <w:spacing w:before="0" w:after="283"/>
              <w:jc w:val="left"/>
              <w:rPr/>
            </w:pPr>
            <w:r>
              <w:rPr/>
              <w:t> </w:t>
            </w:r>
          </w:p>
        </w:tc>
        <w:tc>
          <w:tcPr>
            <w:tcW w:w="830" w:type="dxa"/>
            <w:tcBorders/>
          </w:tcPr>
          <w:p>
            <w:pPr>
              <w:pStyle w:val="TableContents"/>
              <w:bidi w:val="0"/>
              <w:spacing w:before="0" w:after="283"/>
              <w:jc w:val="left"/>
              <w:rPr/>
            </w:pPr>
            <w:r>
              <w:rPr/>
              <w:t> </w:t>
            </w:r>
          </w:p>
        </w:tc>
        <w:tc>
          <w:tcPr>
            <w:tcW w:w="232" w:type="dxa"/>
            <w:tcBorders/>
          </w:tcPr>
          <w:p>
            <w:pPr>
              <w:pStyle w:val="TableContents"/>
              <w:bidi w:val="0"/>
              <w:spacing w:before="0" w:after="283"/>
              <w:jc w:val="left"/>
              <w:rPr/>
            </w:pPr>
            <w:r>
              <w:rPr/>
              <w:t> </w:t>
            </w:r>
          </w:p>
        </w:tc>
      </w:tr>
      <w:tr>
        <w:trPr/>
        <w:tc>
          <w:tcPr>
            <w:tcW w:w="4113" w:type="dxa"/>
            <w:tcBorders/>
            <w:shd w:fill="CCEEFF" w:val="clear"/>
          </w:tcPr>
          <w:p>
            <w:pPr>
              <w:pStyle w:val="TableContents"/>
              <w:bidi w:val="0"/>
              <w:spacing w:before="0" w:after="0"/>
              <w:ind w:left="0" w:right="0" w:hanging="0"/>
              <w:jc w:val="left"/>
              <w:rPr/>
            </w:pPr>
            <w:r>
              <w:rPr/>
              <w:t>Income (loss) before taxes</w:t>
            </w:r>
          </w:p>
        </w:tc>
        <w:tc>
          <w:tcPr>
            <w:tcW w:w="101" w:type="dxa"/>
            <w:tcBorders/>
            <w:shd w:fill="CCEEFF" w:val="clear"/>
          </w:tcPr>
          <w:p>
            <w:pPr>
              <w:pStyle w:val="TableContents"/>
              <w:bidi w:val="0"/>
              <w:spacing w:before="0" w:after="0"/>
              <w:ind w:left="0" w:right="0" w:hanging="0"/>
              <w:jc w:val="right"/>
              <w:rPr/>
            </w:pPr>
            <w:r>
              <w:rPr/>
              <w:t> </w:t>
            </w:r>
          </w:p>
        </w:tc>
        <w:tc>
          <w:tcPr>
            <w:tcW w:w="191" w:type="dxa"/>
            <w:tcBorders/>
            <w:shd w:fill="CCEEFF" w:val="clear"/>
          </w:tcPr>
          <w:p>
            <w:pPr>
              <w:pStyle w:val="TableContents"/>
              <w:bidi w:val="0"/>
              <w:spacing w:before="0" w:after="0"/>
              <w:ind w:left="0" w:right="0" w:hanging="0"/>
              <w:jc w:val="left"/>
              <w:rPr/>
            </w:pPr>
            <w:r>
              <w:rPr/>
              <w:t> </w:t>
            </w:r>
          </w:p>
        </w:tc>
        <w:tc>
          <w:tcPr>
            <w:tcW w:w="2187" w:type="dxa"/>
            <w:tcBorders/>
            <w:shd w:fill="CCEEFF" w:val="clear"/>
          </w:tcPr>
          <w:p>
            <w:pPr>
              <w:pStyle w:val="TableContents"/>
              <w:bidi w:val="0"/>
              <w:spacing w:before="0" w:after="0"/>
              <w:ind w:left="0" w:right="0" w:hanging="0"/>
              <w:jc w:val="right"/>
              <w:rPr/>
            </w:pPr>
            <w:r>
              <w:rPr/>
              <w:t>62,298</w:t>
            </w:r>
          </w:p>
        </w:tc>
        <w:tc>
          <w:tcPr>
            <w:tcW w:w="208" w:type="dxa"/>
            <w:tcBorders/>
            <w:shd w:fill="CCEEFF" w:val="clear"/>
          </w:tcPr>
          <w:p>
            <w:pPr>
              <w:pStyle w:val="TableContents"/>
              <w:bidi w:val="0"/>
              <w:spacing w:before="0" w:after="0"/>
              <w:ind w:left="0" w:right="0" w:hanging="0"/>
              <w:jc w:val="left"/>
              <w:rPr/>
            </w:pPr>
            <w:r>
              <w:rPr/>
              <w:t> </w:t>
            </w:r>
          </w:p>
        </w:tc>
        <w:tc>
          <w:tcPr>
            <w:tcW w:w="90" w:type="dxa"/>
            <w:tcBorders/>
            <w:shd w:fill="CCEEFF" w:val="clear"/>
          </w:tcPr>
          <w:p>
            <w:pPr>
              <w:pStyle w:val="TableContents"/>
              <w:bidi w:val="0"/>
              <w:spacing w:before="0" w:after="0"/>
              <w:ind w:left="0" w:right="0" w:hanging="0"/>
              <w:jc w:val="right"/>
              <w:rPr/>
            </w:pPr>
            <w:r>
              <w:rPr/>
              <w:t> </w:t>
            </w:r>
          </w:p>
        </w:tc>
        <w:tc>
          <w:tcPr>
            <w:tcW w:w="170" w:type="dxa"/>
            <w:tcBorders/>
            <w:shd w:fill="CCEEFF" w:val="clear"/>
          </w:tcPr>
          <w:p>
            <w:pPr>
              <w:pStyle w:val="TableContents"/>
              <w:bidi w:val="0"/>
              <w:spacing w:before="0" w:after="0"/>
              <w:ind w:left="0" w:right="0" w:hanging="0"/>
              <w:jc w:val="left"/>
              <w:rPr/>
            </w:pPr>
            <w:r>
              <w:rPr/>
              <w:t> </w:t>
            </w:r>
          </w:p>
        </w:tc>
        <w:tc>
          <w:tcPr>
            <w:tcW w:w="1638" w:type="dxa"/>
            <w:tcBorders/>
            <w:shd w:fill="CCEEFF" w:val="clear"/>
          </w:tcPr>
          <w:p>
            <w:pPr>
              <w:pStyle w:val="TableContents"/>
              <w:bidi w:val="0"/>
              <w:spacing w:before="0" w:after="0"/>
              <w:ind w:left="0" w:right="0" w:hanging="0"/>
              <w:jc w:val="right"/>
              <w:rPr/>
            </w:pPr>
            <w:r>
              <w:rPr/>
              <w:t>6,909</w:t>
            </w:r>
          </w:p>
        </w:tc>
        <w:tc>
          <w:tcPr>
            <w:tcW w:w="185" w:type="dxa"/>
            <w:tcBorders/>
            <w:shd w:fill="CCEEFF" w:val="clear"/>
          </w:tcPr>
          <w:p>
            <w:pPr>
              <w:pStyle w:val="TableContents"/>
              <w:bidi w:val="0"/>
              <w:spacing w:before="0" w:after="0"/>
              <w:ind w:left="0" w:right="0" w:hanging="0"/>
              <w:jc w:val="left"/>
              <w:rPr/>
            </w:pPr>
            <w:r>
              <w:rPr/>
              <w:t> </w:t>
            </w:r>
          </w:p>
        </w:tc>
        <w:tc>
          <w:tcPr>
            <w:tcW w:w="90" w:type="dxa"/>
            <w:tcBorders/>
            <w:shd w:fill="CCEEFF" w:val="clear"/>
          </w:tcPr>
          <w:p>
            <w:pPr>
              <w:pStyle w:val="TableContents"/>
              <w:bidi w:val="0"/>
              <w:spacing w:before="0" w:after="0"/>
              <w:ind w:left="0" w:right="0" w:hanging="0"/>
              <w:jc w:val="right"/>
              <w:rPr/>
            </w:pPr>
            <w:r>
              <w:rPr/>
              <w:t> </w:t>
            </w:r>
          </w:p>
        </w:tc>
        <w:tc>
          <w:tcPr>
            <w:tcW w:w="170" w:type="dxa"/>
            <w:tcBorders/>
            <w:shd w:fill="CCEEFF" w:val="clear"/>
          </w:tcPr>
          <w:p>
            <w:pPr>
              <w:pStyle w:val="TableContents"/>
              <w:bidi w:val="0"/>
              <w:spacing w:before="0" w:after="0"/>
              <w:ind w:left="0" w:right="0" w:hanging="0"/>
              <w:jc w:val="left"/>
              <w:rPr/>
            </w:pPr>
            <w:r>
              <w:rPr/>
              <w:t> </w:t>
            </w:r>
          </w:p>
        </w:tc>
        <w:tc>
          <w:tcPr>
            <w:tcW w:w="830" w:type="dxa"/>
            <w:tcBorders/>
            <w:shd w:fill="CCEEFF" w:val="clear"/>
          </w:tcPr>
          <w:p>
            <w:pPr>
              <w:pStyle w:val="TableContents"/>
              <w:bidi w:val="0"/>
              <w:spacing w:before="0" w:after="0"/>
              <w:ind w:left="0" w:right="0" w:hanging="0"/>
              <w:jc w:val="right"/>
              <w:rPr/>
            </w:pPr>
            <w:r>
              <w:rPr/>
              <w:t>69,207</w:t>
            </w:r>
          </w:p>
        </w:tc>
        <w:tc>
          <w:tcPr>
            <w:tcW w:w="232" w:type="dxa"/>
            <w:tcBorders/>
            <w:shd w:fill="CCEEFF" w:val="clear"/>
          </w:tcPr>
          <w:p>
            <w:pPr>
              <w:pStyle w:val="TableContents"/>
              <w:bidi w:val="0"/>
              <w:spacing w:before="0" w:after="0"/>
              <w:jc w:val="left"/>
              <w:rPr/>
            </w:pPr>
            <w:r>
              <w:rPr/>
              <w:t> </w:t>
            </w:r>
          </w:p>
        </w:tc>
      </w:tr>
      <w:tr>
        <w:trPr/>
        <w:tc>
          <w:tcPr>
            <w:tcW w:w="4113" w:type="dxa"/>
            <w:tcBorders/>
          </w:tcPr>
          <w:p>
            <w:pPr>
              <w:pStyle w:val="TableContents"/>
              <w:bidi w:val="0"/>
              <w:spacing w:before="0" w:after="283"/>
              <w:jc w:val="left"/>
              <w:rPr/>
            </w:pPr>
            <w:r>
              <w:rPr/>
              <w:t> </w:t>
            </w:r>
          </w:p>
        </w:tc>
        <w:tc>
          <w:tcPr>
            <w:tcW w:w="101" w:type="dxa"/>
            <w:tcBorders/>
          </w:tcPr>
          <w:p>
            <w:pPr>
              <w:pStyle w:val="TableContents"/>
              <w:bidi w:val="0"/>
              <w:spacing w:before="0" w:after="283"/>
              <w:jc w:val="left"/>
              <w:rPr/>
            </w:pPr>
            <w:r>
              <w:rPr/>
              <w:t> </w:t>
            </w:r>
          </w:p>
        </w:tc>
        <w:tc>
          <w:tcPr>
            <w:tcW w:w="191" w:type="dxa"/>
            <w:tcBorders/>
          </w:tcPr>
          <w:p>
            <w:pPr>
              <w:pStyle w:val="TableContents"/>
              <w:bidi w:val="0"/>
              <w:spacing w:before="0" w:after="283"/>
              <w:jc w:val="left"/>
              <w:rPr/>
            </w:pPr>
            <w:r>
              <w:rPr/>
              <w:t> </w:t>
            </w:r>
          </w:p>
        </w:tc>
        <w:tc>
          <w:tcPr>
            <w:tcW w:w="2187" w:type="dxa"/>
            <w:tcBorders/>
          </w:tcPr>
          <w:p>
            <w:pPr>
              <w:pStyle w:val="TableContents"/>
              <w:bidi w:val="0"/>
              <w:spacing w:before="0" w:after="283"/>
              <w:jc w:val="left"/>
              <w:rPr/>
            </w:pPr>
            <w:r>
              <w:rPr/>
              <w:t> </w:t>
            </w:r>
          </w:p>
        </w:tc>
        <w:tc>
          <w:tcPr>
            <w:tcW w:w="208" w:type="dxa"/>
            <w:tcBorders/>
          </w:tcPr>
          <w:p>
            <w:pPr>
              <w:pStyle w:val="TableContents"/>
              <w:bidi w:val="0"/>
              <w:spacing w:before="0" w:after="283"/>
              <w:jc w:val="left"/>
              <w:rPr/>
            </w:pPr>
            <w:r>
              <w:rPr/>
              <w:t> </w:t>
            </w:r>
          </w:p>
        </w:tc>
        <w:tc>
          <w:tcPr>
            <w:tcW w:w="90" w:type="dxa"/>
            <w:tcBorders/>
          </w:tcPr>
          <w:p>
            <w:pPr>
              <w:pStyle w:val="TableContents"/>
              <w:bidi w:val="0"/>
              <w:spacing w:before="0" w:after="283"/>
              <w:jc w:val="left"/>
              <w:rPr/>
            </w:pPr>
            <w:r>
              <w:rPr/>
              <w:t> </w:t>
            </w:r>
          </w:p>
        </w:tc>
        <w:tc>
          <w:tcPr>
            <w:tcW w:w="170" w:type="dxa"/>
            <w:tcBorders/>
          </w:tcPr>
          <w:p>
            <w:pPr>
              <w:pStyle w:val="TableContents"/>
              <w:bidi w:val="0"/>
              <w:spacing w:before="0" w:after="283"/>
              <w:jc w:val="left"/>
              <w:rPr/>
            </w:pPr>
            <w:r>
              <w:rPr/>
              <w:t> </w:t>
            </w:r>
          </w:p>
        </w:tc>
        <w:tc>
          <w:tcPr>
            <w:tcW w:w="1638" w:type="dxa"/>
            <w:tcBorders/>
          </w:tcPr>
          <w:p>
            <w:pPr>
              <w:pStyle w:val="TableContents"/>
              <w:bidi w:val="0"/>
              <w:spacing w:before="0" w:after="283"/>
              <w:jc w:val="left"/>
              <w:rPr/>
            </w:pPr>
            <w:r>
              <w:rPr/>
              <w:t> </w:t>
            </w:r>
          </w:p>
        </w:tc>
        <w:tc>
          <w:tcPr>
            <w:tcW w:w="185" w:type="dxa"/>
            <w:tcBorders/>
          </w:tcPr>
          <w:p>
            <w:pPr>
              <w:pStyle w:val="TableContents"/>
              <w:bidi w:val="0"/>
              <w:spacing w:before="0" w:after="283"/>
              <w:jc w:val="left"/>
              <w:rPr/>
            </w:pPr>
            <w:r>
              <w:rPr/>
              <w:t> </w:t>
            </w:r>
          </w:p>
        </w:tc>
        <w:tc>
          <w:tcPr>
            <w:tcW w:w="90" w:type="dxa"/>
            <w:tcBorders/>
          </w:tcPr>
          <w:p>
            <w:pPr>
              <w:pStyle w:val="TableContents"/>
              <w:bidi w:val="0"/>
              <w:spacing w:before="0" w:after="283"/>
              <w:jc w:val="left"/>
              <w:rPr/>
            </w:pPr>
            <w:r>
              <w:rPr/>
              <w:t> </w:t>
            </w:r>
          </w:p>
        </w:tc>
        <w:tc>
          <w:tcPr>
            <w:tcW w:w="170" w:type="dxa"/>
            <w:tcBorders/>
          </w:tcPr>
          <w:p>
            <w:pPr>
              <w:pStyle w:val="TableContents"/>
              <w:bidi w:val="0"/>
              <w:spacing w:before="0" w:after="283"/>
              <w:jc w:val="left"/>
              <w:rPr/>
            </w:pPr>
            <w:r>
              <w:rPr/>
              <w:t> </w:t>
            </w:r>
          </w:p>
        </w:tc>
        <w:tc>
          <w:tcPr>
            <w:tcW w:w="830" w:type="dxa"/>
            <w:tcBorders/>
          </w:tcPr>
          <w:p>
            <w:pPr>
              <w:pStyle w:val="TableContents"/>
              <w:bidi w:val="0"/>
              <w:spacing w:before="0" w:after="283"/>
              <w:jc w:val="left"/>
              <w:rPr/>
            </w:pPr>
            <w:r>
              <w:rPr/>
              <w:t> </w:t>
            </w:r>
          </w:p>
        </w:tc>
        <w:tc>
          <w:tcPr>
            <w:tcW w:w="232" w:type="dxa"/>
            <w:tcBorders/>
          </w:tcPr>
          <w:p>
            <w:pPr>
              <w:pStyle w:val="TableContents"/>
              <w:bidi w:val="0"/>
              <w:spacing w:before="0" w:after="283"/>
              <w:jc w:val="left"/>
              <w:rPr/>
            </w:pPr>
            <w:r>
              <w:rPr/>
              <w:t> </w:t>
            </w:r>
          </w:p>
        </w:tc>
      </w:tr>
      <w:tr>
        <w:trPr/>
        <w:tc>
          <w:tcPr>
            <w:tcW w:w="4113" w:type="dxa"/>
            <w:tcBorders/>
            <w:shd w:fill="CCEEFF" w:val="clear"/>
          </w:tcPr>
          <w:p>
            <w:pPr>
              <w:pStyle w:val="TableContents"/>
              <w:bidi w:val="0"/>
              <w:spacing w:before="0" w:after="0"/>
              <w:ind w:left="0" w:right="0" w:hanging="0"/>
              <w:jc w:val="left"/>
              <w:rPr/>
            </w:pPr>
            <w:r>
              <w:rPr/>
              <w:t>Expenditures for additions to long-lived assets</w:t>
            </w:r>
          </w:p>
        </w:tc>
        <w:tc>
          <w:tcPr>
            <w:tcW w:w="101" w:type="dxa"/>
            <w:tcBorders/>
            <w:shd w:fill="CCEEFF" w:val="clear"/>
          </w:tcPr>
          <w:p>
            <w:pPr>
              <w:pStyle w:val="TableContents"/>
              <w:bidi w:val="0"/>
              <w:spacing w:before="0" w:after="0"/>
              <w:ind w:left="0" w:right="0" w:hanging="0"/>
              <w:jc w:val="right"/>
              <w:rPr/>
            </w:pPr>
            <w:r>
              <w:rPr/>
              <w:t> </w:t>
            </w:r>
          </w:p>
        </w:tc>
        <w:tc>
          <w:tcPr>
            <w:tcW w:w="191" w:type="dxa"/>
            <w:tcBorders/>
            <w:shd w:fill="CCEEFF" w:val="clear"/>
          </w:tcPr>
          <w:p>
            <w:pPr>
              <w:pStyle w:val="TableContents"/>
              <w:bidi w:val="0"/>
              <w:spacing w:before="0" w:after="0"/>
              <w:ind w:left="0" w:right="0" w:hanging="0"/>
              <w:jc w:val="left"/>
              <w:rPr/>
            </w:pPr>
            <w:r>
              <w:rPr/>
              <w:t> </w:t>
            </w:r>
          </w:p>
        </w:tc>
        <w:tc>
          <w:tcPr>
            <w:tcW w:w="2187" w:type="dxa"/>
            <w:tcBorders/>
            <w:shd w:fill="CCEEFF" w:val="clear"/>
          </w:tcPr>
          <w:p>
            <w:pPr>
              <w:pStyle w:val="TableContents"/>
              <w:bidi w:val="0"/>
              <w:spacing w:before="0" w:after="0"/>
              <w:ind w:left="0" w:right="0" w:hanging="0"/>
              <w:jc w:val="right"/>
              <w:rPr/>
            </w:pPr>
            <w:r>
              <w:rPr/>
              <w:t>2,516</w:t>
            </w:r>
          </w:p>
        </w:tc>
        <w:tc>
          <w:tcPr>
            <w:tcW w:w="208" w:type="dxa"/>
            <w:tcBorders/>
            <w:shd w:fill="CCEEFF" w:val="clear"/>
          </w:tcPr>
          <w:p>
            <w:pPr>
              <w:pStyle w:val="TableContents"/>
              <w:bidi w:val="0"/>
              <w:spacing w:before="0" w:after="0"/>
              <w:ind w:left="0" w:right="0" w:hanging="0"/>
              <w:jc w:val="left"/>
              <w:rPr/>
            </w:pPr>
            <w:r>
              <w:rPr/>
              <w:t> </w:t>
            </w:r>
          </w:p>
        </w:tc>
        <w:tc>
          <w:tcPr>
            <w:tcW w:w="90" w:type="dxa"/>
            <w:tcBorders/>
            <w:shd w:fill="CCEEFF" w:val="clear"/>
          </w:tcPr>
          <w:p>
            <w:pPr>
              <w:pStyle w:val="TableContents"/>
              <w:bidi w:val="0"/>
              <w:spacing w:before="0" w:after="0"/>
              <w:ind w:left="0" w:right="0" w:hanging="0"/>
              <w:jc w:val="right"/>
              <w:rPr/>
            </w:pPr>
            <w:r>
              <w:rPr/>
              <w:t> </w:t>
            </w:r>
          </w:p>
        </w:tc>
        <w:tc>
          <w:tcPr>
            <w:tcW w:w="170" w:type="dxa"/>
            <w:tcBorders/>
            <w:shd w:fill="CCEEFF" w:val="clear"/>
          </w:tcPr>
          <w:p>
            <w:pPr>
              <w:pStyle w:val="TableContents"/>
              <w:bidi w:val="0"/>
              <w:spacing w:before="0" w:after="0"/>
              <w:ind w:left="0" w:right="0" w:hanging="0"/>
              <w:jc w:val="left"/>
              <w:rPr/>
            </w:pPr>
            <w:r>
              <w:rPr/>
              <w:t> </w:t>
            </w:r>
          </w:p>
        </w:tc>
        <w:tc>
          <w:tcPr>
            <w:tcW w:w="1638" w:type="dxa"/>
            <w:tcBorders/>
            <w:shd w:fill="CCEEFF" w:val="clear"/>
          </w:tcPr>
          <w:p>
            <w:pPr>
              <w:pStyle w:val="TableContents"/>
              <w:bidi w:val="0"/>
              <w:spacing w:before="0" w:after="0"/>
              <w:ind w:left="0" w:right="0" w:hanging="0"/>
              <w:jc w:val="right"/>
              <w:rPr/>
            </w:pPr>
            <w:r>
              <w:rPr/>
              <w:t>27</w:t>
            </w:r>
          </w:p>
        </w:tc>
        <w:tc>
          <w:tcPr>
            <w:tcW w:w="185" w:type="dxa"/>
            <w:tcBorders/>
            <w:shd w:fill="CCEEFF" w:val="clear"/>
          </w:tcPr>
          <w:p>
            <w:pPr>
              <w:pStyle w:val="TableContents"/>
              <w:bidi w:val="0"/>
              <w:spacing w:before="0" w:after="0"/>
              <w:ind w:left="0" w:right="0" w:hanging="0"/>
              <w:jc w:val="left"/>
              <w:rPr/>
            </w:pPr>
            <w:r>
              <w:rPr/>
              <w:t> </w:t>
            </w:r>
          </w:p>
        </w:tc>
        <w:tc>
          <w:tcPr>
            <w:tcW w:w="90" w:type="dxa"/>
            <w:tcBorders/>
            <w:shd w:fill="CCEEFF" w:val="clear"/>
          </w:tcPr>
          <w:p>
            <w:pPr>
              <w:pStyle w:val="TableContents"/>
              <w:bidi w:val="0"/>
              <w:spacing w:before="0" w:after="0"/>
              <w:ind w:left="0" w:right="0" w:hanging="0"/>
              <w:jc w:val="right"/>
              <w:rPr/>
            </w:pPr>
            <w:r>
              <w:rPr/>
              <w:t> </w:t>
            </w:r>
          </w:p>
        </w:tc>
        <w:tc>
          <w:tcPr>
            <w:tcW w:w="170" w:type="dxa"/>
            <w:tcBorders/>
            <w:shd w:fill="CCEEFF" w:val="clear"/>
          </w:tcPr>
          <w:p>
            <w:pPr>
              <w:pStyle w:val="TableContents"/>
              <w:bidi w:val="0"/>
              <w:spacing w:before="0" w:after="0"/>
              <w:ind w:left="0" w:right="0" w:hanging="0"/>
              <w:jc w:val="left"/>
              <w:rPr/>
            </w:pPr>
            <w:r>
              <w:rPr/>
              <w:t> </w:t>
            </w:r>
          </w:p>
        </w:tc>
        <w:tc>
          <w:tcPr>
            <w:tcW w:w="830" w:type="dxa"/>
            <w:tcBorders/>
            <w:shd w:fill="CCEEFF" w:val="clear"/>
          </w:tcPr>
          <w:p>
            <w:pPr>
              <w:pStyle w:val="TableContents"/>
              <w:bidi w:val="0"/>
              <w:spacing w:before="0" w:after="0"/>
              <w:ind w:left="0" w:right="0" w:hanging="0"/>
              <w:jc w:val="right"/>
              <w:rPr/>
            </w:pPr>
            <w:r>
              <w:rPr/>
              <w:t>2,543</w:t>
            </w:r>
          </w:p>
        </w:tc>
        <w:tc>
          <w:tcPr>
            <w:tcW w:w="232" w:type="dxa"/>
            <w:tcBorders/>
            <w:shd w:fill="CCEEFF" w:val="clear"/>
          </w:tcPr>
          <w:p>
            <w:pPr>
              <w:pStyle w:val="TableContents"/>
              <w:bidi w:val="0"/>
              <w:spacing w:before="0" w:after="0"/>
              <w:jc w:val="left"/>
              <w:rPr/>
            </w:pPr>
            <w:r>
              <w:rPr/>
              <w:t> </w:t>
            </w:r>
          </w:p>
        </w:tc>
      </w:tr>
      <w:tr>
        <w:trPr/>
        <w:tc>
          <w:tcPr>
            <w:tcW w:w="4113" w:type="dxa"/>
            <w:tcBorders/>
          </w:tcPr>
          <w:p>
            <w:pPr>
              <w:pStyle w:val="TableContents"/>
              <w:bidi w:val="0"/>
              <w:spacing w:before="0" w:after="0"/>
              <w:ind w:left="0" w:right="0" w:hanging="0"/>
              <w:jc w:val="left"/>
              <w:rPr/>
            </w:pPr>
            <w:r>
              <w:rPr/>
              <w:t>Total assets</w:t>
            </w:r>
          </w:p>
        </w:tc>
        <w:tc>
          <w:tcPr>
            <w:tcW w:w="101" w:type="dxa"/>
            <w:tcBorders/>
          </w:tcPr>
          <w:p>
            <w:pPr>
              <w:pStyle w:val="TableContents"/>
              <w:bidi w:val="0"/>
              <w:spacing w:before="0" w:after="0"/>
              <w:ind w:left="0" w:right="0" w:hanging="0"/>
              <w:jc w:val="right"/>
              <w:rPr/>
            </w:pPr>
            <w:r>
              <w:rPr/>
              <w:t> </w:t>
            </w:r>
          </w:p>
        </w:tc>
        <w:tc>
          <w:tcPr>
            <w:tcW w:w="191" w:type="dxa"/>
            <w:tcBorders/>
          </w:tcPr>
          <w:p>
            <w:pPr>
              <w:pStyle w:val="TableContents"/>
              <w:bidi w:val="0"/>
              <w:spacing w:before="0" w:after="0"/>
              <w:ind w:left="0" w:right="0" w:hanging="0"/>
              <w:jc w:val="left"/>
              <w:rPr/>
            </w:pPr>
            <w:r>
              <w:rPr/>
              <w:t> </w:t>
            </w:r>
          </w:p>
        </w:tc>
        <w:tc>
          <w:tcPr>
            <w:tcW w:w="2187" w:type="dxa"/>
            <w:tcBorders/>
          </w:tcPr>
          <w:p>
            <w:pPr>
              <w:pStyle w:val="TableContents"/>
              <w:bidi w:val="0"/>
              <w:spacing w:before="0" w:after="0"/>
              <w:ind w:left="0" w:right="0" w:hanging="0"/>
              <w:jc w:val="right"/>
              <w:rPr/>
            </w:pPr>
            <w:r>
              <w:rPr/>
              <w:t>429,289</w:t>
            </w:r>
          </w:p>
        </w:tc>
        <w:tc>
          <w:tcPr>
            <w:tcW w:w="208" w:type="dxa"/>
            <w:tcBorders/>
          </w:tcPr>
          <w:p>
            <w:pPr>
              <w:pStyle w:val="TableContents"/>
              <w:bidi w:val="0"/>
              <w:spacing w:before="0" w:after="0"/>
              <w:ind w:left="0" w:right="0" w:hanging="0"/>
              <w:jc w:val="left"/>
              <w:rPr/>
            </w:pPr>
            <w:r>
              <w:rPr/>
              <w:t> </w:t>
            </w:r>
          </w:p>
        </w:tc>
        <w:tc>
          <w:tcPr>
            <w:tcW w:w="90" w:type="dxa"/>
            <w:tcBorders/>
          </w:tcPr>
          <w:p>
            <w:pPr>
              <w:pStyle w:val="TableContents"/>
              <w:bidi w:val="0"/>
              <w:spacing w:before="0" w:after="0"/>
              <w:ind w:left="0" w:right="0" w:hanging="0"/>
              <w:jc w:val="right"/>
              <w:rPr/>
            </w:pPr>
            <w:r>
              <w:rPr/>
              <w:t> </w:t>
            </w:r>
          </w:p>
        </w:tc>
        <w:tc>
          <w:tcPr>
            <w:tcW w:w="170" w:type="dxa"/>
            <w:tcBorders/>
          </w:tcPr>
          <w:p>
            <w:pPr>
              <w:pStyle w:val="TableContents"/>
              <w:bidi w:val="0"/>
              <w:spacing w:before="0" w:after="0"/>
              <w:ind w:left="0" w:right="0" w:hanging="0"/>
              <w:jc w:val="left"/>
              <w:rPr/>
            </w:pPr>
            <w:r>
              <w:rPr/>
              <w:t> </w:t>
            </w:r>
          </w:p>
        </w:tc>
        <w:tc>
          <w:tcPr>
            <w:tcW w:w="1638" w:type="dxa"/>
            <w:tcBorders/>
          </w:tcPr>
          <w:p>
            <w:pPr>
              <w:pStyle w:val="TableContents"/>
              <w:bidi w:val="0"/>
              <w:spacing w:before="0" w:after="0"/>
              <w:ind w:left="0" w:right="0" w:hanging="0"/>
              <w:jc w:val="right"/>
              <w:rPr/>
            </w:pPr>
            <w:r>
              <w:rPr/>
              <w:t>25,255</w:t>
            </w:r>
          </w:p>
        </w:tc>
        <w:tc>
          <w:tcPr>
            <w:tcW w:w="185" w:type="dxa"/>
            <w:tcBorders/>
          </w:tcPr>
          <w:p>
            <w:pPr>
              <w:pStyle w:val="TableContents"/>
              <w:bidi w:val="0"/>
              <w:spacing w:before="0" w:after="0"/>
              <w:ind w:left="0" w:right="0" w:hanging="0"/>
              <w:jc w:val="left"/>
              <w:rPr/>
            </w:pPr>
            <w:r>
              <w:rPr/>
              <w:t> </w:t>
            </w:r>
          </w:p>
        </w:tc>
        <w:tc>
          <w:tcPr>
            <w:tcW w:w="90" w:type="dxa"/>
            <w:tcBorders/>
          </w:tcPr>
          <w:p>
            <w:pPr>
              <w:pStyle w:val="TableContents"/>
              <w:bidi w:val="0"/>
              <w:spacing w:before="0" w:after="0"/>
              <w:ind w:left="0" w:right="0" w:hanging="0"/>
              <w:jc w:val="right"/>
              <w:rPr/>
            </w:pPr>
            <w:r>
              <w:rPr/>
              <w:t> </w:t>
            </w:r>
          </w:p>
        </w:tc>
        <w:tc>
          <w:tcPr>
            <w:tcW w:w="170" w:type="dxa"/>
            <w:tcBorders/>
          </w:tcPr>
          <w:p>
            <w:pPr>
              <w:pStyle w:val="TableContents"/>
              <w:bidi w:val="0"/>
              <w:spacing w:before="0" w:after="0"/>
              <w:ind w:left="0" w:right="0" w:hanging="0"/>
              <w:jc w:val="left"/>
              <w:rPr/>
            </w:pPr>
            <w:r>
              <w:rPr/>
              <w:t> </w:t>
            </w:r>
          </w:p>
        </w:tc>
        <w:tc>
          <w:tcPr>
            <w:tcW w:w="830" w:type="dxa"/>
            <w:tcBorders/>
          </w:tcPr>
          <w:p>
            <w:pPr>
              <w:pStyle w:val="TableContents"/>
              <w:bidi w:val="0"/>
              <w:spacing w:before="0" w:after="0"/>
              <w:ind w:left="0" w:right="0" w:hanging="0"/>
              <w:jc w:val="right"/>
              <w:rPr/>
            </w:pPr>
            <w:r>
              <w:rPr/>
              <w:t>454,544</w:t>
            </w:r>
          </w:p>
        </w:tc>
        <w:tc>
          <w:tcPr>
            <w:tcW w:w="232" w:type="dxa"/>
            <w:tcBorders/>
          </w:tcPr>
          <w:p>
            <w:pPr>
              <w:pStyle w:val="TableContents"/>
              <w:bidi w:val="0"/>
              <w:spacing w:before="0" w:after="0"/>
              <w:jc w:val="left"/>
              <w:rPr/>
            </w:pPr>
            <w:r>
              <w:rPr/>
              <w:t> </w:t>
            </w:r>
          </w:p>
        </w:tc>
      </w:tr>
      <w:tr>
        <w:trPr/>
        <w:tc>
          <w:tcPr>
            <w:tcW w:w="4113" w:type="dxa"/>
            <w:tcBorders/>
            <w:shd w:fill="CCEEFF" w:val="clear"/>
          </w:tcPr>
          <w:p>
            <w:pPr>
              <w:pStyle w:val="TableContents"/>
              <w:bidi w:val="0"/>
              <w:spacing w:before="0" w:after="283"/>
              <w:jc w:val="left"/>
              <w:rPr/>
            </w:pPr>
            <w:r>
              <w:rPr/>
              <w:t> </w:t>
            </w:r>
          </w:p>
        </w:tc>
        <w:tc>
          <w:tcPr>
            <w:tcW w:w="101" w:type="dxa"/>
            <w:tcBorders/>
            <w:shd w:fill="CCEEFF" w:val="clear"/>
          </w:tcPr>
          <w:p>
            <w:pPr>
              <w:pStyle w:val="TableContents"/>
              <w:bidi w:val="0"/>
              <w:spacing w:before="0" w:after="283"/>
              <w:jc w:val="left"/>
              <w:rPr/>
            </w:pPr>
            <w:r>
              <w:rPr/>
              <w:t> </w:t>
            </w:r>
          </w:p>
        </w:tc>
        <w:tc>
          <w:tcPr>
            <w:tcW w:w="191" w:type="dxa"/>
            <w:tcBorders/>
            <w:shd w:fill="CCEEFF" w:val="clear"/>
          </w:tcPr>
          <w:p>
            <w:pPr>
              <w:pStyle w:val="TableContents"/>
              <w:bidi w:val="0"/>
              <w:spacing w:before="0" w:after="283"/>
              <w:jc w:val="left"/>
              <w:rPr/>
            </w:pPr>
            <w:r>
              <w:rPr/>
              <w:t> </w:t>
            </w:r>
          </w:p>
        </w:tc>
        <w:tc>
          <w:tcPr>
            <w:tcW w:w="2187" w:type="dxa"/>
            <w:tcBorders/>
            <w:shd w:fill="CCEEFF" w:val="clear"/>
          </w:tcPr>
          <w:p>
            <w:pPr>
              <w:pStyle w:val="TableContents"/>
              <w:bidi w:val="0"/>
              <w:spacing w:before="0" w:after="283"/>
              <w:jc w:val="left"/>
              <w:rPr/>
            </w:pPr>
            <w:r>
              <w:rPr/>
              <w:t> </w:t>
            </w:r>
          </w:p>
        </w:tc>
        <w:tc>
          <w:tcPr>
            <w:tcW w:w="208" w:type="dxa"/>
            <w:tcBorders/>
            <w:shd w:fill="CCEEFF" w:val="clear"/>
          </w:tcPr>
          <w:p>
            <w:pPr>
              <w:pStyle w:val="TableContents"/>
              <w:bidi w:val="0"/>
              <w:spacing w:before="0" w:after="283"/>
              <w:jc w:val="left"/>
              <w:rPr/>
            </w:pPr>
            <w:r>
              <w:rPr/>
              <w:t> </w:t>
            </w:r>
          </w:p>
        </w:tc>
        <w:tc>
          <w:tcPr>
            <w:tcW w:w="90" w:type="dxa"/>
            <w:tcBorders/>
            <w:shd w:fill="CCEEFF" w:val="clear"/>
          </w:tcPr>
          <w:p>
            <w:pPr>
              <w:pStyle w:val="TableContents"/>
              <w:bidi w:val="0"/>
              <w:spacing w:before="0" w:after="283"/>
              <w:jc w:val="left"/>
              <w:rPr/>
            </w:pPr>
            <w:r>
              <w:rPr/>
              <w:t> </w:t>
            </w:r>
          </w:p>
        </w:tc>
        <w:tc>
          <w:tcPr>
            <w:tcW w:w="170" w:type="dxa"/>
            <w:tcBorders/>
            <w:shd w:fill="CCEEFF" w:val="clear"/>
          </w:tcPr>
          <w:p>
            <w:pPr>
              <w:pStyle w:val="TableContents"/>
              <w:bidi w:val="0"/>
              <w:spacing w:before="0" w:after="283"/>
              <w:jc w:val="left"/>
              <w:rPr/>
            </w:pPr>
            <w:r>
              <w:rPr/>
              <w:t> </w:t>
            </w:r>
          </w:p>
        </w:tc>
        <w:tc>
          <w:tcPr>
            <w:tcW w:w="1638" w:type="dxa"/>
            <w:tcBorders/>
            <w:shd w:fill="CCEEFF" w:val="clear"/>
          </w:tcPr>
          <w:p>
            <w:pPr>
              <w:pStyle w:val="TableContents"/>
              <w:bidi w:val="0"/>
              <w:spacing w:before="0" w:after="283"/>
              <w:jc w:val="left"/>
              <w:rPr/>
            </w:pPr>
            <w:r>
              <w:rPr/>
              <w:t> </w:t>
            </w:r>
          </w:p>
        </w:tc>
        <w:tc>
          <w:tcPr>
            <w:tcW w:w="185" w:type="dxa"/>
            <w:tcBorders/>
            <w:shd w:fill="CCEEFF" w:val="clear"/>
          </w:tcPr>
          <w:p>
            <w:pPr>
              <w:pStyle w:val="TableContents"/>
              <w:bidi w:val="0"/>
              <w:spacing w:before="0" w:after="283"/>
              <w:jc w:val="left"/>
              <w:rPr/>
            </w:pPr>
            <w:r>
              <w:rPr/>
              <w:t> </w:t>
            </w:r>
          </w:p>
        </w:tc>
        <w:tc>
          <w:tcPr>
            <w:tcW w:w="90" w:type="dxa"/>
            <w:tcBorders/>
            <w:shd w:fill="CCEEFF" w:val="clear"/>
          </w:tcPr>
          <w:p>
            <w:pPr>
              <w:pStyle w:val="TableContents"/>
              <w:bidi w:val="0"/>
              <w:spacing w:before="0" w:after="283"/>
              <w:jc w:val="left"/>
              <w:rPr/>
            </w:pPr>
            <w:r>
              <w:rPr/>
              <w:t> </w:t>
            </w:r>
          </w:p>
        </w:tc>
        <w:tc>
          <w:tcPr>
            <w:tcW w:w="170" w:type="dxa"/>
            <w:tcBorders/>
            <w:shd w:fill="CCEEFF" w:val="clear"/>
          </w:tcPr>
          <w:p>
            <w:pPr>
              <w:pStyle w:val="TableContents"/>
              <w:bidi w:val="0"/>
              <w:spacing w:before="0" w:after="283"/>
              <w:jc w:val="left"/>
              <w:rPr/>
            </w:pPr>
            <w:r>
              <w:rPr/>
              <w:t> </w:t>
            </w:r>
          </w:p>
        </w:tc>
        <w:tc>
          <w:tcPr>
            <w:tcW w:w="830" w:type="dxa"/>
            <w:tcBorders/>
            <w:shd w:fill="CCEEFF" w:val="clear"/>
          </w:tcPr>
          <w:p>
            <w:pPr>
              <w:pStyle w:val="TableContents"/>
              <w:bidi w:val="0"/>
              <w:spacing w:before="0" w:after="283"/>
              <w:jc w:val="left"/>
              <w:rPr/>
            </w:pPr>
            <w:r>
              <w:rPr/>
              <w:t> </w:t>
            </w:r>
          </w:p>
        </w:tc>
        <w:tc>
          <w:tcPr>
            <w:tcW w:w="232" w:type="dxa"/>
            <w:tcBorders/>
            <w:shd w:fill="CCEEFF" w:val="clear"/>
          </w:tcPr>
          <w:p>
            <w:pPr>
              <w:pStyle w:val="TableContents"/>
              <w:bidi w:val="0"/>
              <w:spacing w:before="0" w:after="283"/>
              <w:jc w:val="left"/>
              <w:rPr/>
            </w:pPr>
            <w:r>
              <w:rPr/>
              <w:t> </w:t>
            </w:r>
          </w:p>
        </w:tc>
      </w:tr>
      <w:tr>
        <w:trPr/>
        <w:tc>
          <w:tcPr>
            <w:tcW w:w="6800" w:type="dxa"/>
            <w:gridSpan w:val="5"/>
            <w:tcBorders/>
          </w:tcPr>
          <w:p>
            <w:pPr>
              <w:pStyle w:val="TableContents"/>
              <w:bidi w:val="0"/>
              <w:spacing w:before="0" w:after="0"/>
              <w:ind w:left="0" w:right="0" w:hanging="0"/>
              <w:jc w:val="left"/>
              <w:rPr>
                <w:i/>
              </w:rPr>
            </w:pPr>
            <w:r>
              <w:rPr>
                <w:i/>
              </w:rPr>
              <w:t>Reconciliation of revenues:</w:t>
            </w:r>
          </w:p>
        </w:tc>
        <w:tc>
          <w:tcPr>
            <w:tcW w:w="90" w:type="dxa"/>
            <w:tcBorders/>
          </w:tcPr>
          <w:p>
            <w:pPr>
              <w:pStyle w:val="TableContents"/>
              <w:bidi w:val="0"/>
              <w:spacing w:before="0" w:after="283"/>
              <w:jc w:val="left"/>
              <w:rPr/>
            </w:pPr>
            <w:r>
              <w:rPr/>
              <w:t> </w:t>
            </w:r>
          </w:p>
        </w:tc>
        <w:tc>
          <w:tcPr>
            <w:tcW w:w="170" w:type="dxa"/>
            <w:tcBorders/>
          </w:tcPr>
          <w:p>
            <w:pPr>
              <w:pStyle w:val="TableContents"/>
              <w:bidi w:val="0"/>
              <w:spacing w:before="0" w:after="283"/>
              <w:jc w:val="left"/>
              <w:rPr/>
            </w:pPr>
            <w:r>
              <w:rPr/>
              <w:t> </w:t>
            </w:r>
          </w:p>
        </w:tc>
        <w:tc>
          <w:tcPr>
            <w:tcW w:w="1638" w:type="dxa"/>
            <w:tcBorders/>
          </w:tcPr>
          <w:p>
            <w:pPr>
              <w:pStyle w:val="TableContents"/>
              <w:bidi w:val="0"/>
              <w:spacing w:before="0" w:after="283"/>
              <w:jc w:val="left"/>
              <w:rPr/>
            </w:pPr>
            <w:r>
              <w:rPr/>
              <w:t> </w:t>
            </w:r>
          </w:p>
        </w:tc>
        <w:tc>
          <w:tcPr>
            <w:tcW w:w="185" w:type="dxa"/>
            <w:tcBorders/>
          </w:tcPr>
          <w:p>
            <w:pPr>
              <w:pStyle w:val="TableContents"/>
              <w:bidi w:val="0"/>
              <w:spacing w:before="0" w:after="283"/>
              <w:jc w:val="left"/>
              <w:rPr/>
            </w:pPr>
            <w:r>
              <w:rPr/>
              <w:t> </w:t>
            </w:r>
          </w:p>
        </w:tc>
        <w:tc>
          <w:tcPr>
            <w:tcW w:w="90" w:type="dxa"/>
            <w:tcBorders/>
          </w:tcPr>
          <w:p>
            <w:pPr>
              <w:pStyle w:val="TableContents"/>
              <w:bidi w:val="0"/>
              <w:spacing w:before="0" w:after="283"/>
              <w:jc w:val="left"/>
              <w:rPr/>
            </w:pPr>
            <w:r>
              <w:rPr/>
              <w:t> </w:t>
            </w:r>
          </w:p>
        </w:tc>
        <w:tc>
          <w:tcPr>
            <w:tcW w:w="170" w:type="dxa"/>
            <w:tcBorders/>
          </w:tcPr>
          <w:p>
            <w:pPr>
              <w:pStyle w:val="TableContents"/>
              <w:bidi w:val="0"/>
              <w:spacing w:before="0" w:after="283"/>
              <w:jc w:val="left"/>
              <w:rPr/>
            </w:pPr>
            <w:r>
              <w:rPr/>
              <w:t> </w:t>
            </w:r>
          </w:p>
        </w:tc>
        <w:tc>
          <w:tcPr>
            <w:tcW w:w="830" w:type="dxa"/>
            <w:tcBorders/>
          </w:tcPr>
          <w:p>
            <w:pPr>
              <w:pStyle w:val="TableContents"/>
              <w:bidi w:val="0"/>
              <w:spacing w:before="0" w:after="283"/>
              <w:jc w:val="left"/>
              <w:rPr/>
            </w:pPr>
            <w:r>
              <w:rPr/>
              <w:t> </w:t>
            </w:r>
          </w:p>
        </w:tc>
        <w:tc>
          <w:tcPr>
            <w:tcW w:w="232" w:type="dxa"/>
            <w:tcBorders/>
          </w:tcPr>
          <w:p>
            <w:pPr>
              <w:pStyle w:val="TableContents"/>
              <w:bidi w:val="0"/>
              <w:spacing w:before="0" w:after="283"/>
              <w:jc w:val="left"/>
              <w:rPr/>
            </w:pPr>
            <w:r>
              <w:rPr/>
              <w:t> </w:t>
            </w:r>
          </w:p>
        </w:tc>
      </w:tr>
      <w:tr>
        <w:trPr/>
        <w:tc>
          <w:tcPr>
            <w:tcW w:w="4113" w:type="dxa"/>
            <w:tcBorders/>
            <w:shd w:fill="CCEEFF" w:val="clear"/>
          </w:tcPr>
          <w:p>
            <w:pPr>
              <w:pStyle w:val="TableContents"/>
              <w:bidi w:val="0"/>
              <w:spacing w:before="0" w:after="0"/>
              <w:ind w:left="288" w:right="0" w:hanging="144"/>
              <w:jc w:val="left"/>
              <w:rPr/>
            </w:pPr>
            <w:r>
              <w:rPr/>
              <w:t>Segment revenue</w:t>
            </w:r>
          </w:p>
        </w:tc>
        <w:tc>
          <w:tcPr>
            <w:tcW w:w="101" w:type="dxa"/>
            <w:tcBorders/>
            <w:shd w:fill="CCEEFF" w:val="clear"/>
          </w:tcPr>
          <w:p>
            <w:pPr>
              <w:pStyle w:val="TableContents"/>
              <w:bidi w:val="0"/>
              <w:spacing w:before="0" w:after="283"/>
              <w:jc w:val="left"/>
              <w:rPr/>
            </w:pPr>
            <w:r>
              <w:rPr/>
              <w:t> </w:t>
            </w:r>
          </w:p>
        </w:tc>
        <w:tc>
          <w:tcPr>
            <w:tcW w:w="191" w:type="dxa"/>
            <w:tcBorders/>
            <w:shd w:fill="CCEEFF" w:val="clear"/>
          </w:tcPr>
          <w:p>
            <w:pPr>
              <w:pStyle w:val="TableContents"/>
              <w:bidi w:val="0"/>
              <w:spacing w:before="0" w:after="283"/>
              <w:jc w:val="left"/>
              <w:rPr/>
            </w:pPr>
            <w:r>
              <w:rPr/>
              <w:t> </w:t>
            </w:r>
          </w:p>
        </w:tc>
        <w:tc>
          <w:tcPr>
            <w:tcW w:w="2187" w:type="dxa"/>
            <w:tcBorders/>
            <w:shd w:fill="CCEEFF" w:val="clear"/>
          </w:tcPr>
          <w:p>
            <w:pPr>
              <w:pStyle w:val="TableContents"/>
              <w:bidi w:val="0"/>
              <w:spacing w:before="0" w:after="283"/>
              <w:jc w:val="left"/>
              <w:rPr/>
            </w:pPr>
            <w:r>
              <w:rPr/>
              <w:t> </w:t>
            </w:r>
          </w:p>
        </w:tc>
        <w:tc>
          <w:tcPr>
            <w:tcW w:w="208" w:type="dxa"/>
            <w:tcBorders/>
            <w:shd w:fill="CCEEFF" w:val="clear"/>
          </w:tcPr>
          <w:p>
            <w:pPr>
              <w:pStyle w:val="TableContents"/>
              <w:bidi w:val="0"/>
              <w:spacing w:before="0" w:after="283"/>
              <w:jc w:val="left"/>
              <w:rPr/>
            </w:pPr>
            <w:r>
              <w:rPr/>
              <w:t> </w:t>
            </w:r>
          </w:p>
        </w:tc>
        <w:tc>
          <w:tcPr>
            <w:tcW w:w="90" w:type="dxa"/>
            <w:tcBorders/>
            <w:shd w:fill="CCEEFF" w:val="clear"/>
          </w:tcPr>
          <w:p>
            <w:pPr>
              <w:pStyle w:val="TableContents"/>
              <w:bidi w:val="0"/>
              <w:spacing w:before="0" w:after="283"/>
              <w:jc w:val="left"/>
              <w:rPr/>
            </w:pPr>
            <w:r>
              <w:rPr/>
              <w:t> </w:t>
            </w:r>
          </w:p>
        </w:tc>
        <w:tc>
          <w:tcPr>
            <w:tcW w:w="170" w:type="dxa"/>
            <w:tcBorders/>
            <w:shd w:fill="CCEEFF" w:val="clear"/>
          </w:tcPr>
          <w:p>
            <w:pPr>
              <w:pStyle w:val="TableContents"/>
              <w:bidi w:val="0"/>
              <w:spacing w:before="0" w:after="283"/>
              <w:jc w:val="left"/>
              <w:rPr/>
            </w:pPr>
            <w:r>
              <w:rPr/>
              <w:t> </w:t>
            </w:r>
          </w:p>
        </w:tc>
        <w:tc>
          <w:tcPr>
            <w:tcW w:w="1638" w:type="dxa"/>
            <w:tcBorders/>
            <w:shd w:fill="CCEEFF" w:val="clear"/>
          </w:tcPr>
          <w:p>
            <w:pPr>
              <w:pStyle w:val="TableContents"/>
              <w:bidi w:val="0"/>
              <w:spacing w:before="0" w:after="283"/>
              <w:jc w:val="left"/>
              <w:rPr/>
            </w:pPr>
            <w:r>
              <w:rPr/>
              <w:t> </w:t>
            </w:r>
          </w:p>
        </w:tc>
        <w:tc>
          <w:tcPr>
            <w:tcW w:w="185" w:type="dxa"/>
            <w:tcBorders/>
            <w:shd w:fill="CCEEFF" w:val="clear"/>
          </w:tcPr>
          <w:p>
            <w:pPr>
              <w:pStyle w:val="TableContents"/>
              <w:bidi w:val="0"/>
              <w:spacing w:before="0" w:after="283"/>
              <w:ind w:left="0" w:right="0" w:hanging="0"/>
              <w:jc w:val="left"/>
              <w:rPr/>
            </w:pPr>
            <w:r>
              <w:rPr/>
              <w:t> </w:t>
            </w:r>
          </w:p>
        </w:tc>
        <w:tc>
          <w:tcPr>
            <w:tcW w:w="90" w:type="dxa"/>
            <w:tcBorders/>
            <w:shd w:fill="CCEEFF" w:val="clear"/>
          </w:tcPr>
          <w:p>
            <w:pPr>
              <w:pStyle w:val="TableContents"/>
              <w:bidi w:val="0"/>
              <w:spacing w:before="0" w:after="0"/>
              <w:ind w:left="0" w:right="0" w:hanging="0"/>
              <w:jc w:val="right"/>
              <w:rPr/>
            </w:pPr>
            <w:r>
              <w:rPr/>
              <w:t> </w:t>
            </w:r>
          </w:p>
        </w:tc>
        <w:tc>
          <w:tcPr>
            <w:tcW w:w="170" w:type="dxa"/>
            <w:tcBorders/>
            <w:shd w:fill="CCEEFF" w:val="clear"/>
          </w:tcPr>
          <w:p>
            <w:pPr>
              <w:pStyle w:val="TableContents"/>
              <w:bidi w:val="0"/>
              <w:spacing w:before="0" w:after="0"/>
              <w:ind w:left="0" w:right="0" w:hanging="0"/>
              <w:jc w:val="left"/>
              <w:rPr/>
            </w:pPr>
            <w:r>
              <w:rPr/>
              <w:t>$</w:t>
            </w:r>
          </w:p>
        </w:tc>
        <w:tc>
          <w:tcPr>
            <w:tcW w:w="830" w:type="dxa"/>
            <w:tcBorders/>
            <w:shd w:fill="CCEEFF" w:val="clear"/>
          </w:tcPr>
          <w:p>
            <w:pPr>
              <w:pStyle w:val="TableContents"/>
              <w:bidi w:val="0"/>
              <w:spacing w:before="0" w:after="0"/>
              <w:ind w:left="0" w:right="0" w:hanging="0"/>
              <w:jc w:val="right"/>
              <w:rPr/>
            </w:pPr>
            <w:r>
              <w:rPr/>
              <w:t>114,457</w:t>
            </w:r>
          </w:p>
        </w:tc>
        <w:tc>
          <w:tcPr>
            <w:tcW w:w="232" w:type="dxa"/>
            <w:tcBorders/>
            <w:shd w:fill="CCEEFF" w:val="clear"/>
          </w:tcPr>
          <w:p>
            <w:pPr>
              <w:pStyle w:val="TableContents"/>
              <w:bidi w:val="0"/>
              <w:spacing w:before="0" w:after="0"/>
              <w:jc w:val="left"/>
              <w:rPr/>
            </w:pPr>
            <w:r>
              <w:rPr/>
              <w:t> </w:t>
            </w:r>
          </w:p>
        </w:tc>
      </w:tr>
      <w:tr>
        <w:trPr/>
        <w:tc>
          <w:tcPr>
            <w:tcW w:w="4113" w:type="dxa"/>
            <w:tcBorders/>
          </w:tcPr>
          <w:p>
            <w:pPr>
              <w:pStyle w:val="TableContents"/>
              <w:bidi w:val="0"/>
              <w:spacing w:before="0" w:after="0"/>
              <w:ind w:left="288" w:right="0" w:hanging="144"/>
              <w:jc w:val="left"/>
              <w:rPr/>
            </w:pPr>
            <w:r>
              <w:rPr/>
              <w:t>License revenue</w:t>
            </w:r>
          </w:p>
        </w:tc>
        <w:tc>
          <w:tcPr>
            <w:tcW w:w="101" w:type="dxa"/>
            <w:tcBorders/>
          </w:tcPr>
          <w:p>
            <w:pPr>
              <w:pStyle w:val="TableContents"/>
              <w:bidi w:val="0"/>
              <w:spacing w:before="0" w:after="283"/>
              <w:jc w:val="left"/>
              <w:rPr/>
            </w:pPr>
            <w:r>
              <w:rPr/>
              <w:t> </w:t>
            </w:r>
          </w:p>
        </w:tc>
        <w:tc>
          <w:tcPr>
            <w:tcW w:w="191" w:type="dxa"/>
            <w:tcBorders/>
          </w:tcPr>
          <w:p>
            <w:pPr>
              <w:pStyle w:val="TableContents"/>
              <w:bidi w:val="0"/>
              <w:spacing w:before="0" w:after="283"/>
              <w:jc w:val="left"/>
              <w:rPr/>
            </w:pPr>
            <w:r>
              <w:rPr/>
              <w:t> </w:t>
            </w:r>
          </w:p>
        </w:tc>
        <w:tc>
          <w:tcPr>
            <w:tcW w:w="2187" w:type="dxa"/>
            <w:tcBorders/>
          </w:tcPr>
          <w:p>
            <w:pPr>
              <w:pStyle w:val="TableContents"/>
              <w:bidi w:val="0"/>
              <w:spacing w:before="0" w:after="283"/>
              <w:jc w:val="left"/>
              <w:rPr/>
            </w:pPr>
            <w:r>
              <w:rPr/>
              <w:t> </w:t>
            </w:r>
          </w:p>
        </w:tc>
        <w:tc>
          <w:tcPr>
            <w:tcW w:w="208" w:type="dxa"/>
            <w:tcBorders/>
          </w:tcPr>
          <w:p>
            <w:pPr>
              <w:pStyle w:val="TableContents"/>
              <w:bidi w:val="0"/>
              <w:spacing w:before="0" w:after="283"/>
              <w:jc w:val="left"/>
              <w:rPr/>
            </w:pPr>
            <w:r>
              <w:rPr/>
              <w:t> </w:t>
            </w:r>
          </w:p>
        </w:tc>
        <w:tc>
          <w:tcPr>
            <w:tcW w:w="90" w:type="dxa"/>
            <w:tcBorders/>
          </w:tcPr>
          <w:p>
            <w:pPr>
              <w:pStyle w:val="TableContents"/>
              <w:bidi w:val="0"/>
              <w:spacing w:before="0" w:after="283"/>
              <w:jc w:val="left"/>
              <w:rPr/>
            </w:pPr>
            <w:r>
              <w:rPr/>
              <w:t> </w:t>
            </w:r>
          </w:p>
        </w:tc>
        <w:tc>
          <w:tcPr>
            <w:tcW w:w="170" w:type="dxa"/>
            <w:tcBorders/>
          </w:tcPr>
          <w:p>
            <w:pPr>
              <w:pStyle w:val="TableContents"/>
              <w:bidi w:val="0"/>
              <w:spacing w:before="0" w:after="283"/>
              <w:jc w:val="left"/>
              <w:rPr/>
            </w:pPr>
            <w:r>
              <w:rPr/>
              <w:t> </w:t>
            </w:r>
          </w:p>
        </w:tc>
        <w:tc>
          <w:tcPr>
            <w:tcW w:w="1638" w:type="dxa"/>
            <w:tcBorders/>
          </w:tcPr>
          <w:p>
            <w:pPr>
              <w:pStyle w:val="TableContents"/>
              <w:bidi w:val="0"/>
              <w:spacing w:before="0" w:after="283"/>
              <w:jc w:val="left"/>
              <w:rPr/>
            </w:pPr>
            <w:r>
              <w:rPr/>
              <w:t> </w:t>
            </w:r>
          </w:p>
        </w:tc>
        <w:tc>
          <w:tcPr>
            <w:tcW w:w="185" w:type="dxa"/>
            <w:tcBorders/>
          </w:tcPr>
          <w:p>
            <w:pPr>
              <w:pStyle w:val="TableContents"/>
              <w:bidi w:val="0"/>
              <w:spacing w:before="0" w:after="283"/>
              <w:ind w:left="0" w:right="0" w:hanging="0"/>
              <w:jc w:val="left"/>
              <w:rPr/>
            </w:pPr>
            <w:r>
              <w:rPr/>
              <w:t> </w:t>
            </w:r>
          </w:p>
        </w:tc>
        <w:tc>
          <w:tcPr>
            <w:tcW w:w="90" w:type="dxa"/>
            <w:tcBorders/>
          </w:tcPr>
          <w:p>
            <w:pPr>
              <w:pStyle w:val="TableContents"/>
              <w:bidi w:val="0"/>
              <w:spacing w:before="0" w:after="0"/>
              <w:ind w:left="0" w:right="0" w:hanging="0"/>
              <w:jc w:val="right"/>
              <w:rPr/>
            </w:pPr>
            <w:r>
              <w:rPr/>
              <w:t> </w:t>
            </w:r>
          </w:p>
        </w:tc>
        <w:tc>
          <w:tcPr>
            <w:tcW w:w="170" w:type="dxa"/>
            <w:tcBorders>
              <w:bottom w:val="single" w:sz="12" w:space="0" w:color="000000"/>
            </w:tcBorders>
            <w:tcMar>
              <w:bottom w:w="28" w:type="dxa"/>
            </w:tcMar>
          </w:tcPr>
          <w:p>
            <w:pPr>
              <w:pStyle w:val="TableContents"/>
              <w:bidi w:val="0"/>
              <w:spacing w:before="0" w:after="0"/>
              <w:ind w:left="0" w:right="0" w:hanging="0"/>
              <w:jc w:val="left"/>
              <w:rPr/>
            </w:pPr>
            <w:r>
              <w:rPr/>
              <w:t> </w:t>
            </w:r>
          </w:p>
        </w:tc>
        <w:tc>
          <w:tcPr>
            <w:tcW w:w="830" w:type="dxa"/>
            <w:tcBorders>
              <w:bottom w:val="single" w:sz="12" w:space="0" w:color="000000"/>
            </w:tcBorders>
            <w:tcMar>
              <w:bottom w:w="28" w:type="dxa"/>
            </w:tcMar>
          </w:tcPr>
          <w:p>
            <w:pPr>
              <w:pStyle w:val="TableContents"/>
              <w:bidi w:val="0"/>
              <w:spacing w:before="0" w:after="0"/>
              <w:ind w:left="0" w:right="0" w:hanging="0"/>
              <w:jc w:val="right"/>
              <w:rPr/>
            </w:pPr>
            <w:r>
              <w:rPr/>
              <w:t>36</w:t>
            </w:r>
          </w:p>
        </w:tc>
        <w:tc>
          <w:tcPr>
            <w:tcW w:w="232" w:type="dxa"/>
            <w:tcBorders>
              <w:bottom w:val="single" w:sz="12" w:space="0" w:color="000000"/>
            </w:tcBorders>
            <w:tcMar>
              <w:bottom w:w="28" w:type="dxa"/>
            </w:tcMar>
          </w:tcPr>
          <w:p>
            <w:pPr>
              <w:pStyle w:val="TableContents"/>
              <w:bidi w:val="0"/>
              <w:spacing w:before="0" w:after="0"/>
              <w:jc w:val="left"/>
              <w:rPr/>
            </w:pPr>
            <w:r>
              <w:rPr/>
              <w:t> </w:t>
            </w:r>
          </w:p>
        </w:tc>
      </w:tr>
      <w:tr>
        <w:trPr/>
        <w:tc>
          <w:tcPr>
            <w:tcW w:w="4113" w:type="dxa"/>
            <w:tcBorders/>
            <w:shd w:fill="CCEEFF" w:val="clear"/>
          </w:tcPr>
          <w:p>
            <w:pPr>
              <w:pStyle w:val="TableContents"/>
              <w:bidi w:val="0"/>
              <w:spacing w:before="0" w:after="0"/>
              <w:ind w:left="432" w:right="0" w:hanging="144"/>
              <w:jc w:val="left"/>
              <w:rPr/>
            </w:pPr>
            <w:r>
              <w:rPr/>
              <w:t>Consolidated revenues</w:t>
            </w:r>
          </w:p>
        </w:tc>
        <w:tc>
          <w:tcPr>
            <w:tcW w:w="101" w:type="dxa"/>
            <w:tcBorders/>
            <w:shd w:fill="CCEEFF" w:val="clear"/>
          </w:tcPr>
          <w:p>
            <w:pPr>
              <w:pStyle w:val="TableContents"/>
              <w:bidi w:val="0"/>
              <w:spacing w:before="0" w:after="283"/>
              <w:jc w:val="left"/>
              <w:rPr/>
            </w:pPr>
            <w:r>
              <w:rPr/>
              <w:t> </w:t>
            </w:r>
          </w:p>
        </w:tc>
        <w:tc>
          <w:tcPr>
            <w:tcW w:w="191" w:type="dxa"/>
            <w:tcBorders/>
            <w:shd w:fill="CCEEFF" w:val="clear"/>
          </w:tcPr>
          <w:p>
            <w:pPr>
              <w:pStyle w:val="TableContents"/>
              <w:bidi w:val="0"/>
              <w:spacing w:before="0" w:after="283"/>
              <w:jc w:val="left"/>
              <w:rPr/>
            </w:pPr>
            <w:r>
              <w:rPr/>
              <w:t> </w:t>
            </w:r>
          </w:p>
        </w:tc>
        <w:tc>
          <w:tcPr>
            <w:tcW w:w="2187" w:type="dxa"/>
            <w:tcBorders/>
            <w:shd w:fill="CCEEFF" w:val="clear"/>
          </w:tcPr>
          <w:p>
            <w:pPr>
              <w:pStyle w:val="TableContents"/>
              <w:bidi w:val="0"/>
              <w:spacing w:before="0" w:after="283"/>
              <w:jc w:val="left"/>
              <w:rPr/>
            </w:pPr>
            <w:r>
              <w:rPr/>
              <w:t> </w:t>
            </w:r>
          </w:p>
        </w:tc>
        <w:tc>
          <w:tcPr>
            <w:tcW w:w="208" w:type="dxa"/>
            <w:tcBorders/>
            <w:shd w:fill="CCEEFF" w:val="clear"/>
          </w:tcPr>
          <w:p>
            <w:pPr>
              <w:pStyle w:val="TableContents"/>
              <w:bidi w:val="0"/>
              <w:spacing w:before="0" w:after="283"/>
              <w:jc w:val="left"/>
              <w:rPr/>
            </w:pPr>
            <w:r>
              <w:rPr/>
              <w:t> </w:t>
            </w:r>
          </w:p>
        </w:tc>
        <w:tc>
          <w:tcPr>
            <w:tcW w:w="90" w:type="dxa"/>
            <w:tcBorders/>
            <w:shd w:fill="CCEEFF" w:val="clear"/>
          </w:tcPr>
          <w:p>
            <w:pPr>
              <w:pStyle w:val="TableContents"/>
              <w:bidi w:val="0"/>
              <w:spacing w:before="0" w:after="283"/>
              <w:jc w:val="left"/>
              <w:rPr/>
            </w:pPr>
            <w:r>
              <w:rPr/>
              <w:t> </w:t>
            </w:r>
          </w:p>
        </w:tc>
        <w:tc>
          <w:tcPr>
            <w:tcW w:w="170" w:type="dxa"/>
            <w:tcBorders/>
            <w:shd w:fill="CCEEFF" w:val="clear"/>
          </w:tcPr>
          <w:p>
            <w:pPr>
              <w:pStyle w:val="TableContents"/>
              <w:bidi w:val="0"/>
              <w:spacing w:before="0" w:after="283"/>
              <w:jc w:val="left"/>
              <w:rPr/>
            </w:pPr>
            <w:r>
              <w:rPr/>
              <w:t> </w:t>
            </w:r>
          </w:p>
        </w:tc>
        <w:tc>
          <w:tcPr>
            <w:tcW w:w="1638" w:type="dxa"/>
            <w:tcBorders/>
            <w:shd w:fill="CCEEFF" w:val="clear"/>
          </w:tcPr>
          <w:p>
            <w:pPr>
              <w:pStyle w:val="TableContents"/>
              <w:bidi w:val="0"/>
              <w:spacing w:before="0" w:after="283"/>
              <w:jc w:val="left"/>
              <w:rPr/>
            </w:pPr>
            <w:r>
              <w:rPr/>
              <w:t> </w:t>
            </w:r>
          </w:p>
        </w:tc>
        <w:tc>
          <w:tcPr>
            <w:tcW w:w="185" w:type="dxa"/>
            <w:tcBorders/>
            <w:shd w:fill="CCEEFF" w:val="clear"/>
          </w:tcPr>
          <w:p>
            <w:pPr>
              <w:pStyle w:val="TableContents"/>
              <w:bidi w:val="0"/>
              <w:spacing w:before="0" w:after="283"/>
              <w:ind w:left="0" w:right="0" w:hanging="0"/>
              <w:jc w:val="left"/>
              <w:rPr/>
            </w:pPr>
            <w:r>
              <w:rPr/>
              <w:t> </w:t>
            </w:r>
          </w:p>
        </w:tc>
        <w:tc>
          <w:tcPr>
            <w:tcW w:w="90" w:type="dxa"/>
            <w:tcBorders/>
            <w:shd w:fill="CCEEFF" w:val="clear"/>
          </w:tcPr>
          <w:p>
            <w:pPr>
              <w:pStyle w:val="TableContents"/>
              <w:bidi w:val="0"/>
              <w:spacing w:before="0" w:after="0"/>
              <w:ind w:left="0" w:right="0" w:hanging="0"/>
              <w:jc w:val="right"/>
              <w:rPr/>
            </w:pPr>
            <w:r>
              <w:rPr/>
              <w:t> </w:t>
            </w:r>
          </w:p>
        </w:tc>
        <w:tc>
          <w:tcPr>
            <w:tcW w:w="170" w:type="dxa"/>
            <w:tcBorders>
              <w:bottom w:val="double" w:sz="8" w:space="0" w:color="000000"/>
            </w:tcBorders>
            <w:shd w:fill="CCEEFF" w:val="clear"/>
            <w:tcMar>
              <w:bottom w:w="28" w:type="dxa"/>
            </w:tcMar>
          </w:tcPr>
          <w:p>
            <w:pPr>
              <w:pStyle w:val="TableContents"/>
              <w:bidi w:val="0"/>
              <w:spacing w:before="0" w:after="0"/>
              <w:ind w:left="0" w:right="0" w:hanging="0"/>
              <w:jc w:val="left"/>
              <w:rPr/>
            </w:pPr>
            <w:r>
              <w:rPr/>
              <w:t>$</w:t>
            </w:r>
          </w:p>
        </w:tc>
        <w:tc>
          <w:tcPr>
            <w:tcW w:w="830" w:type="dxa"/>
            <w:tcBorders>
              <w:bottom w:val="double" w:sz="8" w:space="0" w:color="000000"/>
            </w:tcBorders>
            <w:shd w:fill="CCEEFF" w:val="clear"/>
            <w:tcMar>
              <w:bottom w:w="28" w:type="dxa"/>
            </w:tcMar>
          </w:tcPr>
          <w:p>
            <w:pPr>
              <w:pStyle w:val="TableContents"/>
              <w:bidi w:val="0"/>
              <w:spacing w:before="0" w:after="0"/>
              <w:ind w:left="0" w:right="0" w:hanging="0"/>
              <w:jc w:val="right"/>
              <w:rPr/>
            </w:pPr>
            <w:r>
              <w:rPr/>
              <w:t>114,493</w:t>
            </w:r>
          </w:p>
        </w:tc>
        <w:tc>
          <w:tcPr>
            <w:tcW w:w="232" w:type="dxa"/>
            <w:tcBorders>
              <w:bottom w:val="double" w:sz="8" w:space="0" w:color="000000"/>
            </w:tcBorders>
            <w:shd w:fill="CCEEFF" w:val="clear"/>
            <w:tcMar>
              <w:bottom w:w="28" w:type="dxa"/>
            </w:tcMar>
          </w:tcPr>
          <w:p>
            <w:pPr>
              <w:pStyle w:val="TableContents"/>
              <w:bidi w:val="0"/>
              <w:spacing w:before="0" w:after="0"/>
              <w:jc w:val="left"/>
              <w:rPr/>
            </w:pPr>
            <w:r>
              <w:rPr/>
              <w:t> </w:t>
            </w:r>
          </w:p>
        </w:tc>
      </w:tr>
      <w:tr>
        <w:trPr/>
        <w:tc>
          <w:tcPr>
            <w:tcW w:w="4113" w:type="dxa"/>
            <w:tcBorders/>
          </w:tcPr>
          <w:p>
            <w:pPr>
              <w:pStyle w:val="TableContents"/>
              <w:bidi w:val="0"/>
              <w:spacing w:before="0" w:after="283"/>
              <w:jc w:val="left"/>
              <w:rPr/>
            </w:pPr>
            <w:r>
              <w:rPr/>
              <w:t> </w:t>
            </w:r>
          </w:p>
        </w:tc>
        <w:tc>
          <w:tcPr>
            <w:tcW w:w="101" w:type="dxa"/>
            <w:tcBorders/>
          </w:tcPr>
          <w:p>
            <w:pPr>
              <w:pStyle w:val="TableContents"/>
              <w:bidi w:val="0"/>
              <w:spacing w:before="0" w:after="283"/>
              <w:jc w:val="left"/>
              <w:rPr/>
            </w:pPr>
            <w:r>
              <w:rPr/>
              <w:t> </w:t>
            </w:r>
          </w:p>
        </w:tc>
        <w:tc>
          <w:tcPr>
            <w:tcW w:w="191" w:type="dxa"/>
            <w:tcBorders/>
          </w:tcPr>
          <w:p>
            <w:pPr>
              <w:pStyle w:val="TableContents"/>
              <w:bidi w:val="0"/>
              <w:spacing w:before="0" w:after="283"/>
              <w:jc w:val="left"/>
              <w:rPr/>
            </w:pPr>
            <w:r>
              <w:rPr/>
              <w:t> </w:t>
            </w:r>
          </w:p>
        </w:tc>
        <w:tc>
          <w:tcPr>
            <w:tcW w:w="2187" w:type="dxa"/>
            <w:tcBorders/>
          </w:tcPr>
          <w:p>
            <w:pPr>
              <w:pStyle w:val="TableContents"/>
              <w:bidi w:val="0"/>
              <w:spacing w:before="0" w:after="283"/>
              <w:jc w:val="left"/>
              <w:rPr/>
            </w:pPr>
            <w:r>
              <w:rPr/>
              <w:t> </w:t>
            </w:r>
          </w:p>
        </w:tc>
        <w:tc>
          <w:tcPr>
            <w:tcW w:w="208" w:type="dxa"/>
            <w:tcBorders/>
          </w:tcPr>
          <w:p>
            <w:pPr>
              <w:pStyle w:val="TableContents"/>
              <w:bidi w:val="0"/>
              <w:spacing w:before="0" w:after="283"/>
              <w:jc w:val="left"/>
              <w:rPr/>
            </w:pPr>
            <w:r>
              <w:rPr/>
              <w:t> </w:t>
            </w:r>
          </w:p>
        </w:tc>
        <w:tc>
          <w:tcPr>
            <w:tcW w:w="90" w:type="dxa"/>
            <w:tcBorders/>
          </w:tcPr>
          <w:p>
            <w:pPr>
              <w:pStyle w:val="TableContents"/>
              <w:bidi w:val="0"/>
              <w:spacing w:before="0" w:after="283"/>
              <w:jc w:val="left"/>
              <w:rPr/>
            </w:pPr>
            <w:r>
              <w:rPr/>
              <w:t> </w:t>
            </w:r>
          </w:p>
        </w:tc>
        <w:tc>
          <w:tcPr>
            <w:tcW w:w="170" w:type="dxa"/>
            <w:tcBorders/>
          </w:tcPr>
          <w:p>
            <w:pPr>
              <w:pStyle w:val="TableContents"/>
              <w:bidi w:val="0"/>
              <w:spacing w:before="0" w:after="283"/>
              <w:jc w:val="left"/>
              <w:rPr/>
            </w:pPr>
            <w:r>
              <w:rPr/>
              <w:t> </w:t>
            </w:r>
          </w:p>
        </w:tc>
        <w:tc>
          <w:tcPr>
            <w:tcW w:w="1638" w:type="dxa"/>
            <w:tcBorders/>
          </w:tcPr>
          <w:p>
            <w:pPr>
              <w:pStyle w:val="TableContents"/>
              <w:bidi w:val="0"/>
              <w:spacing w:before="0" w:after="283"/>
              <w:jc w:val="left"/>
              <w:rPr/>
            </w:pPr>
            <w:r>
              <w:rPr/>
              <w:t> </w:t>
            </w:r>
          </w:p>
        </w:tc>
        <w:tc>
          <w:tcPr>
            <w:tcW w:w="185" w:type="dxa"/>
            <w:tcBorders/>
          </w:tcPr>
          <w:p>
            <w:pPr>
              <w:pStyle w:val="TableContents"/>
              <w:bidi w:val="0"/>
              <w:spacing w:before="0" w:after="283"/>
              <w:jc w:val="left"/>
              <w:rPr/>
            </w:pPr>
            <w:r>
              <w:rPr/>
              <w:t> </w:t>
            </w:r>
          </w:p>
        </w:tc>
        <w:tc>
          <w:tcPr>
            <w:tcW w:w="90" w:type="dxa"/>
            <w:tcBorders/>
          </w:tcPr>
          <w:p>
            <w:pPr>
              <w:pStyle w:val="TableContents"/>
              <w:bidi w:val="0"/>
              <w:spacing w:before="0" w:after="283"/>
              <w:jc w:val="left"/>
              <w:rPr/>
            </w:pPr>
            <w:r>
              <w:rPr/>
              <w:t> </w:t>
            </w:r>
          </w:p>
        </w:tc>
        <w:tc>
          <w:tcPr>
            <w:tcW w:w="170" w:type="dxa"/>
            <w:tcBorders/>
          </w:tcPr>
          <w:p>
            <w:pPr>
              <w:pStyle w:val="TableContents"/>
              <w:bidi w:val="0"/>
              <w:spacing w:before="0" w:after="283"/>
              <w:jc w:val="left"/>
              <w:rPr/>
            </w:pPr>
            <w:r>
              <w:rPr/>
              <w:t> </w:t>
            </w:r>
          </w:p>
        </w:tc>
        <w:tc>
          <w:tcPr>
            <w:tcW w:w="830" w:type="dxa"/>
            <w:tcBorders/>
          </w:tcPr>
          <w:p>
            <w:pPr>
              <w:pStyle w:val="TableContents"/>
              <w:bidi w:val="0"/>
              <w:spacing w:before="0" w:after="283"/>
              <w:jc w:val="left"/>
              <w:rPr/>
            </w:pPr>
            <w:r>
              <w:rPr/>
              <w:t> </w:t>
            </w:r>
          </w:p>
        </w:tc>
        <w:tc>
          <w:tcPr>
            <w:tcW w:w="232" w:type="dxa"/>
            <w:tcBorders/>
          </w:tcPr>
          <w:p>
            <w:pPr>
              <w:pStyle w:val="TableContents"/>
              <w:bidi w:val="0"/>
              <w:spacing w:before="0" w:after="283"/>
              <w:jc w:val="left"/>
              <w:rPr/>
            </w:pPr>
            <w:r>
              <w:rPr/>
              <w:t> </w:t>
            </w:r>
          </w:p>
        </w:tc>
      </w:tr>
      <w:tr>
        <w:trPr/>
        <w:tc>
          <w:tcPr>
            <w:tcW w:w="8883" w:type="dxa"/>
            <w:gridSpan w:val="9"/>
            <w:tcBorders/>
            <w:shd w:fill="CCEEFF" w:val="clear"/>
          </w:tcPr>
          <w:p>
            <w:pPr>
              <w:pStyle w:val="TableContents"/>
              <w:bidi w:val="0"/>
              <w:spacing w:before="0" w:after="0"/>
              <w:ind w:left="0" w:right="0" w:hanging="0"/>
              <w:jc w:val="left"/>
              <w:rPr>
                <w:i/>
              </w:rPr>
            </w:pPr>
            <w:r>
              <w:rPr>
                <w:i/>
              </w:rPr>
              <w:t>Reconciliation of selling, general and administrative expense:</w:t>
            </w:r>
          </w:p>
        </w:tc>
        <w:tc>
          <w:tcPr>
            <w:tcW w:w="90" w:type="dxa"/>
            <w:tcBorders/>
            <w:shd w:fill="CCEEFF" w:val="clear"/>
          </w:tcPr>
          <w:p>
            <w:pPr>
              <w:pStyle w:val="TableContents"/>
              <w:bidi w:val="0"/>
              <w:spacing w:before="0" w:after="283"/>
              <w:jc w:val="left"/>
              <w:rPr/>
            </w:pPr>
            <w:r>
              <w:rPr/>
              <w:t> </w:t>
            </w:r>
          </w:p>
        </w:tc>
        <w:tc>
          <w:tcPr>
            <w:tcW w:w="170" w:type="dxa"/>
            <w:tcBorders/>
            <w:shd w:fill="CCEEFF" w:val="clear"/>
          </w:tcPr>
          <w:p>
            <w:pPr>
              <w:pStyle w:val="TableContents"/>
              <w:bidi w:val="0"/>
              <w:spacing w:before="0" w:after="283"/>
              <w:jc w:val="left"/>
              <w:rPr/>
            </w:pPr>
            <w:r>
              <w:rPr/>
              <w:t> </w:t>
            </w:r>
          </w:p>
        </w:tc>
        <w:tc>
          <w:tcPr>
            <w:tcW w:w="830" w:type="dxa"/>
            <w:tcBorders/>
            <w:shd w:fill="CCEEFF" w:val="clear"/>
          </w:tcPr>
          <w:p>
            <w:pPr>
              <w:pStyle w:val="TableContents"/>
              <w:bidi w:val="0"/>
              <w:spacing w:before="0" w:after="283"/>
              <w:jc w:val="left"/>
              <w:rPr/>
            </w:pPr>
            <w:r>
              <w:rPr/>
              <w:t> </w:t>
            </w:r>
          </w:p>
        </w:tc>
        <w:tc>
          <w:tcPr>
            <w:tcW w:w="232" w:type="dxa"/>
            <w:tcBorders/>
            <w:shd w:fill="CCEEFF" w:val="clear"/>
          </w:tcPr>
          <w:p>
            <w:pPr>
              <w:pStyle w:val="TableContents"/>
              <w:bidi w:val="0"/>
              <w:spacing w:before="0" w:after="283"/>
              <w:jc w:val="left"/>
              <w:rPr/>
            </w:pPr>
            <w:r>
              <w:rPr/>
              <w:t> </w:t>
            </w:r>
          </w:p>
        </w:tc>
      </w:tr>
      <w:tr>
        <w:trPr/>
        <w:tc>
          <w:tcPr>
            <w:tcW w:w="6800" w:type="dxa"/>
            <w:gridSpan w:val="5"/>
            <w:tcBorders/>
          </w:tcPr>
          <w:p>
            <w:pPr>
              <w:pStyle w:val="TableContents"/>
              <w:bidi w:val="0"/>
              <w:spacing w:before="0" w:after="0"/>
              <w:ind w:left="144" w:right="0" w:hanging="0"/>
              <w:jc w:val="left"/>
              <w:rPr/>
            </w:pPr>
            <w:r>
              <w:rPr/>
              <w:t>Segment selling, marketing and distribution expense</w:t>
            </w:r>
          </w:p>
        </w:tc>
        <w:tc>
          <w:tcPr>
            <w:tcW w:w="90" w:type="dxa"/>
            <w:tcBorders/>
          </w:tcPr>
          <w:p>
            <w:pPr>
              <w:pStyle w:val="TableContents"/>
              <w:bidi w:val="0"/>
              <w:spacing w:before="0" w:after="283"/>
              <w:jc w:val="left"/>
              <w:rPr/>
            </w:pPr>
            <w:r>
              <w:rPr/>
              <w:t> </w:t>
            </w:r>
          </w:p>
        </w:tc>
        <w:tc>
          <w:tcPr>
            <w:tcW w:w="170" w:type="dxa"/>
            <w:tcBorders/>
          </w:tcPr>
          <w:p>
            <w:pPr>
              <w:pStyle w:val="TableContents"/>
              <w:bidi w:val="0"/>
              <w:spacing w:before="0" w:after="283"/>
              <w:jc w:val="left"/>
              <w:rPr/>
            </w:pPr>
            <w:r>
              <w:rPr/>
              <w:t> </w:t>
            </w:r>
          </w:p>
        </w:tc>
        <w:tc>
          <w:tcPr>
            <w:tcW w:w="1638" w:type="dxa"/>
            <w:tcBorders/>
          </w:tcPr>
          <w:p>
            <w:pPr>
              <w:pStyle w:val="TableContents"/>
              <w:bidi w:val="0"/>
              <w:spacing w:before="0" w:after="283"/>
              <w:jc w:val="left"/>
              <w:rPr/>
            </w:pPr>
            <w:r>
              <w:rPr/>
              <w:t> </w:t>
            </w:r>
          </w:p>
        </w:tc>
        <w:tc>
          <w:tcPr>
            <w:tcW w:w="185" w:type="dxa"/>
            <w:tcBorders/>
          </w:tcPr>
          <w:p>
            <w:pPr>
              <w:pStyle w:val="TableContents"/>
              <w:bidi w:val="0"/>
              <w:spacing w:before="0" w:after="283"/>
              <w:ind w:left="0" w:right="0" w:hanging="0"/>
              <w:jc w:val="left"/>
              <w:rPr/>
            </w:pPr>
            <w:r>
              <w:rPr/>
              <w:t> </w:t>
            </w:r>
          </w:p>
        </w:tc>
        <w:tc>
          <w:tcPr>
            <w:tcW w:w="90" w:type="dxa"/>
            <w:tcBorders/>
          </w:tcPr>
          <w:p>
            <w:pPr>
              <w:pStyle w:val="TableContents"/>
              <w:bidi w:val="0"/>
              <w:spacing w:before="0" w:after="0"/>
              <w:ind w:left="0" w:right="0" w:hanging="0"/>
              <w:jc w:val="right"/>
              <w:rPr/>
            </w:pPr>
            <w:r>
              <w:rPr/>
              <w:t> </w:t>
            </w:r>
          </w:p>
        </w:tc>
        <w:tc>
          <w:tcPr>
            <w:tcW w:w="170" w:type="dxa"/>
            <w:tcBorders/>
          </w:tcPr>
          <w:p>
            <w:pPr>
              <w:pStyle w:val="TableContents"/>
              <w:bidi w:val="0"/>
              <w:spacing w:before="0" w:after="0"/>
              <w:ind w:left="0" w:right="0" w:hanging="0"/>
              <w:jc w:val="left"/>
              <w:rPr/>
            </w:pPr>
            <w:r>
              <w:rPr/>
              <w:t>$</w:t>
            </w:r>
          </w:p>
        </w:tc>
        <w:tc>
          <w:tcPr>
            <w:tcW w:w="830" w:type="dxa"/>
            <w:tcBorders/>
          </w:tcPr>
          <w:p>
            <w:pPr>
              <w:pStyle w:val="TableContents"/>
              <w:bidi w:val="0"/>
              <w:spacing w:before="0" w:after="0"/>
              <w:ind w:left="0" w:right="0" w:hanging="0"/>
              <w:jc w:val="right"/>
              <w:rPr/>
            </w:pPr>
            <w:r>
              <w:rPr/>
              <w:t>7,196</w:t>
            </w:r>
          </w:p>
        </w:tc>
        <w:tc>
          <w:tcPr>
            <w:tcW w:w="232" w:type="dxa"/>
            <w:tcBorders/>
          </w:tcPr>
          <w:p>
            <w:pPr>
              <w:pStyle w:val="TableContents"/>
              <w:bidi w:val="0"/>
              <w:spacing w:before="0" w:after="0"/>
              <w:jc w:val="left"/>
              <w:rPr/>
            </w:pPr>
            <w:r>
              <w:rPr/>
              <w:t> </w:t>
            </w:r>
          </w:p>
        </w:tc>
      </w:tr>
      <w:tr>
        <w:trPr/>
        <w:tc>
          <w:tcPr>
            <w:tcW w:w="6800" w:type="dxa"/>
            <w:gridSpan w:val="5"/>
            <w:tcBorders/>
            <w:shd w:fill="CCEEFF" w:val="clear"/>
          </w:tcPr>
          <w:p>
            <w:pPr>
              <w:pStyle w:val="TableContents"/>
              <w:bidi w:val="0"/>
              <w:spacing w:before="0" w:after="0"/>
              <w:ind w:left="144" w:right="0" w:hanging="0"/>
              <w:jc w:val="left"/>
              <w:rPr/>
            </w:pPr>
            <w:r>
              <w:rPr/>
              <w:t>Segment general and administrative expense</w:t>
            </w:r>
          </w:p>
        </w:tc>
        <w:tc>
          <w:tcPr>
            <w:tcW w:w="90" w:type="dxa"/>
            <w:tcBorders/>
            <w:shd w:fill="CCEEFF" w:val="clear"/>
          </w:tcPr>
          <w:p>
            <w:pPr>
              <w:pStyle w:val="TableContents"/>
              <w:bidi w:val="0"/>
              <w:spacing w:before="0" w:after="283"/>
              <w:jc w:val="left"/>
              <w:rPr/>
            </w:pPr>
            <w:r>
              <w:rPr/>
              <w:t> </w:t>
            </w:r>
          </w:p>
        </w:tc>
        <w:tc>
          <w:tcPr>
            <w:tcW w:w="170" w:type="dxa"/>
            <w:tcBorders/>
            <w:shd w:fill="CCEEFF" w:val="clear"/>
          </w:tcPr>
          <w:p>
            <w:pPr>
              <w:pStyle w:val="TableContents"/>
              <w:bidi w:val="0"/>
              <w:spacing w:before="0" w:after="283"/>
              <w:jc w:val="left"/>
              <w:rPr/>
            </w:pPr>
            <w:r>
              <w:rPr/>
              <w:t> </w:t>
            </w:r>
          </w:p>
        </w:tc>
        <w:tc>
          <w:tcPr>
            <w:tcW w:w="1638" w:type="dxa"/>
            <w:tcBorders/>
            <w:shd w:fill="CCEEFF" w:val="clear"/>
          </w:tcPr>
          <w:p>
            <w:pPr>
              <w:pStyle w:val="TableContents"/>
              <w:bidi w:val="0"/>
              <w:spacing w:before="0" w:after="283"/>
              <w:jc w:val="left"/>
              <w:rPr/>
            </w:pPr>
            <w:r>
              <w:rPr/>
              <w:t> </w:t>
            </w:r>
          </w:p>
        </w:tc>
        <w:tc>
          <w:tcPr>
            <w:tcW w:w="185" w:type="dxa"/>
            <w:tcBorders/>
            <w:shd w:fill="CCEEFF" w:val="clear"/>
          </w:tcPr>
          <w:p>
            <w:pPr>
              <w:pStyle w:val="TableContents"/>
              <w:bidi w:val="0"/>
              <w:spacing w:before="0" w:after="283"/>
              <w:ind w:left="0" w:right="0" w:hanging="0"/>
              <w:jc w:val="left"/>
              <w:rPr/>
            </w:pPr>
            <w:r>
              <w:rPr/>
              <w:t> </w:t>
            </w:r>
          </w:p>
        </w:tc>
        <w:tc>
          <w:tcPr>
            <w:tcW w:w="90" w:type="dxa"/>
            <w:tcBorders/>
            <w:shd w:fill="CCEEFF" w:val="clear"/>
          </w:tcPr>
          <w:p>
            <w:pPr>
              <w:pStyle w:val="TableContents"/>
              <w:bidi w:val="0"/>
              <w:spacing w:before="0" w:after="0"/>
              <w:ind w:left="0" w:right="0" w:hanging="0"/>
              <w:jc w:val="right"/>
              <w:rPr/>
            </w:pPr>
            <w:r>
              <w:rPr/>
              <w:t> </w:t>
            </w:r>
          </w:p>
        </w:tc>
        <w:tc>
          <w:tcPr>
            <w:tcW w:w="170" w:type="dxa"/>
            <w:tcBorders/>
            <w:shd w:fill="CCEEFF" w:val="clear"/>
          </w:tcPr>
          <w:p>
            <w:pPr>
              <w:pStyle w:val="TableContents"/>
              <w:bidi w:val="0"/>
              <w:spacing w:before="0" w:after="0"/>
              <w:ind w:left="0" w:right="0" w:hanging="0"/>
              <w:jc w:val="left"/>
              <w:rPr/>
            </w:pPr>
            <w:r>
              <w:rPr/>
              <w:t> </w:t>
            </w:r>
          </w:p>
        </w:tc>
        <w:tc>
          <w:tcPr>
            <w:tcW w:w="830" w:type="dxa"/>
            <w:tcBorders/>
            <w:shd w:fill="CCEEFF" w:val="clear"/>
          </w:tcPr>
          <w:p>
            <w:pPr>
              <w:pStyle w:val="TableContents"/>
              <w:bidi w:val="0"/>
              <w:spacing w:before="0" w:after="0"/>
              <w:ind w:left="0" w:right="0" w:hanging="0"/>
              <w:jc w:val="right"/>
              <w:rPr/>
            </w:pPr>
            <w:r>
              <w:rPr/>
              <w:t>8,458</w:t>
            </w:r>
          </w:p>
        </w:tc>
        <w:tc>
          <w:tcPr>
            <w:tcW w:w="232" w:type="dxa"/>
            <w:tcBorders/>
            <w:shd w:fill="CCEEFF" w:val="clear"/>
          </w:tcPr>
          <w:p>
            <w:pPr>
              <w:pStyle w:val="TableContents"/>
              <w:bidi w:val="0"/>
              <w:spacing w:before="0" w:after="0"/>
              <w:jc w:val="left"/>
              <w:rPr/>
            </w:pPr>
            <w:r>
              <w:rPr/>
              <w:t> </w:t>
            </w:r>
          </w:p>
        </w:tc>
      </w:tr>
      <w:tr>
        <w:trPr/>
        <w:tc>
          <w:tcPr>
            <w:tcW w:w="6800" w:type="dxa"/>
            <w:gridSpan w:val="5"/>
            <w:tcBorders/>
          </w:tcPr>
          <w:p>
            <w:pPr>
              <w:pStyle w:val="TableContents"/>
              <w:bidi w:val="0"/>
              <w:spacing w:before="0" w:after="0"/>
              <w:ind w:left="144" w:right="0" w:hanging="0"/>
              <w:jc w:val="left"/>
              <w:rPr/>
            </w:pPr>
            <w:r>
              <w:rPr/>
              <w:t>Corporate general and administrative expense (a)</w:t>
            </w:r>
          </w:p>
        </w:tc>
        <w:tc>
          <w:tcPr>
            <w:tcW w:w="90" w:type="dxa"/>
            <w:tcBorders/>
          </w:tcPr>
          <w:p>
            <w:pPr>
              <w:pStyle w:val="TableContents"/>
              <w:bidi w:val="0"/>
              <w:spacing w:before="0" w:after="283"/>
              <w:jc w:val="left"/>
              <w:rPr/>
            </w:pPr>
            <w:r>
              <w:rPr/>
              <w:t> </w:t>
            </w:r>
          </w:p>
        </w:tc>
        <w:tc>
          <w:tcPr>
            <w:tcW w:w="170" w:type="dxa"/>
            <w:tcBorders/>
          </w:tcPr>
          <w:p>
            <w:pPr>
              <w:pStyle w:val="TableContents"/>
              <w:bidi w:val="0"/>
              <w:spacing w:before="0" w:after="283"/>
              <w:jc w:val="left"/>
              <w:rPr/>
            </w:pPr>
            <w:r>
              <w:rPr/>
              <w:t> </w:t>
            </w:r>
          </w:p>
        </w:tc>
        <w:tc>
          <w:tcPr>
            <w:tcW w:w="1638" w:type="dxa"/>
            <w:tcBorders/>
          </w:tcPr>
          <w:p>
            <w:pPr>
              <w:pStyle w:val="TableContents"/>
              <w:bidi w:val="0"/>
              <w:spacing w:before="0" w:after="283"/>
              <w:jc w:val="left"/>
              <w:rPr/>
            </w:pPr>
            <w:r>
              <w:rPr/>
              <w:t> </w:t>
            </w:r>
          </w:p>
        </w:tc>
        <w:tc>
          <w:tcPr>
            <w:tcW w:w="185" w:type="dxa"/>
            <w:tcBorders/>
          </w:tcPr>
          <w:p>
            <w:pPr>
              <w:pStyle w:val="TableContents"/>
              <w:bidi w:val="0"/>
              <w:spacing w:before="0" w:after="283"/>
              <w:ind w:left="0" w:right="0" w:hanging="0"/>
              <w:jc w:val="left"/>
              <w:rPr/>
            </w:pPr>
            <w:r>
              <w:rPr/>
              <w:t> </w:t>
            </w:r>
          </w:p>
        </w:tc>
        <w:tc>
          <w:tcPr>
            <w:tcW w:w="90" w:type="dxa"/>
            <w:tcBorders/>
          </w:tcPr>
          <w:p>
            <w:pPr>
              <w:pStyle w:val="TableContents"/>
              <w:bidi w:val="0"/>
              <w:spacing w:before="0" w:after="0"/>
              <w:ind w:left="0" w:right="0" w:hanging="0"/>
              <w:jc w:val="right"/>
              <w:rPr/>
            </w:pPr>
            <w:r>
              <w:rPr/>
              <w:t> </w:t>
            </w:r>
          </w:p>
        </w:tc>
        <w:tc>
          <w:tcPr>
            <w:tcW w:w="170" w:type="dxa"/>
            <w:tcBorders>
              <w:bottom w:val="single" w:sz="12" w:space="0" w:color="000000"/>
            </w:tcBorders>
            <w:tcMar>
              <w:bottom w:w="28" w:type="dxa"/>
            </w:tcMar>
          </w:tcPr>
          <w:p>
            <w:pPr>
              <w:pStyle w:val="TableContents"/>
              <w:bidi w:val="0"/>
              <w:spacing w:before="0" w:after="0"/>
              <w:ind w:left="0" w:right="0" w:hanging="0"/>
              <w:jc w:val="left"/>
              <w:rPr/>
            </w:pPr>
            <w:r>
              <w:rPr/>
              <w:t> </w:t>
            </w:r>
          </w:p>
        </w:tc>
        <w:tc>
          <w:tcPr>
            <w:tcW w:w="830" w:type="dxa"/>
            <w:tcBorders>
              <w:bottom w:val="single" w:sz="12" w:space="0" w:color="000000"/>
            </w:tcBorders>
            <w:tcMar>
              <w:bottom w:w="28" w:type="dxa"/>
            </w:tcMar>
          </w:tcPr>
          <w:p>
            <w:pPr>
              <w:pStyle w:val="TableContents"/>
              <w:bidi w:val="0"/>
              <w:spacing w:before="0" w:after="0"/>
              <w:ind w:left="0" w:right="0" w:hanging="0"/>
              <w:jc w:val="right"/>
              <w:rPr/>
            </w:pPr>
            <w:r>
              <w:rPr/>
              <w:t>11,088</w:t>
            </w:r>
          </w:p>
        </w:tc>
        <w:tc>
          <w:tcPr>
            <w:tcW w:w="232" w:type="dxa"/>
            <w:tcBorders>
              <w:bottom w:val="single" w:sz="12" w:space="0" w:color="000000"/>
            </w:tcBorders>
            <w:tcMar>
              <w:bottom w:w="28" w:type="dxa"/>
            </w:tcMar>
          </w:tcPr>
          <w:p>
            <w:pPr>
              <w:pStyle w:val="TableContents"/>
              <w:bidi w:val="0"/>
              <w:spacing w:before="0" w:after="0"/>
              <w:jc w:val="left"/>
              <w:rPr/>
            </w:pPr>
            <w:r>
              <w:rPr/>
              <w:t> </w:t>
            </w:r>
          </w:p>
        </w:tc>
      </w:tr>
      <w:tr>
        <w:trPr/>
        <w:tc>
          <w:tcPr>
            <w:tcW w:w="6800" w:type="dxa"/>
            <w:gridSpan w:val="5"/>
            <w:tcBorders/>
            <w:shd w:fill="CCEEFF" w:val="clear"/>
          </w:tcPr>
          <w:p>
            <w:pPr>
              <w:pStyle w:val="TableContents"/>
              <w:bidi w:val="0"/>
              <w:spacing w:before="0" w:after="0"/>
              <w:ind w:left="432" w:right="0" w:hanging="144"/>
              <w:jc w:val="left"/>
              <w:rPr/>
            </w:pPr>
            <w:r>
              <w:rPr/>
              <w:t>Consolidated selling, general and administrative expense</w:t>
            </w:r>
          </w:p>
        </w:tc>
        <w:tc>
          <w:tcPr>
            <w:tcW w:w="90" w:type="dxa"/>
            <w:tcBorders/>
            <w:shd w:fill="CCEEFF" w:val="clear"/>
          </w:tcPr>
          <w:p>
            <w:pPr>
              <w:pStyle w:val="TableContents"/>
              <w:bidi w:val="0"/>
              <w:spacing w:before="0" w:after="283"/>
              <w:jc w:val="left"/>
              <w:rPr/>
            </w:pPr>
            <w:r>
              <w:rPr/>
              <w:t> </w:t>
            </w:r>
          </w:p>
        </w:tc>
        <w:tc>
          <w:tcPr>
            <w:tcW w:w="170" w:type="dxa"/>
            <w:tcBorders/>
            <w:shd w:fill="CCEEFF" w:val="clear"/>
          </w:tcPr>
          <w:p>
            <w:pPr>
              <w:pStyle w:val="TableContents"/>
              <w:bidi w:val="0"/>
              <w:spacing w:before="0" w:after="283"/>
              <w:jc w:val="left"/>
              <w:rPr/>
            </w:pPr>
            <w:r>
              <w:rPr/>
              <w:t> </w:t>
            </w:r>
          </w:p>
        </w:tc>
        <w:tc>
          <w:tcPr>
            <w:tcW w:w="1638" w:type="dxa"/>
            <w:tcBorders/>
            <w:shd w:fill="CCEEFF" w:val="clear"/>
          </w:tcPr>
          <w:p>
            <w:pPr>
              <w:pStyle w:val="TableContents"/>
              <w:bidi w:val="0"/>
              <w:spacing w:before="0" w:after="283"/>
              <w:jc w:val="left"/>
              <w:rPr/>
            </w:pPr>
            <w:r>
              <w:rPr/>
              <w:t> </w:t>
            </w:r>
          </w:p>
        </w:tc>
        <w:tc>
          <w:tcPr>
            <w:tcW w:w="185" w:type="dxa"/>
            <w:tcBorders/>
            <w:shd w:fill="CCEEFF" w:val="clear"/>
          </w:tcPr>
          <w:p>
            <w:pPr>
              <w:pStyle w:val="TableContents"/>
              <w:bidi w:val="0"/>
              <w:spacing w:before="0" w:after="283"/>
              <w:ind w:left="0" w:right="0" w:hanging="0"/>
              <w:jc w:val="left"/>
              <w:rPr/>
            </w:pPr>
            <w:r>
              <w:rPr/>
              <w:t> </w:t>
            </w:r>
          </w:p>
        </w:tc>
        <w:tc>
          <w:tcPr>
            <w:tcW w:w="90" w:type="dxa"/>
            <w:tcBorders/>
            <w:shd w:fill="CCEEFF" w:val="clear"/>
          </w:tcPr>
          <w:p>
            <w:pPr>
              <w:pStyle w:val="TableContents"/>
              <w:bidi w:val="0"/>
              <w:spacing w:before="0" w:after="0"/>
              <w:ind w:left="0" w:right="0" w:hanging="0"/>
              <w:jc w:val="right"/>
              <w:rPr/>
            </w:pPr>
            <w:r>
              <w:rPr/>
              <w:t> </w:t>
            </w:r>
          </w:p>
        </w:tc>
        <w:tc>
          <w:tcPr>
            <w:tcW w:w="170" w:type="dxa"/>
            <w:tcBorders>
              <w:bottom w:val="double" w:sz="8" w:space="0" w:color="000000"/>
            </w:tcBorders>
            <w:shd w:fill="CCEEFF" w:val="clear"/>
            <w:tcMar>
              <w:bottom w:w="28" w:type="dxa"/>
            </w:tcMar>
          </w:tcPr>
          <w:p>
            <w:pPr>
              <w:pStyle w:val="TableContents"/>
              <w:bidi w:val="0"/>
              <w:spacing w:before="0" w:after="0"/>
              <w:ind w:left="0" w:right="0" w:hanging="0"/>
              <w:jc w:val="left"/>
              <w:rPr/>
            </w:pPr>
            <w:r>
              <w:rPr/>
              <w:t>$</w:t>
            </w:r>
          </w:p>
        </w:tc>
        <w:tc>
          <w:tcPr>
            <w:tcW w:w="830" w:type="dxa"/>
            <w:tcBorders>
              <w:bottom w:val="double" w:sz="8" w:space="0" w:color="000000"/>
            </w:tcBorders>
            <w:shd w:fill="CCEEFF" w:val="clear"/>
            <w:tcMar>
              <w:bottom w:w="28" w:type="dxa"/>
            </w:tcMar>
          </w:tcPr>
          <w:p>
            <w:pPr>
              <w:pStyle w:val="TableContents"/>
              <w:bidi w:val="0"/>
              <w:spacing w:before="0" w:after="0"/>
              <w:ind w:left="0" w:right="0" w:hanging="0"/>
              <w:jc w:val="right"/>
              <w:rPr/>
            </w:pPr>
            <w:r>
              <w:rPr/>
              <w:t>26,742</w:t>
            </w:r>
          </w:p>
        </w:tc>
        <w:tc>
          <w:tcPr>
            <w:tcW w:w="232" w:type="dxa"/>
            <w:tcBorders>
              <w:bottom w:val="double" w:sz="8" w:space="0" w:color="000000"/>
            </w:tcBorders>
            <w:shd w:fill="CCEEFF" w:val="clear"/>
            <w:tcMar>
              <w:bottom w:w="28" w:type="dxa"/>
            </w:tcMar>
          </w:tcPr>
          <w:p>
            <w:pPr>
              <w:pStyle w:val="TableContents"/>
              <w:bidi w:val="0"/>
              <w:spacing w:before="0" w:after="0"/>
              <w:jc w:val="left"/>
              <w:rPr/>
            </w:pPr>
            <w:r>
              <w:rPr/>
              <w:t> </w:t>
            </w:r>
          </w:p>
        </w:tc>
      </w:tr>
      <w:tr>
        <w:trPr/>
        <w:tc>
          <w:tcPr>
            <w:tcW w:w="4113" w:type="dxa"/>
            <w:tcBorders/>
          </w:tcPr>
          <w:p>
            <w:pPr>
              <w:pStyle w:val="TableContents"/>
              <w:bidi w:val="0"/>
              <w:spacing w:before="0" w:after="283"/>
              <w:jc w:val="left"/>
              <w:rPr/>
            </w:pPr>
            <w:r>
              <w:rPr/>
              <w:t> </w:t>
            </w:r>
          </w:p>
        </w:tc>
        <w:tc>
          <w:tcPr>
            <w:tcW w:w="101" w:type="dxa"/>
            <w:tcBorders/>
          </w:tcPr>
          <w:p>
            <w:pPr>
              <w:pStyle w:val="TableContents"/>
              <w:bidi w:val="0"/>
              <w:spacing w:before="0" w:after="283"/>
              <w:jc w:val="left"/>
              <w:rPr/>
            </w:pPr>
            <w:r>
              <w:rPr/>
              <w:t> </w:t>
            </w:r>
          </w:p>
        </w:tc>
        <w:tc>
          <w:tcPr>
            <w:tcW w:w="191" w:type="dxa"/>
            <w:tcBorders/>
          </w:tcPr>
          <w:p>
            <w:pPr>
              <w:pStyle w:val="TableContents"/>
              <w:bidi w:val="0"/>
              <w:spacing w:before="0" w:after="283"/>
              <w:jc w:val="left"/>
              <w:rPr/>
            </w:pPr>
            <w:r>
              <w:rPr/>
              <w:t> </w:t>
            </w:r>
          </w:p>
        </w:tc>
        <w:tc>
          <w:tcPr>
            <w:tcW w:w="2187" w:type="dxa"/>
            <w:tcBorders/>
          </w:tcPr>
          <w:p>
            <w:pPr>
              <w:pStyle w:val="TableContents"/>
              <w:bidi w:val="0"/>
              <w:spacing w:before="0" w:after="283"/>
              <w:jc w:val="left"/>
              <w:rPr/>
            </w:pPr>
            <w:r>
              <w:rPr/>
              <w:t> </w:t>
            </w:r>
          </w:p>
        </w:tc>
        <w:tc>
          <w:tcPr>
            <w:tcW w:w="208" w:type="dxa"/>
            <w:tcBorders/>
          </w:tcPr>
          <w:p>
            <w:pPr>
              <w:pStyle w:val="TableContents"/>
              <w:bidi w:val="0"/>
              <w:spacing w:before="0" w:after="283"/>
              <w:jc w:val="left"/>
              <w:rPr/>
            </w:pPr>
            <w:r>
              <w:rPr/>
              <w:t> </w:t>
            </w:r>
          </w:p>
        </w:tc>
        <w:tc>
          <w:tcPr>
            <w:tcW w:w="90" w:type="dxa"/>
            <w:tcBorders/>
          </w:tcPr>
          <w:p>
            <w:pPr>
              <w:pStyle w:val="TableContents"/>
              <w:bidi w:val="0"/>
              <w:spacing w:before="0" w:after="283"/>
              <w:jc w:val="left"/>
              <w:rPr/>
            </w:pPr>
            <w:r>
              <w:rPr/>
              <w:t> </w:t>
            </w:r>
          </w:p>
        </w:tc>
        <w:tc>
          <w:tcPr>
            <w:tcW w:w="170" w:type="dxa"/>
            <w:tcBorders/>
          </w:tcPr>
          <w:p>
            <w:pPr>
              <w:pStyle w:val="TableContents"/>
              <w:bidi w:val="0"/>
              <w:spacing w:before="0" w:after="283"/>
              <w:jc w:val="left"/>
              <w:rPr/>
            </w:pPr>
            <w:r>
              <w:rPr/>
              <w:t> </w:t>
            </w:r>
          </w:p>
        </w:tc>
        <w:tc>
          <w:tcPr>
            <w:tcW w:w="1638" w:type="dxa"/>
            <w:tcBorders/>
          </w:tcPr>
          <w:p>
            <w:pPr>
              <w:pStyle w:val="TableContents"/>
              <w:bidi w:val="0"/>
              <w:spacing w:before="0" w:after="283"/>
              <w:jc w:val="left"/>
              <w:rPr/>
            </w:pPr>
            <w:r>
              <w:rPr/>
              <w:t> </w:t>
            </w:r>
          </w:p>
        </w:tc>
        <w:tc>
          <w:tcPr>
            <w:tcW w:w="185" w:type="dxa"/>
            <w:tcBorders/>
          </w:tcPr>
          <w:p>
            <w:pPr>
              <w:pStyle w:val="TableContents"/>
              <w:bidi w:val="0"/>
              <w:spacing w:before="0" w:after="283"/>
              <w:jc w:val="left"/>
              <w:rPr/>
            </w:pPr>
            <w:r>
              <w:rPr/>
              <w:t> </w:t>
            </w:r>
          </w:p>
        </w:tc>
        <w:tc>
          <w:tcPr>
            <w:tcW w:w="90" w:type="dxa"/>
            <w:tcBorders/>
          </w:tcPr>
          <w:p>
            <w:pPr>
              <w:pStyle w:val="TableContents"/>
              <w:bidi w:val="0"/>
              <w:spacing w:before="0" w:after="283"/>
              <w:jc w:val="left"/>
              <w:rPr/>
            </w:pPr>
            <w:r>
              <w:rPr/>
              <w:t> </w:t>
            </w:r>
          </w:p>
        </w:tc>
        <w:tc>
          <w:tcPr>
            <w:tcW w:w="170" w:type="dxa"/>
            <w:tcBorders/>
          </w:tcPr>
          <w:p>
            <w:pPr>
              <w:pStyle w:val="TableContents"/>
              <w:bidi w:val="0"/>
              <w:spacing w:before="0" w:after="283"/>
              <w:jc w:val="left"/>
              <w:rPr/>
            </w:pPr>
            <w:r>
              <w:rPr/>
              <w:t> </w:t>
            </w:r>
          </w:p>
        </w:tc>
        <w:tc>
          <w:tcPr>
            <w:tcW w:w="830" w:type="dxa"/>
            <w:tcBorders/>
          </w:tcPr>
          <w:p>
            <w:pPr>
              <w:pStyle w:val="TableContents"/>
              <w:bidi w:val="0"/>
              <w:spacing w:before="0" w:after="283"/>
              <w:jc w:val="left"/>
              <w:rPr/>
            </w:pPr>
            <w:r>
              <w:rPr/>
              <w:t> </w:t>
            </w:r>
          </w:p>
        </w:tc>
        <w:tc>
          <w:tcPr>
            <w:tcW w:w="232" w:type="dxa"/>
            <w:tcBorders/>
          </w:tcPr>
          <w:p>
            <w:pPr>
              <w:pStyle w:val="TableContents"/>
              <w:bidi w:val="0"/>
              <w:spacing w:before="0" w:after="283"/>
              <w:jc w:val="left"/>
              <w:rPr/>
            </w:pPr>
            <w:r>
              <w:rPr/>
              <w:t> </w:t>
            </w:r>
          </w:p>
        </w:tc>
      </w:tr>
      <w:tr>
        <w:trPr/>
        <w:tc>
          <w:tcPr>
            <w:tcW w:w="8883" w:type="dxa"/>
            <w:gridSpan w:val="9"/>
            <w:tcBorders/>
            <w:shd w:fill="CCEEFF" w:val="clear"/>
          </w:tcPr>
          <w:p>
            <w:pPr>
              <w:pStyle w:val="TableContents"/>
              <w:bidi w:val="0"/>
              <w:spacing w:before="0" w:after="0"/>
              <w:ind w:left="0" w:right="0" w:hanging="0"/>
              <w:jc w:val="left"/>
              <w:rPr>
                <w:i/>
              </w:rPr>
            </w:pPr>
            <w:r>
              <w:rPr>
                <w:i/>
              </w:rPr>
              <w:t>Reconciliation of income (loss) before taxes:</w:t>
            </w:r>
          </w:p>
        </w:tc>
        <w:tc>
          <w:tcPr>
            <w:tcW w:w="90" w:type="dxa"/>
            <w:tcBorders/>
            <w:shd w:fill="CCEEFF" w:val="clear"/>
          </w:tcPr>
          <w:p>
            <w:pPr>
              <w:pStyle w:val="TableContents"/>
              <w:bidi w:val="0"/>
              <w:spacing w:before="0" w:after="283"/>
              <w:jc w:val="left"/>
              <w:rPr/>
            </w:pPr>
            <w:r>
              <w:rPr/>
              <w:t> </w:t>
            </w:r>
          </w:p>
        </w:tc>
        <w:tc>
          <w:tcPr>
            <w:tcW w:w="170" w:type="dxa"/>
            <w:tcBorders/>
            <w:shd w:fill="CCEEFF" w:val="clear"/>
          </w:tcPr>
          <w:p>
            <w:pPr>
              <w:pStyle w:val="TableContents"/>
              <w:bidi w:val="0"/>
              <w:spacing w:before="0" w:after="283"/>
              <w:jc w:val="left"/>
              <w:rPr/>
            </w:pPr>
            <w:r>
              <w:rPr/>
              <w:t> </w:t>
            </w:r>
          </w:p>
        </w:tc>
        <w:tc>
          <w:tcPr>
            <w:tcW w:w="830" w:type="dxa"/>
            <w:tcBorders/>
            <w:shd w:fill="CCEEFF" w:val="clear"/>
          </w:tcPr>
          <w:p>
            <w:pPr>
              <w:pStyle w:val="TableContents"/>
              <w:bidi w:val="0"/>
              <w:spacing w:before="0" w:after="283"/>
              <w:jc w:val="left"/>
              <w:rPr/>
            </w:pPr>
            <w:r>
              <w:rPr/>
              <w:t> </w:t>
            </w:r>
          </w:p>
        </w:tc>
        <w:tc>
          <w:tcPr>
            <w:tcW w:w="232" w:type="dxa"/>
            <w:tcBorders/>
            <w:shd w:fill="CCEEFF" w:val="clear"/>
          </w:tcPr>
          <w:p>
            <w:pPr>
              <w:pStyle w:val="TableContents"/>
              <w:bidi w:val="0"/>
              <w:spacing w:before="0" w:after="283"/>
              <w:jc w:val="left"/>
              <w:rPr/>
            </w:pPr>
            <w:r>
              <w:rPr/>
              <w:t> </w:t>
            </w:r>
          </w:p>
        </w:tc>
      </w:tr>
      <w:tr>
        <w:trPr/>
        <w:tc>
          <w:tcPr>
            <w:tcW w:w="6800" w:type="dxa"/>
            <w:gridSpan w:val="5"/>
            <w:tcBorders/>
          </w:tcPr>
          <w:p>
            <w:pPr>
              <w:pStyle w:val="TableContents"/>
              <w:bidi w:val="0"/>
              <w:spacing w:before="0" w:after="0"/>
              <w:ind w:left="288" w:right="0" w:hanging="144"/>
              <w:jc w:val="left"/>
              <w:rPr/>
            </w:pPr>
            <w:r>
              <w:rPr/>
              <w:t>Segment income before taxes</w:t>
            </w:r>
          </w:p>
        </w:tc>
        <w:tc>
          <w:tcPr>
            <w:tcW w:w="90" w:type="dxa"/>
            <w:tcBorders/>
          </w:tcPr>
          <w:p>
            <w:pPr>
              <w:pStyle w:val="TableContents"/>
              <w:bidi w:val="0"/>
              <w:spacing w:before="0" w:after="283"/>
              <w:jc w:val="left"/>
              <w:rPr/>
            </w:pPr>
            <w:r>
              <w:rPr/>
              <w:t> </w:t>
            </w:r>
          </w:p>
        </w:tc>
        <w:tc>
          <w:tcPr>
            <w:tcW w:w="170" w:type="dxa"/>
            <w:tcBorders/>
          </w:tcPr>
          <w:p>
            <w:pPr>
              <w:pStyle w:val="TableContents"/>
              <w:bidi w:val="0"/>
              <w:spacing w:before="0" w:after="283"/>
              <w:jc w:val="left"/>
              <w:rPr/>
            </w:pPr>
            <w:r>
              <w:rPr/>
              <w:t> </w:t>
            </w:r>
          </w:p>
        </w:tc>
        <w:tc>
          <w:tcPr>
            <w:tcW w:w="1638" w:type="dxa"/>
            <w:tcBorders/>
          </w:tcPr>
          <w:p>
            <w:pPr>
              <w:pStyle w:val="TableContents"/>
              <w:bidi w:val="0"/>
              <w:spacing w:before="0" w:after="283"/>
              <w:jc w:val="left"/>
              <w:rPr/>
            </w:pPr>
            <w:r>
              <w:rPr/>
              <w:t> </w:t>
            </w:r>
          </w:p>
        </w:tc>
        <w:tc>
          <w:tcPr>
            <w:tcW w:w="185" w:type="dxa"/>
            <w:tcBorders/>
          </w:tcPr>
          <w:p>
            <w:pPr>
              <w:pStyle w:val="TableContents"/>
              <w:bidi w:val="0"/>
              <w:spacing w:before="0" w:after="283"/>
              <w:ind w:left="0" w:right="0" w:hanging="0"/>
              <w:jc w:val="left"/>
              <w:rPr/>
            </w:pPr>
            <w:r>
              <w:rPr/>
              <w:t> </w:t>
            </w:r>
          </w:p>
        </w:tc>
        <w:tc>
          <w:tcPr>
            <w:tcW w:w="90" w:type="dxa"/>
            <w:tcBorders/>
          </w:tcPr>
          <w:p>
            <w:pPr>
              <w:pStyle w:val="TableContents"/>
              <w:bidi w:val="0"/>
              <w:spacing w:before="0" w:after="0"/>
              <w:ind w:left="0" w:right="0" w:hanging="0"/>
              <w:jc w:val="right"/>
              <w:rPr/>
            </w:pPr>
            <w:r>
              <w:rPr/>
              <w:t> </w:t>
            </w:r>
          </w:p>
        </w:tc>
        <w:tc>
          <w:tcPr>
            <w:tcW w:w="170" w:type="dxa"/>
            <w:tcBorders/>
          </w:tcPr>
          <w:p>
            <w:pPr>
              <w:pStyle w:val="TableContents"/>
              <w:bidi w:val="0"/>
              <w:spacing w:before="0" w:after="0"/>
              <w:ind w:left="0" w:right="0" w:hanging="0"/>
              <w:jc w:val="left"/>
              <w:rPr/>
            </w:pPr>
            <w:r>
              <w:rPr/>
              <w:t>$</w:t>
            </w:r>
          </w:p>
        </w:tc>
        <w:tc>
          <w:tcPr>
            <w:tcW w:w="830" w:type="dxa"/>
            <w:tcBorders/>
          </w:tcPr>
          <w:p>
            <w:pPr>
              <w:pStyle w:val="TableContents"/>
              <w:bidi w:val="0"/>
              <w:spacing w:before="0" w:after="0"/>
              <w:ind w:left="0" w:right="0" w:hanging="0"/>
              <w:jc w:val="right"/>
              <w:rPr/>
            </w:pPr>
            <w:r>
              <w:rPr/>
              <w:t>69,207</w:t>
            </w:r>
          </w:p>
        </w:tc>
        <w:tc>
          <w:tcPr>
            <w:tcW w:w="232" w:type="dxa"/>
            <w:tcBorders/>
          </w:tcPr>
          <w:p>
            <w:pPr>
              <w:pStyle w:val="TableContents"/>
              <w:bidi w:val="0"/>
              <w:spacing w:before="0" w:after="0"/>
              <w:jc w:val="left"/>
              <w:rPr/>
            </w:pPr>
            <w:r>
              <w:rPr/>
              <w:t> </w:t>
            </w:r>
          </w:p>
        </w:tc>
      </w:tr>
      <w:tr>
        <w:trPr/>
        <w:tc>
          <w:tcPr>
            <w:tcW w:w="4113" w:type="dxa"/>
            <w:tcBorders/>
            <w:shd w:fill="CCEEFF" w:val="clear"/>
          </w:tcPr>
          <w:p>
            <w:pPr>
              <w:pStyle w:val="TableContents"/>
              <w:bidi w:val="0"/>
              <w:spacing w:before="0" w:after="0"/>
              <w:ind w:left="288" w:right="0" w:hanging="144"/>
              <w:jc w:val="left"/>
              <w:rPr/>
            </w:pPr>
            <w:r>
              <w:rPr/>
              <w:t xml:space="preserve">License revenue </w:t>
            </w:r>
          </w:p>
        </w:tc>
        <w:tc>
          <w:tcPr>
            <w:tcW w:w="101" w:type="dxa"/>
            <w:tcBorders/>
            <w:shd w:fill="CCEEFF" w:val="clear"/>
          </w:tcPr>
          <w:p>
            <w:pPr>
              <w:pStyle w:val="TableContents"/>
              <w:bidi w:val="0"/>
              <w:spacing w:before="0" w:after="283"/>
              <w:jc w:val="left"/>
              <w:rPr/>
            </w:pPr>
            <w:r>
              <w:rPr/>
              <w:t> </w:t>
            </w:r>
          </w:p>
        </w:tc>
        <w:tc>
          <w:tcPr>
            <w:tcW w:w="191" w:type="dxa"/>
            <w:tcBorders/>
            <w:shd w:fill="CCEEFF" w:val="clear"/>
          </w:tcPr>
          <w:p>
            <w:pPr>
              <w:pStyle w:val="TableContents"/>
              <w:bidi w:val="0"/>
              <w:spacing w:before="0" w:after="283"/>
              <w:jc w:val="left"/>
              <w:rPr/>
            </w:pPr>
            <w:r>
              <w:rPr/>
              <w:t> </w:t>
            </w:r>
          </w:p>
        </w:tc>
        <w:tc>
          <w:tcPr>
            <w:tcW w:w="2187" w:type="dxa"/>
            <w:tcBorders/>
            <w:shd w:fill="CCEEFF" w:val="clear"/>
          </w:tcPr>
          <w:p>
            <w:pPr>
              <w:pStyle w:val="TableContents"/>
              <w:bidi w:val="0"/>
              <w:spacing w:before="0" w:after="283"/>
              <w:jc w:val="left"/>
              <w:rPr/>
            </w:pPr>
            <w:r>
              <w:rPr/>
              <w:t> </w:t>
            </w:r>
          </w:p>
        </w:tc>
        <w:tc>
          <w:tcPr>
            <w:tcW w:w="208" w:type="dxa"/>
            <w:tcBorders/>
            <w:shd w:fill="CCEEFF" w:val="clear"/>
          </w:tcPr>
          <w:p>
            <w:pPr>
              <w:pStyle w:val="TableContents"/>
              <w:bidi w:val="0"/>
              <w:spacing w:before="0" w:after="283"/>
              <w:jc w:val="left"/>
              <w:rPr/>
            </w:pPr>
            <w:r>
              <w:rPr/>
              <w:t> </w:t>
            </w:r>
          </w:p>
        </w:tc>
        <w:tc>
          <w:tcPr>
            <w:tcW w:w="90" w:type="dxa"/>
            <w:tcBorders/>
            <w:shd w:fill="CCEEFF" w:val="clear"/>
          </w:tcPr>
          <w:p>
            <w:pPr>
              <w:pStyle w:val="TableContents"/>
              <w:bidi w:val="0"/>
              <w:spacing w:before="0" w:after="283"/>
              <w:jc w:val="left"/>
              <w:rPr/>
            </w:pPr>
            <w:r>
              <w:rPr/>
              <w:t> </w:t>
            </w:r>
          </w:p>
        </w:tc>
        <w:tc>
          <w:tcPr>
            <w:tcW w:w="170" w:type="dxa"/>
            <w:tcBorders/>
            <w:shd w:fill="CCEEFF" w:val="clear"/>
          </w:tcPr>
          <w:p>
            <w:pPr>
              <w:pStyle w:val="TableContents"/>
              <w:bidi w:val="0"/>
              <w:spacing w:before="0" w:after="283"/>
              <w:jc w:val="left"/>
              <w:rPr/>
            </w:pPr>
            <w:r>
              <w:rPr/>
              <w:t> </w:t>
            </w:r>
          </w:p>
        </w:tc>
        <w:tc>
          <w:tcPr>
            <w:tcW w:w="1638" w:type="dxa"/>
            <w:tcBorders/>
            <w:shd w:fill="CCEEFF" w:val="clear"/>
          </w:tcPr>
          <w:p>
            <w:pPr>
              <w:pStyle w:val="TableContents"/>
              <w:bidi w:val="0"/>
              <w:spacing w:before="0" w:after="283"/>
              <w:jc w:val="left"/>
              <w:rPr/>
            </w:pPr>
            <w:r>
              <w:rPr/>
              <w:t> </w:t>
            </w:r>
          </w:p>
        </w:tc>
        <w:tc>
          <w:tcPr>
            <w:tcW w:w="185" w:type="dxa"/>
            <w:tcBorders/>
            <w:shd w:fill="CCEEFF" w:val="clear"/>
          </w:tcPr>
          <w:p>
            <w:pPr>
              <w:pStyle w:val="TableContents"/>
              <w:bidi w:val="0"/>
              <w:spacing w:before="0" w:after="283"/>
              <w:ind w:left="0" w:right="0" w:hanging="0"/>
              <w:jc w:val="left"/>
              <w:rPr/>
            </w:pPr>
            <w:r>
              <w:rPr/>
              <w:t> </w:t>
            </w:r>
          </w:p>
        </w:tc>
        <w:tc>
          <w:tcPr>
            <w:tcW w:w="90" w:type="dxa"/>
            <w:tcBorders/>
            <w:shd w:fill="CCEEFF" w:val="clear"/>
          </w:tcPr>
          <w:p>
            <w:pPr>
              <w:pStyle w:val="TableContents"/>
              <w:bidi w:val="0"/>
              <w:spacing w:before="0" w:after="0"/>
              <w:ind w:left="0" w:right="0" w:hanging="0"/>
              <w:jc w:val="right"/>
              <w:rPr/>
            </w:pPr>
            <w:r>
              <w:rPr/>
              <w:t> </w:t>
            </w:r>
          </w:p>
        </w:tc>
        <w:tc>
          <w:tcPr>
            <w:tcW w:w="170" w:type="dxa"/>
            <w:tcBorders/>
            <w:shd w:fill="CCEEFF" w:val="clear"/>
          </w:tcPr>
          <w:p>
            <w:pPr>
              <w:pStyle w:val="TableContents"/>
              <w:bidi w:val="0"/>
              <w:spacing w:before="0" w:after="0"/>
              <w:ind w:left="0" w:right="0" w:hanging="0"/>
              <w:jc w:val="left"/>
              <w:rPr/>
            </w:pPr>
            <w:r>
              <w:rPr/>
              <w:t> </w:t>
            </w:r>
          </w:p>
        </w:tc>
        <w:tc>
          <w:tcPr>
            <w:tcW w:w="830" w:type="dxa"/>
            <w:tcBorders/>
            <w:shd w:fill="CCEEFF" w:val="clear"/>
          </w:tcPr>
          <w:p>
            <w:pPr>
              <w:pStyle w:val="TableContents"/>
              <w:bidi w:val="0"/>
              <w:spacing w:before="0" w:after="0"/>
              <w:ind w:left="0" w:right="0" w:hanging="0"/>
              <w:jc w:val="right"/>
              <w:rPr/>
            </w:pPr>
            <w:r>
              <w:rPr/>
              <w:t>36</w:t>
            </w:r>
          </w:p>
        </w:tc>
        <w:tc>
          <w:tcPr>
            <w:tcW w:w="232" w:type="dxa"/>
            <w:tcBorders/>
            <w:shd w:fill="CCEEFF" w:val="clear"/>
          </w:tcPr>
          <w:p>
            <w:pPr>
              <w:pStyle w:val="TableContents"/>
              <w:bidi w:val="0"/>
              <w:spacing w:before="0" w:after="0"/>
              <w:jc w:val="left"/>
              <w:rPr/>
            </w:pPr>
            <w:r>
              <w:rPr/>
              <w:t> </w:t>
            </w:r>
          </w:p>
        </w:tc>
      </w:tr>
      <w:tr>
        <w:trPr/>
        <w:tc>
          <w:tcPr>
            <w:tcW w:w="6800" w:type="dxa"/>
            <w:gridSpan w:val="5"/>
            <w:tcBorders/>
          </w:tcPr>
          <w:p>
            <w:pPr>
              <w:pStyle w:val="TableContents"/>
              <w:bidi w:val="0"/>
              <w:spacing w:before="0" w:after="0"/>
              <w:ind w:left="288" w:right="0" w:hanging="144"/>
              <w:jc w:val="left"/>
              <w:rPr/>
            </w:pPr>
            <w:r>
              <w:rPr/>
              <w:t>Unallocated interest expense, primarily related to interest on senior debt (see Note 7)</w:t>
            </w:r>
          </w:p>
        </w:tc>
        <w:tc>
          <w:tcPr>
            <w:tcW w:w="90" w:type="dxa"/>
            <w:tcBorders/>
          </w:tcPr>
          <w:p>
            <w:pPr>
              <w:pStyle w:val="TableContents"/>
              <w:bidi w:val="0"/>
              <w:spacing w:before="0" w:after="283"/>
              <w:jc w:val="left"/>
              <w:rPr/>
            </w:pPr>
            <w:r>
              <w:rPr/>
              <w:t> </w:t>
            </w:r>
          </w:p>
        </w:tc>
        <w:tc>
          <w:tcPr>
            <w:tcW w:w="170" w:type="dxa"/>
            <w:tcBorders/>
          </w:tcPr>
          <w:p>
            <w:pPr>
              <w:pStyle w:val="TableContents"/>
              <w:bidi w:val="0"/>
              <w:spacing w:before="0" w:after="283"/>
              <w:jc w:val="left"/>
              <w:rPr/>
            </w:pPr>
            <w:r>
              <w:rPr/>
              <w:t> </w:t>
            </w:r>
          </w:p>
        </w:tc>
        <w:tc>
          <w:tcPr>
            <w:tcW w:w="1638" w:type="dxa"/>
            <w:tcBorders/>
          </w:tcPr>
          <w:p>
            <w:pPr>
              <w:pStyle w:val="TableContents"/>
              <w:bidi w:val="0"/>
              <w:spacing w:before="0" w:after="283"/>
              <w:jc w:val="left"/>
              <w:rPr/>
            </w:pPr>
            <w:r>
              <w:rPr/>
              <w:t> </w:t>
            </w:r>
          </w:p>
        </w:tc>
        <w:tc>
          <w:tcPr>
            <w:tcW w:w="185" w:type="dxa"/>
            <w:tcBorders/>
          </w:tcPr>
          <w:p>
            <w:pPr>
              <w:pStyle w:val="TableContents"/>
              <w:bidi w:val="0"/>
              <w:spacing w:before="0" w:after="283"/>
              <w:ind w:left="0" w:right="0" w:hanging="0"/>
              <w:jc w:val="left"/>
              <w:rPr/>
            </w:pPr>
            <w:r>
              <w:rPr/>
              <w:t> </w:t>
            </w:r>
          </w:p>
        </w:tc>
        <w:tc>
          <w:tcPr>
            <w:tcW w:w="90" w:type="dxa"/>
            <w:tcBorders/>
          </w:tcPr>
          <w:p>
            <w:pPr>
              <w:pStyle w:val="TableContents"/>
              <w:bidi w:val="0"/>
              <w:spacing w:before="0" w:after="0"/>
              <w:ind w:left="0" w:right="0" w:hanging="0"/>
              <w:jc w:val="right"/>
              <w:rPr/>
            </w:pPr>
            <w:r>
              <w:rPr/>
              <w:t> </w:t>
            </w:r>
          </w:p>
        </w:tc>
        <w:tc>
          <w:tcPr>
            <w:tcW w:w="170" w:type="dxa"/>
            <w:tcBorders/>
          </w:tcPr>
          <w:p>
            <w:pPr>
              <w:pStyle w:val="TableContents"/>
              <w:bidi w:val="0"/>
              <w:spacing w:before="0" w:after="0"/>
              <w:ind w:left="0" w:right="0" w:hanging="0"/>
              <w:jc w:val="left"/>
              <w:rPr/>
            </w:pPr>
            <w:r>
              <w:rPr/>
              <w:t> </w:t>
            </w:r>
          </w:p>
        </w:tc>
        <w:tc>
          <w:tcPr>
            <w:tcW w:w="830" w:type="dxa"/>
            <w:tcBorders/>
          </w:tcPr>
          <w:p>
            <w:pPr>
              <w:pStyle w:val="TableContents"/>
              <w:bidi w:val="0"/>
              <w:spacing w:before="0" w:after="0"/>
              <w:ind w:left="0" w:right="0" w:hanging="0"/>
              <w:jc w:val="right"/>
              <w:rPr/>
            </w:pPr>
            <w:r>
              <w:rPr/>
              <w:t>(2,095</w:t>
            </w:r>
          </w:p>
        </w:tc>
        <w:tc>
          <w:tcPr>
            <w:tcW w:w="232" w:type="dxa"/>
            <w:tcBorders/>
          </w:tcPr>
          <w:p>
            <w:pPr>
              <w:pStyle w:val="TableContents"/>
              <w:bidi w:val="0"/>
              <w:spacing w:before="0" w:after="0"/>
              <w:jc w:val="left"/>
              <w:rPr/>
            </w:pPr>
            <w:r>
              <w:rPr/>
              <w:t>) </w:t>
            </w:r>
          </w:p>
        </w:tc>
      </w:tr>
      <w:tr>
        <w:trPr/>
        <w:tc>
          <w:tcPr>
            <w:tcW w:w="6800" w:type="dxa"/>
            <w:gridSpan w:val="5"/>
            <w:tcBorders/>
            <w:shd w:fill="CCEEFF" w:val="clear"/>
          </w:tcPr>
          <w:p>
            <w:pPr>
              <w:pStyle w:val="TableContents"/>
              <w:bidi w:val="0"/>
              <w:spacing w:before="0" w:after="0"/>
              <w:ind w:left="144" w:right="0" w:hanging="0"/>
              <w:jc w:val="left"/>
              <w:rPr/>
            </w:pPr>
            <w:r>
              <w:rPr/>
              <w:t>Unallocated interest income</w:t>
            </w:r>
          </w:p>
        </w:tc>
        <w:tc>
          <w:tcPr>
            <w:tcW w:w="90" w:type="dxa"/>
            <w:tcBorders/>
            <w:shd w:fill="CCEEFF" w:val="clear"/>
          </w:tcPr>
          <w:p>
            <w:pPr>
              <w:pStyle w:val="TableContents"/>
              <w:bidi w:val="0"/>
              <w:spacing w:before="0" w:after="283"/>
              <w:jc w:val="left"/>
              <w:rPr/>
            </w:pPr>
            <w:r>
              <w:rPr/>
              <w:t> </w:t>
            </w:r>
          </w:p>
        </w:tc>
        <w:tc>
          <w:tcPr>
            <w:tcW w:w="170" w:type="dxa"/>
            <w:tcBorders/>
            <w:shd w:fill="CCEEFF" w:val="clear"/>
          </w:tcPr>
          <w:p>
            <w:pPr>
              <w:pStyle w:val="TableContents"/>
              <w:bidi w:val="0"/>
              <w:spacing w:before="0" w:after="283"/>
              <w:jc w:val="left"/>
              <w:rPr/>
            </w:pPr>
            <w:r>
              <w:rPr/>
              <w:t> </w:t>
            </w:r>
          </w:p>
        </w:tc>
        <w:tc>
          <w:tcPr>
            <w:tcW w:w="1638" w:type="dxa"/>
            <w:tcBorders/>
            <w:shd w:fill="CCEEFF" w:val="clear"/>
          </w:tcPr>
          <w:p>
            <w:pPr>
              <w:pStyle w:val="TableContents"/>
              <w:bidi w:val="0"/>
              <w:spacing w:before="0" w:after="283"/>
              <w:jc w:val="left"/>
              <w:rPr/>
            </w:pPr>
            <w:r>
              <w:rPr/>
              <w:t> </w:t>
            </w:r>
          </w:p>
        </w:tc>
        <w:tc>
          <w:tcPr>
            <w:tcW w:w="185" w:type="dxa"/>
            <w:tcBorders/>
            <w:shd w:fill="CCEEFF" w:val="clear"/>
          </w:tcPr>
          <w:p>
            <w:pPr>
              <w:pStyle w:val="TableContents"/>
              <w:bidi w:val="0"/>
              <w:spacing w:before="0" w:after="283"/>
              <w:ind w:left="0" w:right="0" w:hanging="0"/>
              <w:jc w:val="left"/>
              <w:rPr/>
            </w:pPr>
            <w:r>
              <w:rPr/>
              <w:t> </w:t>
            </w:r>
          </w:p>
        </w:tc>
        <w:tc>
          <w:tcPr>
            <w:tcW w:w="90" w:type="dxa"/>
            <w:tcBorders/>
            <w:shd w:fill="CCEEFF" w:val="clear"/>
          </w:tcPr>
          <w:p>
            <w:pPr>
              <w:pStyle w:val="TableContents"/>
              <w:bidi w:val="0"/>
              <w:spacing w:before="0" w:after="0"/>
              <w:ind w:left="0" w:right="0" w:hanging="0"/>
              <w:jc w:val="right"/>
              <w:rPr/>
            </w:pPr>
            <w:r>
              <w:rPr/>
              <w:t> </w:t>
            </w:r>
          </w:p>
        </w:tc>
        <w:tc>
          <w:tcPr>
            <w:tcW w:w="170" w:type="dxa"/>
            <w:tcBorders/>
            <w:shd w:fill="CCEEFF" w:val="clear"/>
          </w:tcPr>
          <w:p>
            <w:pPr>
              <w:pStyle w:val="TableContents"/>
              <w:bidi w:val="0"/>
              <w:spacing w:before="0" w:after="0"/>
              <w:ind w:left="0" w:right="0" w:hanging="0"/>
              <w:jc w:val="left"/>
              <w:rPr/>
            </w:pPr>
            <w:r>
              <w:rPr/>
              <w:t> </w:t>
            </w:r>
          </w:p>
        </w:tc>
        <w:tc>
          <w:tcPr>
            <w:tcW w:w="830" w:type="dxa"/>
            <w:tcBorders/>
            <w:shd w:fill="CCEEFF" w:val="clear"/>
          </w:tcPr>
          <w:p>
            <w:pPr>
              <w:pStyle w:val="TableContents"/>
              <w:bidi w:val="0"/>
              <w:spacing w:before="0" w:after="0"/>
              <w:ind w:left="0" w:right="0" w:hanging="0"/>
              <w:jc w:val="right"/>
              <w:rPr/>
            </w:pPr>
            <w:r>
              <w:rPr/>
              <w:t>1,067</w:t>
            </w:r>
          </w:p>
        </w:tc>
        <w:tc>
          <w:tcPr>
            <w:tcW w:w="232" w:type="dxa"/>
            <w:tcBorders/>
            <w:shd w:fill="CCEEFF" w:val="clear"/>
          </w:tcPr>
          <w:p>
            <w:pPr>
              <w:pStyle w:val="TableContents"/>
              <w:bidi w:val="0"/>
              <w:spacing w:before="0" w:after="0"/>
              <w:jc w:val="left"/>
              <w:rPr/>
            </w:pPr>
            <w:r>
              <w:rPr/>
              <w:t> </w:t>
            </w:r>
          </w:p>
        </w:tc>
      </w:tr>
      <w:tr>
        <w:trPr/>
        <w:tc>
          <w:tcPr>
            <w:tcW w:w="6800" w:type="dxa"/>
            <w:gridSpan w:val="5"/>
            <w:tcBorders/>
          </w:tcPr>
          <w:p>
            <w:pPr>
              <w:pStyle w:val="TableContents"/>
              <w:bidi w:val="0"/>
              <w:spacing w:before="0" w:after="0"/>
              <w:ind w:left="288" w:right="0" w:hanging="144"/>
              <w:jc w:val="left"/>
              <w:rPr/>
            </w:pPr>
            <w:r>
              <w:rPr/>
              <w:t>Loss on extinguishment of debt</w:t>
            </w:r>
          </w:p>
        </w:tc>
        <w:tc>
          <w:tcPr>
            <w:tcW w:w="90" w:type="dxa"/>
            <w:tcBorders/>
          </w:tcPr>
          <w:p>
            <w:pPr>
              <w:pStyle w:val="TableContents"/>
              <w:bidi w:val="0"/>
              <w:spacing w:before="0" w:after="283"/>
              <w:jc w:val="left"/>
              <w:rPr/>
            </w:pPr>
            <w:r>
              <w:rPr/>
              <w:t> </w:t>
            </w:r>
          </w:p>
        </w:tc>
        <w:tc>
          <w:tcPr>
            <w:tcW w:w="170" w:type="dxa"/>
            <w:tcBorders/>
          </w:tcPr>
          <w:p>
            <w:pPr>
              <w:pStyle w:val="TableContents"/>
              <w:bidi w:val="0"/>
              <w:spacing w:before="0" w:after="283"/>
              <w:jc w:val="left"/>
              <w:rPr/>
            </w:pPr>
            <w:r>
              <w:rPr/>
              <w:t> </w:t>
            </w:r>
          </w:p>
        </w:tc>
        <w:tc>
          <w:tcPr>
            <w:tcW w:w="1638" w:type="dxa"/>
            <w:tcBorders/>
          </w:tcPr>
          <w:p>
            <w:pPr>
              <w:pStyle w:val="TableContents"/>
              <w:bidi w:val="0"/>
              <w:spacing w:before="0" w:after="283"/>
              <w:jc w:val="left"/>
              <w:rPr/>
            </w:pPr>
            <w:r>
              <w:rPr/>
              <w:t> </w:t>
            </w:r>
          </w:p>
        </w:tc>
        <w:tc>
          <w:tcPr>
            <w:tcW w:w="185" w:type="dxa"/>
            <w:tcBorders/>
          </w:tcPr>
          <w:p>
            <w:pPr>
              <w:pStyle w:val="TableContents"/>
              <w:bidi w:val="0"/>
              <w:spacing w:before="0" w:after="283"/>
              <w:ind w:left="0" w:right="0" w:hanging="0"/>
              <w:jc w:val="left"/>
              <w:rPr/>
            </w:pPr>
            <w:r>
              <w:rPr/>
              <w:t> </w:t>
            </w:r>
          </w:p>
        </w:tc>
        <w:tc>
          <w:tcPr>
            <w:tcW w:w="90" w:type="dxa"/>
            <w:tcBorders/>
          </w:tcPr>
          <w:p>
            <w:pPr>
              <w:pStyle w:val="TableContents"/>
              <w:bidi w:val="0"/>
              <w:spacing w:before="0" w:after="0"/>
              <w:ind w:left="0" w:right="0" w:hanging="0"/>
              <w:jc w:val="right"/>
              <w:rPr/>
            </w:pPr>
            <w:r>
              <w:rPr/>
              <w:t> </w:t>
            </w:r>
          </w:p>
        </w:tc>
        <w:tc>
          <w:tcPr>
            <w:tcW w:w="170" w:type="dxa"/>
            <w:tcBorders/>
          </w:tcPr>
          <w:p>
            <w:pPr>
              <w:pStyle w:val="TableContents"/>
              <w:bidi w:val="0"/>
              <w:spacing w:before="0" w:after="0"/>
              <w:ind w:left="0" w:right="0" w:hanging="0"/>
              <w:jc w:val="left"/>
              <w:rPr/>
            </w:pPr>
            <w:r>
              <w:rPr/>
              <w:t> </w:t>
            </w:r>
          </w:p>
        </w:tc>
        <w:tc>
          <w:tcPr>
            <w:tcW w:w="830" w:type="dxa"/>
            <w:tcBorders/>
          </w:tcPr>
          <w:p>
            <w:pPr>
              <w:pStyle w:val="TableContents"/>
              <w:bidi w:val="0"/>
              <w:spacing w:before="0" w:after="0"/>
              <w:ind w:left="0" w:right="0" w:hanging="0"/>
              <w:jc w:val="right"/>
              <w:rPr/>
            </w:pPr>
            <w:r>
              <w:rPr/>
              <w:t>-</w:t>
            </w:r>
          </w:p>
        </w:tc>
        <w:tc>
          <w:tcPr>
            <w:tcW w:w="232" w:type="dxa"/>
            <w:tcBorders/>
          </w:tcPr>
          <w:p>
            <w:pPr>
              <w:pStyle w:val="TableContents"/>
              <w:bidi w:val="0"/>
              <w:spacing w:before="0" w:after="0"/>
              <w:jc w:val="left"/>
              <w:rPr/>
            </w:pPr>
            <w:r>
              <w:rPr/>
              <w:t> </w:t>
            </w:r>
          </w:p>
        </w:tc>
      </w:tr>
      <w:tr>
        <w:trPr/>
        <w:tc>
          <w:tcPr>
            <w:tcW w:w="6800" w:type="dxa"/>
            <w:gridSpan w:val="5"/>
            <w:tcBorders/>
            <w:shd w:fill="CCEEFF" w:val="clear"/>
          </w:tcPr>
          <w:p>
            <w:pPr>
              <w:pStyle w:val="TableContents"/>
              <w:bidi w:val="0"/>
              <w:spacing w:before="0" w:after="0"/>
              <w:ind w:left="288" w:right="0" w:hanging="144"/>
              <w:jc w:val="left"/>
              <w:rPr/>
            </w:pPr>
            <w:r>
              <w:rPr/>
              <w:t>Corporate general and administrative expense (a)</w:t>
            </w:r>
          </w:p>
        </w:tc>
        <w:tc>
          <w:tcPr>
            <w:tcW w:w="90" w:type="dxa"/>
            <w:tcBorders/>
            <w:shd w:fill="CCEEFF" w:val="clear"/>
          </w:tcPr>
          <w:p>
            <w:pPr>
              <w:pStyle w:val="TableContents"/>
              <w:bidi w:val="0"/>
              <w:spacing w:before="0" w:after="283"/>
              <w:jc w:val="left"/>
              <w:rPr/>
            </w:pPr>
            <w:r>
              <w:rPr/>
              <w:t> </w:t>
            </w:r>
          </w:p>
        </w:tc>
        <w:tc>
          <w:tcPr>
            <w:tcW w:w="170" w:type="dxa"/>
            <w:tcBorders/>
            <w:shd w:fill="CCEEFF" w:val="clear"/>
          </w:tcPr>
          <w:p>
            <w:pPr>
              <w:pStyle w:val="TableContents"/>
              <w:bidi w:val="0"/>
              <w:spacing w:before="0" w:after="283"/>
              <w:jc w:val="left"/>
              <w:rPr/>
            </w:pPr>
            <w:r>
              <w:rPr/>
              <w:t> </w:t>
            </w:r>
          </w:p>
        </w:tc>
        <w:tc>
          <w:tcPr>
            <w:tcW w:w="1638" w:type="dxa"/>
            <w:tcBorders/>
            <w:shd w:fill="CCEEFF" w:val="clear"/>
          </w:tcPr>
          <w:p>
            <w:pPr>
              <w:pStyle w:val="TableContents"/>
              <w:bidi w:val="0"/>
              <w:spacing w:before="0" w:after="283"/>
              <w:jc w:val="left"/>
              <w:rPr/>
            </w:pPr>
            <w:r>
              <w:rPr/>
              <w:t> </w:t>
            </w:r>
          </w:p>
        </w:tc>
        <w:tc>
          <w:tcPr>
            <w:tcW w:w="185" w:type="dxa"/>
            <w:tcBorders/>
            <w:shd w:fill="CCEEFF" w:val="clear"/>
          </w:tcPr>
          <w:p>
            <w:pPr>
              <w:pStyle w:val="TableContents"/>
              <w:bidi w:val="0"/>
              <w:spacing w:before="0" w:after="283"/>
              <w:ind w:left="0" w:right="0" w:hanging="0"/>
              <w:jc w:val="left"/>
              <w:rPr/>
            </w:pPr>
            <w:r>
              <w:rPr/>
              <w:t> </w:t>
            </w:r>
          </w:p>
        </w:tc>
        <w:tc>
          <w:tcPr>
            <w:tcW w:w="90" w:type="dxa"/>
            <w:tcBorders/>
            <w:shd w:fill="CCEEFF" w:val="clear"/>
          </w:tcPr>
          <w:p>
            <w:pPr>
              <w:pStyle w:val="TableContents"/>
              <w:bidi w:val="0"/>
              <w:spacing w:before="0" w:after="0"/>
              <w:ind w:left="0" w:right="0" w:hanging="0"/>
              <w:jc w:val="right"/>
              <w:rPr/>
            </w:pPr>
            <w:r>
              <w:rPr/>
              <w:t> </w:t>
            </w:r>
          </w:p>
        </w:tc>
        <w:tc>
          <w:tcPr>
            <w:tcW w:w="170" w:type="dxa"/>
            <w:tcBorders>
              <w:bottom w:val="single" w:sz="12" w:space="0" w:color="000000"/>
            </w:tcBorders>
            <w:shd w:fill="CCEEFF" w:val="clear"/>
            <w:tcMar>
              <w:bottom w:w="28" w:type="dxa"/>
            </w:tcMar>
          </w:tcPr>
          <w:p>
            <w:pPr>
              <w:pStyle w:val="TableContents"/>
              <w:bidi w:val="0"/>
              <w:spacing w:before="0" w:after="0"/>
              <w:ind w:left="0" w:right="0" w:hanging="0"/>
              <w:jc w:val="left"/>
              <w:rPr/>
            </w:pPr>
            <w:r>
              <w:rPr/>
              <w:t> </w:t>
            </w:r>
          </w:p>
        </w:tc>
        <w:tc>
          <w:tcPr>
            <w:tcW w:w="830" w:type="dxa"/>
            <w:tcBorders>
              <w:bottom w:val="single" w:sz="12" w:space="0" w:color="000000"/>
            </w:tcBorders>
            <w:shd w:fill="CCEEFF" w:val="clear"/>
            <w:tcMar>
              <w:bottom w:w="28" w:type="dxa"/>
            </w:tcMar>
          </w:tcPr>
          <w:p>
            <w:pPr>
              <w:pStyle w:val="TableContents"/>
              <w:bidi w:val="0"/>
              <w:spacing w:before="0" w:after="0"/>
              <w:ind w:left="0" w:right="0" w:hanging="0"/>
              <w:jc w:val="right"/>
              <w:rPr/>
            </w:pPr>
            <w:r>
              <w:rPr/>
              <w:t>(11,088</w:t>
            </w:r>
          </w:p>
        </w:tc>
        <w:tc>
          <w:tcPr>
            <w:tcW w:w="232" w:type="dxa"/>
            <w:tcBorders>
              <w:bottom w:val="single" w:sz="12" w:space="0" w:color="000000"/>
            </w:tcBorders>
            <w:shd w:fill="CCEEFF" w:val="clear"/>
            <w:tcMar>
              <w:bottom w:w="28" w:type="dxa"/>
            </w:tcMar>
          </w:tcPr>
          <w:p>
            <w:pPr>
              <w:pStyle w:val="TableContents"/>
              <w:bidi w:val="0"/>
              <w:spacing w:before="0" w:after="0"/>
              <w:jc w:val="left"/>
              <w:rPr/>
            </w:pPr>
            <w:r>
              <w:rPr/>
              <w:t>) </w:t>
            </w:r>
          </w:p>
        </w:tc>
      </w:tr>
      <w:tr>
        <w:trPr/>
        <w:tc>
          <w:tcPr>
            <w:tcW w:w="6800" w:type="dxa"/>
            <w:gridSpan w:val="5"/>
            <w:tcBorders/>
          </w:tcPr>
          <w:p>
            <w:pPr>
              <w:pStyle w:val="TableContents"/>
              <w:bidi w:val="0"/>
              <w:spacing w:before="0" w:after="0"/>
              <w:ind w:left="432" w:right="0" w:hanging="144"/>
              <w:jc w:val="left"/>
              <w:rPr/>
            </w:pPr>
            <w:r>
              <w:rPr/>
              <w:t>Consolidated income before taxes</w:t>
            </w:r>
          </w:p>
        </w:tc>
        <w:tc>
          <w:tcPr>
            <w:tcW w:w="90" w:type="dxa"/>
            <w:tcBorders/>
          </w:tcPr>
          <w:p>
            <w:pPr>
              <w:pStyle w:val="TableContents"/>
              <w:bidi w:val="0"/>
              <w:spacing w:before="0" w:after="283"/>
              <w:jc w:val="left"/>
              <w:rPr/>
            </w:pPr>
            <w:r>
              <w:rPr/>
              <w:t> </w:t>
            </w:r>
          </w:p>
        </w:tc>
        <w:tc>
          <w:tcPr>
            <w:tcW w:w="170" w:type="dxa"/>
            <w:tcBorders/>
          </w:tcPr>
          <w:p>
            <w:pPr>
              <w:pStyle w:val="TableContents"/>
              <w:bidi w:val="0"/>
              <w:spacing w:before="0" w:after="283"/>
              <w:jc w:val="left"/>
              <w:rPr/>
            </w:pPr>
            <w:r>
              <w:rPr/>
              <w:t> </w:t>
            </w:r>
          </w:p>
        </w:tc>
        <w:tc>
          <w:tcPr>
            <w:tcW w:w="1638" w:type="dxa"/>
            <w:tcBorders/>
          </w:tcPr>
          <w:p>
            <w:pPr>
              <w:pStyle w:val="TableContents"/>
              <w:bidi w:val="0"/>
              <w:spacing w:before="0" w:after="283"/>
              <w:jc w:val="left"/>
              <w:rPr/>
            </w:pPr>
            <w:r>
              <w:rPr/>
              <w:t> </w:t>
            </w:r>
          </w:p>
        </w:tc>
        <w:tc>
          <w:tcPr>
            <w:tcW w:w="185" w:type="dxa"/>
            <w:tcBorders/>
          </w:tcPr>
          <w:p>
            <w:pPr>
              <w:pStyle w:val="TableContents"/>
              <w:bidi w:val="0"/>
              <w:spacing w:before="0" w:after="283"/>
              <w:ind w:left="0" w:right="0" w:hanging="0"/>
              <w:jc w:val="left"/>
              <w:rPr/>
            </w:pPr>
            <w:r>
              <w:rPr/>
              <w:t> </w:t>
            </w:r>
          </w:p>
        </w:tc>
        <w:tc>
          <w:tcPr>
            <w:tcW w:w="90" w:type="dxa"/>
            <w:tcBorders/>
          </w:tcPr>
          <w:p>
            <w:pPr>
              <w:pStyle w:val="TableContents"/>
              <w:bidi w:val="0"/>
              <w:spacing w:before="0" w:after="0"/>
              <w:ind w:left="0" w:right="0" w:hanging="0"/>
              <w:jc w:val="right"/>
              <w:rPr/>
            </w:pPr>
            <w:r>
              <w:rPr/>
              <w:t> </w:t>
            </w:r>
          </w:p>
        </w:tc>
        <w:tc>
          <w:tcPr>
            <w:tcW w:w="170" w:type="dxa"/>
            <w:tcBorders>
              <w:bottom w:val="double" w:sz="8" w:space="0" w:color="000000"/>
            </w:tcBorders>
            <w:tcMar>
              <w:bottom w:w="28" w:type="dxa"/>
            </w:tcMar>
          </w:tcPr>
          <w:p>
            <w:pPr>
              <w:pStyle w:val="TableContents"/>
              <w:bidi w:val="0"/>
              <w:spacing w:before="0" w:after="0"/>
              <w:ind w:left="0" w:right="0" w:hanging="0"/>
              <w:jc w:val="left"/>
              <w:rPr/>
            </w:pPr>
            <w:r>
              <w:rPr/>
              <w:t>$</w:t>
            </w:r>
          </w:p>
        </w:tc>
        <w:tc>
          <w:tcPr>
            <w:tcW w:w="830" w:type="dxa"/>
            <w:tcBorders>
              <w:bottom w:val="double" w:sz="8" w:space="0" w:color="000000"/>
            </w:tcBorders>
            <w:tcMar>
              <w:bottom w:w="28" w:type="dxa"/>
            </w:tcMar>
          </w:tcPr>
          <w:p>
            <w:pPr>
              <w:pStyle w:val="TableContents"/>
              <w:bidi w:val="0"/>
              <w:spacing w:before="0" w:after="0"/>
              <w:ind w:left="0" w:right="0" w:hanging="0"/>
              <w:jc w:val="right"/>
              <w:rPr/>
            </w:pPr>
            <w:r>
              <w:rPr/>
              <w:t>57,127</w:t>
            </w:r>
          </w:p>
        </w:tc>
        <w:tc>
          <w:tcPr>
            <w:tcW w:w="232" w:type="dxa"/>
            <w:tcBorders>
              <w:bottom w:val="double" w:sz="8" w:space="0" w:color="000000"/>
            </w:tcBorders>
            <w:tcMar>
              <w:bottom w:w="28" w:type="dxa"/>
            </w:tcMar>
          </w:tcPr>
          <w:p>
            <w:pPr>
              <w:pStyle w:val="TableContents"/>
              <w:bidi w:val="0"/>
              <w:spacing w:before="0" w:after="0"/>
              <w:jc w:val="left"/>
              <w:rPr/>
            </w:pPr>
            <w:r>
              <w:rPr/>
              <w:t> </w:t>
            </w:r>
          </w:p>
        </w:tc>
      </w:tr>
      <w:tr>
        <w:trPr/>
        <w:tc>
          <w:tcPr>
            <w:tcW w:w="4113" w:type="dxa"/>
            <w:tcBorders/>
            <w:shd w:fill="CCEEFF" w:val="clear"/>
          </w:tcPr>
          <w:p>
            <w:pPr>
              <w:pStyle w:val="TableContents"/>
              <w:bidi w:val="0"/>
              <w:spacing w:before="0" w:after="283"/>
              <w:jc w:val="left"/>
              <w:rPr/>
            </w:pPr>
            <w:r>
              <w:rPr/>
              <w:t> </w:t>
            </w:r>
          </w:p>
        </w:tc>
        <w:tc>
          <w:tcPr>
            <w:tcW w:w="101" w:type="dxa"/>
            <w:tcBorders/>
            <w:shd w:fill="CCEEFF" w:val="clear"/>
          </w:tcPr>
          <w:p>
            <w:pPr>
              <w:pStyle w:val="TableContents"/>
              <w:bidi w:val="0"/>
              <w:spacing w:before="0" w:after="283"/>
              <w:jc w:val="left"/>
              <w:rPr/>
            </w:pPr>
            <w:r>
              <w:rPr/>
              <w:t> </w:t>
            </w:r>
          </w:p>
        </w:tc>
        <w:tc>
          <w:tcPr>
            <w:tcW w:w="191" w:type="dxa"/>
            <w:tcBorders/>
            <w:shd w:fill="CCEEFF" w:val="clear"/>
          </w:tcPr>
          <w:p>
            <w:pPr>
              <w:pStyle w:val="TableContents"/>
              <w:bidi w:val="0"/>
              <w:spacing w:before="0" w:after="283"/>
              <w:jc w:val="left"/>
              <w:rPr/>
            </w:pPr>
            <w:r>
              <w:rPr/>
              <w:t> </w:t>
            </w:r>
          </w:p>
        </w:tc>
        <w:tc>
          <w:tcPr>
            <w:tcW w:w="2187" w:type="dxa"/>
            <w:tcBorders/>
            <w:shd w:fill="CCEEFF" w:val="clear"/>
          </w:tcPr>
          <w:p>
            <w:pPr>
              <w:pStyle w:val="TableContents"/>
              <w:bidi w:val="0"/>
              <w:spacing w:before="0" w:after="283"/>
              <w:jc w:val="left"/>
              <w:rPr/>
            </w:pPr>
            <w:r>
              <w:rPr/>
              <w:t> </w:t>
            </w:r>
          </w:p>
        </w:tc>
        <w:tc>
          <w:tcPr>
            <w:tcW w:w="208" w:type="dxa"/>
            <w:tcBorders/>
            <w:shd w:fill="CCEEFF" w:val="clear"/>
          </w:tcPr>
          <w:p>
            <w:pPr>
              <w:pStyle w:val="TableContents"/>
              <w:bidi w:val="0"/>
              <w:spacing w:before="0" w:after="283"/>
              <w:jc w:val="left"/>
              <w:rPr/>
            </w:pPr>
            <w:r>
              <w:rPr/>
              <w:t> </w:t>
            </w:r>
          </w:p>
        </w:tc>
        <w:tc>
          <w:tcPr>
            <w:tcW w:w="90" w:type="dxa"/>
            <w:tcBorders/>
            <w:shd w:fill="CCEEFF" w:val="clear"/>
          </w:tcPr>
          <w:p>
            <w:pPr>
              <w:pStyle w:val="TableContents"/>
              <w:bidi w:val="0"/>
              <w:spacing w:before="0" w:after="283"/>
              <w:jc w:val="left"/>
              <w:rPr/>
            </w:pPr>
            <w:r>
              <w:rPr/>
              <w:t> </w:t>
            </w:r>
          </w:p>
        </w:tc>
        <w:tc>
          <w:tcPr>
            <w:tcW w:w="170" w:type="dxa"/>
            <w:tcBorders/>
            <w:shd w:fill="CCEEFF" w:val="clear"/>
          </w:tcPr>
          <w:p>
            <w:pPr>
              <w:pStyle w:val="TableContents"/>
              <w:bidi w:val="0"/>
              <w:spacing w:before="0" w:after="283"/>
              <w:jc w:val="left"/>
              <w:rPr/>
            </w:pPr>
            <w:r>
              <w:rPr/>
              <w:t> </w:t>
            </w:r>
          </w:p>
        </w:tc>
        <w:tc>
          <w:tcPr>
            <w:tcW w:w="1638" w:type="dxa"/>
            <w:tcBorders/>
            <w:shd w:fill="CCEEFF" w:val="clear"/>
          </w:tcPr>
          <w:p>
            <w:pPr>
              <w:pStyle w:val="TableContents"/>
              <w:bidi w:val="0"/>
              <w:spacing w:before="0" w:after="283"/>
              <w:jc w:val="left"/>
              <w:rPr/>
            </w:pPr>
            <w:r>
              <w:rPr/>
              <w:t> </w:t>
            </w:r>
          </w:p>
        </w:tc>
        <w:tc>
          <w:tcPr>
            <w:tcW w:w="185" w:type="dxa"/>
            <w:tcBorders/>
            <w:shd w:fill="CCEEFF" w:val="clear"/>
          </w:tcPr>
          <w:p>
            <w:pPr>
              <w:pStyle w:val="TableContents"/>
              <w:bidi w:val="0"/>
              <w:spacing w:before="0" w:after="283"/>
              <w:jc w:val="left"/>
              <w:rPr/>
            </w:pPr>
            <w:r>
              <w:rPr/>
              <w:t> </w:t>
            </w:r>
          </w:p>
        </w:tc>
        <w:tc>
          <w:tcPr>
            <w:tcW w:w="90" w:type="dxa"/>
            <w:tcBorders/>
            <w:shd w:fill="CCEEFF" w:val="clear"/>
          </w:tcPr>
          <w:p>
            <w:pPr>
              <w:pStyle w:val="TableContents"/>
              <w:bidi w:val="0"/>
              <w:spacing w:before="0" w:after="283"/>
              <w:jc w:val="left"/>
              <w:rPr/>
            </w:pPr>
            <w:r>
              <w:rPr/>
              <w:t> </w:t>
            </w:r>
          </w:p>
        </w:tc>
        <w:tc>
          <w:tcPr>
            <w:tcW w:w="170" w:type="dxa"/>
            <w:tcBorders/>
            <w:shd w:fill="CCEEFF" w:val="clear"/>
          </w:tcPr>
          <w:p>
            <w:pPr>
              <w:pStyle w:val="TableContents"/>
              <w:bidi w:val="0"/>
              <w:spacing w:before="0" w:after="283"/>
              <w:jc w:val="left"/>
              <w:rPr/>
            </w:pPr>
            <w:r>
              <w:rPr/>
              <w:t> </w:t>
            </w:r>
          </w:p>
        </w:tc>
        <w:tc>
          <w:tcPr>
            <w:tcW w:w="830" w:type="dxa"/>
            <w:tcBorders/>
            <w:shd w:fill="CCEEFF" w:val="clear"/>
          </w:tcPr>
          <w:p>
            <w:pPr>
              <w:pStyle w:val="TableContents"/>
              <w:bidi w:val="0"/>
              <w:spacing w:before="0" w:after="283"/>
              <w:jc w:val="left"/>
              <w:rPr/>
            </w:pPr>
            <w:r>
              <w:rPr/>
              <w:t> </w:t>
            </w:r>
          </w:p>
        </w:tc>
        <w:tc>
          <w:tcPr>
            <w:tcW w:w="232" w:type="dxa"/>
            <w:tcBorders/>
            <w:shd w:fill="CCEEFF" w:val="clear"/>
          </w:tcPr>
          <w:p>
            <w:pPr>
              <w:pStyle w:val="TableContents"/>
              <w:bidi w:val="0"/>
              <w:spacing w:before="0" w:after="283"/>
              <w:jc w:val="left"/>
              <w:rPr/>
            </w:pPr>
            <w:r>
              <w:rPr/>
              <w:t> </w:t>
            </w:r>
          </w:p>
        </w:tc>
      </w:tr>
      <w:tr>
        <w:trPr/>
        <w:tc>
          <w:tcPr>
            <w:tcW w:w="8883" w:type="dxa"/>
            <w:gridSpan w:val="9"/>
            <w:tcBorders/>
          </w:tcPr>
          <w:p>
            <w:pPr>
              <w:pStyle w:val="TableContents"/>
              <w:bidi w:val="0"/>
              <w:spacing w:before="0" w:after="0"/>
              <w:ind w:left="0" w:right="0" w:hanging="0"/>
              <w:jc w:val="left"/>
              <w:rPr>
                <w:i/>
              </w:rPr>
            </w:pPr>
            <w:r>
              <w:rPr>
                <w:i/>
              </w:rPr>
              <w:t>Reconciliation of total assets:</w:t>
            </w:r>
          </w:p>
        </w:tc>
        <w:tc>
          <w:tcPr>
            <w:tcW w:w="90" w:type="dxa"/>
            <w:tcBorders/>
          </w:tcPr>
          <w:p>
            <w:pPr>
              <w:pStyle w:val="TableContents"/>
              <w:bidi w:val="0"/>
              <w:spacing w:before="0" w:after="283"/>
              <w:jc w:val="left"/>
              <w:rPr/>
            </w:pPr>
            <w:r>
              <w:rPr/>
              <w:t> </w:t>
            </w:r>
          </w:p>
        </w:tc>
        <w:tc>
          <w:tcPr>
            <w:tcW w:w="170" w:type="dxa"/>
            <w:tcBorders/>
          </w:tcPr>
          <w:p>
            <w:pPr>
              <w:pStyle w:val="TableContents"/>
              <w:bidi w:val="0"/>
              <w:spacing w:before="0" w:after="283"/>
              <w:jc w:val="left"/>
              <w:rPr/>
            </w:pPr>
            <w:r>
              <w:rPr/>
              <w:t> </w:t>
            </w:r>
          </w:p>
        </w:tc>
        <w:tc>
          <w:tcPr>
            <w:tcW w:w="830" w:type="dxa"/>
            <w:tcBorders/>
          </w:tcPr>
          <w:p>
            <w:pPr>
              <w:pStyle w:val="TableContents"/>
              <w:bidi w:val="0"/>
              <w:spacing w:before="0" w:after="283"/>
              <w:jc w:val="left"/>
              <w:rPr/>
            </w:pPr>
            <w:r>
              <w:rPr/>
              <w:t> </w:t>
            </w:r>
          </w:p>
        </w:tc>
        <w:tc>
          <w:tcPr>
            <w:tcW w:w="232" w:type="dxa"/>
            <w:tcBorders/>
          </w:tcPr>
          <w:p>
            <w:pPr>
              <w:pStyle w:val="TableContents"/>
              <w:bidi w:val="0"/>
              <w:spacing w:before="0" w:after="283"/>
              <w:jc w:val="left"/>
              <w:rPr/>
            </w:pPr>
            <w:r>
              <w:rPr/>
              <w:t> </w:t>
            </w:r>
          </w:p>
        </w:tc>
      </w:tr>
      <w:tr>
        <w:trPr/>
        <w:tc>
          <w:tcPr>
            <w:tcW w:w="6800" w:type="dxa"/>
            <w:gridSpan w:val="5"/>
            <w:tcBorders/>
            <w:shd w:fill="CCEEFF" w:val="clear"/>
          </w:tcPr>
          <w:p>
            <w:pPr>
              <w:pStyle w:val="TableContents"/>
              <w:bidi w:val="0"/>
              <w:spacing w:before="0" w:after="0"/>
              <w:ind w:left="144" w:right="0" w:hanging="0"/>
              <w:jc w:val="left"/>
              <w:rPr/>
            </w:pPr>
            <w:r>
              <w:rPr/>
              <w:t>Total segment assets</w:t>
            </w:r>
          </w:p>
        </w:tc>
        <w:tc>
          <w:tcPr>
            <w:tcW w:w="90" w:type="dxa"/>
            <w:tcBorders/>
            <w:shd w:fill="CCEEFF" w:val="clear"/>
          </w:tcPr>
          <w:p>
            <w:pPr>
              <w:pStyle w:val="TableContents"/>
              <w:bidi w:val="0"/>
              <w:spacing w:before="0" w:after="283"/>
              <w:jc w:val="left"/>
              <w:rPr/>
            </w:pPr>
            <w:r>
              <w:rPr/>
              <w:t> </w:t>
            </w:r>
          </w:p>
        </w:tc>
        <w:tc>
          <w:tcPr>
            <w:tcW w:w="170" w:type="dxa"/>
            <w:tcBorders/>
            <w:shd w:fill="CCEEFF" w:val="clear"/>
          </w:tcPr>
          <w:p>
            <w:pPr>
              <w:pStyle w:val="TableContents"/>
              <w:bidi w:val="0"/>
              <w:spacing w:before="0" w:after="283"/>
              <w:jc w:val="left"/>
              <w:rPr/>
            </w:pPr>
            <w:r>
              <w:rPr/>
              <w:t> </w:t>
            </w:r>
          </w:p>
        </w:tc>
        <w:tc>
          <w:tcPr>
            <w:tcW w:w="1638" w:type="dxa"/>
            <w:tcBorders/>
            <w:shd w:fill="CCEEFF" w:val="clear"/>
          </w:tcPr>
          <w:p>
            <w:pPr>
              <w:pStyle w:val="TableContents"/>
              <w:bidi w:val="0"/>
              <w:spacing w:before="0" w:after="283"/>
              <w:jc w:val="left"/>
              <w:rPr/>
            </w:pPr>
            <w:r>
              <w:rPr/>
              <w:t> </w:t>
            </w:r>
          </w:p>
        </w:tc>
        <w:tc>
          <w:tcPr>
            <w:tcW w:w="185" w:type="dxa"/>
            <w:tcBorders/>
            <w:shd w:fill="CCEEFF" w:val="clear"/>
          </w:tcPr>
          <w:p>
            <w:pPr>
              <w:pStyle w:val="TableContents"/>
              <w:bidi w:val="0"/>
              <w:spacing w:before="0" w:after="283"/>
              <w:ind w:left="0" w:right="0" w:hanging="0"/>
              <w:jc w:val="left"/>
              <w:rPr/>
            </w:pPr>
            <w:r>
              <w:rPr/>
              <w:t> </w:t>
            </w:r>
          </w:p>
        </w:tc>
        <w:tc>
          <w:tcPr>
            <w:tcW w:w="90" w:type="dxa"/>
            <w:tcBorders/>
            <w:shd w:fill="CCEEFF" w:val="clear"/>
          </w:tcPr>
          <w:p>
            <w:pPr>
              <w:pStyle w:val="TableContents"/>
              <w:bidi w:val="0"/>
              <w:spacing w:before="0" w:after="0"/>
              <w:ind w:left="0" w:right="0" w:hanging="0"/>
              <w:jc w:val="right"/>
              <w:rPr/>
            </w:pPr>
            <w:r>
              <w:rPr/>
              <w:t> </w:t>
            </w:r>
          </w:p>
        </w:tc>
        <w:tc>
          <w:tcPr>
            <w:tcW w:w="170" w:type="dxa"/>
            <w:tcBorders/>
            <w:shd w:fill="CCEEFF" w:val="clear"/>
          </w:tcPr>
          <w:p>
            <w:pPr>
              <w:pStyle w:val="TableContents"/>
              <w:bidi w:val="0"/>
              <w:spacing w:before="0" w:after="0"/>
              <w:ind w:left="0" w:right="0" w:hanging="0"/>
              <w:jc w:val="left"/>
              <w:rPr/>
            </w:pPr>
            <w:r>
              <w:rPr/>
              <w:t>$</w:t>
            </w:r>
          </w:p>
        </w:tc>
        <w:tc>
          <w:tcPr>
            <w:tcW w:w="830" w:type="dxa"/>
            <w:tcBorders/>
            <w:shd w:fill="CCEEFF" w:val="clear"/>
          </w:tcPr>
          <w:p>
            <w:pPr>
              <w:pStyle w:val="TableContents"/>
              <w:bidi w:val="0"/>
              <w:spacing w:before="0" w:after="0"/>
              <w:ind w:left="0" w:right="0" w:hanging="0"/>
              <w:jc w:val="right"/>
              <w:rPr/>
            </w:pPr>
            <w:r>
              <w:rPr/>
              <w:t>454,544</w:t>
            </w:r>
          </w:p>
        </w:tc>
        <w:tc>
          <w:tcPr>
            <w:tcW w:w="232" w:type="dxa"/>
            <w:tcBorders/>
            <w:shd w:fill="CCEEFF" w:val="clear"/>
          </w:tcPr>
          <w:p>
            <w:pPr>
              <w:pStyle w:val="TableContents"/>
              <w:bidi w:val="0"/>
              <w:spacing w:before="0" w:after="0"/>
              <w:jc w:val="left"/>
              <w:rPr/>
            </w:pPr>
            <w:r>
              <w:rPr/>
              <w:t> </w:t>
            </w:r>
          </w:p>
        </w:tc>
      </w:tr>
      <w:tr>
        <w:trPr/>
        <w:tc>
          <w:tcPr>
            <w:tcW w:w="6800" w:type="dxa"/>
            <w:gridSpan w:val="5"/>
            <w:tcBorders/>
          </w:tcPr>
          <w:p>
            <w:pPr>
              <w:pStyle w:val="TableContents"/>
              <w:bidi w:val="0"/>
              <w:spacing w:before="0" w:after="0"/>
              <w:ind w:left="144" w:right="0" w:hanging="0"/>
              <w:jc w:val="left"/>
              <w:rPr/>
            </w:pPr>
            <w:r>
              <w:rPr/>
              <w:t>Corporate (b)</w:t>
            </w:r>
          </w:p>
        </w:tc>
        <w:tc>
          <w:tcPr>
            <w:tcW w:w="90" w:type="dxa"/>
            <w:tcBorders/>
          </w:tcPr>
          <w:p>
            <w:pPr>
              <w:pStyle w:val="TableContents"/>
              <w:bidi w:val="0"/>
              <w:spacing w:before="0" w:after="283"/>
              <w:jc w:val="left"/>
              <w:rPr/>
            </w:pPr>
            <w:r>
              <w:rPr/>
              <w:t> </w:t>
            </w:r>
          </w:p>
        </w:tc>
        <w:tc>
          <w:tcPr>
            <w:tcW w:w="170" w:type="dxa"/>
            <w:tcBorders/>
          </w:tcPr>
          <w:p>
            <w:pPr>
              <w:pStyle w:val="TableContents"/>
              <w:bidi w:val="0"/>
              <w:spacing w:before="0" w:after="283"/>
              <w:jc w:val="left"/>
              <w:rPr/>
            </w:pPr>
            <w:r>
              <w:rPr/>
              <w:t> </w:t>
            </w:r>
          </w:p>
        </w:tc>
        <w:tc>
          <w:tcPr>
            <w:tcW w:w="1638" w:type="dxa"/>
            <w:tcBorders/>
          </w:tcPr>
          <w:p>
            <w:pPr>
              <w:pStyle w:val="TableContents"/>
              <w:bidi w:val="0"/>
              <w:spacing w:before="0" w:after="283"/>
              <w:jc w:val="left"/>
              <w:rPr/>
            </w:pPr>
            <w:r>
              <w:rPr/>
              <w:t> </w:t>
            </w:r>
          </w:p>
        </w:tc>
        <w:tc>
          <w:tcPr>
            <w:tcW w:w="185" w:type="dxa"/>
            <w:tcBorders/>
          </w:tcPr>
          <w:p>
            <w:pPr>
              <w:pStyle w:val="TableContents"/>
              <w:bidi w:val="0"/>
              <w:spacing w:before="0" w:after="283"/>
              <w:ind w:left="0" w:right="0" w:hanging="0"/>
              <w:jc w:val="left"/>
              <w:rPr/>
            </w:pPr>
            <w:r>
              <w:rPr/>
              <w:t> </w:t>
            </w:r>
          </w:p>
        </w:tc>
        <w:tc>
          <w:tcPr>
            <w:tcW w:w="90" w:type="dxa"/>
            <w:tcBorders/>
          </w:tcPr>
          <w:p>
            <w:pPr>
              <w:pStyle w:val="TableContents"/>
              <w:bidi w:val="0"/>
              <w:spacing w:before="0" w:after="0"/>
              <w:ind w:left="0" w:right="0" w:hanging="0"/>
              <w:jc w:val="right"/>
              <w:rPr/>
            </w:pPr>
            <w:r>
              <w:rPr/>
              <w:t> </w:t>
            </w:r>
          </w:p>
        </w:tc>
        <w:tc>
          <w:tcPr>
            <w:tcW w:w="170" w:type="dxa"/>
            <w:tcBorders>
              <w:bottom w:val="single" w:sz="12" w:space="0" w:color="000000"/>
            </w:tcBorders>
            <w:tcMar>
              <w:bottom w:w="28" w:type="dxa"/>
            </w:tcMar>
          </w:tcPr>
          <w:p>
            <w:pPr>
              <w:pStyle w:val="TableContents"/>
              <w:bidi w:val="0"/>
              <w:spacing w:before="0" w:after="0"/>
              <w:ind w:left="0" w:right="0" w:hanging="0"/>
              <w:jc w:val="left"/>
              <w:rPr/>
            </w:pPr>
            <w:r>
              <w:rPr/>
              <w:t> </w:t>
            </w:r>
          </w:p>
        </w:tc>
        <w:tc>
          <w:tcPr>
            <w:tcW w:w="830" w:type="dxa"/>
            <w:tcBorders>
              <w:bottom w:val="single" w:sz="12" w:space="0" w:color="000000"/>
            </w:tcBorders>
            <w:tcMar>
              <w:bottom w:w="28" w:type="dxa"/>
            </w:tcMar>
          </w:tcPr>
          <w:p>
            <w:pPr>
              <w:pStyle w:val="TableContents"/>
              <w:bidi w:val="0"/>
              <w:spacing w:before="0" w:after="0"/>
              <w:ind w:left="0" w:right="0" w:hanging="0"/>
              <w:jc w:val="right"/>
              <w:rPr/>
            </w:pPr>
            <w:r>
              <w:rPr/>
              <w:t>210,640</w:t>
            </w:r>
          </w:p>
        </w:tc>
        <w:tc>
          <w:tcPr>
            <w:tcW w:w="232" w:type="dxa"/>
            <w:tcBorders>
              <w:bottom w:val="single" w:sz="12" w:space="0" w:color="000000"/>
            </w:tcBorders>
            <w:tcMar>
              <w:bottom w:w="28" w:type="dxa"/>
            </w:tcMar>
          </w:tcPr>
          <w:p>
            <w:pPr>
              <w:pStyle w:val="TableContents"/>
              <w:bidi w:val="0"/>
              <w:spacing w:before="0" w:after="0"/>
              <w:jc w:val="left"/>
              <w:rPr/>
            </w:pPr>
            <w:r>
              <w:rPr/>
              <w:t> </w:t>
            </w:r>
          </w:p>
        </w:tc>
      </w:tr>
      <w:tr>
        <w:trPr/>
        <w:tc>
          <w:tcPr>
            <w:tcW w:w="6800" w:type="dxa"/>
            <w:gridSpan w:val="5"/>
            <w:tcBorders/>
            <w:shd w:fill="CCEEFF" w:val="clear"/>
          </w:tcPr>
          <w:p>
            <w:pPr>
              <w:pStyle w:val="TableContents"/>
              <w:bidi w:val="0"/>
              <w:spacing w:before="0" w:after="0"/>
              <w:ind w:left="288" w:right="0" w:hanging="0"/>
              <w:jc w:val="left"/>
              <w:rPr/>
            </w:pPr>
            <w:r>
              <w:rPr/>
              <w:t>Consolidated total assets</w:t>
            </w:r>
          </w:p>
        </w:tc>
        <w:tc>
          <w:tcPr>
            <w:tcW w:w="90" w:type="dxa"/>
            <w:tcBorders/>
            <w:shd w:fill="CCEEFF" w:val="clear"/>
          </w:tcPr>
          <w:p>
            <w:pPr>
              <w:pStyle w:val="TableContents"/>
              <w:bidi w:val="0"/>
              <w:spacing w:before="0" w:after="283"/>
              <w:jc w:val="left"/>
              <w:rPr/>
            </w:pPr>
            <w:r>
              <w:rPr/>
              <w:t> </w:t>
            </w:r>
          </w:p>
        </w:tc>
        <w:tc>
          <w:tcPr>
            <w:tcW w:w="170" w:type="dxa"/>
            <w:tcBorders/>
            <w:shd w:fill="CCEEFF" w:val="clear"/>
          </w:tcPr>
          <w:p>
            <w:pPr>
              <w:pStyle w:val="TableContents"/>
              <w:bidi w:val="0"/>
              <w:spacing w:before="0" w:after="283"/>
              <w:jc w:val="left"/>
              <w:rPr/>
            </w:pPr>
            <w:r>
              <w:rPr/>
              <w:t> </w:t>
            </w:r>
          </w:p>
        </w:tc>
        <w:tc>
          <w:tcPr>
            <w:tcW w:w="1638" w:type="dxa"/>
            <w:tcBorders/>
            <w:shd w:fill="CCEEFF" w:val="clear"/>
          </w:tcPr>
          <w:p>
            <w:pPr>
              <w:pStyle w:val="TableContents"/>
              <w:bidi w:val="0"/>
              <w:spacing w:before="0" w:after="283"/>
              <w:jc w:val="left"/>
              <w:rPr/>
            </w:pPr>
            <w:r>
              <w:rPr/>
              <w:t> </w:t>
            </w:r>
          </w:p>
        </w:tc>
        <w:tc>
          <w:tcPr>
            <w:tcW w:w="185" w:type="dxa"/>
            <w:tcBorders/>
            <w:shd w:fill="CCEEFF" w:val="clear"/>
          </w:tcPr>
          <w:p>
            <w:pPr>
              <w:pStyle w:val="TableContents"/>
              <w:bidi w:val="0"/>
              <w:spacing w:before="0" w:after="283"/>
              <w:ind w:left="0" w:right="0" w:hanging="0"/>
              <w:jc w:val="left"/>
              <w:rPr/>
            </w:pPr>
            <w:r>
              <w:rPr/>
              <w:t> </w:t>
            </w:r>
          </w:p>
        </w:tc>
        <w:tc>
          <w:tcPr>
            <w:tcW w:w="90" w:type="dxa"/>
            <w:tcBorders/>
            <w:shd w:fill="CCEEFF" w:val="clear"/>
          </w:tcPr>
          <w:p>
            <w:pPr>
              <w:pStyle w:val="TableContents"/>
              <w:bidi w:val="0"/>
              <w:spacing w:before="0" w:after="0"/>
              <w:ind w:left="0" w:right="0" w:hanging="0"/>
              <w:jc w:val="right"/>
              <w:rPr/>
            </w:pPr>
            <w:r>
              <w:rPr/>
              <w:t> </w:t>
            </w:r>
          </w:p>
        </w:tc>
        <w:tc>
          <w:tcPr>
            <w:tcW w:w="170" w:type="dxa"/>
            <w:tcBorders>
              <w:bottom w:val="double" w:sz="8" w:space="0" w:color="000000"/>
            </w:tcBorders>
            <w:shd w:fill="CCEEFF" w:val="clear"/>
            <w:tcMar>
              <w:bottom w:w="28" w:type="dxa"/>
            </w:tcMar>
          </w:tcPr>
          <w:p>
            <w:pPr>
              <w:pStyle w:val="TableContents"/>
              <w:bidi w:val="0"/>
              <w:spacing w:before="0" w:after="0"/>
              <w:ind w:left="0" w:right="0" w:hanging="0"/>
              <w:jc w:val="left"/>
              <w:rPr/>
            </w:pPr>
            <w:r>
              <w:rPr/>
              <w:t>$</w:t>
            </w:r>
          </w:p>
        </w:tc>
        <w:tc>
          <w:tcPr>
            <w:tcW w:w="830" w:type="dxa"/>
            <w:tcBorders>
              <w:bottom w:val="double" w:sz="8" w:space="0" w:color="000000"/>
            </w:tcBorders>
            <w:shd w:fill="CCEEFF" w:val="clear"/>
            <w:tcMar>
              <w:bottom w:w="28" w:type="dxa"/>
            </w:tcMar>
          </w:tcPr>
          <w:p>
            <w:pPr>
              <w:pStyle w:val="TableContents"/>
              <w:bidi w:val="0"/>
              <w:spacing w:before="0" w:after="0"/>
              <w:ind w:left="0" w:right="0" w:hanging="0"/>
              <w:jc w:val="right"/>
              <w:rPr/>
            </w:pPr>
            <w:r>
              <w:rPr/>
              <w:t>665,184</w:t>
            </w:r>
          </w:p>
        </w:tc>
        <w:tc>
          <w:tcPr>
            <w:tcW w:w="232" w:type="dxa"/>
            <w:tcBorders>
              <w:bottom w:val="double" w:sz="8" w:space="0" w:color="000000"/>
            </w:tcBorders>
            <w:shd w:fill="CCEEFF" w:val="clear"/>
            <w:tcMar>
              <w:bottom w:w="28" w:type="dxa"/>
            </w:tcMar>
          </w:tcPr>
          <w:p>
            <w:pPr>
              <w:pStyle w:val="TableContents"/>
              <w:bidi w:val="0"/>
              <w:spacing w:before="0" w:after="0"/>
              <w:jc w:val="left"/>
              <w:rPr/>
            </w:pPr>
            <w:r>
              <w:rPr/>
              <w:t> </w:t>
            </w:r>
          </w:p>
        </w:tc>
      </w:tr>
    </w:tbl>
    <w:p>
      <w:pPr>
        <w:pStyle w:val="TextBody"/>
        <w:bidi w:val="0"/>
        <w:spacing w:before="0" w:after="0"/>
        <w:ind w:left="0" w:right="0" w:hanging="0"/>
        <w:jc w:val="left"/>
        <w:rPr/>
      </w:pPr>
      <w:r>
        <w:rPr/>
        <w:t> </w:t>
      </w:r>
    </w:p>
    <w:tbl>
      <w:tblPr>
        <w:tblW w:w="10205" w:type="dxa"/>
        <w:jc w:val="left"/>
        <w:tblInd w:w="0" w:type="dxa"/>
        <w:tblLayout w:type="fixed"/>
        <w:tblCellMar>
          <w:top w:w="28" w:type="dxa"/>
          <w:left w:w="28" w:type="dxa"/>
          <w:bottom w:w="28" w:type="dxa"/>
          <w:right w:w="28" w:type="dxa"/>
        </w:tblCellMar>
      </w:tblPr>
      <w:tblGrid>
        <w:gridCol w:w="341"/>
        <w:gridCol w:w="181"/>
        <w:gridCol w:w="9683"/>
      </w:tblGrid>
      <w:tr>
        <w:trPr/>
        <w:tc>
          <w:tcPr>
            <w:tcW w:w="341" w:type="dxa"/>
            <w:tcBorders/>
            <w:vAlign w:val="center"/>
          </w:tcPr>
          <w:p>
            <w:pPr>
              <w:pStyle w:val="TableContents"/>
              <w:bidi w:val="0"/>
              <w:spacing w:before="0" w:after="283"/>
              <w:jc w:val="left"/>
              <w:rPr/>
            </w:pPr>
            <w:r>
              <w:rPr/>
              <w:t> </w:t>
            </w:r>
          </w:p>
        </w:tc>
        <w:tc>
          <w:tcPr>
            <w:tcW w:w="181" w:type="dxa"/>
            <w:tcBorders/>
            <w:vAlign w:val="center"/>
          </w:tcPr>
          <w:p>
            <w:pPr>
              <w:pStyle w:val="TableContents"/>
              <w:bidi w:val="0"/>
              <w:spacing w:before="0" w:after="283"/>
              <w:jc w:val="left"/>
              <w:rPr/>
            </w:pPr>
            <w:r>
              <w:rPr/>
              <w:t> </w:t>
            </w:r>
          </w:p>
        </w:tc>
        <w:tc>
          <w:tcPr>
            <w:tcW w:w="9683" w:type="dxa"/>
            <w:tcBorders/>
            <w:vAlign w:val="center"/>
          </w:tcPr>
          <w:p>
            <w:pPr>
              <w:pStyle w:val="TableContents"/>
              <w:bidi w:val="0"/>
              <w:spacing w:before="0" w:after="283"/>
              <w:jc w:val="left"/>
              <w:rPr/>
            </w:pPr>
            <w:r>
              <w:rPr/>
              <w:t> </w:t>
            </w:r>
          </w:p>
        </w:tc>
      </w:tr>
      <w:tr>
        <w:trPr/>
        <w:tc>
          <w:tcPr>
            <w:tcW w:w="341" w:type="dxa"/>
            <w:tcBorders/>
            <w:vAlign w:val="center"/>
          </w:tcPr>
          <w:p>
            <w:pPr>
              <w:pStyle w:val="TableContents"/>
              <w:bidi w:val="0"/>
              <w:spacing w:before="0" w:after="283"/>
              <w:jc w:val="left"/>
              <w:rPr>
                <w:spacing w:val="0"/>
              </w:rPr>
            </w:pPr>
            <w:r>
              <w:rPr>
                <w:spacing w:val="0"/>
              </w:rPr>
              <w:t>(a)</w:t>
            </w:r>
          </w:p>
        </w:tc>
        <w:tc>
          <w:tcPr>
            <w:tcW w:w="181" w:type="dxa"/>
            <w:tcBorders/>
            <w:vAlign w:val="center"/>
          </w:tcPr>
          <w:p>
            <w:pPr>
              <w:pStyle w:val="TableContents"/>
              <w:bidi w:val="0"/>
              <w:spacing w:before="0" w:after="283"/>
              <w:jc w:val="left"/>
              <w:rPr/>
            </w:pPr>
            <w:r>
              <w:rPr/>
              <w:t>-</w:t>
            </w:r>
          </w:p>
        </w:tc>
        <w:tc>
          <w:tcPr>
            <w:tcW w:w="9683" w:type="dxa"/>
            <w:tcBorders/>
            <w:vAlign w:val="center"/>
          </w:tcPr>
          <w:p>
            <w:pPr>
              <w:pStyle w:val="TableContents"/>
              <w:bidi w:val="0"/>
              <w:spacing w:before="0" w:after="283"/>
              <w:jc w:val="left"/>
              <w:rPr>
                <w:spacing w:val="0"/>
              </w:rPr>
            </w:pPr>
            <w:r>
              <w:rPr>
                <w:spacing w:val="0"/>
              </w:rPr>
              <w:t>Primarily includes compensation expense, including stock-based compensation expense, for certain executive officers and consultants, insurance, legal and investor relations expenses and accounting and tax fees that are not allocated to the Company's operating segments.</w:t>
            </w:r>
          </w:p>
        </w:tc>
      </w:tr>
      <w:tr>
        <w:trPr/>
        <w:tc>
          <w:tcPr>
            <w:tcW w:w="341" w:type="dxa"/>
            <w:tcBorders/>
            <w:vAlign w:val="center"/>
          </w:tcPr>
          <w:p>
            <w:pPr>
              <w:pStyle w:val="TableContents"/>
              <w:bidi w:val="0"/>
              <w:spacing w:before="0" w:after="283"/>
              <w:jc w:val="left"/>
              <w:rPr/>
            </w:pPr>
            <w:r>
              <w:rPr/>
              <w:t> </w:t>
            </w:r>
          </w:p>
        </w:tc>
        <w:tc>
          <w:tcPr>
            <w:tcW w:w="181" w:type="dxa"/>
            <w:tcBorders/>
            <w:vAlign w:val="center"/>
          </w:tcPr>
          <w:p>
            <w:pPr>
              <w:pStyle w:val="TableContents"/>
              <w:bidi w:val="0"/>
              <w:spacing w:before="0" w:after="283"/>
              <w:jc w:val="left"/>
              <w:rPr/>
            </w:pPr>
            <w:r>
              <w:rPr/>
              <w:t> </w:t>
            </w:r>
          </w:p>
        </w:tc>
        <w:tc>
          <w:tcPr>
            <w:tcW w:w="9683" w:type="dxa"/>
            <w:tcBorders/>
            <w:vAlign w:val="center"/>
          </w:tcPr>
          <w:p>
            <w:pPr>
              <w:pStyle w:val="TableContents"/>
              <w:bidi w:val="0"/>
              <w:spacing w:before="0" w:after="283"/>
              <w:jc w:val="left"/>
              <w:rPr/>
            </w:pPr>
            <w:r>
              <w:rPr/>
              <w:t> </w:t>
            </w:r>
          </w:p>
        </w:tc>
      </w:tr>
      <w:tr>
        <w:trPr/>
        <w:tc>
          <w:tcPr>
            <w:tcW w:w="341" w:type="dxa"/>
            <w:tcBorders/>
            <w:vAlign w:val="center"/>
          </w:tcPr>
          <w:p>
            <w:pPr>
              <w:pStyle w:val="TableContents"/>
              <w:bidi w:val="0"/>
              <w:spacing w:before="0" w:after="283"/>
              <w:jc w:val="left"/>
              <w:rPr>
                <w:spacing w:val="0"/>
              </w:rPr>
            </w:pPr>
            <w:r>
              <w:rPr>
                <w:spacing w:val="0"/>
              </w:rPr>
              <w:t>(b)</w:t>
            </w:r>
          </w:p>
        </w:tc>
        <w:tc>
          <w:tcPr>
            <w:tcW w:w="181" w:type="dxa"/>
            <w:tcBorders/>
            <w:vAlign w:val="center"/>
          </w:tcPr>
          <w:p>
            <w:pPr>
              <w:pStyle w:val="TableContents"/>
              <w:bidi w:val="0"/>
              <w:spacing w:before="0" w:after="283"/>
              <w:jc w:val="left"/>
              <w:rPr/>
            </w:pPr>
            <w:r>
              <w:rPr/>
              <w:t>-</w:t>
            </w:r>
          </w:p>
        </w:tc>
        <w:tc>
          <w:tcPr>
            <w:tcW w:w="9683" w:type="dxa"/>
            <w:tcBorders/>
            <w:vAlign w:val="center"/>
          </w:tcPr>
          <w:p>
            <w:pPr>
              <w:pStyle w:val="TableContents"/>
              <w:bidi w:val="0"/>
              <w:spacing w:before="0" w:after="283"/>
              <w:jc w:val="left"/>
              <w:rPr>
                <w:spacing w:val="0"/>
              </w:rPr>
            </w:pPr>
            <w:r>
              <w:rPr>
                <w:spacing w:val="0"/>
              </w:rPr>
              <w:t>Primarily consists of cash and deferred tax assets.</w:t>
            </w:r>
          </w:p>
        </w:tc>
      </w:tr>
    </w:tbl>
    <w:p>
      <w:pPr>
        <w:pStyle w:val="TextBody"/>
        <w:bidi w:val="0"/>
        <w:spacing w:before="0" w:after="0"/>
        <w:ind w:left="0" w:right="0" w:hanging="0"/>
        <w:jc w:val="left"/>
        <w:rPr/>
      </w:pPr>
      <w:r>
        <w:rPr/>
        <w:t> </w:t>
      </w:r>
    </w:p>
    <w:p>
      <w:pPr>
        <w:pStyle w:val="TextBody"/>
        <w:bidi w:val="0"/>
        <w:spacing w:before="0" w:after="0"/>
        <w:jc w:val="left"/>
        <w:rPr/>
      </w:pPr>
      <w:r>
        <w:rPr/>
        <w:t> </w:t>
      </w:r>
    </w:p>
    <w:p>
      <w:pPr>
        <w:pStyle w:val="TextBody"/>
        <w:bidi w:val="0"/>
        <w:spacing w:before="150" w:after="15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t>16</w:t>
      </w:r>
    </w:p>
    <w:p>
      <w:pPr>
        <w:pStyle w:val="HorizontalLine"/>
        <w:bidi w:val="0"/>
        <w:spacing w:before="150" w:after="150"/>
        <w:jc w:val="left"/>
        <w:rPr/>
      </w:pPr>
      <w:r>
        <w:rPr/>
      </w:r>
    </w:p>
    <w:p>
      <w:pPr>
        <w:pStyle w:val="TextBody"/>
        <w:bidi w:val="0"/>
        <w:spacing w:before="150" w:after="150"/>
        <w:jc w:val="left"/>
        <w:rPr/>
      </w:pPr>
      <w:hyperlink w:anchor="index">
        <w:r>
          <w:rPr>
            <w:rStyle w:val="InternetLink"/>
            <w:rFonts w:ascii="TimesNewRoman;Times New Roman;Times;Baskerville;Georgia;serif" w:hAnsi="TimesNewRoman;Times New Roman;Times;Baskerville;Georgia;serif"/>
            <w:b w:val="false"/>
            <w:i/>
            <w:caps w:val="false"/>
            <w:smallCaps w:val="false"/>
            <w:strike w:val="false"/>
            <w:dstrike w:val="false"/>
            <w:sz w:val="16"/>
            <w:u w:val="none"/>
            <w:effect w:val="none"/>
          </w:rPr>
          <w:t>Index</w:t>
        </w:r>
      </w:hyperlink>
    </w:p>
    <w:p>
      <w:pPr>
        <w:pStyle w:val="TextBody"/>
        <w:bidi w:val="0"/>
        <w:spacing w:before="0" w:after="0"/>
        <w:ind w:left="0" w:right="0" w:hanging="0"/>
        <w:jc w:val="center"/>
        <w:rPr>
          <w:rFonts w:ascii="Times New Roman" w:hAnsi="Times New Roman"/>
          <w:b/>
          <w:sz w:val="20"/>
        </w:rPr>
      </w:pPr>
      <w:r>
        <w:rPr>
          <w:rFonts w:ascii="Times New Roman" w:hAnsi="Times New Roman"/>
          <w:b/>
          <w:sz w:val="20"/>
        </w:rPr>
        <w:t>ADMA BIOLOGICS, INC. AND SUBSIDIARIES</w:t>
      </w:r>
    </w:p>
    <w:p>
      <w:pPr>
        <w:pStyle w:val="TextBody"/>
        <w:bidi w:val="0"/>
        <w:spacing w:before="0" w:after="0"/>
        <w:ind w:left="0" w:right="0" w:hanging="0"/>
        <w:jc w:val="center"/>
        <w:rPr>
          <w:rFonts w:ascii="Times New Roman" w:hAnsi="Times New Roman"/>
          <w:b/>
          <w:sz w:val="20"/>
        </w:rPr>
      </w:pPr>
      <w:r>
        <w:rPr>
          <w:rFonts w:ascii="Times New Roman" w:hAnsi="Times New Roman"/>
          <w:b/>
          <w:sz w:val="20"/>
        </w:rPr>
        <w:t>NOTES TO CONDENSED CONSOLIDATED FINANCIAL STATEMENTS (UNAUDITED)</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4113"/>
        <w:gridCol w:w="101"/>
        <w:gridCol w:w="191"/>
        <w:gridCol w:w="2187"/>
        <w:gridCol w:w="208"/>
        <w:gridCol w:w="90"/>
        <w:gridCol w:w="170"/>
        <w:gridCol w:w="1638"/>
        <w:gridCol w:w="185"/>
        <w:gridCol w:w="90"/>
        <w:gridCol w:w="170"/>
        <w:gridCol w:w="830"/>
        <w:gridCol w:w="232"/>
      </w:tblGrid>
      <w:tr>
        <w:trPr/>
        <w:tc>
          <w:tcPr>
            <w:tcW w:w="4113" w:type="dxa"/>
            <w:tcBorders/>
            <w:vAlign w:val="center"/>
          </w:tcPr>
          <w:p>
            <w:pPr>
              <w:pStyle w:val="TableContents"/>
              <w:bidi w:val="0"/>
              <w:spacing w:before="0" w:after="283"/>
              <w:jc w:val="left"/>
              <w:rPr/>
            </w:pPr>
            <w:r>
              <w:rPr/>
              <w:t> </w:t>
            </w:r>
          </w:p>
        </w:tc>
        <w:tc>
          <w:tcPr>
            <w:tcW w:w="101" w:type="dxa"/>
            <w:tcBorders/>
            <w:vAlign w:val="center"/>
          </w:tcPr>
          <w:p>
            <w:pPr>
              <w:pStyle w:val="TableContents"/>
              <w:bidi w:val="0"/>
              <w:spacing w:before="0" w:after="283"/>
              <w:jc w:val="left"/>
              <w:rPr/>
            </w:pPr>
            <w:r>
              <w:rPr/>
              <w:t> </w:t>
            </w:r>
          </w:p>
        </w:tc>
        <w:tc>
          <w:tcPr>
            <w:tcW w:w="191" w:type="dxa"/>
            <w:tcBorders/>
            <w:vAlign w:val="center"/>
          </w:tcPr>
          <w:p>
            <w:pPr>
              <w:pStyle w:val="TableContents"/>
              <w:bidi w:val="0"/>
              <w:spacing w:before="0" w:after="283"/>
              <w:jc w:val="left"/>
              <w:rPr/>
            </w:pPr>
            <w:r>
              <w:rPr/>
              <w:t> </w:t>
            </w:r>
          </w:p>
        </w:tc>
        <w:tc>
          <w:tcPr>
            <w:tcW w:w="2187" w:type="dxa"/>
            <w:tcBorders/>
            <w:vAlign w:val="center"/>
          </w:tcPr>
          <w:p>
            <w:pPr>
              <w:pStyle w:val="TableContents"/>
              <w:bidi w:val="0"/>
              <w:spacing w:before="0" w:after="283"/>
              <w:jc w:val="left"/>
              <w:rPr/>
            </w:pPr>
            <w:r>
              <w:rPr/>
              <w:t> </w:t>
            </w:r>
          </w:p>
        </w:tc>
        <w:tc>
          <w:tcPr>
            <w:tcW w:w="208"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638"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left"/>
              <w:rPr/>
            </w:pPr>
            <w:r>
              <w:rPr/>
              <w:t> </w:t>
            </w:r>
          </w:p>
        </w:tc>
        <w:tc>
          <w:tcPr>
            <w:tcW w:w="232" w:type="dxa"/>
            <w:tcBorders/>
            <w:vAlign w:val="center"/>
          </w:tcPr>
          <w:p>
            <w:pPr>
              <w:pStyle w:val="TableContents"/>
              <w:bidi w:val="0"/>
              <w:spacing w:before="0" w:after="283"/>
              <w:jc w:val="left"/>
              <w:rPr/>
            </w:pPr>
            <w:r>
              <w:rPr/>
              <w:t> </w:t>
            </w:r>
          </w:p>
        </w:tc>
      </w:tr>
      <w:tr>
        <w:trPr/>
        <w:tc>
          <w:tcPr>
            <w:tcW w:w="10205" w:type="dxa"/>
            <w:gridSpan w:val="13"/>
            <w:tcBorders>
              <w:bottom w:val="single" w:sz="12" w:space="0" w:color="000000"/>
            </w:tcBorders>
            <w:tcMar>
              <w:bottom w:w="28" w:type="dxa"/>
            </w:tcMar>
          </w:tcPr>
          <w:p>
            <w:pPr>
              <w:pStyle w:val="TableContents"/>
              <w:bidi w:val="0"/>
              <w:spacing w:before="0" w:after="0"/>
              <w:jc w:val="center"/>
              <w:rPr>
                <w:b/>
              </w:rPr>
            </w:pPr>
            <w:r>
              <w:rPr>
                <w:b/>
              </w:rPr>
              <w:t>Three Months Ended March 31, 2025</w:t>
            </w:r>
          </w:p>
        </w:tc>
      </w:tr>
      <w:tr>
        <w:trPr/>
        <w:tc>
          <w:tcPr>
            <w:tcW w:w="4113" w:type="dxa"/>
            <w:tcBorders/>
          </w:tcPr>
          <w:p>
            <w:pPr>
              <w:pStyle w:val="TableContents"/>
              <w:bidi w:val="0"/>
              <w:spacing w:before="0" w:after="0"/>
              <w:jc w:val="left"/>
              <w:rPr>
                <w:i/>
              </w:rPr>
            </w:pPr>
            <w:r>
              <w:rPr>
                <w:i/>
              </w:rPr>
              <w:t>(in thousands)</w:t>
            </w:r>
          </w:p>
        </w:tc>
        <w:tc>
          <w:tcPr>
            <w:tcW w:w="101" w:type="dxa"/>
            <w:tcBorders/>
          </w:tcPr>
          <w:p>
            <w:pPr>
              <w:pStyle w:val="TableContents"/>
              <w:bidi w:val="0"/>
              <w:spacing w:before="0" w:after="283"/>
              <w:jc w:val="left"/>
              <w:rPr/>
            </w:pPr>
            <w:r>
              <w:rPr/>
              <w:t> </w:t>
            </w:r>
          </w:p>
        </w:tc>
        <w:tc>
          <w:tcPr>
            <w:tcW w:w="191" w:type="dxa"/>
            <w:tcBorders>
              <w:bottom w:val="single" w:sz="12" w:space="0" w:color="000000"/>
            </w:tcBorders>
            <w:tcMar>
              <w:bottom w:w="28" w:type="dxa"/>
            </w:tcMar>
          </w:tcPr>
          <w:p>
            <w:pPr>
              <w:pStyle w:val="TableContents"/>
              <w:bidi w:val="0"/>
              <w:spacing w:before="0" w:after="283"/>
              <w:jc w:val="center"/>
              <w:rPr/>
            </w:pPr>
            <w:r>
              <w:rPr/>
              <w:t> </w:t>
            </w:r>
          </w:p>
        </w:tc>
        <w:tc>
          <w:tcPr>
            <w:tcW w:w="2187" w:type="dxa"/>
            <w:tcBorders>
              <w:bottom w:val="single" w:sz="12" w:space="0" w:color="000000"/>
            </w:tcBorders>
            <w:tcMar>
              <w:bottom w:w="28" w:type="dxa"/>
            </w:tcMar>
          </w:tcPr>
          <w:p>
            <w:pPr>
              <w:pStyle w:val="TableContents"/>
              <w:bidi w:val="0"/>
              <w:spacing w:before="0" w:after="0"/>
              <w:jc w:val="center"/>
              <w:rPr>
                <w:b/>
              </w:rPr>
            </w:pPr>
            <w:r>
              <w:rPr>
                <w:b/>
              </w:rPr>
              <w:t>ADMA</w:t>
              <w:br/>
              <w:t>BioManufacturing</w:t>
            </w:r>
          </w:p>
        </w:tc>
        <w:tc>
          <w:tcPr>
            <w:tcW w:w="208" w:type="dxa"/>
            <w:tcBorders>
              <w:bottom w:val="single" w:sz="12" w:space="0" w:color="000000"/>
            </w:tcBorders>
            <w:tcMar>
              <w:bottom w:w="28" w:type="dxa"/>
            </w:tcMar>
          </w:tcPr>
          <w:p>
            <w:pPr>
              <w:pStyle w:val="TableContents"/>
              <w:bidi w:val="0"/>
              <w:spacing w:before="0" w:after="283"/>
              <w:jc w:val="center"/>
              <w:rPr/>
            </w:pPr>
            <w:r>
              <w:rPr/>
              <w:t> </w:t>
            </w:r>
          </w:p>
        </w:tc>
        <w:tc>
          <w:tcPr>
            <w:tcW w:w="90" w:type="dxa"/>
            <w:tcBorders/>
          </w:tcPr>
          <w:p>
            <w:pPr>
              <w:pStyle w:val="TableContents"/>
              <w:bidi w:val="0"/>
              <w:spacing w:before="0" w:after="283"/>
              <w:jc w:val="left"/>
              <w:rPr/>
            </w:pPr>
            <w:r>
              <w:rPr/>
              <w:t> </w:t>
            </w:r>
          </w:p>
        </w:tc>
        <w:tc>
          <w:tcPr>
            <w:tcW w:w="170" w:type="dxa"/>
            <w:tcBorders>
              <w:bottom w:val="single" w:sz="12" w:space="0" w:color="000000"/>
            </w:tcBorders>
            <w:tcMar>
              <w:bottom w:w="28" w:type="dxa"/>
            </w:tcMar>
          </w:tcPr>
          <w:p>
            <w:pPr>
              <w:pStyle w:val="TableContents"/>
              <w:bidi w:val="0"/>
              <w:spacing w:before="0" w:after="283"/>
              <w:jc w:val="center"/>
              <w:rPr/>
            </w:pPr>
            <w:r>
              <w:rPr/>
              <w:t> </w:t>
            </w:r>
          </w:p>
        </w:tc>
        <w:tc>
          <w:tcPr>
            <w:tcW w:w="1638" w:type="dxa"/>
            <w:tcBorders>
              <w:bottom w:val="single" w:sz="12" w:space="0" w:color="000000"/>
            </w:tcBorders>
            <w:tcMar>
              <w:bottom w:w="28" w:type="dxa"/>
            </w:tcMar>
          </w:tcPr>
          <w:p>
            <w:pPr>
              <w:pStyle w:val="TableContents"/>
              <w:bidi w:val="0"/>
              <w:spacing w:before="0" w:after="0"/>
              <w:jc w:val="center"/>
              <w:rPr>
                <w:b/>
              </w:rPr>
            </w:pPr>
            <w:r>
              <w:rPr>
                <w:b/>
              </w:rPr>
              <w:t>Plasma Collection</w:t>
              <w:br/>
              <w:t>Centers</w:t>
            </w:r>
          </w:p>
        </w:tc>
        <w:tc>
          <w:tcPr>
            <w:tcW w:w="185" w:type="dxa"/>
            <w:tcBorders>
              <w:bottom w:val="single" w:sz="12" w:space="0" w:color="000000"/>
            </w:tcBorders>
            <w:tcMar>
              <w:bottom w:w="28" w:type="dxa"/>
            </w:tcMar>
          </w:tcPr>
          <w:p>
            <w:pPr>
              <w:pStyle w:val="TableContents"/>
              <w:bidi w:val="0"/>
              <w:spacing w:before="0" w:after="283"/>
              <w:jc w:val="center"/>
              <w:rPr/>
            </w:pPr>
            <w:r>
              <w:rPr/>
              <w:t> </w:t>
            </w:r>
          </w:p>
        </w:tc>
        <w:tc>
          <w:tcPr>
            <w:tcW w:w="90" w:type="dxa"/>
            <w:tcBorders/>
          </w:tcPr>
          <w:p>
            <w:pPr>
              <w:pStyle w:val="TableContents"/>
              <w:bidi w:val="0"/>
              <w:spacing w:before="0" w:after="283"/>
              <w:jc w:val="left"/>
              <w:rPr/>
            </w:pPr>
            <w:r>
              <w:rPr/>
              <w:t> </w:t>
            </w:r>
          </w:p>
        </w:tc>
        <w:tc>
          <w:tcPr>
            <w:tcW w:w="170" w:type="dxa"/>
            <w:tcBorders>
              <w:bottom w:val="single" w:sz="12" w:space="0" w:color="000000"/>
            </w:tcBorders>
            <w:tcMar>
              <w:bottom w:w="28" w:type="dxa"/>
            </w:tcMar>
          </w:tcPr>
          <w:p>
            <w:pPr>
              <w:pStyle w:val="TableContents"/>
              <w:bidi w:val="0"/>
              <w:spacing w:before="0" w:after="283"/>
              <w:jc w:val="center"/>
              <w:rPr/>
            </w:pPr>
            <w:r>
              <w:rPr/>
              <w:t> </w:t>
            </w:r>
          </w:p>
        </w:tc>
        <w:tc>
          <w:tcPr>
            <w:tcW w:w="830" w:type="dxa"/>
            <w:tcBorders>
              <w:bottom w:val="single" w:sz="12" w:space="0" w:color="000000"/>
            </w:tcBorders>
            <w:tcMar>
              <w:bottom w:w="28" w:type="dxa"/>
            </w:tcMar>
          </w:tcPr>
          <w:p>
            <w:pPr>
              <w:pStyle w:val="TableContents"/>
              <w:bidi w:val="0"/>
              <w:spacing w:before="0" w:after="0"/>
              <w:jc w:val="center"/>
              <w:rPr>
                <w:b/>
              </w:rPr>
            </w:pPr>
            <w:r>
              <w:rPr>
                <w:b/>
              </w:rPr>
              <w:t>Total</w:t>
            </w:r>
          </w:p>
        </w:tc>
        <w:tc>
          <w:tcPr>
            <w:tcW w:w="232" w:type="dxa"/>
            <w:tcBorders>
              <w:bottom w:val="single" w:sz="12" w:space="0" w:color="000000"/>
            </w:tcBorders>
            <w:tcMar>
              <w:bottom w:w="28" w:type="dxa"/>
            </w:tcMar>
          </w:tcPr>
          <w:p>
            <w:pPr>
              <w:pStyle w:val="TableContents"/>
              <w:bidi w:val="0"/>
              <w:spacing w:before="0" w:after="283"/>
              <w:jc w:val="center"/>
              <w:rPr/>
            </w:pPr>
            <w:r>
              <w:rPr/>
              <w:t> </w:t>
            </w:r>
          </w:p>
        </w:tc>
      </w:tr>
      <w:tr>
        <w:trPr/>
        <w:tc>
          <w:tcPr>
            <w:tcW w:w="4113" w:type="dxa"/>
            <w:tcBorders/>
            <w:shd w:fill="CCEEFF" w:val="clear"/>
          </w:tcPr>
          <w:p>
            <w:pPr>
              <w:pStyle w:val="TableContents"/>
              <w:bidi w:val="0"/>
              <w:spacing w:before="0" w:after="0"/>
              <w:jc w:val="left"/>
              <w:rPr/>
            </w:pPr>
            <w:r>
              <w:rPr/>
              <w:t>Revenues</w:t>
            </w:r>
          </w:p>
        </w:tc>
        <w:tc>
          <w:tcPr>
            <w:tcW w:w="101" w:type="dxa"/>
            <w:tcBorders/>
            <w:shd w:fill="CCEEFF" w:val="clear"/>
          </w:tcPr>
          <w:p>
            <w:pPr>
              <w:pStyle w:val="TableContents"/>
              <w:bidi w:val="0"/>
              <w:spacing w:before="0" w:after="283"/>
              <w:jc w:val="left"/>
              <w:rPr/>
            </w:pPr>
            <w:r>
              <w:rPr/>
              <w:t> </w:t>
            </w:r>
          </w:p>
        </w:tc>
        <w:tc>
          <w:tcPr>
            <w:tcW w:w="191" w:type="dxa"/>
            <w:tcBorders/>
            <w:shd w:fill="CCEEFF" w:val="clear"/>
          </w:tcPr>
          <w:p>
            <w:pPr>
              <w:pStyle w:val="TableContents"/>
              <w:bidi w:val="0"/>
              <w:spacing w:before="0" w:after="283"/>
              <w:jc w:val="left"/>
              <w:rPr/>
            </w:pPr>
            <w:r>
              <w:rPr/>
              <w:t>$</w:t>
            </w:r>
          </w:p>
        </w:tc>
        <w:tc>
          <w:tcPr>
            <w:tcW w:w="2187" w:type="dxa"/>
            <w:tcBorders/>
            <w:shd w:fill="CCEEFF" w:val="clear"/>
          </w:tcPr>
          <w:p>
            <w:pPr>
              <w:pStyle w:val="TableContents"/>
              <w:bidi w:val="0"/>
              <w:spacing w:before="0" w:after="283"/>
              <w:jc w:val="right"/>
              <w:rPr/>
            </w:pPr>
            <w:r>
              <w:rPr/>
              <w:t>113,716</w:t>
            </w:r>
          </w:p>
        </w:tc>
        <w:tc>
          <w:tcPr>
            <w:tcW w:w="208" w:type="dxa"/>
            <w:tcBorders/>
            <w:shd w:fill="CCEEFF" w:val="clear"/>
          </w:tcPr>
          <w:p>
            <w:pPr>
              <w:pStyle w:val="TableContents"/>
              <w:bidi w:val="0"/>
              <w:spacing w:before="0" w:after="283"/>
              <w:jc w:val="left"/>
              <w:rPr/>
            </w:pPr>
            <w:r>
              <w:rPr/>
              <w:t> </w:t>
            </w:r>
          </w:p>
        </w:tc>
        <w:tc>
          <w:tcPr>
            <w:tcW w:w="90" w:type="dxa"/>
            <w:tcBorders/>
            <w:shd w:fill="CCEEFF" w:val="clear"/>
          </w:tcPr>
          <w:p>
            <w:pPr>
              <w:pStyle w:val="TableContents"/>
              <w:bidi w:val="0"/>
              <w:spacing w:before="0" w:after="283"/>
              <w:jc w:val="left"/>
              <w:rPr/>
            </w:pPr>
            <w:r>
              <w:rPr/>
              <w:t> </w:t>
            </w:r>
          </w:p>
        </w:tc>
        <w:tc>
          <w:tcPr>
            <w:tcW w:w="170" w:type="dxa"/>
            <w:tcBorders/>
            <w:shd w:fill="CCEEFF" w:val="clear"/>
          </w:tcPr>
          <w:p>
            <w:pPr>
              <w:pStyle w:val="TableContents"/>
              <w:bidi w:val="0"/>
              <w:spacing w:before="0" w:after="283"/>
              <w:jc w:val="left"/>
              <w:rPr/>
            </w:pPr>
            <w:r>
              <w:rPr/>
              <w:t>$</w:t>
            </w:r>
          </w:p>
        </w:tc>
        <w:tc>
          <w:tcPr>
            <w:tcW w:w="1638" w:type="dxa"/>
            <w:tcBorders/>
            <w:shd w:fill="CCEEFF" w:val="clear"/>
          </w:tcPr>
          <w:p>
            <w:pPr>
              <w:pStyle w:val="TableContents"/>
              <w:bidi w:val="0"/>
              <w:spacing w:before="0" w:after="283"/>
              <w:jc w:val="right"/>
              <w:rPr/>
            </w:pPr>
            <w:r>
              <w:rPr/>
              <w:t>1,050</w:t>
            </w:r>
          </w:p>
        </w:tc>
        <w:tc>
          <w:tcPr>
            <w:tcW w:w="185" w:type="dxa"/>
            <w:tcBorders/>
            <w:shd w:fill="CCEEFF" w:val="clear"/>
          </w:tcPr>
          <w:p>
            <w:pPr>
              <w:pStyle w:val="TableContents"/>
              <w:bidi w:val="0"/>
              <w:spacing w:before="0" w:after="283"/>
              <w:jc w:val="left"/>
              <w:rPr/>
            </w:pPr>
            <w:r>
              <w:rPr/>
              <w:t> </w:t>
            </w:r>
          </w:p>
        </w:tc>
        <w:tc>
          <w:tcPr>
            <w:tcW w:w="90" w:type="dxa"/>
            <w:tcBorders/>
            <w:shd w:fill="CCEEFF" w:val="clear"/>
          </w:tcPr>
          <w:p>
            <w:pPr>
              <w:pStyle w:val="TableContents"/>
              <w:bidi w:val="0"/>
              <w:spacing w:before="0" w:after="283"/>
              <w:jc w:val="left"/>
              <w:rPr/>
            </w:pPr>
            <w:r>
              <w:rPr/>
              <w:t> </w:t>
            </w:r>
          </w:p>
        </w:tc>
        <w:tc>
          <w:tcPr>
            <w:tcW w:w="170" w:type="dxa"/>
            <w:tcBorders/>
            <w:shd w:fill="CCEEFF" w:val="clear"/>
          </w:tcPr>
          <w:p>
            <w:pPr>
              <w:pStyle w:val="TableContents"/>
              <w:bidi w:val="0"/>
              <w:spacing w:before="0" w:after="283"/>
              <w:jc w:val="left"/>
              <w:rPr/>
            </w:pPr>
            <w:r>
              <w:rPr/>
              <w:t>$</w:t>
            </w:r>
          </w:p>
        </w:tc>
        <w:tc>
          <w:tcPr>
            <w:tcW w:w="830" w:type="dxa"/>
            <w:tcBorders/>
            <w:shd w:fill="CCEEFF" w:val="clear"/>
          </w:tcPr>
          <w:p>
            <w:pPr>
              <w:pStyle w:val="TableContents"/>
              <w:bidi w:val="0"/>
              <w:spacing w:before="0" w:after="283"/>
              <w:jc w:val="right"/>
              <w:rPr/>
            </w:pPr>
            <w:r>
              <w:rPr/>
              <w:t>114,766</w:t>
            </w:r>
          </w:p>
        </w:tc>
        <w:tc>
          <w:tcPr>
            <w:tcW w:w="232" w:type="dxa"/>
            <w:tcBorders/>
            <w:shd w:fill="CCEEFF" w:val="clear"/>
          </w:tcPr>
          <w:p>
            <w:pPr>
              <w:pStyle w:val="TableContents"/>
              <w:bidi w:val="0"/>
              <w:spacing w:before="0" w:after="283"/>
              <w:jc w:val="left"/>
              <w:rPr/>
            </w:pPr>
            <w:r>
              <w:rPr/>
              <w:t> </w:t>
            </w:r>
          </w:p>
        </w:tc>
      </w:tr>
      <w:tr>
        <w:trPr/>
        <w:tc>
          <w:tcPr>
            <w:tcW w:w="4113" w:type="dxa"/>
            <w:tcBorders/>
          </w:tcPr>
          <w:p>
            <w:pPr>
              <w:pStyle w:val="TableContents"/>
              <w:bidi w:val="0"/>
              <w:spacing w:before="0" w:after="283"/>
              <w:jc w:val="left"/>
              <w:rPr/>
            </w:pPr>
            <w:r>
              <w:rPr/>
              <w:t> </w:t>
            </w:r>
          </w:p>
        </w:tc>
        <w:tc>
          <w:tcPr>
            <w:tcW w:w="101" w:type="dxa"/>
            <w:tcBorders/>
          </w:tcPr>
          <w:p>
            <w:pPr>
              <w:pStyle w:val="TableContents"/>
              <w:bidi w:val="0"/>
              <w:spacing w:before="0" w:after="283"/>
              <w:jc w:val="left"/>
              <w:rPr/>
            </w:pPr>
            <w:r>
              <w:rPr/>
              <w:t> </w:t>
            </w:r>
          </w:p>
        </w:tc>
        <w:tc>
          <w:tcPr>
            <w:tcW w:w="191" w:type="dxa"/>
            <w:tcBorders/>
          </w:tcPr>
          <w:p>
            <w:pPr>
              <w:pStyle w:val="TableContents"/>
              <w:bidi w:val="0"/>
              <w:spacing w:before="0" w:after="283"/>
              <w:jc w:val="left"/>
              <w:rPr/>
            </w:pPr>
            <w:r>
              <w:rPr/>
              <w:t> </w:t>
            </w:r>
          </w:p>
        </w:tc>
        <w:tc>
          <w:tcPr>
            <w:tcW w:w="2187" w:type="dxa"/>
            <w:tcBorders/>
          </w:tcPr>
          <w:p>
            <w:pPr>
              <w:pStyle w:val="TableContents"/>
              <w:bidi w:val="0"/>
              <w:spacing w:before="0" w:after="283"/>
              <w:jc w:val="left"/>
              <w:rPr/>
            </w:pPr>
            <w:r>
              <w:rPr/>
              <w:t> </w:t>
            </w:r>
          </w:p>
        </w:tc>
        <w:tc>
          <w:tcPr>
            <w:tcW w:w="208" w:type="dxa"/>
            <w:tcBorders/>
          </w:tcPr>
          <w:p>
            <w:pPr>
              <w:pStyle w:val="TableContents"/>
              <w:bidi w:val="0"/>
              <w:spacing w:before="0" w:after="283"/>
              <w:jc w:val="left"/>
              <w:rPr/>
            </w:pPr>
            <w:r>
              <w:rPr/>
              <w:t> </w:t>
            </w:r>
          </w:p>
        </w:tc>
        <w:tc>
          <w:tcPr>
            <w:tcW w:w="90" w:type="dxa"/>
            <w:tcBorders/>
          </w:tcPr>
          <w:p>
            <w:pPr>
              <w:pStyle w:val="TableContents"/>
              <w:bidi w:val="0"/>
              <w:spacing w:before="0" w:after="283"/>
              <w:jc w:val="left"/>
              <w:rPr/>
            </w:pPr>
            <w:r>
              <w:rPr/>
              <w:t> </w:t>
            </w:r>
          </w:p>
        </w:tc>
        <w:tc>
          <w:tcPr>
            <w:tcW w:w="170" w:type="dxa"/>
            <w:tcBorders/>
          </w:tcPr>
          <w:p>
            <w:pPr>
              <w:pStyle w:val="TableContents"/>
              <w:bidi w:val="0"/>
              <w:spacing w:before="0" w:after="283"/>
              <w:jc w:val="left"/>
              <w:rPr/>
            </w:pPr>
            <w:r>
              <w:rPr/>
              <w:t> </w:t>
            </w:r>
          </w:p>
        </w:tc>
        <w:tc>
          <w:tcPr>
            <w:tcW w:w="1638" w:type="dxa"/>
            <w:tcBorders/>
          </w:tcPr>
          <w:p>
            <w:pPr>
              <w:pStyle w:val="TableContents"/>
              <w:bidi w:val="0"/>
              <w:spacing w:before="0" w:after="283"/>
              <w:jc w:val="left"/>
              <w:rPr/>
            </w:pPr>
            <w:r>
              <w:rPr/>
              <w:t> </w:t>
            </w:r>
          </w:p>
        </w:tc>
        <w:tc>
          <w:tcPr>
            <w:tcW w:w="185" w:type="dxa"/>
            <w:tcBorders/>
          </w:tcPr>
          <w:p>
            <w:pPr>
              <w:pStyle w:val="TableContents"/>
              <w:bidi w:val="0"/>
              <w:spacing w:before="0" w:after="283"/>
              <w:jc w:val="left"/>
              <w:rPr/>
            </w:pPr>
            <w:r>
              <w:rPr/>
              <w:t> </w:t>
            </w:r>
          </w:p>
        </w:tc>
        <w:tc>
          <w:tcPr>
            <w:tcW w:w="90" w:type="dxa"/>
            <w:tcBorders/>
          </w:tcPr>
          <w:p>
            <w:pPr>
              <w:pStyle w:val="TableContents"/>
              <w:bidi w:val="0"/>
              <w:spacing w:before="0" w:after="283"/>
              <w:jc w:val="left"/>
              <w:rPr/>
            </w:pPr>
            <w:r>
              <w:rPr/>
              <w:t> </w:t>
            </w:r>
          </w:p>
        </w:tc>
        <w:tc>
          <w:tcPr>
            <w:tcW w:w="170" w:type="dxa"/>
            <w:tcBorders/>
          </w:tcPr>
          <w:p>
            <w:pPr>
              <w:pStyle w:val="TableContents"/>
              <w:bidi w:val="0"/>
              <w:spacing w:before="0" w:after="283"/>
              <w:jc w:val="left"/>
              <w:rPr/>
            </w:pPr>
            <w:r>
              <w:rPr/>
              <w:t> </w:t>
            </w:r>
          </w:p>
        </w:tc>
        <w:tc>
          <w:tcPr>
            <w:tcW w:w="830" w:type="dxa"/>
            <w:tcBorders/>
          </w:tcPr>
          <w:p>
            <w:pPr>
              <w:pStyle w:val="TableContents"/>
              <w:bidi w:val="0"/>
              <w:spacing w:before="0" w:after="283"/>
              <w:jc w:val="left"/>
              <w:rPr/>
            </w:pPr>
            <w:r>
              <w:rPr/>
              <w:t> </w:t>
            </w:r>
          </w:p>
        </w:tc>
        <w:tc>
          <w:tcPr>
            <w:tcW w:w="232" w:type="dxa"/>
            <w:tcBorders/>
          </w:tcPr>
          <w:p>
            <w:pPr>
              <w:pStyle w:val="TableContents"/>
              <w:bidi w:val="0"/>
              <w:spacing w:before="0" w:after="283"/>
              <w:jc w:val="left"/>
              <w:rPr/>
            </w:pPr>
            <w:r>
              <w:rPr/>
              <w:t> </w:t>
            </w:r>
          </w:p>
        </w:tc>
      </w:tr>
      <w:tr>
        <w:trPr/>
        <w:tc>
          <w:tcPr>
            <w:tcW w:w="4113" w:type="dxa"/>
            <w:tcBorders/>
            <w:shd w:fill="CCEEFF" w:val="clear"/>
          </w:tcPr>
          <w:p>
            <w:pPr>
              <w:pStyle w:val="TableContents"/>
              <w:bidi w:val="0"/>
              <w:spacing w:before="0" w:after="0"/>
              <w:jc w:val="left"/>
              <w:rPr/>
            </w:pPr>
            <w:r>
              <w:rPr/>
              <w:t>Cost of product revenue</w:t>
            </w:r>
          </w:p>
        </w:tc>
        <w:tc>
          <w:tcPr>
            <w:tcW w:w="101" w:type="dxa"/>
            <w:tcBorders/>
            <w:shd w:fill="CCEEFF" w:val="clear"/>
          </w:tcPr>
          <w:p>
            <w:pPr>
              <w:pStyle w:val="TableContents"/>
              <w:bidi w:val="0"/>
              <w:spacing w:before="0" w:after="283"/>
              <w:jc w:val="left"/>
              <w:rPr/>
            </w:pPr>
            <w:r>
              <w:rPr/>
              <w:t> </w:t>
            </w:r>
          </w:p>
        </w:tc>
        <w:tc>
          <w:tcPr>
            <w:tcW w:w="191" w:type="dxa"/>
            <w:tcBorders/>
            <w:shd w:fill="CCEEFF" w:val="clear"/>
          </w:tcPr>
          <w:p>
            <w:pPr>
              <w:pStyle w:val="TableContents"/>
              <w:bidi w:val="0"/>
              <w:spacing w:before="0" w:after="283"/>
              <w:jc w:val="left"/>
              <w:rPr/>
            </w:pPr>
            <w:r>
              <w:rPr/>
              <w:t> </w:t>
            </w:r>
          </w:p>
        </w:tc>
        <w:tc>
          <w:tcPr>
            <w:tcW w:w="2187" w:type="dxa"/>
            <w:tcBorders/>
            <w:shd w:fill="CCEEFF" w:val="clear"/>
          </w:tcPr>
          <w:p>
            <w:pPr>
              <w:pStyle w:val="TableContents"/>
              <w:bidi w:val="0"/>
              <w:spacing w:before="0" w:after="283"/>
              <w:jc w:val="right"/>
              <w:rPr/>
            </w:pPr>
            <w:r>
              <w:rPr/>
              <w:t>53,057</w:t>
            </w:r>
          </w:p>
        </w:tc>
        <w:tc>
          <w:tcPr>
            <w:tcW w:w="208" w:type="dxa"/>
            <w:tcBorders/>
            <w:shd w:fill="CCEEFF" w:val="clear"/>
          </w:tcPr>
          <w:p>
            <w:pPr>
              <w:pStyle w:val="TableContents"/>
              <w:bidi w:val="0"/>
              <w:spacing w:before="0" w:after="283"/>
              <w:jc w:val="left"/>
              <w:rPr/>
            </w:pPr>
            <w:r>
              <w:rPr/>
              <w:t> </w:t>
            </w:r>
          </w:p>
        </w:tc>
        <w:tc>
          <w:tcPr>
            <w:tcW w:w="90" w:type="dxa"/>
            <w:tcBorders/>
            <w:shd w:fill="CCEEFF" w:val="clear"/>
          </w:tcPr>
          <w:p>
            <w:pPr>
              <w:pStyle w:val="TableContents"/>
              <w:bidi w:val="0"/>
              <w:spacing w:before="0" w:after="283"/>
              <w:jc w:val="left"/>
              <w:rPr/>
            </w:pPr>
            <w:r>
              <w:rPr/>
              <w:t> </w:t>
            </w:r>
          </w:p>
        </w:tc>
        <w:tc>
          <w:tcPr>
            <w:tcW w:w="170" w:type="dxa"/>
            <w:tcBorders/>
            <w:shd w:fill="CCEEFF" w:val="clear"/>
          </w:tcPr>
          <w:p>
            <w:pPr>
              <w:pStyle w:val="TableContents"/>
              <w:bidi w:val="0"/>
              <w:spacing w:before="0" w:after="283"/>
              <w:jc w:val="left"/>
              <w:rPr/>
            </w:pPr>
            <w:r>
              <w:rPr/>
              <w:t> </w:t>
            </w:r>
          </w:p>
        </w:tc>
        <w:tc>
          <w:tcPr>
            <w:tcW w:w="1638" w:type="dxa"/>
            <w:tcBorders/>
            <w:shd w:fill="CCEEFF" w:val="clear"/>
          </w:tcPr>
          <w:p>
            <w:pPr>
              <w:pStyle w:val="TableContents"/>
              <w:bidi w:val="0"/>
              <w:spacing w:before="0" w:after="283"/>
              <w:jc w:val="right"/>
              <w:rPr/>
            </w:pPr>
            <w:r>
              <w:rPr/>
              <w:t>648</w:t>
            </w:r>
          </w:p>
        </w:tc>
        <w:tc>
          <w:tcPr>
            <w:tcW w:w="185" w:type="dxa"/>
            <w:tcBorders/>
            <w:shd w:fill="CCEEFF" w:val="clear"/>
          </w:tcPr>
          <w:p>
            <w:pPr>
              <w:pStyle w:val="TableContents"/>
              <w:bidi w:val="0"/>
              <w:spacing w:before="0" w:after="283"/>
              <w:jc w:val="left"/>
              <w:rPr/>
            </w:pPr>
            <w:r>
              <w:rPr/>
              <w:t> </w:t>
            </w:r>
          </w:p>
        </w:tc>
        <w:tc>
          <w:tcPr>
            <w:tcW w:w="90" w:type="dxa"/>
            <w:tcBorders/>
            <w:shd w:fill="CCEEFF" w:val="clear"/>
          </w:tcPr>
          <w:p>
            <w:pPr>
              <w:pStyle w:val="TableContents"/>
              <w:bidi w:val="0"/>
              <w:spacing w:before="0" w:after="283"/>
              <w:jc w:val="left"/>
              <w:rPr/>
            </w:pPr>
            <w:r>
              <w:rPr/>
              <w:t> </w:t>
            </w:r>
          </w:p>
        </w:tc>
        <w:tc>
          <w:tcPr>
            <w:tcW w:w="170" w:type="dxa"/>
            <w:tcBorders/>
            <w:shd w:fill="CCEEFF" w:val="clear"/>
          </w:tcPr>
          <w:p>
            <w:pPr>
              <w:pStyle w:val="TableContents"/>
              <w:bidi w:val="0"/>
              <w:spacing w:before="0" w:after="283"/>
              <w:jc w:val="left"/>
              <w:rPr/>
            </w:pPr>
            <w:r>
              <w:rPr/>
              <w:t> </w:t>
            </w:r>
          </w:p>
        </w:tc>
        <w:tc>
          <w:tcPr>
            <w:tcW w:w="830" w:type="dxa"/>
            <w:tcBorders/>
            <w:shd w:fill="CCEEFF" w:val="clear"/>
          </w:tcPr>
          <w:p>
            <w:pPr>
              <w:pStyle w:val="TableContents"/>
              <w:bidi w:val="0"/>
              <w:spacing w:before="0" w:after="283"/>
              <w:jc w:val="right"/>
              <w:rPr/>
            </w:pPr>
            <w:r>
              <w:rPr/>
              <w:t>53,705</w:t>
            </w:r>
          </w:p>
        </w:tc>
        <w:tc>
          <w:tcPr>
            <w:tcW w:w="232" w:type="dxa"/>
            <w:tcBorders/>
            <w:shd w:fill="CCEEFF" w:val="clear"/>
          </w:tcPr>
          <w:p>
            <w:pPr>
              <w:pStyle w:val="TableContents"/>
              <w:bidi w:val="0"/>
              <w:spacing w:before="0" w:after="283"/>
              <w:jc w:val="left"/>
              <w:rPr/>
            </w:pPr>
            <w:r>
              <w:rPr/>
              <w:t> </w:t>
            </w:r>
          </w:p>
        </w:tc>
      </w:tr>
      <w:tr>
        <w:trPr/>
        <w:tc>
          <w:tcPr>
            <w:tcW w:w="4113" w:type="dxa"/>
            <w:tcBorders/>
          </w:tcPr>
          <w:p>
            <w:pPr>
              <w:pStyle w:val="TableContents"/>
              <w:bidi w:val="0"/>
              <w:spacing w:before="0" w:after="283"/>
              <w:jc w:val="left"/>
              <w:rPr/>
            </w:pPr>
            <w:r>
              <w:rPr/>
              <w:t> </w:t>
            </w:r>
          </w:p>
        </w:tc>
        <w:tc>
          <w:tcPr>
            <w:tcW w:w="101" w:type="dxa"/>
            <w:tcBorders/>
          </w:tcPr>
          <w:p>
            <w:pPr>
              <w:pStyle w:val="TableContents"/>
              <w:bidi w:val="0"/>
              <w:spacing w:before="0" w:after="283"/>
              <w:jc w:val="left"/>
              <w:rPr/>
            </w:pPr>
            <w:r>
              <w:rPr/>
              <w:t> </w:t>
            </w:r>
          </w:p>
        </w:tc>
        <w:tc>
          <w:tcPr>
            <w:tcW w:w="191" w:type="dxa"/>
            <w:tcBorders/>
          </w:tcPr>
          <w:p>
            <w:pPr>
              <w:pStyle w:val="TableContents"/>
              <w:bidi w:val="0"/>
              <w:spacing w:before="0" w:after="283"/>
              <w:jc w:val="left"/>
              <w:rPr/>
            </w:pPr>
            <w:r>
              <w:rPr/>
              <w:t> </w:t>
            </w:r>
          </w:p>
        </w:tc>
        <w:tc>
          <w:tcPr>
            <w:tcW w:w="2187" w:type="dxa"/>
            <w:tcBorders/>
          </w:tcPr>
          <w:p>
            <w:pPr>
              <w:pStyle w:val="TableContents"/>
              <w:bidi w:val="0"/>
              <w:spacing w:before="0" w:after="283"/>
              <w:jc w:val="left"/>
              <w:rPr/>
            </w:pPr>
            <w:r>
              <w:rPr/>
              <w:t> </w:t>
            </w:r>
          </w:p>
        </w:tc>
        <w:tc>
          <w:tcPr>
            <w:tcW w:w="208" w:type="dxa"/>
            <w:tcBorders/>
          </w:tcPr>
          <w:p>
            <w:pPr>
              <w:pStyle w:val="TableContents"/>
              <w:bidi w:val="0"/>
              <w:spacing w:before="0" w:after="283"/>
              <w:jc w:val="left"/>
              <w:rPr/>
            </w:pPr>
            <w:r>
              <w:rPr/>
              <w:t> </w:t>
            </w:r>
          </w:p>
        </w:tc>
        <w:tc>
          <w:tcPr>
            <w:tcW w:w="90" w:type="dxa"/>
            <w:tcBorders/>
          </w:tcPr>
          <w:p>
            <w:pPr>
              <w:pStyle w:val="TableContents"/>
              <w:bidi w:val="0"/>
              <w:spacing w:before="0" w:after="283"/>
              <w:jc w:val="left"/>
              <w:rPr/>
            </w:pPr>
            <w:r>
              <w:rPr/>
              <w:t> </w:t>
            </w:r>
          </w:p>
        </w:tc>
        <w:tc>
          <w:tcPr>
            <w:tcW w:w="170" w:type="dxa"/>
            <w:tcBorders/>
          </w:tcPr>
          <w:p>
            <w:pPr>
              <w:pStyle w:val="TableContents"/>
              <w:bidi w:val="0"/>
              <w:spacing w:before="0" w:after="283"/>
              <w:jc w:val="left"/>
              <w:rPr/>
            </w:pPr>
            <w:r>
              <w:rPr/>
              <w:t> </w:t>
            </w:r>
          </w:p>
        </w:tc>
        <w:tc>
          <w:tcPr>
            <w:tcW w:w="1638" w:type="dxa"/>
            <w:tcBorders/>
          </w:tcPr>
          <w:p>
            <w:pPr>
              <w:pStyle w:val="TableContents"/>
              <w:bidi w:val="0"/>
              <w:spacing w:before="0" w:after="283"/>
              <w:jc w:val="left"/>
              <w:rPr/>
            </w:pPr>
            <w:r>
              <w:rPr/>
              <w:t> </w:t>
            </w:r>
          </w:p>
        </w:tc>
        <w:tc>
          <w:tcPr>
            <w:tcW w:w="185" w:type="dxa"/>
            <w:tcBorders/>
          </w:tcPr>
          <w:p>
            <w:pPr>
              <w:pStyle w:val="TableContents"/>
              <w:bidi w:val="0"/>
              <w:spacing w:before="0" w:after="283"/>
              <w:jc w:val="left"/>
              <w:rPr/>
            </w:pPr>
            <w:r>
              <w:rPr/>
              <w:t> </w:t>
            </w:r>
          </w:p>
        </w:tc>
        <w:tc>
          <w:tcPr>
            <w:tcW w:w="90" w:type="dxa"/>
            <w:tcBorders/>
          </w:tcPr>
          <w:p>
            <w:pPr>
              <w:pStyle w:val="TableContents"/>
              <w:bidi w:val="0"/>
              <w:spacing w:before="0" w:after="283"/>
              <w:jc w:val="left"/>
              <w:rPr/>
            </w:pPr>
            <w:r>
              <w:rPr/>
              <w:t> </w:t>
            </w:r>
          </w:p>
        </w:tc>
        <w:tc>
          <w:tcPr>
            <w:tcW w:w="170" w:type="dxa"/>
            <w:tcBorders/>
          </w:tcPr>
          <w:p>
            <w:pPr>
              <w:pStyle w:val="TableContents"/>
              <w:bidi w:val="0"/>
              <w:spacing w:before="0" w:after="283"/>
              <w:jc w:val="left"/>
              <w:rPr/>
            </w:pPr>
            <w:r>
              <w:rPr/>
              <w:t> </w:t>
            </w:r>
          </w:p>
        </w:tc>
        <w:tc>
          <w:tcPr>
            <w:tcW w:w="830" w:type="dxa"/>
            <w:tcBorders/>
          </w:tcPr>
          <w:p>
            <w:pPr>
              <w:pStyle w:val="TableContents"/>
              <w:bidi w:val="0"/>
              <w:spacing w:before="0" w:after="283"/>
              <w:jc w:val="left"/>
              <w:rPr/>
            </w:pPr>
            <w:r>
              <w:rPr/>
              <w:t> </w:t>
            </w:r>
          </w:p>
        </w:tc>
        <w:tc>
          <w:tcPr>
            <w:tcW w:w="232" w:type="dxa"/>
            <w:tcBorders/>
          </w:tcPr>
          <w:p>
            <w:pPr>
              <w:pStyle w:val="TableContents"/>
              <w:bidi w:val="0"/>
              <w:spacing w:before="0" w:after="283"/>
              <w:jc w:val="left"/>
              <w:rPr/>
            </w:pPr>
            <w:r>
              <w:rPr/>
              <w:t> </w:t>
            </w:r>
          </w:p>
        </w:tc>
      </w:tr>
      <w:tr>
        <w:trPr/>
        <w:tc>
          <w:tcPr>
            <w:tcW w:w="4113" w:type="dxa"/>
            <w:tcBorders/>
            <w:shd w:fill="CCEEFF" w:val="clear"/>
          </w:tcPr>
          <w:p>
            <w:pPr>
              <w:pStyle w:val="TableContents"/>
              <w:bidi w:val="0"/>
              <w:spacing w:before="0" w:after="0"/>
              <w:jc w:val="left"/>
              <w:rPr/>
            </w:pPr>
            <w:r>
              <w:rPr/>
              <w:t>Research and development</w:t>
            </w:r>
          </w:p>
        </w:tc>
        <w:tc>
          <w:tcPr>
            <w:tcW w:w="101" w:type="dxa"/>
            <w:tcBorders/>
            <w:shd w:fill="CCEEFF" w:val="clear"/>
          </w:tcPr>
          <w:p>
            <w:pPr>
              <w:pStyle w:val="TableContents"/>
              <w:bidi w:val="0"/>
              <w:spacing w:before="0" w:after="283"/>
              <w:jc w:val="left"/>
              <w:rPr/>
            </w:pPr>
            <w:r>
              <w:rPr/>
              <w:t> </w:t>
            </w:r>
          </w:p>
        </w:tc>
        <w:tc>
          <w:tcPr>
            <w:tcW w:w="191" w:type="dxa"/>
            <w:tcBorders/>
            <w:shd w:fill="CCEEFF" w:val="clear"/>
          </w:tcPr>
          <w:p>
            <w:pPr>
              <w:pStyle w:val="TableContents"/>
              <w:bidi w:val="0"/>
              <w:spacing w:before="0" w:after="283"/>
              <w:jc w:val="left"/>
              <w:rPr/>
            </w:pPr>
            <w:r>
              <w:rPr/>
              <w:t> </w:t>
            </w:r>
          </w:p>
        </w:tc>
        <w:tc>
          <w:tcPr>
            <w:tcW w:w="2187" w:type="dxa"/>
            <w:tcBorders/>
            <w:shd w:fill="CCEEFF" w:val="clear"/>
          </w:tcPr>
          <w:p>
            <w:pPr>
              <w:pStyle w:val="TableContents"/>
              <w:bidi w:val="0"/>
              <w:spacing w:before="0" w:after="283"/>
              <w:jc w:val="right"/>
              <w:rPr/>
            </w:pPr>
            <w:r>
              <w:rPr/>
              <w:t>826</w:t>
            </w:r>
          </w:p>
        </w:tc>
        <w:tc>
          <w:tcPr>
            <w:tcW w:w="208" w:type="dxa"/>
            <w:tcBorders/>
            <w:shd w:fill="CCEEFF" w:val="clear"/>
          </w:tcPr>
          <w:p>
            <w:pPr>
              <w:pStyle w:val="TableContents"/>
              <w:bidi w:val="0"/>
              <w:spacing w:before="0" w:after="283"/>
              <w:jc w:val="left"/>
              <w:rPr/>
            </w:pPr>
            <w:r>
              <w:rPr/>
              <w:t> </w:t>
            </w:r>
          </w:p>
        </w:tc>
        <w:tc>
          <w:tcPr>
            <w:tcW w:w="90" w:type="dxa"/>
            <w:tcBorders/>
            <w:shd w:fill="CCEEFF" w:val="clear"/>
          </w:tcPr>
          <w:p>
            <w:pPr>
              <w:pStyle w:val="TableContents"/>
              <w:bidi w:val="0"/>
              <w:spacing w:before="0" w:after="283"/>
              <w:jc w:val="left"/>
              <w:rPr/>
            </w:pPr>
            <w:r>
              <w:rPr/>
              <w:t> </w:t>
            </w:r>
          </w:p>
        </w:tc>
        <w:tc>
          <w:tcPr>
            <w:tcW w:w="170" w:type="dxa"/>
            <w:tcBorders/>
            <w:shd w:fill="CCEEFF" w:val="clear"/>
          </w:tcPr>
          <w:p>
            <w:pPr>
              <w:pStyle w:val="TableContents"/>
              <w:bidi w:val="0"/>
              <w:spacing w:before="0" w:after="283"/>
              <w:jc w:val="left"/>
              <w:rPr/>
            </w:pPr>
            <w:r>
              <w:rPr/>
              <w:t> </w:t>
            </w:r>
          </w:p>
        </w:tc>
        <w:tc>
          <w:tcPr>
            <w:tcW w:w="1638" w:type="dxa"/>
            <w:tcBorders/>
            <w:shd w:fill="CCEEFF" w:val="clear"/>
          </w:tcPr>
          <w:p>
            <w:pPr>
              <w:pStyle w:val="TableContents"/>
              <w:bidi w:val="0"/>
              <w:spacing w:before="0" w:after="283"/>
              <w:jc w:val="right"/>
              <w:rPr/>
            </w:pPr>
            <w:r>
              <w:rPr/>
              <w:t xml:space="preserve">- </w:t>
            </w:r>
          </w:p>
        </w:tc>
        <w:tc>
          <w:tcPr>
            <w:tcW w:w="185" w:type="dxa"/>
            <w:tcBorders/>
            <w:shd w:fill="CCEEFF" w:val="clear"/>
          </w:tcPr>
          <w:p>
            <w:pPr>
              <w:pStyle w:val="TableContents"/>
              <w:bidi w:val="0"/>
              <w:spacing w:before="0" w:after="283"/>
              <w:jc w:val="left"/>
              <w:rPr/>
            </w:pPr>
            <w:r>
              <w:rPr/>
              <w:t> </w:t>
            </w:r>
          </w:p>
        </w:tc>
        <w:tc>
          <w:tcPr>
            <w:tcW w:w="90" w:type="dxa"/>
            <w:tcBorders/>
            <w:shd w:fill="CCEEFF" w:val="clear"/>
          </w:tcPr>
          <w:p>
            <w:pPr>
              <w:pStyle w:val="TableContents"/>
              <w:bidi w:val="0"/>
              <w:spacing w:before="0" w:after="283"/>
              <w:jc w:val="left"/>
              <w:rPr/>
            </w:pPr>
            <w:r>
              <w:rPr/>
              <w:t> </w:t>
            </w:r>
          </w:p>
        </w:tc>
        <w:tc>
          <w:tcPr>
            <w:tcW w:w="170" w:type="dxa"/>
            <w:tcBorders/>
            <w:shd w:fill="CCEEFF" w:val="clear"/>
          </w:tcPr>
          <w:p>
            <w:pPr>
              <w:pStyle w:val="TableContents"/>
              <w:bidi w:val="0"/>
              <w:spacing w:before="0" w:after="283"/>
              <w:jc w:val="left"/>
              <w:rPr/>
            </w:pPr>
            <w:r>
              <w:rPr/>
              <w:t> </w:t>
            </w:r>
          </w:p>
        </w:tc>
        <w:tc>
          <w:tcPr>
            <w:tcW w:w="830" w:type="dxa"/>
            <w:tcBorders/>
            <w:shd w:fill="CCEEFF" w:val="clear"/>
          </w:tcPr>
          <w:p>
            <w:pPr>
              <w:pStyle w:val="TableContents"/>
              <w:bidi w:val="0"/>
              <w:spacing w:before="0" w:after="283"/>
              <w:jc w:val="right"/>
              <w:rPr/>
            </w:pPr>
            <w:r>
              <w:rPr/>
              <w:t>826</w:t>
            </w:r>
          </w:p>
        </w:tc>
        <w:tc>
          <w:tcPr>
            <w:tcW w:w="232" w:type="dxa"/>
            <w:tcBorders/>
            <w:shd w:fill="CCEEFF" w:val="clear"/>
          </w:tcPr>
          <w:p>
            <w:pPr>
              <w:pStyle w:val="TableContents"/>
              <w:bidi w:val="0"/>
              <w:spacing w:before="0" w:after="283"/>
              <w:jc w:val="left"/>
              <w:rPr/>
            </w:pPr>
            <w:r>
              <w:rPr/>
              <w:t> </w:t>
            </w:r>
          </w:p>
        </w:tc>
      </w:tr>
      <w:tr>
        <w:trPr/>
        <w:tc>
          <w:tcPr>
            <w:tcW w:w="4113" w:type="dxa"/>
            <w:tcBorders/>
          </w:tcPr>
          <w:p>
            <w:pPr>
              <w:pStyle w:val="TableContents"/>
              <w:bidi w:val="0"/>
              <w:spacing w:before="0" w:after="283"/>
              <w:jc w:val="left"/>
              <w:rPr/>
            </w:pPr>
            <w:r>
              <w:rPr/>
              <w:t> </w:t>
            </w:r>
          </w:p>
        </w:tc>
        <w:tc>
          <w:tcPr>
            <w:tcW w:w="101" w:type="dxa"/>
            <w:tcBorders/>
          </w:tcPr>
          <w:p>
            <w:pPr>
              <w:pStyle w:val="TableContents"/>
              <w:bidi w:val="0"/>
              <w:spacing w:before="0" w:after="283"/>
              <w:jc w:val="left"/>
              <w:rPr/>
            </w:pPr>
            <w:r>
              <w:rPr/>
              <w:t> </w:t>
            </w:r>
          </w:p>
        </w:tc>
        <w:tc>
          <w:tcPr>
            <w:tcW w:w="191" w:type="dxa"/>
            <w:tcBorders/>
          </w:tcPr>
          <w:p>
            <w:pPr>
              <w:pStyle w:val="TableContents"/>
              <w:bidi w:val="0"/>
              <w:spacing w:before="0" w:after="283"/>
              <w:jc w:val="left"/>
              <w:rPr/>
            </w:pPr>
            <w:r>
              <w:rPr/>
              <w:t> </w:t>
            </w:r>
          </w:p>
        </w:tc>
        <w:tc>
          <w:tcPr>
            <w:tcW w:w="2187" w:type="dxa"/>
            <w:tcBorders/>
          </w:tcPr>
          <w:p>
            <w:pPr>
              <w:pStyle w:val="TableContents"/>
              <w:bidi w:val="0"/>
              <w:spacing w:before="0" w:after="283"/>
              <w:jc w:val="left"/>
              <w:rPr/>
            </w:pPr>
            <w:r>
              <w:rPr/>
              <w:t> </w:t>
            </w:r>
          </w:p>
        </w:tc>
        <w:tc>
          <w:tcPr>
            <w:tcW w:w="208" w:type="dxa"/>
            <w:tcBorders/>
          </w:tcPr>
          <w:p>
            <w:pPr>
              <w:pStyle w:val="TableContents"/>
              <w:bidi w:val="0"/>
              <w:spacing w:before="0" w:after="283"/>
              <w:jc w:val="left"/>
              <w:rPr/>
            </w:pPr>
            <w:r>
              <w:rPr/>
              <w:t> </w:t>
            </w:r>
          </w:p>
        </w:tc>
        <w:tc>
          <w:tcPr>
            <w:tcW w:w="90" w:type="dxa"/>
            <w:tcBorders/>
          </w:tcPr>
          <w:p>
            <w:pPr>
              <w:pStyle w:val="TableContents"/>
              <w:bidi w:val="0"/>
              <w:spacing w:before="0" w:after="283"/>
              <w:jc w:val="left"/>
              <w:rPr/>
            </w:pPr>
            <w:r>
              <w:rPr/>
              <w:t> </w:t>
            </w:r>
          </w:p>
        </w:tc>
        <w:tc>
          <w:tcPr>
            <w:tcW w:w="170" w:type="dxa"/>
            <w:tcBorders/>
          </w:tcPr>
          <w:p>
            <w:pPr>
              <w:pStyle w:val="TableContents"/>
              <w:bidi w:val="0"/>
              <w:spacing w:before="0" w:after="283"/>
              <w:jc w:val="left"/>
              <w:rPr/>
            </w:pPr>
            <w:r>
              <w:rPr/>
              <w:t> </w:t>
            </w:r>
          </w:p>
        </w:tc>
        <w:tc>
          <w:tcPr>
            <w:tcW w:w="1638" w:type="dxa"/>
            <w:tcBorders/>
          </w:tcPr>
          <w:p>
            <w:pPr>
              <w:pStyle w:val="TableContents"/>
              <w:bidi w:val="0"/>
              <w:spacing w:before="0" w:after="283"/>
              <w:jc w:val="left"/>
              <w:rPr/>
            </w:pPr>
            <w:r>
              <w:rPr/>
              <w:t> </w:t>
            </w:r>
          </w:p>
        </w:tc>
        <w:tc>
          <w:tcPr>
            <w:tcW w:w="185" w:type="dxa"/>
            <w:tcBorders/>
          </w:tcPr>
          <w:p>
            <w:pPr>
              <w:pStyle w:val="TableContents"/>
              <w:bidi w:val="0"/>
              <w:spacing w:before="0" w:after="283"/>
              <w:jc w:val="left"/>
              <w:rPr/>
            </w:pPr>
            <w:r>
              <w:rPr/>
              <w:t> </w:t>
            </w:r>
          </w:p>
        </w:tc>
        <w:tc>
          <w:tcPr>
            <w:tcW w:w="90" w:type="dxa"/>
            <w:tcBorders/>
          </w:tcPr>
          <w:p>
            <w:pPr>
              <w:pStyle w:val="TableContents"/>
              <w:bidi w:val="0"/>
              <w:spacing w:before="0" w:after="283"/>
              <w:jc w:val="left"/>
              <w:rPr/>
            </w:pPr>
            <w:r>
              <w:rPr/>
              <w:t> </w:t>
            </w:r>
          </w:p>
        </w:tc>
        <w:tc>
          <w:tcPr>
            <w:tcW w:w="170" w:type="dxa"/>
            <w:tcBorders/>
          </w:tcPr>
          <w:p>
            <w:pPr>
              <w:pStyle w:val="TableContents"/>
              <w:bidi w:val="0"/>
              <w:spacing w:before="0" w:after="283"/>
              <w:jc w:val="left"/>
              <w:rPr/>
            </w:pPr>
            <w:r>
              <w:rPr/>
              <w:t> </w:t>
            </w:r>
          </w:p>
        </w:tc>
        <w:tc>
          <w:tcPr>
            <w:tcW w:w="830" w:type="dxa"/>
            <w:tcBorders/>
          </w:tcPr>
          <w:p>
            <w:pPr>
              <w:pStyle w:val="TableContents"/>
              <w:bidi w:val="0"/>
              <w:spacing w:before="0" w:after="283"/>
              <w:jc w:val="left"/>
              <w:rPr/>
            </w:pPr>
            <w:r>
              <w:rPr/>
              <w:t> </w:t>
            </w:r>
          </w:p>
        </w:tc>
        <w:tc>
          <w:tcPr>
            <w:tcW w:w="232" w:type="dxa"/>
            <w:tcBorders/>
          </w:tcPr>
          <w:p>
            <w:pPr>
              <w:pStyle w:val="TableContents"/>
              <w:bidi w:val="0"/>
              <w:spacing w:before="0" w:after="283"/>
              <w:jc w:val="left"/>
              <w:rPr/>
            </w:pPr>
            <w:r>
              <w:rPr/>
              <w:t> </w:t>
            </w:r>
          </w:p>
        </w:tc>
      </w:tr>
      <w:tr>
        <w:trPr/>
        <w:tc>
          <w:tcPr>
            <w:tcW w:w="4113" w:type="dxa"/>
            <w:tcBorders/>
            <w:shd w:fill="CCEEFF" w:val="clear"/>
          </w:tcPr>
          <w:p>
            <w:pPr>
              <w:pStyle w:val="TableContents"/>
              <w:bidi w:val="0"/>
              <w:spacing w:before="0" w:after="0"/>
              <w:jc w:val="left"/>
              <w:rPr/>
            </w:pPr>
            <w:r>
              <w:rPr/>
              <w:t>Plasma center operating expenses</w:t>
            </w:r>
          </w:p>
        </w:tc>
        <w:tc>
          <w:tcPr>
            <w:tcW w:w="101" w:type="dxa"/>
            <w:tcBorders/>
            <w:shd w:fill="CCEEFF" w:val="clear"/>
          </w:tcPr>
          <w:p>
            <w:pPr>
              <w:pStyle w:val="TableContents"/>
              <w:bidi w:val="0"/>
              <w:spacing w:before="0" w:after="283"/>
              <w:jc w:val="left"/>
              <w:rPr/>
            </w:pPr>
            <w:r>
              <w:rPr/>
              <w:t> </w:t>
            </w:r>
          </w:p>
        </w:tc>
        <w:tc>
          <w:tcPr>
            <w:tcW w:w="191" w:type="dxa"/>
            <w:tcBorders/>
            <w:shd w:fill="CCEEFF" w:val="clear"/>
          </w:tcPr>
          <w:p>
            <w:pPr>
              <w:pStyle w:val="TableContents"/>
              <w:bidi w:val="0"/>
              <w:spacing w:before="0" w:after="283"/>
              <w:jc w:val="left"/>
              <w:rPr/>
            </w:pPr>
            <w:r>
              <w:rPr/>
              <w:t> </w:t>
            </w:r>
          </w:p>
        </w:tc>
        <w:tc>
          <w:tcPr>
            <w:tcW w:w="2187" w:type="dxa"/>
            <w:tcBorders/>
            <w:shd w:fill="CCEEFF" w:val="clear"/>
          </w:tcPr>
          <w:p>
            <w:pPr>
              <w:pStyle w:val="TableContents"/>
              <w:bidi w:val="0"/>
              <w:spacing w:before="0" w:after="283"/>
              <w:jc w:val="right"/>
              <w:rPr/>
            </w:pPr>
            <w:r>
              <w:rPr/>
              <w:t xml:space="preserve">- </w:t>
            </w:r>
          </w:p>
        </w:tc>
        <w:tc>
          <w:tcPr>
            <w:tcW w:w="208" w:type="dxa"/>
            <w:tcBorders/>
            <w:shd w:fill="CCEEFF" w:val="clear"/>
          </w:tcPr>
          <w:p>
            <w:pPr>
              <w:pStyle w:val="TableContents"/>
              <w:bidi w:val="0"/>
              <w:spacing w:before="0" w:after="283"/>
              <w:jc w:val="left"/>
              <w:rPr/>
            </w:pPr>
            <w:r>
              <w:rPr/>
              <w:t> </w:t>
            </w:r>
          </w:p>
        </w:tc>
        <w:tc>
          <w:tcPr>
            <w:tcW w:w="90" w:type="dxa"/>
            <w:tcBorders/>
            <w:shd w:fill="CCEEFF" w:val="clear"/>
          </w:tcPr>
          <w:p>
            <w:pPr>
              <w:pStyle w:val="TableContents"/>
              <w:bidi w:val="0"/>
              <w:spacing w:before="0" w:after="283"/>
              <w:jc w:val="left"/>
              <w:rPr/>
            </w:pPr>
            <w:r>
              <w:rPr/>
              <w:t> </w:t>
            </w:r>
          </w:p>
        </w:tc>
        <w:tc>
          <w:tcPr>
            <w:tcW w:w="170" w:type="dxa"/>
            <w:tcBorders/>
            <w:shd w:fill="CCEEFF" w:val="clear"/>
          </w:tcPr>
          <w:p>
            <w:pPr>
              <w:pStyle w:val="TableContents"/>
              <w:bidi w:val="0"/>
              <w:spacing w:before="0" w:after="283"/>
              <w:jc w:val="left"/>
              <w:rPr/>
            </w:pPr>
            <w:r>
              <w:rPr/>
              <w:t> </w:t>
            </w:r>
          </w:p>
        </w:tc>
        <w:tc>
          <w:tcPr>
            <w:tcW w:w="1638" w:type="dxa"/>
            <w:tcBorders/>
            <w:shd w:fill="CCEEFF" w:val="clear"/>
          </w:tcPr>
          <w:p>
            <w:pPr>
              <w:pStyle w:val="TableContents"/>
              <w:bidi w:val="0"/>
              <w:spacing w:before="0" w:after="283"/>
              <w:jc w:val="right"/>
              <w:rPr/>
            </w:pPr>
            <w:r>
              <w:rPr/>
              <w:t>1,286</w:t>
            </w:r>
          </w:p>
        </w:tc>
        <w:tc>
          <w:tcPr>
            <w:tcW w:w="185" w:type="dxa"/>
            <w:tcBorders/>
            <w:shd w:fill="CCEEFF" w:val="clear"/>
          </w:tcPr>
          <w:p>
            <w:pPr>
              <w:pStyle w:val="TableContents"/>
              <w:bidi w:val="0"/>
              <w:spacing w:before="0" w:after="283"/>
              <w:jc w:val="left"/>
              <w:rPr/>
            </w:pPr>
            <w:r>
              <w:rPr/>
              <w:t> </w:t>
            </w:r>
          </w:p>
        </w:tc>
        <w:tc>
          <w:tcPr>
            <w:tcW w:w="90" w:type="dxa"/>
            <w:tcBorders/>
            <w:shd w:fill="CCEEFF" w:val="clear"/>
          </w:tcPr>
          <w:p>
            <w:pPr>
              <w:pStyle w:val="TableContents"/>
              <w:bidi w:val="0"/>
              <w:spacing w:before="0" w:after="283"/>
              <w:jc w:val="left"/>
              <w:rPr/>
            </w:pPr>
            <w:r>
              <w:rPr/>
              <w:t> </w:t>
            </w:r>
          </w:p>
        </w:tc>
        <w:tc>
          <w:tcPr>
            <w:tcW w:w="170" w:type="dxa"/>
            <w:tcBorders/>
            <w:shd w:fill="CCEEFF" w:val="clear"/>
          </w:tcPr>
          <w:p>
            <w:pPr>
              <w:pStyle w:val="TableContents"/>
              <w:bidi w:val="0"/>
              <w:spacing w:before="0" w:after="283"/>
              <w:jc w:val="left"/>
              <w:rPr/>
            </w:pPr>
            <w:r>
              <w:rPr/>
              <w:t> </w:t>
            </w:r>
          </w:p>
        </w:tc>
        <w:tc>
          <w:tcPr>
            <w:tcW w:w="830" w:type="dxa"/>
            <w:tcBorders/>
            <w:shd w:fill="CCEEFF" w:val="clear"/>
          </w:tcPr>
          <w:p>
            <w:pPr>
              <w:pStyle w:val="TableContents"/>
              <w:bidi w:val="0"/>
              <w:spacing w:before="0" w:after="283"/>
              <w:jc w:val="right"/>
              <w:rPr/>
            </w:pPr>
            <w:r>
              <w:rPr/>
              <w:t>1,286</w:t>
            </w:r>
          </w:p>
        </w:tc>
        <w:tc>
          <w:tcPr>
            <w:tcW w:w="232" w:type="dxa"/>
            <w:tcBorders/>
            <w:shd w:fill="CCEEFF" w:val="clear"/>
          </w:tcPr>
          <w:p>
            <w:pPr>
              <w:pStyle w:val="TableContents"/>
              <w:bidi w:val="0"/>
              <w:spacing w:before="0" w:after="283"/>
              <w:jc w:val="left"/>
              <w:rPr/>
            </w:pPr>
            <w:r>
              <w:rPr/>
              <w:t> </w:t>
            </w:r>
          </w:p>
        </w:tc>
      </w:tr>
      <w:tr>
        <w:trPr/>
        <w:tc>
          <w:tcPr>
            <w:tcW w:w="4113" w:type="dxa"/>
            <w:tcBorders/>
          </w:tcPr>
          <w:p>
            <w:pPr>
              <w:pStyle w:val="TableContents"/>
              <w:bidi w:val="0"/>
              <w:spacing w:before="0" w:after="283"/>
              <w:jc w:val="left"/>
              <w:rPr/>
            </w:pPr>
            <w:r>
              <w:rPr/>
              <w:t> </w:t>
            </w:r>
          </w:p>
        </w:tc>
        <w:tc>
          <w:tcPr>
            <w:tcW w:w="101" w:type="dxa"/>
            <w:tcBorders/>
          </w:tcPr>
          <w:p>
            <w:pPr>
              <w:pStyle w:val="TableContents"/>
              <w:bidi w:val="0"/>
              <w:spacing w:before="0" w:after="283"/>
              <w:jc w:val="left"/>
              <w:rPr/>
            </w:pPr>
            <w:r>
              <w:rPr/>
              <w:t> </w:t>
            </w:r>
          </w:p>
        </w:tc>
        <w:tc>
          <w:tcPr>
            <w:tcW w:w="191" w:type="dxa"/>
            <w:tcBorders/>
          </w:tcPr>
          <w:p>
            <w:pPr>
              <w:pStyle w:val="TableContents"/>
              <w:bidi w:val="0"/>
              <w:spacing w:before="0" w:after="283"/>
              <w:jc w:val="left"/>
              <w:rPr/>
            </w:pPr>
            <w:r>
              <w:rPr/>
              <w:t> </w:t>
            </w:r>
          </w:p>
        </w:tc>
        <w:tc>
          <w:tcPr>
            <w:tcW w:w="2187" w:type="dxa"/>
            <w:tcBorders/>
          </w:tcPr>
          <w:p>
            <w:pPr>
              <w:pStyle w:val="TableContents"/>
              <w:bidi w:val="0"/>
              <w:spacing w:before="0" w:after="283"/>
              <w:jc w:val="left"/>
              <w:rPr/>
            </w:pPr>
            <w:r>
              <w:rPr/>
              <w:t> </w:t>
            </w:r>
          </w:p>
        </w:tc>
        <w:tc>
          <w:tcPr>
            <w:tcW w:w="208" w:type="dxa"/>
            <w:tcBorders/>
          </w:tcPr>
          <w:p>
            <w:pPr>
              <w:pStyle w:val="TableContents"/>
              <w:bidi w:val="0"/>
              <w:spacing w:before="0" w:after="283"/>
              <w:jc w:val="left"/>
              <w:rPr/>
            </w:pPr>
            <w:r>
              <w:rPr/>
              <w:t> </w:t>
            </w:r>
          </w:p>
        </w:tc>
        <w:tc>
          <w:tcPr>
            <w:tcW w:w="90" w:type="dxa"/>
            <w:tcBorders/>
          </w:tcPr>
          <w:p>
            <w:pPr>
              <w:pStyle w:val="TableContents"/>
              <w:bidi w:val="0"/>
              <w:spacing w:before="0" w:after="283"/>
              <w:jc w:val="left"/>
              <w:rPr/>
            </w:pPr>
            <w:r>
              <w:rPr/>
              <w:t> </w:t>
            </w:r>
          </w:p>
        </w:tc>
        <w:tc>
          <w:tcPr>
            <w:tcW w:w="170" w:type="dxa"/>
            <w:tcBorders/>
          </w:tcPr>
          <w:p>
            <w:pPr>
              <w:pStyle w:val="TableContents"/>
              <w:bidi w:val="0"/>
              <w:spacing w:before="0" w:after="283"/>
              <w:jc w:val="left"/>
              <w:rPr/>
            </w:pPr>
            <w:r>
              <w:rPr/>
              <w:t> </w:t>
            </w:r>
          </w:p>
        </w:tc>
        <w:tc>
          <w:tcPr>
            <w:tcW w:w="1638" w:type="dxa"/>
            <w:tcBorders/>
          </w:tcPr>
          <w:p>
            <w:pPr>
              <w:pStyle w:val="TableContents"/>
              <w:bidi w:val="0"/>
              <w:spacing w:before="0" w:after="283"/>
              <w:jc w:val="left"/>
              <w:rPr/>
            </w:pPr>
            <w:r>
              <w:rPr/>
              <w:t> </w:t>
            </w:r>
          </w:p>
        </w:tc>
        <w:tc>
          <w:tcPr>
            <w:tcW w:w="185" w:type="dxa"/>
            <w:tcBorders/>
          </w:tcPr>
          <w:p>
            <w:pPr>
              <w:pStyle w:val="TableContents"/>
              <w:bidi w:val="0"/>
              <w:spacing w:before="0" w:after="283"/>
              <w:jc w:val="left"/>
              <w:rPr/>
            </w:pPr>
            <w:r>
              <w:rPr/>
              <w:t> </w:t>
            </w:r>
          </w:p>
        </w:tc>
        <w:tc>
          <w:tcPr>
            <w:tcW w:w="90" w:type="dxa"/>
            <w:tcBorders/>
          </w:tcPr>
          <w:p>
            <w:pPr>
              <w:pStyle w:val="TableContents"/>
              <w:bidi w:val="0"/>
              <w:spacing w:before="0" w:after="283"/>
              <w:jc w:val="left"/>
              <w:rPr/>
            </w:pPr>
            <w:r>
              <w:rPr/>
              <w:t> </w:t>
            </w:r>
          </w:p>
        </w:tc>
        <w:tc>
          <w:tcPr>
            <w:tcW w:w="170" w:type="dxa"/>
            <w:tcBorders/>
          </w:tcPr>
          <w:p>
            <w:pPr>
              <w:pStyle w:val="TableContents"/>
              <w:bidi w:val="0"/>
              <w:spacing w:before="0" w:after="283"/>
              <w:jc w:val="left"/>
              <w:rPr/>
            </w:pPr>
            <w:r>
              <w:rPr/>
              <w:t> </w:t>
            </w:r>
          </w:p>
        </w:tc>
        <w:tc>
          <w:tcPr>
            <w:tcW w:w="830" w:type="dxa"/>
            <w:tcBorders/>
          </w:tcPr>
          <w:p>
            <w:pPr>
              <w:pStyle w:val="TableContents"/>
              <w:bidi w:val="0"/>
              <w:spacing w:before="0" w:after="283"/>
              <w:jc w:val="left"/>
              <w:rPr/>
            </w:pPr>
            <w:r>
              <w:rPr/>
              <w:t> </w:t>
            </w:r>
          </w:p>
        </w:tc>
        <w:tc>
          <w:tcPr>
            <w:tcW w:w="232" w:type="dxa"/>
            <w:tcBorders/>
          </w:tcPr>
          <w:p>
            <w:pPr>
              <w:pStyle w:val="TableContents"/>
              <w:bidi w:val="0"/>
              <w:spacing w:before="0" w:after="283"/>
              <w:jc w:val="left"/>
              <w:rPr/>
            </w:pPr>
            <w:r>
              <w:rPr/>
              <w:t> </w:t>
            </w:r>
          </w:p>
        </w:tc>
      </w:tr>
      <w:tr>
        <w:trPr/>
        <w:tc>
          <w:tcPr>
            <w:tcW w:w="4113" w:type="dxa"/>
            <w:tcBorders/>
            <w:shd w:fill="CCEEFF" w:val="clear"/>
          </w:tcPr>
          <w:p>
            <w:pPr>
              <w:pStyle w:val="TableContents"/>
              <w:bidi w:val="0"/>
              <w:spacing w:before="0" w:after="0"/>
              <w:jc w:val="left"/>
              <w:rPr/>
            </w:pPr>
            <w:r>
              <w:rPr/>
              <w:t>Selling, marketing and distribution</w:t>
            </w:r>
          </w:p>
        </w:tc>
        <w:tc>
          <w:tcPr>
            <w:tcW w:w="101" w:type="dxa"/>
            <w:tcBorders/>
            <w:shd w:fill="CCEEFF" w:val="clear"/>
          </w:tcPr>
          <w:p>
            <w:pPr>
              <w:pStyle w:val="TableContents"/>
              <w:bidi w:val="0"/>
              <w:spacing w:before="0" w:after="283"/>
              <w:jc w:val="left"/>
              <w:rPr/>
            </w:pPr>
            <w:r>
              <w:rPr/>
              <w:t> </w:t>
            </w:r>
          </w:p>
        </w:tc>
        <w:tc>
          <w:tcPr>
            <w:tcW w:w="191" w:type="dxa"/>
            <w:tcBorders/>
            <w:shd w:fill="CCEEFF" w:val="clear"/>
          </w:tcPr>
          <w:p>
            <w:pPr>
              <w:pStyle w:val="TableContents"/>
              <w:bidi w:val="0"/>
              <w:spacing w:before="0" w:after="283"/>
              <w:jc w:val="left"/>
              <w:rPr/>
            </w:pPr>
            <w:r>
              <w:rPr/>
              <w:t> </w:t>
            </w:r>
          </w:p>
        </w:tc>
        <w:tc>
          <w:tcPr>
            <w:tcW w:w="2187" w:type="dxa"/>
            <w:tcBorders/>
            <w:shd w:fill="CCEEFF" w:val="clear"/>
          </w:tcPr>
          <w:p>
            <w:pPr>
              <w:pStyle w:val="TableContents"/>
              <w:bidi w:val="0"/>
              <w:spacing w:before="0" w:after="283"/>
              <w:jc w:val="right"/>
              <w:rPr/>
            </w:pPr>
            <w:r>
              <w:rPr/>
              <w:t>6,044</w:t>
            </w:r>
          </w:p>
        </w:tc>
        <w:tc>
          <w:tcPr>
            <w:tcW w:w="208" w:type="dxa"/>
            <w:tcBorders/>
            <w:shd w:fill="CCEEFF" w:val="clear"/>
          </w:tcPr>
          <w:p>
            <w:pPr>
              <w:pStyle w:val="TableContents"/>
              <w:bidi w:val="0"/>
              <w:spacing w:before="0" w:after="283"/>
              <w:jc w:val="left"/>
              <w:rPr/>
            </w:pPr>
            <w:r>
              <w:rPr/>
              <w:t> </w:t>
            </w:r>
          </w:p>
        </w:tc>
        <w:tc>
          <w:tcPr>
            <w:tcW w:w="90" w:type="dxa"/>
            <w:tcBorders/>
            <w:shd w:fill="CCEEFF" w:val="clear"/>
          </w:tcPr>
          <w:p>
            <w:pPr>
              <w:pStyle w:val="TableContents"/>
              <w:bidi w:val="0"/>
              <w:spacing w:before="0" w:after="283"/>
              <w:jc w:val="left"/>
              <w:rPr/>
            </w:pPr>
            <w:r>
              <w:rPr/>
              <w:t> </w:t>
            </w:r>
          </w:p>
        </w:tc>
        <w:tc>
          <w:tcPr>
            <w:tcW w:w="170" w:type="dxa"/>
            <w:tcBorders/>
            <w:shd w:fill="CCEEFF" w:val="clear"/>
          </w:tcPr>
          <w:p>
            <w:pPr>
              <w:pStyle w:val="TableContents"/>
              <w:bidi w:val="0"/>
              <w:spacing w:before="0" w:after="283"/>
              <w:jc w:val="left"/>
              <w:rPr/>
            </w:pPr>
            <w:r>
              <w:rPr/>
              <w:t> </w:t>
            </w:r>
          </w:p>
        </w:tc>
        <w:tc>
          <w:tcPr>
            <w:tcW w:w="1638" w:type="dxa"/>
            <w:tcBorders/>
            <w:shd w:fill="CCEEFF" w:val="clear"/>
          </w:tcPr>
          <w:p>
            <w:pPr>
              <w:pStyle w:val="TableContents"/>
              <w:bidi w:val="0"/>
              <w:spacing w:before="0" w:after="283"/>
              <w:jc w:val="right"/>
              <w:rPr/>
            </w:pPr>
            <w:r>
              <w:rPr/>
              <w:t xml:space="preserve">- </w:t>
            </w:r>
          </w:p>
        </w:tc>
        <w:tc>
          <w:tcPr>
            <w:tcW w:w="185" w:type="dxa"/>
            <w:tcBorders/>
            <w:shd w:fill="CCEEFF" w:val="clear"/>
          </w:tcPr>
          <w:p>
            <w:pPr>
              <w:pStyle w:val="TableContents"/>
              <w:bidi w:val="0"/>
              <w:spacing w:before="0" w:after="283"/>
              <w:jc w:val="left"/>
              <w:rPr/>
            </w:pPr>
            <w:r>
              <w:rPr/>
              <w:t> </w:t>
            </w:r>
          </w:p>
        </w:tc>
        <w:tc>
          <w:tcPr>
            <w:tcW w:w="90" w:type="dxa"/>
            <w:tcBorders/>
            <w:shd w:fill="CCEEFF" w:val="clear"/>
          </w:tcPr>
          <w:p>
            <w:pPr>
              <w:pStyle w:val="TableContents"/>
              <w:bidi w:val="0"/>
              <w:spacing w:before="0" w:after="283"/>
              <w:jc w:val="left"/>
              <w:rPr/>
            </w:pPr>
            <w:r>
              <w:rPr/>
              <w:t> </w:t>
            </w:r>
          </w:p>
        </w:tc>
        <w:tc>
          <w:tcPr>
            <w:tcW w:w="170" w:type="dxa"/>
            <w:tcBorders/>
            <w:shd w:fill="CCEEFF" w:val="clear"/>
          </w:tcPr>
          <w:p>
            <w:pPr>
              <w:pStyle w:val="TableContents"/>
              <w:bidi w:val="0"/>
              <w:spacing w:before="0" w:after="283"/>
              <w:jc w:val="left"/>
              <w:rPr/>
            </w:pPr>
            <w:r>
              <w:rPr/>
              <w:t> </w:t>
            </w:r>
          </w:p>
        </w:tc>
        <w:tc>
          <w:tcPr>
            <w:tcW w:w="830" w:type="dxa"/>
            <w:tcBorders/>
            <w:shd w:fill="CCEEFF" w:val="clear"/>
          </w:tcPr>
          <w:p>
            <w:pPr>
              <w:pStyle w:val="TableContents"/>
              <w:bidi w:val="0"/>
              <w:spacing w:before="0" w:after="283"/>
              <w:jc w:val="right"/>
              <w:rPr/>
            </w:pPr>
            <w:r>
              <w:rPr/>
              <w:t>6,044</w:t>
            </w:r>
          </w:p>
        </w:tc>
        <w:tc>
          <w:tcPr>
            <w:tcW w:w="232" w:type="dxa"/>
            <w:tcBorders/>
            <w:shd w:fill="CCEEFF" w:val="clear"/>
          </w:tcPr>
          <w:p>
            <w:pPr>
              <w:pStyle w:val="TableContents"/>
              <w:bidi w:val="0"/>
              <w:spacing w:before="0" w:after="283"/>
              <w:jc w:val="left"/>
              <w:rPr/>
            </w:pPr>
            <w:r>
              <w:rPr/>
              <w:t> </w:t>
            </w:r>
          </w:p>
        </w:tc>
      </w:tr>
      <w:tr>
        <w:trPr/>
        <w:tc>
          <w:tcPr>
            <w:tcW w:w="4113" w:type="dxa"/>
            <w:tcBorders/>
          </w:tcPr>
          <w:p>
            <w:pPr>
              <w:pStyle w:val="TableContents"/>
              <w:bidi w:val="0"/>
              <w:spacing w:before="0" w:after="283"/>
              <w:jc w:val="left"/>
              <w:rPr/>
            </w:pPr>
            <w:r>
              <w:rPr/>
              <w:t> </w:t>
            </w:r>
          </w:p>
        </w:tc>
        <w:tc>
          <w:tcPr>
            <w:tcW w:w="101" w:type="dxa"/>
            <w:tcBorders/>
          </w:tcPr>
          <w:p>
            <w:pPr>
              <w:pStyle w:val="TableContents"/>
              <w:bidi w:val="0"/>
              <w:spacing w:before="0" w:after="283"/>
              <w:jc w:val="left"/>
              <w:rPr/>
            </w:pPr>
            <w:r>
              <w:rPr/>
              <w:t> </w:t>
            </w:r>
          </w:p>
        </w:tc>
        <w:tc>
          <w:tcPr>
            <w:tcW w:w="191" w:type="dxa"/>
            <w:tcBorders/>
          </w:tcPr>
          <w:p>
            <w:pPr>
              <w:pStyle w:val="TableContents"/>
              <w:bidi w:val="0"/>
              <w:spacing w:before="0" w:after="283"/>
              <w:jc w:val="left"/>
              <w:rPr/>
            </w:pPr>
            <w:r>
              <w:rPr/>
              <w:t> </w:t>
            </w:r>
          </w:p>
        </w:tc>
        <w:tc>
          <w:tcPr>
            <w:tcW w:w="2187" w:type="dxa"/>
            <w:tcBorders/>
          </w:tcPr>
          <w:p>
            <w:pPr>
              <w:pStyle w:val="TableContents"/>
              <w:bidi w:val="0"/>
              <w:spacing w:before="0" w:after="283"/>
              <w:jc w:val="left"/>
              <w:rPr/>
            </w:pPr>
            <w:r>
              <w:rPr/>
              <w:t> </w:t>
            </w:r>
          </w:p>
        </w:tc>
        <w:tc>
          <w:tcPr>
            <w:tcW w:w="208" w:type="dxa"/>
            <w:tcBorders/>
          </w:tcPr>
          <w:p>
            <w:pPr>
              <w:pStyle w:val="TableContents"/>
              <w:bidi w:val="0"/>
              <w:spacing w:before="0" w:after="283"/>
              <w:jc w:val="left"/>
              <w:rPr/>
            </w:pPr>
            <w:r>
              <w:rPr/>
              <w:t> </w:t>
            </w:r>
          </w:p>
        </w:tc>
        <w:tc>
          <w:tcPr>
            <w:tcW w:w="90" w:type="dxa"/>
            <w:tcBorders/>
          </w:tcPr>
          <w:p>
            <w:pPr>
              <w:pStyle w:val="TableContents"/>
              <w:bidi w:val="0"/>
              <w:spacing w:before="0" w:after="283"/>
              <w:jc w:val="left"/>
              <w:rPr/>
            </w:pPr>
            <w:r>
              <w:rPr/>
              <w:t> </w:t>
            </w:r>
          </w:p>
        </w:tc>
        <w:tc>
          <w:tcPr>
            <w:tcW w:w="170" w:type="dxa"/>
            <w:tcBorders/>
          </w:tcPr>
          <w:p>
            <w:pPr>
              <w:pStyle w:val="TableContents"/>
              <w:bidi w:val="0"/>
              <w:spacing w:before="0" w:after="283"/>
              <w:jc w:val="left"/>
              <w:rPr/>
            </w:pPr>
            <w:r>
              <w:rPr/>
              <w:t> </w:t>
            </w:r>
          </w:p>
        </w:tc>
        <w:tc>
          <w:tcPr>
            <w:tcW w:w="1638" w:type="dxa"/>
            <w:tcBorders/>
          </w:tcPr>
          <w:p>
            <w:pPr>
              <w:pStyle w:val="TableContents"/>
              <w:bidi w:val="0"/>
              <w:spacing w:before="0" w:after="283"/>
              <w:jc w:val="left"/>
              <w:rPr/>
            </w:pPr>
            <w:r>
              <w:rPr/>
              <w:t> </w:t>
            </w:r>
          </w:p>
        </w:tc>
        <w:tc>
          <w:tcPr>
            <w:tcW w:w="185" w:type="dxa"/>
            <w:tcBorders/>
          </w:tcPr>
          <w:p>
            <w:pPr>
              <w:pStyle w:val="TableContents"/>
              <w:bidi w:val="0"/>
              <w:spacing w:before="0" w:after="283"/>
              <w:jc w:val="left"/>
              <w:rPr/>
            </w:pPr>
            <w:r>
              <w:rPr/>
              <w:t> </w:t>
            </w:r>
          </w:p>
        </w:tc>
        <w:tc>
          <w:tcPr>
            <w:tcW w:w="90" w:type="dxa"/>
            <w:tcBorders/>
          </w:tcPr>
          <w:p>
            <w:pPr>
              <w:pStyle w:val="TableContents"/>
              <w:bidi w:val="0"/>
              <w:spacing w:before="0" w:after="283"/>
              <w:jc w:val="left"/>
              <w:rPr/>
            </w:pPr>
            <w:r>
              <w:rPr/>
              <w:t> </w:t>
            </w:r>
          </w:p>
        </w:tc>
        <w:tc>
          <w:tcPr>
            <w:tcW w:w="170" w:type="dxa"/>
            <w:tcBorders/>
          </w:tcPr>
          <w:p>
            <w:pPr>
              <w:pStyle w:val="TableContents"/>
              <w:bidi w:val="0"/>
              <w:spacing w:before="0" w:after="283"/>
              <w:jc w:val="left"/>
              <w:rPr/>
            </w:pPr>
            <w:r>
              <w:rPr/>
              <w:t> </w:t>
            </w:r>
          </w:p>
        </w:tc>
        <w:tc>
          <w:tcPr>
            <w:tcW w:w="830" w:type="dxa"/>
            <w:tcBorders/>
          </w:tcPr>
          <w:p>
            <w:pPr>
              <w:pStyle w:val="TableContents"/>
              <w:bidi w:val="0"/>
              <w:spacing w:before="0" w:after="283"/>
              <w:jc w:val="left"/>
              <w:rPr/>
            </w:pPr>
            <w:r>
              <w:rPr/>
              <w:t> </w:t>
            </w:r>
          </w:p>
        </w:tc>
        <w:tc>
          <w:tcPr>
            <w:tcW w:w="232" w:type="dxa"/>
            <w:tcBorders/>
          </w:tcPr>
          <w:p>
            <w:pPr>
              <w:pStyle w:val="TableContents"/>
              <w:bidi w:val="0"/>
              <w:spacing w:before="0" w:after="283"/>
              <w:jc w:val="left"/>
              <w:rPr/>
            </w:pPr>
            <w:r>
              <w:rPr/>
              <w:t> </w:t>
            </w:r>
          </w:p>
        </w:tc>
      </w:tr>
      <w:tr>
        <w:trPr/>
        <w:tc>
          <w:tcPr>
            <w:tcW w:w="4113" w:type="dxa"/>
            <w:tcBorders/>
            <w:shd w:fill="CCEEFF" w:val="clear"/>
          </w:tcPr>
          <w:p>
            <w:pPr>
              <w:pStyle w:val="TableContents"/>
              <w:bidi w:val="0"/>
              <w:spacing w:before="0" w:after="0"/>
              <w:jc w:val="left"/>
              <w:rPr/>
            </w:pPr>
            <w:r>
              <w:rPr/>
              <w:t>Depreciation and amortization expense</w:t>
            </w:r>
          </w:p>
        </w:tc>
        <w:tc>
          <w:tcPr>
            <w:tcW w:w="101" w:type="dxa"/>
            <w:tcBorders/>
            <w:shd w:fill="CCEEFF" w:val="clear"/>
          </w:tcPr>
          <w:p>
            <w:pPr>
              <w:pStyle w:val="TableContents"/>
              <w:bidi w:val="0"/>
              <w:spacing w:before="0" w:after="283"/>
              <w:jc w:val="left"/>
              <w:rPr/>
            </w:pPr>
            <w:r>
              <w:rPr/>
              <w:t> </w:t>
            </w:r>
          </w:p>
        </w:tc>
        <w:tc>
          <w:tcPr>
            <w:tcW w:w="191" w:type="dxa"/>
            <w:tcBorders/>
            <w:shd w:fill="CCEEFF" w:val="clear"/>
          </w:tcPr>
          <w:p>
            <w:pPr>
              <w:pStyle w:val="TableContents"/>
              <w:bidi w:val="0"/>
              <w:spacing w:before="0" w:after="283"/>
              <w:jc w:val="left"/>
              <w:rPr/>
            </w:pPr>
            <w:r>
              <w:rPr/>
              <w:t> </w:t>
            </w:r>
          </w:p>
        </w:tc>
        <w:tc>
          <w:tcPr>
            <w:tcW w:w="2187" w:type="dxa"/>
            <w:tcBorders/>
            <w:shd w:fill="CCEEFF" w:val="clear"/>
          </w:tcPr>
          <w:p>
            <w:pPr>
              <w:pStyle w:val="TableContents"/>
              <w:bidi w:val="0"/>
              <w:spacing w:before="0" w:after="283"/>
              <w:jc w:val="right"/>
              <w:rPr/>
            </w:pPr>
            <w:r>
              <w:rPr/>
              <w:t>1,161</w:t>
            </w:r>
          </w:p>
        </w:tc>
        <w:tc>
          <w:tcPr>
            <w:tcW w:w="208" w:type="dxa"/>
            <w:tcBorders/>
            <w:shd w:fill="CCEEFF" w:val="clear"/>
          </w:tcPr>
          <w:p>
            <w:pPr>
              <w:pStyle w:val="TableContents"/>
              <w:bidi w:val="0"/>
              <w:spacing w:before="0" w:after="283"/>
              <w:jc w:val="left"/>
              <w:rPr/>
            </w:pPr>
            <w:r>
              <w:rPr/>
              <w:t> </w:t>
            </w:r>
          </w:p>
        </w:tc>
        <w:tc>
          <w:tcPr>
            <w:tcW w:w="90" w:type="dxa"/>
            <w:tcBorders/>
            <w:shd w:fill="CCEEFF" w:val="clear"/>
          </w:tcPr>
          <w:p>
            <w:pPr>
              <w:pStyle w:val="TableContents"/>
              <w:bidi w:val="0"/>
              <w:spacing w:before="0" w:after="283"/>
              <w:jc w:val="left"/>
              <w:rPr/>
            </w:pPr>
            <w:r>
              <w:rPr/>
              <w:t> </w:t>
            </w:r>
          </w:p>
        </w:tc>
        <w:tc>
          <w:tcPr>
            <w:tcW w:w="170" w:type="dxa"/>
            <w:tcBorders/>
            <w:shd w:fill="CCEEFF" w:val="clear"/>
          </w:tcPr>
          <w:p>
            <w:pPr>
              <w:pStyle w:val="TableContents"/>
              <w:bidi w:val="0"/>
              <w:spacing w:before="0" w:after="283"/>
              <w:jc w:val="left"/>
              <w:rPr/>
            </w:pPr>
            <w:r>
              <w:rPr/>
              <w:t> </w:t>
            </w:r>
          </w:p>
        </w:tc>
        <w:tc>
          <w:tcPr>
            <w:tcW w:w="1638" w:type="dxa"/>
            <w:tcBorders/>
            <w:shd w:fill="CCEEFF" w:val="clear"/>
          </w:tcPr>
          <w:p>
            <w:pPr>
              <w:pStyle w:val="TableContents"/>
              <w:bidi w:val="0"/>
              <w:spacing w:before="0" w:after="283"/>
              <w:jc w:val="right"/>
              <w:rPr/>
            </w:pPr>
            <w:r>
              <w:rPr/>
              <w:t>808</w:t>
            </w:r>
          </w:p>
        </w:tc>
        <w:tc>
          <w:tcPr>
            <w:tcW w:w="185" w:type="dxa"/>
            <w:tcBorders/>
            <w:shd w:fill="CCEEFF" w:val="clear"/>
          </w:tcPr>
          <w:p>
            <w:pPr>
              <w:pStyle w:val="TableContents"/>
              <w:bidi w:val="0"/>
              <w:spacing w:before="0" w:after="283"/>
              <w:jc w:val="left"/>
              <w:rPr/>
            </w:pPr>
            <w:r>
              <w:rPr/>
              <w:t> </w:t>
            </w:r>
          </w:p>
        </w:tc>
        <w:tc>
          <w:tcPr>
            <w:tcW w:w="90" w:type="dxa"/>
            <w:tcBorders/>
            <w:shd w:fill="CCEEFF" w:val="clear"/>
          </w:tcPr>
          <w:p>
            <w:pPr>
              <w:pStyle w:val="TableContents"/>
              <w:bidi w:val="0"/>
              <w:spacing w:before="0" w:after="283"/>
              <w:jc w:val="left"/>
              <w:rPr/>
            </w:pPr>
            <w:r>
              <w:rPr/>
              <w:t> </w:t>
            </w:r>
          </w:p>
        </w:tc>
        <w:tc>
          <w:tcPr>
            <w:tcW w:w="170" w:type="dxa"/>
            <w:tcBorders/>
            <w:shd w:fill="CCEEFF" w:val="clear"/>
          </w:tcPr>
          <w:p>
            <w:pPr>
              <w:pStyle w:val="TableContents"/>
              <w:bidi w:val="0"/>
              <w:spacing w:before="0" w:after="283"/>
              <w:jc w:val="left"/>
              <w:rPr/>
            </w:pPr>
            <w:r>
              <w:rPr/>
              <w:t> </w:t>
            </w:r>
          </w:p>
        </w:tc>
        <w:tc>
          <w:tcPr>
            <w:tcW w:w="830" w:type="dxa"/>
            <w:tcBorders/>
            <w:shd w:fill="CCEEFF" w:val="clear"/>
          </w:tcPr>
          <w:p>
            <w:pPr>
              <w:pStyle w:val="TableContents"/>
              <w:bidi w:val="0"/>
              <w:spacing w:before="0" w:after="283"/>
              <w:jc w:val="right"/>
              <w:rPr/>
            </w:pPr>
            <w:r>
              <w:rPr/>
              <w:t>1,969</w:t>
            </w:r>
          </w:p>
        </w:tc>
        <w:tc>
          <w:tcPr>
            <w:tcW w:w="232" w:type="dxa"/>
            <w:tcBorders/>
            <w:shd w:fill="CCEEFF" w:val="clear"/>
          </w:tcPr>
          <w:p>
            <w:pPr>
              <w:pStyle w:val="TableContents"/>
              <w:bidi w:val="0"/>
              <w:spacing w:before="0" w:after="283"/>
              <w:jc w:val="left"/>
              <w:rPr/>
            </w:pPr>
            <w:r>
              <w:rPr/>
              <w:t> </w:t>
            </w:r>
          </w:p>
        </w:tc>
      </w:tr>
      <w:tr>
        <w:trPr/>
        <w:tc>
          <w:tcPr>
            <w:tcW w:w="4113" w:type="dxa"/>
            <w:tcBorders/>
          </w:tcPr>
          <w:p>
            <w:pPr>
              <w:pStyle w:val="TableContents"/>
              <w:bidi w:val="0"/>
              <w:spacing w:before="0" w:after="283"/>
              <w:jc w:val="left"/>
              <w:rPr/>
            </w:pPr>
            <w:r>
              <w:rPr/>
              <w:t> </w:t>
            </w:r>
          </w:p>
        </w:tc>
        <w:tc>
          <w:tcPr>
            <w:tcW w:w="101" w:type="dxa"/>
            <w:tcBorders/>
          </w:tcPr>
          <w:p>
            <w:pPr>
              <w:pStyle w:val="TableContents"/>
              <w:bidi w:val="0"/>
              <w:spacing w:before="0" w:after="283"/>
              <w:jc w:val="left"/>
              <w:rPr/>
            </w:pPr>
            <w:r>
              <w:rPr/>
              <w:t> </w:t>
            </w:r>
          </w:p>
        </w:tc>
        <w:tc>
          <w:tcPr>
            <w:tcW w:w="191" w:type="dxa"/>
            <w:tcBorders/>
          </w:tcPr>
          <w:p>
            <w:pPr>
              <w:pStyle w:val="TableContents"/>
              <w:bidi w:val="0"/>
              <w:spacing w:before="0" w:after="283"/>
              <w:jc w:val="left"/>
              <w:rPr/>
            </w:pPr>
            <w:r>
              <w:rPr/>
              <w:t> </w:t>
            </w:r>
          </w:p>
        </w:tc>
        <w:tc>
          <w:tcPr>
            <w:tcW w:w="2187" w:type="dxa"/>
            <w:tcBorders/>
          </w:tcPr>
          <w:p>
            <w:pPr>
              <w:pStyle w:val="TableContents"/>
              <w:bidi w:val="0"/>
              <w:spacing w:before="0" w:after="283"/>
              <w:jc w:val="left"/>
              <w:rPr/>
            </w:pPr>
            <w:r>
              <w:rPr/>
              <w:t> </w:t>
            </w:r>
          </w:p>
        </w:tc>
        <w:tc>
          <w:tcPr>
            <w:tcW w:w="208" w:type="dxa"/>
            <w:tcBorders/>
          </w:tcPr>
          <w:p>
            <w:pPr>
              <w:pStyle w:val="TableContents"/>
              <w:bidi w:val="0"/>
              <w:spacing w:before="0" w:after="283"/>
              <w:jc w:val="left"/>
              <w:rPr/>
            </w:pPr>
            <w:r>
              <w:rPr/>
              <w:t> </w:t>
            </w:r>
          </w:p>
        </w:tc>
        <w:tc>
          <w:tcPr>
            <w:tcW w:w="90" w:type="dxa"/>
            <w:tcBorders/>
          </w:tcPr>
          <w:p>
            <w:pPr>
              <w:pStyle w:val="TableContents"/>
              <w:bidi w:val="0"/>
              <w:spacing w:before="0" w:after="283"/>
              <w:jc w:val="left"/>
              <w:rPr/>
            </w:pPr>
            <w:r>
              <w:rPr/>
              <w:t> </w:t>
            </w:r>
          </w:p>
        </w:tc>
        <w:tc>
          <w:tcPr>
            <w:tcW w:w="170" w:type="dxa"/>
            <w:tcBorders/>
          </w:tcPr>
          <w:p>
            <w:pPr>
              <w:pStyle w:val="TableContents"/>
              <w:bidi w:val="0"/>
              <w:spacing w:before="0" w:after="283"/>
              <w:jc w:val="left"/>
              <w:rPr/>
            </w:pPr>
            <w:r>
              <w:rPr/>
              <w:t> </w:t>
            </w:r>
          </w:p>
        </w:tc>
        <w:tc>
          <w:tcPr>
            <w:tcW w:w="1638" w:type="dxa"/>
            <w:tcBorders/>
          </w:tcPr>
          <w:p>
            <w:pPr>
              <w:pStyle w:val="TableContents"/>
              <w:bidi w:val="0"/>
              <w:spacing w:before="0" w:after="283"/>
              <w:jc w:val="left"/>
              <w:rPr/>
            </w:pPr>
            <w:r>
              <w:rPr/>
              <w:t> </w:t>
            </w:r>
          </w:p>
        </w:tc>
        <w:tc>
          <w:tcPr>
            <w:tcW w:w="185" w:type="dxa"/>
            <w:tcBorders/>
          </w:tcPr>
          <w:p>
            <w:pPr>
              <w:pStyle w:val="TableContents"/>
              <w:bidi w:val="0"/>
              <w:spacing w:before="0" w:after="283"/>
              <w:jc w:val="left"/>
              <w:rPr/>
            </w:pPr>
            <w:r>
              <w:rPr/>
              <w:t> </w:t>
            </w:r>
          </w:p>
        </w:tc>
        <w:tc>
          <w:tcPr>
            <w:tcW w:w="90" w:type="dxa"/>
            <w:tcBorders/>
          </w:tcPr>
          <w:p>
            <w:pPr>
              <w:pStyle w:val="TableContents"/>
              <w:bidi w:val="0"/>
              <w:spacing w:before="0" w:after="283"/>
              <w:jc w:val="left"/>
              <w:rPr/>
            </w:pPr>
            <w:r>
              <w:rPr/>
              <w:t> </w:t>
            </w:r>
          </w:p>
        </w:tc>
        <w:tc>
          <w:tcPr>
            <w:tcW w:w="170" w:type="dxa"/>
            <w:tcBorders/>
          </w:tcPr>
          <w:p>
            <w:pPr>
              <w:pStyle w:val="TableContents"/>
              <w:bidi w:val="0"/>
              <w:spacing w:before="0" w:after="283"/>
              <w:jc w:val="left"/>
              <w:rPr/>
            </w:pPr>
            <w:r>
              <w:rPr/>
              <w:t> </w:t>
            </w:r>
          </w:p>
        </w:tc>
        <w:tc>
          <w:tcPr>
            <w:tcW w:w="830" w:type="dxa"/>
            <w:tcBorders/>
          </w:tcPr>
          <w:p>
            <w:pPr>
              <w:pStyle w:val="TableContents"/>
              <w:bidi w:val="0"/>
              <w:spacing w:before="0" w:after="283"/>
              <w:jc w:val="left"/>
              <w:rPr/>
            </w:pPr>
            <w:r>
              <w:rPr/>
              <w:t> </w:t>
            </w:r>
          </w:p>
        </w:tc>
        <w:tc>
          <w:tcPr>
            <w:tcW w:w="232" w:type="dxa"/>
            <w:tcBorders/>
          </w:tcPr>
          <w:p>
            <w:pPr>
              <w:pStyle w:val="TableContents"/>
              <w:bidi w:val="0"/>
              <w:spacing w:before="0" w:after="283"/>
              <w:jc w:val="left"/>
              <w:rPr/>
            </w:pPr>
            <w:r>
              <w:rPr/>
              <w:t> </w:t>
            </w:r>
          </w:p>
        </w:tc>
      </w:tr>
      <w:tr>
        <w:trPr/>
        <w:tc>
          <w:tcPr>
            <w:tcW w:w="4113" w:type="dxa"/>
            <w:tcBorders/>
            <w:shd w:fill="CCEEFF" w:val="clear"/>
          </w:tcPr>
          <w:p>
            <w:pPr>
              <w:pStyle w:val="TableContents"/>
              <w:bidi w:val="0"/>
              <w:spacing w:before="0" w:after="0"/>
              <w:jc w:val="left"/>
              <w:rPr/>
            </w:pPr>
            <w:r>
              <w:rPr/>
              <w:t>General and administrative expense</w:t>
            </w:r>
          </w:p>
        </w:tc>
        <w:tc>
          <w:tcPr>
            <w:tcW w:w="101" w:type="dxa"/>
            <w:tcBorders/>
            <w:shd w:fill="CCEEFF" w:val="clear"/>
          </w:tcPr>
          <w:p>
            <w:pPr>
              <w:pStyle w:val="TableContents"/>
              <w:bidi w:val="0"/>
              <w:spacing w:before="0" w:after="283"/>
              <w:jc w:val="left"/>
              <w:rPr/>
            </w:pPr>
            <w:r>
              <w:rPr/>
              <w:t> </w:t>
            </w:r>
          </w:p>
        </w:tc>
        <w:tc>
          <w:tcPr>
            <w:tcW w:w="191" w:type="dxa"/>
            <w:tcBorders/>
            <w:shd w:fill="CCEEFF" w:val="clear"/>
          </w:tcPr>
          <w:p>
            <w:pPr>
              <w:pStyle w:val="TableContents"/>
              <w:bidi w:val="0"/>
              <w:spacing w:before="0" w:after="283"/>
              <w:jc w:val="left"/>
              <w:rPr/>
            </w:pPr>
            <w:r>
              <w:rPr/>
              <w:t> </w:t>
            </w:r>
          </w:p>
        </w:tc>
        <w:tc>
          <w:tcPr>
            <w:tcW w:w="2187" w:type="dxa"/>
            <w:tcBorders/>
            <w:shd w:fill="CCEEFF" w:val="clear"/>
          </w:tcPr>
          <w:p>
            <w:pPr>
              <w:pStyle w:val="TableContents"/>
              <w:bidi w:val="0"/>
              <w:spacing w:before="0" w:after="283"/>
              <w:jc w:val="right"/>
              <w:rPr/>
            </w:pPr>
            <w:r>
              <w:rPr/>
              <w:t>8,495</w:t>
            </w:r>
          </w:p>
        </w:tc>
        <w:tc>
          <w:tcPr>
            <w:tcW w:w="208" w:type="dxa"/>
            <w:tcBorders/>
            <w:shd w:fill="CCEEFF" w:val="clear"/>
          </w:tcPr>
          <w:p>
            <w:pPr>
              <w:pStyle w:val="TableContents"/>
              <w:bidi w:val="0"/>
              <w:spacing w:before="0" w:after="283"/>
              <w:jc w:val="left"/>
              <w:rPr/>
            </w:pPr>
            <w:r>
              <w:rPr/>
              <w:t> </w:t>
            </w:r>
          </w:p>
        </w:tc>
        <w:tc>
          <w:tcPr>
            <w:tcW w:w="90" w:type="dxa"/>
            <w:tcBorders/>
            <w:shd w:fill="CCEEFF" w:val="clear"/>
          </w:tcPr>
          <w:p>
            <w:pPr>
              <w:pStyle w:val="TableContents"/>
              <w:bidi w:val="0"/>
              <w:spacing w:before="0" w:after="283"/>
              <w:jc w:val="left"/>
              <w:rPr/>
            </w:pPr>
            <w:r>
              <w:rPr/>
              <w:t> </w:t>
            </w:r>
          </w:p>
        </w:tc>
        <w:tc>
          <w:tcPr>
            <w:tcW w:w="170" w:type="dxa"/>
            <w:tcBorders/>
            <w:shd w:fill="CCEEFF" w:val="clear"/>
          </w:tcPr>
          <w:p>
            <w:pPr>
              <w:pStyle w:val="TableContents"/>
              <w:bidi w:val="0"/>
              <w:spacing w:before="0" w:after="283"/>
              <w:jc w:val="left"/>
              <w:rPr/>
            </w:pPr>
            <w:r>
              <w:rPr/>
              <w:t> </w:t>
            </w:r>
          </w:p>
        </w:tc>
        <w:tc>
          <w:tcPr>
            <w:tcW w:w="1638" w:type="dxa"/>
            <w:tcBorders/>
            <w:shd w:fill="CCEEFF" w:val="clear"/>
          </w:tcPr>
          <w:p>
            <w:pPr>
              <w:pStyle w:val="TableContents"/>
              <w:bidi w:val="0"/>
              <w:spacing w:before="0" w:after="283"/>
              <w:jc w:val="right"/>
              <w:rPr/>
            </w:pPr>
            <w:r>
              <w:rPr/>
              <w:t xml:space="preserve">- </w:t>
            </w:r>
          </w:p>
        </w:tc>
        <w:tc>
          <w:tcPr>
            <w:tcW w:w="185" w:type="dxa"/>
            <w:tcBorders/>
            <w:shd w:fill="CCEEFF" w:val="clear"/>
          </w:tcPr>
          <w:p>
            <w:pPr>
              <w:pStyle w:val="TableContents"/>
              <w:bidi w:val="0"/>
              <w:spacing w:before="0" w:after="283"/>
              <w:jc w:val="left"/>
              <w:rPr/>
            </w:pPr>
            <w:r>
              <w:rPr/>
              <w:t> </w:t>
            </w:r>
          </w:p>
        </w:tc>
        <w:tc>
          <w:tcPr>
            <w:tcW w:w="90" w:type="dxa"/>
            <w:tcBorders/>
            <w:shd w:fill="CCEEFF" w:val="clear"/>
          </w:tcPr>
          <w:p>
            <w:pPr>
              <w:pStyle w:val="TableContents"/>
              <w:bidi w:val="0"/>
              <w:spacing w:before="0" w:after="283"/>
              <w:jc w:val="left"/>
              <w:rPr/>
            </w:pPr>
            <w:r>
              <w:rPr/>
              <w:t> </w:t>
            </w:r>
          </w:p>
        </w:tc>
        <w:tc>
          <w:tcPr>
            <w:tcW w:w="170" w:type="dxa"/>
            <w:tcBorders/>
            <w:shd w:fill="CCEEFF" w:val="clear"/>
          </w:tcPr>
          <w:p>
            <w:pPr>
              <w:pStyle w:val="TableContents"/>
              <w:bidi w:val="0"/>
              <w:spacing w:before="0" w:after="283"/>
              <w:jc w:val="left"/>
              <w:rPr/>
            </w:pPr>
            <w:r>
              <w:rPr/>
              <w:t> </w:t>
            </w:r>
          </w:p>
        </w:tc>
        <w:tc>
          <w:tcPr>
            <w:tcW w:w="830" w:type="dxa"/>
            <w:tcBorders/>
            <w:shd w:fill="CCEEFF" w:val="clear"/>
          </w:tcPr>
          <w:p>
            <w:pPr>
              <w:pStyle w:val="TableContents"/>
              <w:bidi w:val="0"/>
              <w:spacing w:before="0" w:after="283"/>
              <w:jc w:val="right"/>
              <w:rPr/>
            </w:pPr>
            <w:r>
              <w:rPr/>
              <w:t>8,495</w:t>
            </w:r>
          </w:p>
        </w:tc>
        <w:tc>
          <w:tcPr>
            <w:tcW w:w="232" w:type="dxa"/>
            <w:tcBorders/>
            <w:shd w:fill="CCEEFF" w:val="clear"/>
          </w:tcPr>
          <w:p>
            <w:pPr>
              <w:pStyle w:val="TableContents"/>
              <w:bidi w:val="0"/>
              <w:spacing w:before="0" w:after="283"/>
              <w:jc w:val="left"/>
              <w:rPr/>
            </w:pPr>
            <w:r>
              <w:rPr/>
              <w:t> </w:t>
            </w:r>
          </w:p>
        </w:tc>
      </w:tr>
      <w:tr>
        <w:trPr/>
        <w:tc>
          <w:tcPr>
            <w:tcW w:w="4113" w:type="dxa"/>
            <w:tcBorders/>
          </w:tcPr>
          <w:p>
            <w:pPr>
              <w:pStyle w:val="TableContents"/>
              <w:bidi w:val="0"/>
              <w:spacing w:before="0" w:after="283"/>
              <w:jc w:val="left"/>
              <w:rPr/>
            </w:pPr>
            <w:r>
              <w:rPr/>
              <w:t> </w:t>
            </w:r>
          </w:p>
        </w:tc>
        <w:tc>
          <w:tcPr>
            <w:tcW w:w="101" w:type="dxa"/>
            <w:tcBorders/>
          </w:tcPr>
          <w:p>
            <w:pPr>
              <w:pStyle w:val="TableContents"/>
              <w:bidi w:val="0"/>
              <w:spacing w:before="0" w:after="283"/>
              <w:jc w:val="left"/>
              <w:rPr/>
            </w:pPr>
            <w:r>
              <w:rPr/>
              <w:t> </w:t>
            </w:r>
          </w:p>
        </w:tc>
        <w:tc>
          <w:tcPr>
            <w:tcW w:w="191" w:type="dxa"/>
            <w:tcBorders/>
          </w:tcPr>
          <w:p>
            <w:pPr>
              <w:pStyle w:val="TableContents"/>
              <w:bidi w:val="0"/>
              <w:spacing w:before="0" w:after="283"/>
              <w:jc w:val="left"/>
              <w:rPr/>
            </w:pPr>
            <w:r>
              <w:rPr/>
              <w:t> </w:t>
            </w:r>
          </w:p>
        </w:tc>
        <w:tc>
          <w:tcPr>
            <w:tcW w:w="2187" w:type="dxa"/>
            <w:tcBorders/>
          </w:tcPr>
          <w:p>
            <w:pPr>
              <w:pStyle w:val="TableContents"/>
              <w:bidi w:val="0"/>
              <w:spacing w:before="0" w:after="283"/>
              <w:jc w:val="left"/>
              <w:rPr/>
            </w:pPr>
            <w:r>
              <w:rPr/>
              <w:t> </w:t>
            </w:r>
          </w:p>
        </w:tc>
        <w:tc>
          <w:tcPr>
            <w:tcW w:w="208" w:type="dxa"/>
            <w:tcBorders/>
          </w:tcPr>
          <w:p>
            <w:pPr>
              <w:pStyle w:val="TableContents"/>
              <w:bidi w:val="0"/>
              <w:spacing w:before="0" w:after="283"/>
              <w:jc w:val="left"/>
              <w:rPr/>
            </w:pPr>
            <w:r>
              <w:rPr/>
              <w:t> </w:t>
            </w:r>
          </w:p>
        </w:tc>
        <w:tc>
          <w:tcPr>
            <w:tcW w:w="90" w:type="dxa"/>
            <w:tcBorders/>
          </w:tcPr>
          <w:p>
            <w:pPr>
              <w:pStyle w:val="TableContents"/>
              <w:bidi w:val="0"/>
              <w:spacing w:before="0" w:after="283"/>
              <w:jc w:val="left"/>
              <w:rPr/>
            </w:pPr>
            <w:r>
              <w:rPr/>
              <w:t> </w:t>
            </w:r>
          </w:p>
        </w:tc>
        <w:tc>
          <w:tcPr>
            <w:tcW w:w="170" w:type="dxa"/>
            <w:tcBorders/>
          </w:tcPr>
          <w:p>
            <w:pPr>
              <w:pStyle w:val="TableContents"/>
              <w:bidi w:val="0"/>
              <w:spacing w:before="0" w:after="283"/>
              <w:jc w:val="left"/>
              <w:rPr/>
            </w:pPr>
            <w:r>
              <w:rPr/>
              <w:t> </w:t>
            </w:r>
          </w:p>
        </w:tc>
        <w:tc>
          <w:tcPr>
            <w:tcW w:w="1638" w:type="dxa"/>
            <w:tcBorders/>
          </w:tcPr>
          <w:p>
            <w:pPr>
              <w:pStyle w:val="TableContents"/>
              <w:bidi w:val="0"/>
              <w:spacing w:before="0" w:after="283"/>
              <w:jc w:val="left"/>
              <w:rPr/>
            </w:pPr>
            <w:r>
              <w:rPr/>
              <w:t> </w:t>
            </w:r>
          </w:p>
        </w:tc>
        <w:tc>
          <w:tcPr>
            <w:tcW w:w="185" w:type="dxa"/>
            <w:tcBorders/>
          </w:tcPr>
          <w:p>
            <w:pPr>
              <w:pStyle w:val="TableContents"/>
              <w:bidi w:val="0"/>
              <w:spacing w:before="0" w:after="283"/>
              <w:jc w:val="left"/>
              <w:rPr/>
            </w:pPr>
            <w:r>
              <w:rPr/>
              <w:t> </w:t>
            </w:r>
          </w:p>
        </w:tc>
        <w:tc>
          <w:tcPr>
            <w:tcW w:w="90" w:type="dxa"/>
            <w:tcBorders/>
          </w:tcPr>
          <w:p>
            <w:pPr>
              <w:pStyle w:val="TableContents"/>
              <w:bidi w:val="0"/>
              <w:spacing w:before="0" w:after="283"/>
              <w:jc w:val="left"/>
              <w:rPr/>
            </w:pPr>
            <w:r>
              <w:rPr/>
              <w:t> </w:t>
            </w:r>
          </w:p>
        </w:tc>
        <w:tc>
          <w:tcPr>
            <w:tcW w:w="170" w:type="dxa"/>
            <w:tcBorders/>
          </w:tcPr>
          <w:p>
            <w:pPr>
              <w:pStyle w:val="TableContents"/>
              <w:bidi w:val="0"/>
              <w:spacing w:before="0" w:after="283"/>
              <w:jc w:val="left"/>
              <w:rPr/>
            </w:pPr>
            <w:r>
              <w:rPr/>
              <w:t> </w:t>
            </w:r>
          </w:p>
        </w:tc>
        <w:tc>
          <w:tcPr>
            <w:tcW w:w="830" w:type="dxa"/>
            <w:tcBorders/>
          </w:tcPr>
          <w:p>
            <w:pPr>
              <w:pStyle w:val="TableContents"/>
              <w:bidi w:val="0"/>
              <w:spacing w:before="0" w:after="283"/>
              <w:jc w:val="left"/>
              <w:rPr/>
            </w:pPr>
            <w:r>
              <w:rPr/>
              <w:t> </w:t>
            </w:r>
          </w:p>
        </w:tc>
        <w:tc>
          <w:tcPr>
            <w:tcW w:w="232" w:type="dxa"/>
            <w:tcBorders/>
          </w:tcPr>
          <w:p>
            <w:pPr>
              <w:pStyle w:val="TableContents"/>
              <w:bidi w:val="0"/>
              <w:spacing w:before="0" w:after="283"/>
              <w:jc w:val="left"/>
              <w:rPr/>
            </w:pPr>
            <w:r>
              <w:rPr/>
              <w:t> </w:t>
            </w:r>
          </w:p>
        </w:tc>
      </w:tr>
      <w:tr>
        <w:trPr/>
        <w:tc>
          <w:tcPr>
            <w:tcW w:w="4113" w:type="dxa"/>
            <w:tcBorders/>
            <w:shd w:fill="CCEEFF" w:val="clear"/>
          </w:tcPr>
          <w:p>
            <w:pPr>
              <w:pStyle w:val="TableContents"/>
              <w:bidi w:val="0"/>
              <w:spacing w:before="0" w:after="0"/>
              <w:jc w:val="left"/>
              <w:rPr/>
            </w:pPr>
            <w:r>
              <w:rPr/>
              <w:t>Other expense, net</w:t>
            </w:r>
          </w:p>
        </w:tc>
        <w:tc>
          <w:tcPr>
            <w:tcW w:w="101" w:type="dxa"/>
            <w:tcBorders/>
            <w:shd w:fill="CCEEFF" w:val="clear"/>
          </w:tcPr>
          <w:p>
            <w:pPr>
              <w:pStyle w:val="TableContents"/>
              <w:bidi w:val="0"/>
              <w:spacing w:before="0" w:after="283"/>
              <w:jc w:val="left"/>
              <w:rPr/>
            </w:pPr>
            <w:r>
              <w:rPr/>
              <w:t> </w:t>
            </w:r>
          </w:p>
        </w:tc>
        <w:tc>
          <w:tcPr>
            <w:tcW w:w="191" w:type="dxa"/>
            <w:tcBorders/>
            <w:shd w:fill="CCEEFF" w:val="clear"/>
          </w:tcPr>
          <w:p>
            <w:pPr>
              <w:pStyle w:val="TableContents"/>
              <w:bidi w:val="0"/>
              <w:spacing w:before="0" w:after="283"/>
              <w:jc w:val="left"/>
              <w:rPr/>
            </w:pPr>
            <w:r>
              <w:rPr/>
              <w:t> </w:t>
            </w:r>
          </w:p>
        </w:tc>
        <w:tc>
          <w:tcPr>
            <w:tcW w:w="2187" w:type="dxa"/>
            <w:tcBorders/>
            <w:shd w:fill="CCEEFF" w:val="clear"/>
          </w:tcPr>
          <w:p>
            <w:pPr>
              <w:pStyle w:val="TableContents"/>
              <w:bidi w:val="0"/>
              <w:spacing w:before="0" w:after="283"/>
              <w:jc w:val="right"/>
              <w:rPr/>
            </w:pPr>
            <w:r>
              <w:rPr/>
              <w:t>(64</w:t>
            </w:r>
          </w:p>
        </w:tc>
        <w:tc>
          <w:tcPr>
            <w:tcW w:w="208" w:type="dxa"/>
            <w:tcBorders/>
            <w:shd w:fill="CCEEFF" w:val="clear"/>
          </w:tcPr>
          <w:p>
            <w:pPr>
              <w:pStyle w:val="TableContents"/>
              <w:bidi w:val="0"/>
              <w:spacing w:before="0" w:after="283"/>
              <w:jc w:val="left"/>
              <w:rPr/>
            </w:pPr>
            <w:r>
              <w:rPr/>
              <w:t>) </w:t>
            </w:r>
          </w:p>
        </w:tc>
        <w:tc>
          <w:tcPr>
            <w:tcW w:w="90" w:type="dxa"/>
            <w:tcBorders/>
            <w:shd w:fill="CCEEFF" w:val="clear"/>
          </w:tcPr>
          <w:p>
            <w:pPr>
              <w:pStyle w:val="TableContents"/>
              <w:bidi w:val="0"/>
              <w:spacing w:before="0" w:after="283"/>
              <w:jc w:val="left"/>
              <w:rPr/>
            </w:pPr>
            <w:r>
              <w:rPr/>
              <w:t> </w:t>
            </w:r>
          </w:p>
        </w:tc>
        <w:tc>
          <w:tcPr>
            <w:tcW w:w="170" w:type="dxa"/>
            <w:tcBorders/>
            <w:shd w:fill="CCEEFF" w:val="clear"/>
          </w:tcPr>
          <w:p>
            <w:pPr>
              <w:pStyle w:val="TableContents"/>
              <w:bidi w:val="0"/>
              <w:spacing w:before="0" w:after="283"/>
              <w:jc w:val="left"/>
              <w:rPr/>
            </w:pPr>
            <w:r>
              <w:rPr/>
              <w:t> </w:t>
            </w:r>
          </w:p>
        </w:tc>
        <w:tc>
          <w:tcPr>
            <w:tcW w:w="1638" w:type="dxa"/>
            <w:tcBorders/>
            <w:shd w:fill="CCEEFF" w:val="clear"/>
          </w:tcPr>
          <w:p>
            <w:pPr>
              <w:pStyle w:val="TableContents"/>
              <w:bidi w:val="0"/>
              <w:spacing w:before="0" w:after="283"/>
              <w:jc w:val="right"/>
              <w:rPr/>
            </w:pPr>
            <w:r>
              <w:rPr/>
              <w:t xml:space="preserve">- </w:t>
            </w:r>
          </w:p>
        </w:tc>
        <w:tc>
          <w:tcPr>
            <w:tcW w:w="185" w:type="dxa"/>
            <w:tcBorders/>
            <w:shd w:fill="CCEEFF" w:val="clear"/>
          </w:tcPr>
          <w:p>
            <w:pPr>
              <w:pStyle w:val="TableContents"/>
              <w:bidi w:val="0"/>
              <w:spacing w:before="0" w:after="283"/>
              <w:jc w:val="left"/>
              <w:rPr/>
            </w:pPr>
            <w:r>
              <w:rPr/>
              <w:t> </w:t>
            </w:r>
          </w:p>
        </w:tc>
        <w:tc>
          <w:tcPr>
            <w:tcW w:w="90" w:type="dxa"/>
            <w:tcBorders/>
            <w:shd w:fill="CCEEFF" w:val="clear"/>
          </w:tcPr>
          <w:p>
            <w:pPr>
              <w:pStyle w:val="TableContents"/>
              <w:bidi w:val="0"/>
              <w:spacing w:before="0" w:after="283"/>
              <w:jc w:val="left"/>
              <w:rPr/>
            </w:pPr>
            <w:r>
              <w:rPr/>
              <w:t> </w:t>
            </w:r>
          </w:p>
        </w:tc>
        <w:tc>
          <w:tcPr>
            <w:tcW w:w="170" w:type="dxa"/>
            <w:tcBorders/>
            <w:shd w:fill="CCEEFF" w:val="clear"/>
          </w:tcPr>
          <w:p>
            <w:pPr>
              <w:pStyle w:val="TableContents"/>
              <w:bidi w:val="0"/>
              <w:spacing w:before="0" w:after="283"/>
              <w:jc w:val="left"/>
              <w:rPr/>
            </w:pPr>
            <w:r>
              <w:rPr/>
              <w:t> </w:t>
            </w:r>
          </w:p>
        </w:tc>
        <w:tc>
          <w:tcPr>
            <w:tcW w:w="830" w:type="dxa"/>
            <w:tcBorders/>
            <w:shd w:fill="CCEEFF" w:val="clear"/>
          </w:tcPr>
          <w:p>
            <w:pPr>
              <w:pStyle w:val="TableContents"/>
              <w:bidi w:val="0"/>
              <w:spacing w:before="0" w:after="283"/>
              <w:jc w:val="right"/>
              <w:rPr/>
            </w:pPr>
            <w:r>
              <w:rPr/>
              <w:t>(64</w:t>
            </w:r>
          </w:p>
        </w:tc>
        <w:tc>
          <w:tcPr>
            <w:tcW w:w="232" w:type="dxa"/>
            <w:tcBorders/>
            <w:shd w:fill="CCEEFF" w:val="clear"/>
          </w:tcPr>
          <w:p>
            <w:pPr>
              <w:pStyle w:val="TableContents"/>
              <w:bidi w:val="0"/>
              <w:spacing w:before="0" w:after="283"/>
              <w:jc w:val="left"/>
              <w:rPr/>
            </w:pPr>
            <w:r>
              <w:rPr/>
              <w:t>) </w:t>
            </w:r>
          </w:p>
        </w:tc>
      </w:tr>
      <w:tr>
        <w:trPr/>
        <w:tc>
          <w:tcPr>
            <w:tcW w:w="4113" w:type="dxa"/>
            <w:tcBorders/>
          </w:tcPr>
          <w:p>
            <w:pPr>
              <w:pStyle w:val="TableContents"/>
              <w:bidi w:val="0"/>
              <w:spacing w:before="0" w:after="283"/>
              <w:jc w:val="left"/>
              <w:rPr/>
            </w:pPr>
            <w:r>
              <w:rPr/>
              <w:t> </w:t>
            </w:r>
          </w:p>
        </w:tc>
        <w:tc>
          <w:tcPr>
            <w:tcW w:w="101" w:type="dxa"/>
            <w:tcBorders/>
          </w:tcPr>
          <w:p>
            <w:pPr>
              <w:pStyle w:val="TableContents"/>
              <w:bidi w:val="0"/>
              <w:spacing w:before="0" w:after="283"/>
              <w:jc w:val="left"/>
              <w:rPr/>
            </w:pPr>
            <w:r>
              <w:rPr/>
              <w:t> </w:t>
            </w:r>
          </w:p>
        </w:tc>
        <w:tc>
          <w:tcPr>
            <w:tcW w:w="191" w:type="dxa"/>
            <w:tcBorders/>
          </w:tcPr>
          <w:p>
            <w:pPr>
              <w:pStyle w:val="TableContents"/>
              <w:bidi w:val="0"/>
              <w:spacing w:before="0" w:after="283"/>
              <w:jc w:val="left"/>
              <w:rPr/>
            </w:pPr>
            <w:r>
              <w:rPr/>
              <w:t> </w:t>
            </w:r>
          </w:p>
        </w:tc>
        <w:tc>
          <w:tcPr>
            <w:tcW w:w="2187" w:type="dxa"/>
            <w:tcBorders/>
          </w:tcPr>
          <w:p>
            <w:pPr>
              <w:pStyle w:val="TableContents"/>
              <w:bidi w:val="0"/>
              <w:spacing w:before="0" w:after="283"/>
              <w:jc w:val="left"/>
              <w:rPr/>
            </w:pPr>
            <w:r>
              <w:rPr/>
              <w:t> </w:t>
            </w:r>
          </w:p>
        </w:tc>
        <w:tc>
          <w:tcPr>
            <w:tcW w:w="208" w:type="dxa"/>
            <w:tcBorders/>
          </w:tcPr>
          <w:p>
            <w:pPr>
              <w:pStyle w:val="TableContents"/>
              <w:bidi w:val="0"/>
              <w:spacing w:before="0" w:after="283"/>
              <w:jc w:val="left"/>
              <w:rPr/>
            </w:pPr>
            <w:r>
              <w:rPr/>
              <w:t> </w:t>
            </w:r>
          </w:p>
        </w:tc>
        <w:tc>
          <w:tcPr>
            <w:tcW w:w="90" w:type="dxa"/>
            <w:tcBorders/>
          </w:tcPr>
          <w:p>
            <w:pPr>
              <w:pStyle w:val="TableContents"/>
              <w:bidi w:val="0"/>
              <w:spacing w:before="0" w:after="283"/>
              <w:jc w:val="left"/>
              <w:rPr/>
            </w:pPr>
            <w:r>
              <w:rPr/>
              <w:t> </w:t>
            </w:r>
          </w:p>
        </w:tc>
        <w:tc>
          <w:tcPr>
            <w:tcW w:w="170" w:type="dxa"/>
            <w:tcBorders/>
          </w:tcPr>
          <w:p>
            <w:pPr>
              <w:pStyle w:val="TableContents"/>
              <w:bidi w:val="0"/>
              <w:spacing w:before="0" w:after="283"/>
              <w:jc w:val="left"/>
              <w:rPr/>
            </w:pPr>
            <w:r>
              <w:rPr/>
              <w:t> </w:t>
            </w:r>
          </w:p>
        </w:tc>
        <w:tc>
          <w:tcPr>
            <w:tcW w:w="1638" w:type="dxa"/>
            <w:tcBorders/>
          </w:tcPr>
          <w:p>
            <w:pPr>
              <w:pStyle w:val="TableContents"/>
              <w:bidi w:val="0"/>
              <w:spacing w:before="0" w:after="283"/>
              <w:jc w:val="left"/>
              <w:rPr/>
            </w:pPr>
            <w:r>
              <w:rPr/>
              <w:t> </w:t>
            </w:r>
          </w:p>
        </w:tc>
        <w:tc>
          <w:tcPr>
            <w:tcW w:w="185" w:type="dxa"/>
            <w:tcBorders/>
          </w:tcPr>
          <w:p>
            <w:pPr>
              <w:pStyle w:val="TableContents"/>
              <w:bidi w:val="0"/>
              <w:spacing w:before="0" w:after="283"/>
              <w:jc w:val="left"/>
              <w:rPr/>
            </w:pPr>
            <w:r>
              <w:rPr/>
              <w:t> </w:t>
            </w:r>
          </w:p>
        </w:tc>
        <w:tc>
          <w:tcPr>
            <w:tcW w:w="90" w:type="dxa"/>
            <w:tcBorders/>
          </w:tcPr>
          <w:p>
            <w:pPr>
              <w:pStyle w:val="TableContents"/>
              <w:bidi w:val="0"/>
              <w:spacing w:before="0" w:after="283"/>
              <w:jc w:val="left"/>
              <w:rPr/>
            </w:pPr>
            <w:r>
              <w:rPr/>
              <w:t> </w:t>
            </w:r>
          </w:p>
        </w:tc>
        <w:tc>
          <w:tcPr>
            <w:tcW w:w="170" w:type="dxa"/>
            <w:tcBorders/>
          </w:tcPr>
          <w:p>
            <w:pPr>
              <w:pStyle w:val="TableContents"/>
              <w:bidi w:val="0"/>
              <w:spacing w:before="0" w:after="283"/>
              <w:jc w:val="left"/>
              <w:rPr/>
            </w:pPr>
            <w:r>
              <w:rPr/>
              <w:t> </w:t>
            </w:r>
          </w:p>
        </w:tc>
        <w:tc>
          <w:tcPr>
            <w:tcW w:w="830" w:type="dxa"/>
            <w:tcBorders/>
          </w:tcPr>
          <w:p>
            <w:pPr>
              <w:pStyle w:val="TableContents"/>
              <w:bidi w:val="0"/>
              <w:spacing w:before="0" w:after="283"/>
              <w:jc w:val="left"/>
              <w:rPr/>
            </w:pPr>
            <w:r>
              <w:rPr/>
              <w:t> </w:t>
            </w:r>
          </w:p>
        </w:tc>
        <w:tc>
          <w:tcPr>
            <w:tcW w:w="232" w:type="dxa"/>
            <w:tcBorders/>
          </w:tcPr>
          <w:p>
            <w:pPr>
              <w:pStyle w:val="TableContents"/>
              <w:bidi w:val="0"/>
              <w:spacing w:before="0" w:after="283"/>
              <w:jc w:val="left"/>
              <w:rPr/>
            </w:pPr>
            <w:r>
              <w:rPr/>
              <w:t> </w:t>
            </w:r>
          </w:p>
        </w:tc>
      </w:tr>
      <w:tr>
        <w:trPr/>
        <w:tc>
          <w:tcPr>
            <w:tcW w:w="4113" w:type="dxa"/>
            <w:tcBorders/>
            <w:shd w:fill="CCEEFF" w:val="clear"/>
          </w:tcPr>
          <w:p>
            <w:pPr>
              <w:pStyle w:val="TableContents"/>
              <w:bidi w:val="0"/>
              <w:spacing w:before="0" w:after="0"/>
              <w:jc w:val="left"/>
              <w:rPr/>
            </w:pPr>
            <w:r>
              <w:rPr/>
              <w:t>Income (loss) before taxes</w:t>
            </w:r>
          </w:p>
        </w:tc>
        <w:tc>
          <w:tcPr>
            <w:tcW w:w="101" w:type="dxa"/>
            <w:tcBorders/>
            <w:shd w:fill="CCEEFF" w:val="clear"/>
          </w:tcPr>
          <w:p>
            <w:pPr>
              <w:pStyle w:val="TableContents"/>
              <w:bidi w:val="0"/>
              <w:spacing w:before="0" w:after="283"/>
              <w:jc w:val="left"/>
              <w:rPr/>
            </w:pPr>
            <w:r>
              <w:rPr/>
              <w:t> </w:t>
            </w:r>
          </w:p>
        </w:tc>
        <w:tc>
          <w:tcPr>
            <w:tcW w:w="191" w:type="dxa"/>
            <w:tcBorders/>
            <w:shd w:fill="CCEEFF" w:val="clear"/>
          </w:tcPr>
          <w:p>
            <w:pPr>
              <w:pStyle w:val="TableContents"/>
              <w:bidi w:val="0"/>
              <w:spacing w:before="0" w:after="283"/>
              <w:jc w:val="left"/>
              <w:rPr/>
            </w:pPr>
            <w:r>
              <w:rPr/>
              <w:t> </w:t>
            </w:r>
          </w:p>
        </w:tc>
        <w:tc>
          <w:tcPr>
            <w:tcW w:w="2187" w:type="dxa"/>
            <w:tcBorders/>
            <w:shd w:fill="CCEEFF" w:val="clear"/>
          </w:tcPr>
          <w:p>
            <w:pPr>
              <w:pStyle w:val="TableContents"/>
              <w:bidi w:val="0"/>
              <w:spacing w:before="0" w:after="283"/>
              <w:jc w:val="right"/>
              <w:rPr/>
            </w:pPr>
            <w:r>
              <w:rPr/>
              <w:t>45,205</w:t>
            </w:r>
          </w:p>
        </w:tc>
        <w:tc>
          <w:tcPr>
            <w:tcW w:w="208" w:type="dxa"/>
            <w:tcBorders/>
            <w:shd w:fill="CCEEFF" w:val="clear"/>
          </w:tcPr>
          <w:p>
            <w:pPr>
              <w:pStyle w:val="TableContents"/>
              <w:bidi w:val="0"/>
              <w:spacing w:before="0" w:after="283"/>
              <w:jc w:val="left"/>
              <w:rPr/>
            </w:pPr>
            <w:r>
              <w:rPr/>
              <w:t> </w:t>
            </w:r>
          </w:p>
        </w:tc>
        <w:tc>
          <w:tcPr>
            <w:tcW w:w="90" w:type="dxa"/>
            <w:tcBorders/>
            <w:shd w:fill="CCEEFF" w:val="clear"/>
          </w:tcPr>
          <w:p>
            <w:pPr>
              <w:pStyle w:val="TableContents"/>
              <w:bidi w:val="0"/>
              <w:spacing w:before="0" w:after="283"/>
              <w:jc w:val="left"/>
              <w:rPr/>
            </w:pPr>
            <w:r>
              <w:rPr/>
              <w:t> </w:t>
            </w:r>
          </w:p>
        </w:tc>
        <w:tc>
          <w:tcPr>
            <w:tcW w:w="170" w:type="dxa"/>
            <w:tcBorders/>
            <w:shd w:fill="CCEEFF" w:val="clear"/>
          </w:tcPr>
          <w:p>
            <w:pPr>
              <w:pStyle w:val="TableContents"/>
              <w:bidi w:val="0"/>
              <w:spacing w:before="0" w:after="283"/>
              <w:jc w:val="left"/>
              <w:rPr/>
            </w:pPr>
            <w:r>
              <w:rPr/>
              <w:t> </w:t>
            </w:r>
          </w:p>
        </w:tc>
        <w:tc>
          <w:tcPr>
            <w:tcW w:w="1638" w:type="dxa"/>
            <w:tcBorders/>
            <w:shd w:fill="CCEEFF" w:val="clear"/>
          </w:tcPr>
          <w:p>
            <w:pPr>
              <w:pStyle w:val="TableContents"/>
              <w:bidi w:val="0"/>
              <w:spacing w:before="0" w:after="283"/>
              <w:jc w:val="right"/>
              <w:rPr/>
            </w:pPr>
            <w:r>
              <w:rPr/>
              <w:t>(884</w:t>
            </w:r>
          </w:p>
        </w:tc>
        <w:tc>
          <w:tcPr>
            <w:tcW w:w="185" w:type="dxa"/>
            <w:tcBorders/>
            <w:shd w:fill="CCEEFF" w:val="clear"/>
          </w:tcPr>
          <w:p>
            <w:pPr>
              <w:pStyle w:val="TableContents"/>
              <w:bidi w:val="0"/>
              <w:spacing w:before="0" w:after="283"/>
              <w:jc w:val="left"/>
              <w:rPr/>
            </w:pPr>
            <w:r>
              <w:rPr/>
              <w:t>) </w:t>
            </w:r>
          </w:p>
        </w:tc>
        <w:tc>
          <w:tcPr>
            <w:tcW w:w="90" w:type="dxa"/>
            <w:tcBorders/>
            <w:shd w:fill="CCEEFF" w:val="clear"/>
          </w:tcPr>
          <w:p>
            <w:pPr>
              <w:pStyle w:val="TableContents"/>
              <w:bidi w:val="0"/>
              <w:spacing w:before="0" w:after="283"/>
              <w:jc w:val="left"/>
              <w:rPr/>
            </w:pPr>
            <w:r>
              <w:rPr/>
              <w:t> </w:t>
            </w:r>
          </w:p>
        </w:tc>
        <w:tc>
          <w:tcPr>
            <w:tcW w:w="170" w:type="dxa"/>
            <w:tcBorders/>
            <w:shd w:fill="CCEEFF" w:val="clear"/>
          </w:tcPr>
          <w:p>
            <w:pPr>
              <w:pStyle w:val="TableContents"/>
              <w:bidi w:val="0"/>
              <w:spacing w:before="0" w:after="283"/>
              <w:jc w:val="left"/>
              <w:rPr/>
            </w:pPr>
            <w:r>
              <w:rPr/>
              <w:t> </w:t>
            </w:r>
          </w:p>
        </w:tc>
        <w:tc>
          <w:tcPr>
            <w:tcW w:w="830" w:type="dxa"/>
            <w:tcBorders/>
            <w:shd w:fill="CCEEFF" w:val="clear"/>
          </w:tcPr>
          <w:p>
            <w:pPr>
              <w:pStyle w:val="TableContents"/>
              <w:bidi w:val="0"/>
              <w:spacing w:before="0" w:after="283"/>
              <w:jc w:val="right"/>
              <w:rPr/>
            </w:pPr>
            <w:r>
              <w:rPr/>
              <w:t>44,321</w:t>
            </w:r>
          </w:p>
        </w:tc>
        <w:tc>
          <w:tcPr>
            <w:tcW w:w="232" w:type="dxa"/>
            <w:tcBorders/>
            <w:shd w:fill="CCEEFF" w:val="clear"/>
          </w:tcPr>
          <w:p>
            <w:pPr>
              <w:pStyle w:val="TableContents"/>
              <w:bidi w:val="0"/>
              <w:spacing w:before="0" w:after="283"/>
              <w:jc w:val="left"/>
              <w:rPr/>
            </w:pPr>
            <w:r>
              <w:rPr/>
              <w:t> </w:t>
            </w:r>
          </w:p>
        </w:tc>
      </w:tr>
      <w:tr>
        <w:trPr/>
        <w:tc>
          <w:tcPr>
            <w:tcW w:w="4113" w:type="dxa"/>
            <w:tcBorders/>
          </w:tcPr>
          <w:p>
            <w:pPr>
              <w:pStyle w:val="TableContents"/>
              <w:bidi w:val="0"/>
              <w:spacing w:before="0" w:after="283"/>
              <w:jc w:val="left"/>
              <w:rPr/>
            </w:pPr>
            <w:r>
              <w:rPr/>
              <w:t> </w:t>
            </w:r>
          </w:p>
        </w:tc>
        <w:tc>
          <w:tcPr>
            <w:tcW w:w="101" w:type="dxa"/>
            <w:tcBorders/>
          </w:tcPr>
          <w:p>
            <w:pPr>
              <w:pStyle w:val="TableContents"/>
              <w:bidi w:val="0"/>
              <w:spacing w:before="0" w:after="283"/>
              <w:jc w:val="left"/>
              <w:rPr/>
            </w:pPr>
            <w:r>
              <w:rPr/>
              <w:t> </w:t>
            </w:r>
          </w:p>
        </w:tc>
        <w:tc>
          <w:tcPr>
            <w:tcW w:w="191" w:type="dxa"/>
            <w:tcBorders/>
          </w:tcPr>
          <w:p>
            <w:pPr>
              <w:pStyle w:val="TableContents"/>
              <w:bidi w:val="0"/>
              <w:spacing w:before="0" w:after="283"/>
              <w:jc w:val="left"/>
              <w:rPr/>
            </w:pPr>
            <w:r>
              <w:rPr/>
              <w:t> </w:t>
            </w:r>
          </w:p>
        </w:tc>
        <w:tc>
          <w:tcPr>
            <w:tcW w:w="2187" w:type="dxa"/>
            <w:tcBorders/>
          </w:tcPr>
          <w:p>
            <w:pPr>
              <w:pStyle w:val="TableContents"/>
              <w:bidi w:val="0"/>
              <w:spacing w:before="0" w:after="283"/>
              <w:jc w:val="left"/>
              <w:rPr/>
            </w:pPr>
            <w:r>
              <w:rPr/>
              <w:t> </w:t>
            </w:r>
          </w:p>
        </w:tc>
        <w:tc>
          <w:tcPr>
            <w:tcW w:w="208" w:type="dxa"/>
            <w:tcBorders/>
          </w:tcPr>
          <w:p>
            <w:pPr>
              <w:pStyle w:val="TableContents"/>
              <w:bidi w:val="0"/>
              <w:spacing w:before="0" w:after="283"/>
              <w:jc w:val="left"/>
              <w:rPr/>
            </w:pPr>
            <w:r>
              <w:rPr/>
              <w:t> </w:t>
            </w:r>
          </w:p>
        </w:tc>
        <w:tc>
          <w:tcPr>
            <w:tcW w:w="90" w:type="dxa"/>
            <w:tcBorders/>
          </w:tcPr>
          <w:p>
            <w:pPr>
              <w:pStyle w:val="TableContents"/>
              <w:bidi w:val="0"/>
              <w:spacing w:before="0" w:after="283"/>
              <w:jc w:val="left"/>
              <w:rPr/>
            </w:pPr>
            <w:r>
              <w:rPr/>
              <w:t> </w:t>
            </w:r>
          </w:p>
        </w:tc>
        <w:tc>
          <w:tcPr>
            <w:tcW w:w="170" w:type="dxa"/>
            <w:tcBorders/>
          </w:tcPr>
          <w:p>
            <w:pPr>
              <w:pStyle w:val="TableContents"/>
              <w:bidi w:val="0"/>
              <w:spacing w:before="0" w:after="283"/>
              <w:jc w:val="left"/>
              <w:rPr/>
            </w:pPr>
            <w:r>
              <w:rPr/>
              <w:t> </w:t>
            </w:r>
          </w:p>
        </w:tc>
        <w:tc>
          <w:tcPr>
            <w:tcW w:w="1638" w:type="dxa"/>
            <w:tcBorders/>
          </w:tcPr>
          <w:p>
            <w:pPr>
              <w:pStyle w:val="TableContents"/>
              <w:bidi w:val="0"/>
              <w:spacing w:before="0" w:after="283"/>
              <w:jc w:val="left"/>
              <w:rPr/>
            </w:pPr>
            <w:r>
              <w:rPr/>
              <w:t> </w:t>
            </w:r>
          </w:p>
        </w:tc>
        <w:tc>
          <w:tcPr>
            <w:tcW w:w="185" w:type="dxa"/>
            <w:tcBorders/>
          </w:tcPr>
          <w:p>
            <w:pPr>
              <w:pStyle w:val="TableContents"/>
              <w:bidi w:val="0"/>
              <w:spacing w:before="0" w:after="283"/>
              <w:jc w:val="left"/>
              <w:rPr/>
            </w:pPr>
            <w:r>
              <w:rPr/>
              <w:t> </w:t>
            </w:r>
          </w:p>
        </w:tc>
        <w:tc>
          <w:tcPr>
            <w:tcW w:w="90" w:type="dxa"/>
            <w:tcBorders/>
          </w:tcPr>
          <w:p>
            <w:pPr>
              <w:pStyle w:val="TableContents"/>
              <w:bidi w:val="0"/>
              <w:spacing w:before="0" w:after="283"/>
              <w:jc w:val="left"/>
              <w:rPr/>
            </w:pPr>
            <w:r>
              <w:rPr/>
              <w:t> </w:t>
            </w:r>
          </w:p>
        </w:tc>
        <w:tc>
          <w:tcPr>
            <w:tcW w:w="170" w:type="dxa"/>
            <w:tcBorders/>
          </w:tcPr>
          <w:p>
            <w:pPr>
              <w:pStyle w:val="TableContents"/>
              <w:bidi w:val="0"/>
              <w:spacing w:before="0" w:after="283"/>
              <w:jc w:val="left"/>
              <w:rPr/>
            </w:pPr>
            <w:r>
              <w:rPr/>
              <w:t> </w:t>
            </w:r>
          </w:p>
        </w:tc>
        <w:tc>
          <w:tcPr>
            <w:tcW w:w="830" w:type="dxa"/>
            <w:tcBorders/>
          </w:tcPr>
          <w:p>
            <w:pPr>
              <w:pStyle w:val="TableContents"/>
              <w:bidi w:val="0"/>
              <w:spacing w:before="0" w:after="283"/>
              <w:jc w:val="left"/>
              <w:rPr/>
            </w:pPr>
            <w:r>
              <w:rPr/>
              <w:t> </w:t>
            </w:r>
          </w:p>
        </w:tc>
        <w:tc>
          <w:tcPr>
            <w:tcW w:w="232" w:type="dxa"/>
            <w:tcBorders/>
          </w:tcPr>
          <w:p>
            <w:pPr>
              <w:pStyle w:val="TableContents"/>
              <w:bidi w:val="0"/>
              <w:spacing w:before="0" w:after="283"/>
              <w:jc w:val="left"/>
              <w:rPr/>
            </w:pPr>
            <w:r>
              <w:rPr/>
              <w:t> </w:t>
            </w:r>
          </w:p>
        </w:tc>
      </w:tr>
      <w:tr>
        <w:trPr/>
        <w:tc>
          <w:tcPr>
            <w:tcW w:w="4113" w:type="dxa"/>
            <w:tcBorders/>
            <w:shd w:fill="CCEEFF" w:val="clear"/>
          </w:tcPr>
          <w:p>
            <w:pPr>
              <w:pStyle w:val="TableContents"/>
              <w:bidi w:val="0"/>
              <w:spacing w:before="0" w:after="0"/>
              <w:jc w:val="left"/>
              <w:rPr/>
            </w:pPr>
            <w:r>
              <w:rPr/>
              <w:t>Expenditures for additions to long-lived assets</w:t>
            </w:r>
          </w:p>
        </w:tc>
        <w:tc>
          <w:tcPr>
            <w:tcW w:w="101" w:type="dxa"/>
            <w:tcBorders/>
            <w:shd w:fill="CCEEFF" w:val="clear"/>
          </w:tcPr>
          <w:p>
            <w:pPr>
              <w:pStyle w:val="TableContents"/>
              <w:bidi w:val="0"/>
              <w:spacing w:before="0" w:after="283"/>
              <w:jc w:val="left"/>
              <w:rPr/>
            </w:pPr>
            <w:r>
              <w:rPr/>
              <w:t> </w:t>
            </w:r>
          </w:p>
        </w:tc>
        <w:tc>
          <w:tcPr>
            <w:tcW w:w="191" w:type="dxa"/>
            <w:tcBorders/>
            <w:shd w:fill="CCEEFF" w:val="clear"/>
          </w:tcPr>
          <w:p>
            <w:pPr>
              <w:pStyle w:val="TableContents"/>
              <w:bidi w:val="0"/>
              <w:spacing w:before="0" w:after="283"/>
              <w:jc w:val="left"/>
              <w:rPr/>
            </w:pPr>
            <w:r>
              <w:rPr/>
              <w:t> </w:t>
            </w:r>
          </w:p>
        </w:tc>
        <w:tc>
          <w:tcPr>
            <w:tcW w:w="2187" w:type="dxa"/>
            <w:tcBorders/>
            <w:shd w:fill="CCEEFF" w:val="clear"/>
          </w:tcPr>
          <w:p>
            <w:pPr>
              <w:pStyle w:val="TableContents"/>
              <w:bidi w:val="0"/>
              <w:spacing w:before="0" w:after="283"/>
              <w:jc w:val="right"/>
              <w:rPr/>
            </w:pPr>
            <w:r>
              <w:rPr/>
              <w:t>4,699</w:t>
            </w:r>
          </w:p>
        </w:tc>
        <w:tc>
          <w:tcPr>
            <w:tcW w:w="208" w:type="dxa"/>
            <w:tcBorders/>
            <w:shd w:fill="CCEEFF" w:val="clear"/>
          </w:tcPr>
          <w:p>
            <w:pPr>
              <w:pStyle w:val="TableContents"/>
              <w:bidi w:val="0"/>
              <w:spacing w:before="0" w:after="283"/>
              <w:jc w:val="left"/>
              <w:rPr/>
            </w:pPr>
            <w:r>
              <w:rPr/>
              <w:t> </w:t>
            </w:r>
          </w:p>
        </w:tc>
        <w:tc>
          <w:tcPr>
            <w:tcW w:w="90" w:type="dxa"/>
            <w:tcBorders/>
            <w:shd w:fill="CCEEFF" w:val="clear"/>
          </w:tcPr>
          <w:p>
            <w:pPr>
              <w:pStyle w:val="TableContents"/>
              <w:bidi w:val="0"/>
              <w:spacing w:before="0" w:after="283"/>
              <w:jc w:val="left"/>
              <w:rPr/>
            </w:pPr>
            <w:r>
              <w:rPr/>
              <w:t> </w:t>
            </w:r>
          </w:p>
        </w:tc>
        <w:tc>
          <w:tcPr>
            <w:tcW w:w="170" w:type="dxa"/>
            <w:tcBorders/>
            <w:shd w:fill="CCEEFF" w:val="clear"/>
          </w:tcPr>
          <w:p>
            <w:pPr>
              <w:pStyle w:val="TableContents"/>
              <w:bidi w:val="0"/>
              <w:spacing w:before="0" w:after="283"/>
              <w:jc w:val="left"/>
              <w:rPr/>
            </w:pPr>
            <w:r>
              <w:rPr/>
              <w:t> </w:t>
            </w:r>
          </w:p>
        </w:tc>
        <w:tc>
          <w:tcPr>
            <w:tcW w:w="1638" w:type="dxa"/>
            <w:tcBorders/>
            <w:shd w:fill="CCEEFF" w:val="clear"/>
          </w:tcPr>
          <w:p>
            <w:pPr>
              <w:pStyle w:val="TableContents"/>
              <w:bidi w:val="0"/>
              <w:spacing w:before="0" w:after="283"/>
              <w:jc w:val="right"/>
              <w:rPr/>
            </w:pPr>
            <w:r>
              <w:rPr/>
              <w:t>21</w:t>
            </w:r>
          </w:p>
        </w:tc>
        <w:tc>
          <w:tcPr>
            <w:tcW w:w="185" w:type="dxa"/>
            <w:tcBorders/>
            <w:shd w:fill="CCEEFF" w:val="clear"/>
          </w:tcPr>
          <w:p>
            <w:pPr>
              <w:pStyle w:val="TableContents"/>
              <w:bidi w:val="0"/>
              <w:spacing w:before="0" w:after="283"/>
              <w:jc w:val="left"/>
              <w:rPr/>
            </w:pPr>
            <w:r>
              <w:rPr/>
              <w:t> </w:t>
            </w:r>
          </w:p>
        </w:tc>
        <w:tc>
          <w:tcPr>
            <w:tcW w:w="90" w:type="dxa"/>
            <w:tcBorders/>
            <w:shd w:fill="CCEEFF" w:val="clear"/>
          </w:tcPr>
          <w:p>
            <w:pPr>
              <w:pStyle w:val="TableContents"/>
              <w:bidi w:val="0"/>
              <w:spacing w:before="0" w:after="283"/>
              <w:jc w:val="left"/>
              <w:rPr/>
            </w:pPr>
            <w:r>
              <w:rPr/>
              <w:t> </w:t>
            </w:r>
          </w:p>
        </w:tc>
        <w:tc>
          <w:tcPr>
            <w:tcW w:w="170" w:type="dxa"/>
            <w:tcBorders/>
            <w:shd w:fill="CCEEFF" w:val="clear"/>
          </w:tcPr>
          <w:p>
            <w:pPr>
              <w:pStyle w:val="TableContents"/>
              <w:bidi w:val="0"/>
              <w:spacing w:before="0" w:after="283"/>
              <w:jc w:val="left"/>
              <w:rPr/>
            </w:pPr>
            <w:r>
              <w:rPr/>
              <w:t> </w:t>
            </w:r>
          </w:p>
        </w:tc>
        <w:tc>
          <w:tcPr>
            <w:tcW w:w="830" w:type="dxa"/>
            <w:tcBorders/>
            <w:shd w:fill="CCEEFF" w:val="clear"/>
          </w:tcPr>
          <w:p>
            <w:pPr>
              <w:pStyle w:val="TableContents"/>
              <w:bidi w:val="0"/>
              <w:spacing w:before="0" w:after="283"/>
              <w:jc w:val="right"/>
              <w:rPr/>
            </w:pPr>
            <w:r>
              <w:rPr/>
              <w:t>4,720</w:t>
            </w:r>
          </w:p>
        </w:tc>
        <w:tc>
          <w:tcPr>
            <w:tcW w:w="232" w:type="dxa"/>
            <w:tcBorders/>
            <w:shd w:fill="CCEEFF" w:val="clear"/>
          </w:tcPr>
          <w:p>
            <w:pPr>
              <w:pStyle w:val="TableContents"/>
              <w:bidi w:val="0"/>
              <w:spacing w:before="0" w:after="283"/>
              <w:jc w:val="left"/>
              <w:rPr/>
            </w:pPr>
            <w:r>
              <w:rPr/>
              <w:t> </w:t>
            </w:r>
          </w:p>
        </w:tc>
      </w:tr>
      <w:tr>
        <w:trPr/>
        <w:tc>
          <w:tcPr>
            <w:tcW w:w="4113" w:type="dxa"/>
            <w:tcBorders/>
          </w:tcPr>
          <w:p>
            <w:pPr>
              <w:pStyle w:val="TableContents"/>
              <w:bidi w:val="0"/>
              <w:spacing w:before="0" w:after="0"/>
              <w:jc w:val="left"/>
              <w:rPr/>
            </w:pPr>
            <w:r>
              <w:rPr/>
              <w:t>Total assets</w:t>
            </w:r>
          </w:p>
        </w:tc>
        <w:tc>
          <w:tcPr>
            <w:tcW w:w="101" w:type="dxa"/>
            <w:tcBorders/>
          </w:tcPr>
          <w:p>
            <w:pPr>
              <w:pStyle w:val="TableContents"/>
              <w:bidi w:val="0"/>
              <w:spacing w:before="0" w:after="283"/>
              <w:jc w:val="left"/>
              <w:rPr/>
            </w:pPr>
            <w:r>
              <w:rPr/>
              <w:t> </w:t>
            </w:r>
          </w:p>
        </w:tc>
        <w:tc>
          <w:tcPr>
            <w:tcW w:w="191" w:type="dxa"/>
            <w:tcBorders/>
          </w:tcPr>
          <w:p>
            <w:pPr>
              <w:pStyle w:val="TableContents"/>
              <w:bidi w:val="0"/>
              <w:spacing w:before="0" w:after="283"/>
              <w:jc w:val="left"/>
              <w:rPr/>
            </w:pPr>
            <w:r>
              <w:rPr/>
              <w:t> </w:t>
            </w:r>
          </w:p>
        </w:tc>
        <w:tc>
          <w:tcPr>
            <w:tcW w:w="2187" w:type="dxa"/>
            <w:tcBorders/>
          </w:tcPr>
          <w:p>
            <w:pPr>
              <w:pStyle w:val="TableContents"/>
              <w:bidi w:val="0"/>
              <w:spacing w:before="0" w:after="283"/>
              <w:jc w:val="right"/>
              <w:rPr/>
            </w:pPr>
            <w:r>
              <w:rPr/>
              <w:t>330,091</w:t>
            </w:r>
          </w:p>
        </w:tc>
        <w:tc>
          <w:tcPr>
            <w:tcW w:w="208" w:type="dxa"/>
            <w:tcBorders/>
          </w:tcPr>
          <w:p>
            <w:pPr>
              <w:pStyle w:val="TableContents"/>
              <w:bidi w:val="0"/>
              <w:spacing w:before="0" w:after="283"/>
              <w:jc w:val="left"/>
              <w:rPr/>
            </w:pPr>
            <w:r>
              <w:rPr/>
              <w:t> </w:t>
            </w:r>
          </w:p>
        </w:tc>
        <w:tc>
          <w:tcPr>
            <w:tcW w:w="90" w:type="dxa"/>
            <w:tcBorders/>
          </w:tcPr>
          <w:p>
            <w:pPr>
              <w:pStyle w:val="TableContents"/>
              <w:bidi w:val="0"/>
              <w:spacing w:before="0" w:after="283"/>
              <w:jc w:val="left"/>
              <w:rPr/>
            </w:pPr>
            <w:r>
              <w:rPr/>
              <w:t> </w:t>
            </w:r>
          </w:p>
        </w:tc>
        <w:tc>
          <w:tcPr>
            <w:tcW w:w="170" w:type="dxa"/>
            <w:tcBorders/>
          </w:tcPr>
          <w:p>
            <w:pPr>
              <w:pStyle w:val="TableContents"/>
              <w:bidi w:val="0"/>
              <w:spacing w:before="0" w:after="283"/>
              <w:jc w:val="left"/>
              <w:rPr/>
            </w:pPr>
            <w:r>
              <w:rPr/>
              <w:t> </w:t>
            </w:r>
          </w:p>
        </w:tc>
        <w:tc>
          <w:tcPr>
            <w:tcW w:w="1638" w:type="dxa"/>
            <w:tcBorders/>
          </w:tcPr>
          <w:p>
            <w:pPr>
              <w:pStyle w:val="TableContents"/>
              <w:bidi w:val="0"/>
              <w:spacing w:before="0" w:after="283"/>
              <w:jc w:val="right"/>
              <w:rPr/>
            </w:pPr>
            <w:r>
              <w:rPr/>
              <w:t>27,644</w:t>
            </w:r>
          </w:p>
        </w:tc>
        <w:tc>
          <w:tcPr>
            <w:tcW w:w="185" w:type="dxa"/>
            <w:tcBorders/>
          </w:tcPr>
          <w:p>
            <w:pPr>
              <w:pStyle w:val="TableContents"/>
              <w:bidi w:val="0"/>
              <w:spacing w:before="0" w:after="283"/>
              <w:jc w:val="left"/>
              <w:rPr/>
            </w:pPr>
            <w:r>
              <w:rPr/>
              <w:t> </w:t>
            </w:r>
          </w:p>
        </w:tc>
        <w:tc>
          <w:tcPr>
            <w:tcW w:w="90" w:type="dxa"/>
            <w:tcBorders/>
          </w:tcPr>
          <w:p>
            <w:pPr>
              <w:pStyle w:val="TableContents"/>
              <w:bidi w:val="0"/>
              <w:spacing w:before="0" w:after="283"/>
              <w:jc w:val="left"/>
              <w:rPr/>
            </w:pPr>
            <w:r>
              <w:rPr/>
              <w:t> </w:t>
            </w:r>
          </w:p>
        </w:tc>
        <w:tc>
          <w:tcPr>
            <w:tcW w:w="170" w:type="dxa"/>
            <w:tcBorders/>
          </w:tcPr>
          <w:p>
            <w:pPr>
              <w:pStyle w:val="TableContents"/>
              <w:bidi w:val="0"/>
              <w:spacing w:before="0" w:after="283"/>
              <w:jc w:val="left"/>
              <w:rPr/>
            </w:pPr>
            <w:r>
              <w:rPr/>
              <w:t> </w:t>
            </w:r>
          </w:p>
        </w:tc>
        <w:tc>
          <w:tcPr>
            <w:tcW w:w="830" w:type="dxa"/>
            <w:tcBorders/>
          </w:tcPr>
          <w:p>
            <w:pPr>
              <w:pStyle w:val="TableContents"/>
              <w:bidi w:val="0"/>
              <w:spacing w:before="0" w:after="283"/>
              <w:jc w:val="right"/>
              <w:rPr/>
            </w:pPr>
            <w:r>
              <w:rPr/>
              <w:t>357,735</w:t>
            </w:r>
          </w:p>
        </w:tc>
        <w:tc>
          <w:tcPr>
            <w:tcW w:w="232" w:type="dxa"/>
            <w:tcBorders/>
          </w:tcPr>
          <w:p>
            <w:pPr>
              <w:pStyle w:val="TableContents"/>
              <w:bidi w:val="0"/>
              <w:spacing w:before="0" w:after="283"/>
              <w:jc w:val="left"/>
              <w:rPr/>
            </w:pPr>
            <w:r>
              <w:rPr/>
              <w:t> </w:t>
            </w:r>
          </w:p>
        </w:tc>
      </w:tr>
      <w:tr>
        <w:trPr/>
        <w:tc>
          <w:tcPr>
            <w:tcW w:w="4113" w:type="dxa"/>
            <w:tcBorders/>
            <w:shd w:fill="CCEEFF" w:val="clear"/>
          </w:tcPr>
          <w:p>
            <w:pPr>
              <w:pStyle w:val="TableContents"/>
              <w:bidi w:val="0"/>
              <w:spacing w:before="0" w:after="283"/>
              <w:jc w:val="left"/>
              <w:rPr/>
            </w:pPr>
            <w:r>
              <w:rPr/>
              <w:t> </w:t>
            </w:r>
          </w:p>
        </w:tc>
        <w:tc>
          <w:tcPr>
            <w:tcW w:w="101" w:type="dxa"/>
            <w:tcBorders/>
            <w:shd w:fill="CCEEFF" w:val="clear"/>
          </w:tcPr>
          <w:p>
            <w:pPr>
              <w:pStyle w:val="TableContents"/>
              <w:bidi w:val="0"/>
              <w:spacing w:before="0" w:after="283"/>
              <w:jc w:val="left"/>
              <w:rPr/>
            </w:pPr>
            <w:r>
              <w:rPr/>
              <w:t> </w:t>
            </w:r>
          </w:p>
        </w:tc>
        <w:tc>
          <w:tcPr>
            <w:tcW w:w="191" w:type="dxa"/>
            <w:tcBorders/>
            <w:shd w:fill="CCEEFF" w:val="clear"/>
          </w:tcPr>
          <w:p>
            <w:pPr>
              <w:pStyle w:val="TableContents"/>
              <w:bidi w:val="0"/>
              <w:spacing w:before="0" w:after="283"/>
              <w:jc w:val="left"/>
              <w:rPr/>
            </w:pPr>
            <w:r>
              <w:rPr/>
              <w:t> </w:t>
            </w:r>
          </w:p>
        </w:tc>
        <w:tc>
          <w:tcPr>
            <w:tcW w:w="2187" w:type="dxa"/>
            <w:tcBorders/>
            <w:shd w:fill="CCEEFF" w:val="clear"/>
          </w:tcPr>
          <w:p>
            <w:pPr>
              <w:pStyle w:val="TableContents"/>
              <w:bidi w:val="0"/>
              <w:spacing w:before="0" w:after="283"/>
              <w:jc w:val="left"/>
              <w:rPr/>
            </w:pPr>
            <w:r>
              <w:rPr/>
              <w:t> </w:t>
            </w:r>
          </w:p>
        </w:tc>
        <w:tc>
          <w:tcPr>
            <w:tcW w:w="208" w:type="dxa"/>
            <w:tcBorders/>
            <w:shd w:fill="CCEEFF" w:val="clear"/>
          </w:tcPr>
          <w:p>
            <w:pPr>
              <w:pStyle w:val="TableContents"/>
              <w:bidi w:val="0"/>
              <w:spacing w:before="0" w:after="283"/>
              <w:jc w:val="left"/>
              <w:rPr/>
            </w:pPr>
            <w:r>
              <w:rPr/>
              <w:t> </w:t>
            </w:r>
          </w:p>
        </w:tc>
        <w:tc>
          <w:tcPr>
            <w:tcW w:w="90" w:type="dxa"/>
            <w:tcBorders/>
            <w:shd w:fill="CCEEFF" w:val="clear"/>
          </w:tcPr>
          <w:p>
            <w:pPr>
              <w:pStyle w:val="TableContents"/>
              <w:bidi w:val="0"/>
              <w:spacing w:before="0" w:after="283"/>
              <w:jc w:val="left"/>
              <w:rPr/>
            </w:pPr>
            <w:r>
              <w:rPr/>
              <w:t> </w:t>
            </w:r>
          </w:p>
        </w:tc>
        <w:tc>
          <w:tcPr>
            <w:tcW w:w="170" w:type="dxa"/>
            <w:tcBorders/>
            <w:shd w:fill="CCEEFF" w:val="clear"/>
          </w:tcPr>
          <w:p>
            <w:pPr>
              <w:pStyle w:val="TableContents"/>
              <w:bidi w:val="0"/>
              <w:spacing w:before="0" w:after="283"/>
              <w:jc w:val="left"/>
              <w:rPr/>
            </w:pPr>
            <w:r>
              <w:rPr/>
              <w:t> </w:t>
            </w:r>
          </w:p>
        </w:tc>
        <w:tc>
          <w:tcPr>
            <w:tcW w:w="1638" w:type="dxa"/>
            <w:tcBorders/>
            <w:shd w:fill="CCEEFF" w:val="clear"/>
          </w:tcPr>
          <w:p>
            <w:pPr>
              <w:pStyle w:val="TableContents"/>
              <w:bidi w:val="0"/>
              <w:spacing w:before="0" w:after="283"/>
              <w:jc w:val="left"/>
              <w:rPr/>
            </w:pPr>
            <w:r>
              <w:rPr/>
              <w:t> </w:t>
            </w:r>
          </w:p>
        </w:tc>
        <w:tc>
          <w:tcPr>
            <w:tcW w:w="185" w:type="dxa"/>
            <w:tcBorders/>
            <w:shd w:fill="CCEEFF" w:val="clear"/>
          </w:tcPr>
          <w:p>
            <w:pPr>
              <w:pStyle w:val="TableContents"/>
              <w:bidi w:val="0"/>
              <w:spacing w:before="0" w:after="283"/>
              <w:jc w:val="left"/>
              <w:rPr/>
            </w:pPr>
            <w:r>
              <w:rPr/>
              <w:t> </w:t>
            </w:r>
          </w:p>
        </w:tc>
        <w:tc>
          <w:tcPr>
            <w:tcW w:w="90" w:type="dxa"/>
            <w:tcBorders/>
            <w:shd w:fill="CCEEFF" w:val="clear"/>
          </w:tcPr>
          <w:p>
            <w:pPr>
              <w:pStyle w:val="TableContents"/>
              <w:bidi w:val="0"/>
              <w:spacing w:before="0" w:after="283"/>
              <w:jc w:val="left"/>
              <w:rPr/>
            </w:pPr>
            <w:r>
              <w:rPr/>
              <w:t> </w:t>
            </w:r>
          </w:p>
        </w:tc>
        <w:tc>
          <w:tcPr>
            <w:tcW w:w="170" w:type="dxa"/>
            <w:tcBorders/>
            <w:shd w:fill="CCEEFF" w:val="clear"/>
          </w:tcPr>
          <w:p>
            <w:pPr>
              <w:pStyle w:val="TableContents"/>
              <w:bidi w:val="0"/>
              <w:spacing w:before="0" w:after="283"/>
              <w:jc w:val="left"/>
              <w:rPr/>
            </w:pPr>
            <w:r>
              <w:rPr/>
              <w:t> </w:t>
            </w:r>
          </w:p>
        </w:tc>
        <w:tc>
          <w:tcPr>
            <w:tcW w:w="830" w:type="dxa"/>
            <w:tcBorders/>
            <w:shd w:fill="CCEEFF" w:val="clear"/>
          </w:tcPr>
          <w:p>
            <w:pPr>
              <w:pStyle w:val="TableContents"/>
              <w:bidi w:val="0"/>
              <w:spacing w:before="0" w:after="283"/>
              <w:jc w:val="left"/>
              <w:rPr/>
            </w:pPr>
            <w:r>
              <w:rPr/>
              <w:t> </w:t>
            </w:r>
          </w:p>
        </w:tc>
        <w:tc>
          <w:tcPr>
            <w:tcW w:w="232" w:type="dxa"/>
            <w:tcBorders/>
            <w:shd w:fill="CCEEFF" w:val="clear"/>
          </w:tcPr>
          <w:p>
            <w:pPr>
              <w:pStyle w:val="TableContents"/>
              <w:bidi w:val="0"/>
              <w:spacing w:before="0" w:after="283"/>
              <w:jc w:val="left"/>
              <w:rPr/>
            </w:pPr>
            <w:r>
              <w:rPr/>
              <w:t> </w:t>
            </w:r>
          </w:p>
        </w:tc>
      </w:tr>
      <w:tr>
        <w:trPr/>
        <w:tc>
          <w:tcPr>
            <w:tcW w:w="6800" w:type="dxa"/>
            <w:gridSpan w:val="5"/>
            <w:tcBorders/>
          </w:tcPr>
          <w:p>
            <w:pPr>
              <w:pStyle w:val="TableContents"/>
              <w:bidi w:val="0"/>
              <w:spacing w:before="0" w:after="0"/>
              <w:jc w:val="left"/>
              <w:rPr>
                <w:i/>
              </w:rPr>
            </w:pPr>
            <w:r>
              <w:rPr>
                <w:i/>
              </w:rPr>
              <w:t>Reconciliation of revenues:</w:t>
            </w:r>
          </w:p>
        </w:tc>
        <w:tc>
          <w:tcPr>
            <w:tcW w:w="90" w:type="dxa"/>
            <w:tcBorders/>
          </w:tcPr>
          <w:p>
            <w:pPr>
              <w:pStyle w:val="TableContents"/>
              <w:bidi w:val="0"/>
              <w:spacing w:before="0" w:after="283"/>
              <w:jc w:val="left"/>
              <w:rPr/>
            </w:pPr>
            <w:r>
              <w:rPr/>
              <w:t> </w:t>
            </w:r>
          </w:p>
        </w:tc>
        <w:tc>
          <w:tcPr>
            <w:tcW w:w="170" w:type="dxa"/>
            <w:tcBorders/>
          </w:tcPr>
          <w:p>
            <w:pPr>
              <w:pStyle w:val="TableContents"/>
              <w:bidi w:val="0"/>
              <w:spacing w:before="0" w:after="283"/>
              <w:jc w:val="left"/>
              <w:rPr/>
            </w:pPr>
            <w:r>
              <w:rPr/>
              <w:t> </w:t>
            </w:r>
          </w:p>
        </w:tc>
        <w:tc>
          <w:tcPr>
            <w:tcW w:w="1638" w:type="dxa"/>
            <w:tcBorders/>
          </w:tcPr>
          <w:p>
            <w:pPr>
              <w:pStyle w:val="TableContents"/>
              <w:bidi w:val="0"/>
              <w:spacing w:before="0" w:after="283"/>
              <w:jc w:val="left"/>
              <w:rPr/>
            </w:pPr>
            <w:r>
              <w:rPr/>
              <w:t> </w:t>
            </w:r>
          </w:p>
        </w:tc>
        <w:tc>
          <w:tcPr>
            <w:tcW w:w="185" w:type="dxa"/>
            <w:tcBorders/>
          </w:tcPr>
          <w:p>
            <w:pPr>
              <w:pStyle w:val="TableContents"/>
              <w:bidi w:val="0"/>
              <w:spacing w:before="0" w:after="283"/>
              <w:jc w:val="left"/>
              <w:rPr/>
            </w:pPr>
            <w:r>
              <w:rPr/>
              <w:t> </w:t>
            </w:r>
          </w:p>
        </w:tc>
        <w:tc>
          <w:tcPr>
            <w:tcW w:w="90" w:type="dxa"/>
            <w:tcBorders/>
          </w:tcPr>
          <w:p>
            <w:pPr>
              <w:pStyle w:val="TableContents"/>
              <w:bidi w:val="0"/>
              <w:spacing w:before="0" w:after="283"/>
              <w:jc w:val="left"/>
              <w:rPr/>
            </w:pPr>
            <w:r>
              <w:rPr/>
              <w:t> </w:t>
            </w:r>
          </w:p>
        </w:tc>
        <w:tc>
          <w:tcPr>
            <w:tcW w:w="170" w:type="dxa"/>
            <w:tcBorders/>
          </w:tcPr>
          <w:p>
            <w:pPr>
              <w:pStyle w:val="TableContents"/>
              <w:bidi w:val="0"/>
              <w:spacing w:before="0" w:after="283"/>
              <w:jc w:val="left"/>
              <w:rPr/>
            </w:pPr>
            <w:r>
              <w:rPr/>
              <w:t> </w:t>
            </w:r>
          </w:p>
        </w:tc>
        <w:tc>
          <w:tcPr>
            <w:tcW w:w="830" w:type="dxa"/>
            <w:tcBorders/>
          </w:tcPr>
          <w:p>
            <w:pPr>
              <w:pStyle w:val="TableContents"/>
              <w:bidi w:val="0"/>
              <w:spacing w:before="0" w:after="283"/>
              <w:jc w:val="left"/>
              <w:rPr/>
            </w:pPr>
            <w:r>
              <w:rPr/>
              <w:t> </w:t>
            </w:r>
          </w:p>
        </w:tc>
        <w:tc>
          <w:tcPr>
            <w:tcW w:w="232" w:type="dxa"/>
            <w:tcBorders/>
          </w:tcPr>
          <w:p>
            <w:pPr>
              <w:pStyle w:val="TableContents"/>
              <w:bidi w:val="0"/>
              <w:spacing w:before="0" w:after="283"/>
              <w:jc w:val="left"/>
              <w:rPr/>
            </w:pPr>
            <w:r>
              <w:rPr/>
              <w:t> </w:t>
            </w:r>
          </w:p>
        </w:tc>
      </w:tr>
      <w:tr>
        <w:trPr/>
        <w:tc>
          <w:tcPr>
            <w:tcW w:w="6800" w:type="dxa"/>
            <w:gridSpan w:val="5"/>
            <w:tcBorders/>
            <w:shd w:fill="CCEEFF" w:val="clear"/>
          </w:tcPr>
          <w:p>
            <w:pPr>
              <w:pStyle w:val="TableContents"/>
              <w:bidi w:val="0"/>
              <w:spacing w:before="0" w:after="0"/>
              <w:jc w:val="left"/>
              <w:rPr/>
            </w:pPr>
            <w:r>
              <w:rPr/>
              <w:t>Segment revenue</w:t>
            </w:r>
          </w:p>
        </w:tc>
        <w:tc>
          <w:tcPr>
            <w:tcW w:w="90" w:type="dxa"/>
            <w:tcBorders/>
            <w:shd w:fill="CCEEFF" w:val="clear"/>
          </w:tcPr>
          <w:p>
            <w:pPr>
              <w:pStyle w:val="TableContents"/>
              <w:bidi w:val="0"/>
              <w:spacing w:before="0" w:after="283"/>
              <w:jc w:val="left"/>
              <w:rPr/>
            </w:pPr>
            <w:r>
              <w:rPr/>
              <w:t> </w:t>
            </w:r>
          </w:p>
        </w:tc>
        <w:tc>
          <w:tcPr>
            <w:tcW w:w="170" w:type="dxa"/>
            <w:tcBorders/>
            <w:shd w:fill="CCEEFF" w:val="clear"/>
          </w:tcPr>
          <w:p>
            <w:pPr>
              <w:pStyle w:val="TableContents"/>
              <w:bidi w:val="0"/>
              <w:spacing w:before="0" w:after="283"/>
              <w:jc w:val="left"/>
              <w:rPr/>
            </w:pPr>
            <w:r>
              <w:rPr/>
              <w:t> </w:t>
            </w:r>
          </w:p>
        </w:tc>
        <w:tc>
          <w:tcPr>
            <w:tcW w:w="1638" w:type="dxa"/>
            <w:tcBorders/>
            <w:shd w:fill="CCEEFF" w:val="clear"/>
          </w:tcPr>
          <w:p>
            <w:pPr>
              <w:pStyle w:val="TableContents"/>
              <w:bidi w:val="0"/>
              <w:spacing w:before="0" w:after="283"/>
              <w:jc w:val="left"/>
              <w:rPr/>
            </w:pPr>
            <w:r>
              <w:rPr/>
              <w:t> </w:t>
            </w:r>
          </w:p>
        </w:tc>
        <w:tc>
          <w:tcPr>
            <w:tcW w:w="185" w:type="dxa"/>
            <w:tcBorders/>
            <w:shd w:fill="CCEEFF" w:val="clear"/>
          </w:tcPr>
          <w:p>
            <w:pPr>
              <w:pStyle w:val="TableContents"/>
              <w:bidi w:val="0"/>
              <w:spacing w:before="0" w:after="283"/>
              <w:jc w:val="left"/>
              <w:rPr/>
            </w:pPr>
            <w:r>
              <w:rPr/>
              <w:t> </w:t>
            </w:r>
          </w:p>
        </w:tc>
        <w:tc>
          <w:tcPr>
            <w:tcW w:w="90" w:type="dxa"/>
            <w:tcBorders/>
            <w:shd w:fill="CCEEFF" w:val="clear"/>
          </w:tcPr>
          <w:p>
            <w:pPr>
              <w:pStyle w:val="TableContents"/>
              <w:bidi w:val="0"/>
              <w:spacing w:before="0" w:after="283"/>
              <w:jc w:val="left"/>
              <w:rPr/>
            </w:pPr>
            <w:r>
              <w:rPr/>
              <w:t> </w:t>
            </w:r>
          </w:p>
        </w:tc>
        <w:tc>
          <w:tcPr>
            <w:tcW w:w="170" w:type="dxa"/>
            <w:tcBorders/>
            <w:shd w:fill="CCEEFF" w:val="clear"/>
          </w:tcPr>
          <w:p>
            <w:pPr>
              <w:pStyle w:val="TableContents"/>
              <w:bidi w:val="0"/>
              <w:spacing w:before="0" w:after="283"/>
              <w:jc w:val="left"/>
              <w:rPr/>
            </w:pPr>
            <w:r>
              <w:rPr/>
              <w:t>$</w:t>
            </w:r>
          </w:p>
        </w:tc>
        <w:tc>
          <w:tcPr>
            <w:tcW w:w="830" w:type="dxa"/>
            <w:tcBorders/>
            <w:shd w:fill="CCEEFF" w:val="clear"/>
          </w:tcPr>
          <w:p>
            <w:pPr>
              <w:pStyle w:val="TableContents"/>
              <w:bidi w:val="0"/>
              <w:spacing w:before="0" w:after="283"/>
              <w:jc w:val="right"/>
              <w:rPr/>
            </w:pPr>
            <w:r>
              <w:rPr/>
              <w:t>114,766</w:t>
            </w:r>
          </w:p>
        </w:tc>
        <w:tc>
          <w:tcPr>
            <w:tcW w:w="232" w:type="dxa"/>
            <w:tcBorders/>
            <w:shd w:fill="CCEEFF" w:val="clear"/>
          </w:tcPr>
          <w:p>
            <w:pPr>
              <w:pStyle w:val="TableContents"/>
              <w:bidi w:val="0"/>
              <w:spacing w:before="0" w:after="283"/>
              <w:jc w:val="left"/>
              <w:rPr/>
            </w:pPr>
            <w:r>
              <w:rPr/>
              <w:t> </w:t>
            </w:r>
          </w:p>
        </w:tc>
      </w:tr>
      <w:tr>
        <w:trPr/>
        <w:tc>
          <w:tcPr>
            <w:tcW w:w="4113" w:type="dxa"/>
            <w:tcBorders/>
          </w:tcPr>
          <w:p>
            <w:pPr>
              <w:pStyle w:val="TableContents"/>
              <w:bidi w:val="0"/>
              <w:spacing w:before="0" w:after="0"/>
              <w:jc w:val="left"/>
              <w:rPr/>
            </w:pPr>
            <w:r>
              <w:rPr/>
              <w:t>License revenue</w:t>
            </w:r>
          </w:p>
        </w:tc>
        <w:tc>
          <w:tcPr>
            <w:tcW w:w="101" w:type="dxa"/>
            <w:tcBorders/>
          </w:tcPr>
          <w:p>
            <w:pPr>
              <w:pStyle w:val="TableContents"/>
              <w:bidi w:val="0"/>
              <w:spacing w:before="0" w:after="283"/>
              <w:jc w:val="left"/>
              <w:rPr/>
            </w:pPr>
            <w:r>
              <w:rPr/>
              <w:t> </w:t>
            </w:r>
          </w:p>
        </w:tc>
        <w:tc>
          <w:tcPr>
            <w:tcW w:w="191" w:type="dxa"/>
            <w:tcBorders/>
          </w:tcPr>
          <w:p>
            <w:pPr>
              <w:pStyle w:val="TableContents"/>
              <w:bidi w:val="0"/>
              <w:spacing w:before="0" w:after="283"/>
              <w:jc w:val="left"/>
              <w:rPr/>
            </w:pPr>
            <w:r>
              <w:rPr/>
              <w:t> </w:t>
            </w:r>
          </w:p>
        </w:tc>
        <w:tc>
          <w:tcPr>
            <w:tcW w:w="2187" w:type="dxa"/>
            <w:tcBorders/>
          </w:tcPr>
          <w:p>
            <w:pPr>
              <w:pStyle w:val="TableContents"/>
              <w:bidi w:val="0"/>
              <w:spacing w:before="0" w:after="283"/>
              <w:jc w:val="left"/>
              <w:rPr/>
            </w:pPr>
            <w:r>
              <w:rPr/>
              <w:t> </w:t>
            </w:r>
          </w:p>
        </w:tc>
        <w:tc>
          <w:tcPr>
            <w:tcW w:w="208" w:type="dxa"/>
            <w:tcBorders/>
          </w:tcPr>
          <w:p>
            <w:pPr>
              <w:pStyle w:val="TableContents"/>
              <w:bidi w:val="0"/>
              <w:spacing w:before="0" w:after="283"/>
              <w:jc w:val="left"/>
              <w:rPr/>
            </w:pPr>
            <w:r>
              <w:rPr/>
              <w:t> </w:t>
            </w:r>
          </w:p>
        </w:tc>
        <w:tc>
          <w:tcPr>
            <w:tcW w:w="90" w:type="dxa"/>
            <w:tcBorders/>
          </w:tcPr>
          <w:p>
            <w:pPr>
              <w:pStyle w:val="TableContents"/>
              <w:bidi w:val="0"/>
              <w:spacing w:before="0" w:after="283"/>
              <w:jc w:val="left"/>
              <w:rPr/>
            </w:pPr>
            <w:r>
              <w:rPr/>
              <w:t> </w:t>
            </w:r>
          </w:p>
        </w:tc>
        <w:tc>
          <w:tcPr>
            <w:tcW w:w="170" w:type="dxa"/>
            <w:tcBorders/>
          </w:tcPr>
          <w:p>
            <w:pPr>
              <w:pStyle w:val="TableContents"/>
              <w:bidi w:val="0"/>
              <w:spacing w:before="0" w:after="283"/>
              <w:jc w:val="left"/>
              <w:rPr/>
            </w:pPr>
            <w:r>
              <w:rPr/>
              <w:t> </w:t>
            </w:r>
          </w:p>
        </w:tc>
        <w:tc>
          <w:tcPr>
            <w:tcW w:w="1638" w:type="dxa"/>
            <w:tcBorders/>
          </w:tcPr>
          <w:p>
            <w:pPr>
              <w:pStyle w:val="TableContents"/>
              <w:bidi w:val="0"/>
              <w:spacing w:before="0" w:after="283"/>
              <w:jc w:val="left"/>
              <w:rPr/>
            </w:pPr>
            <w:r>
              <w:rPr/>
              <w:t> </w:t>
            </w:r>
          </w:p>
        </w:tc>
        <w:tc>
          <w:tcPr>
            <w:tcW w:w="185" w:type="dxa"/>
            <w:tcBorders/>
          </w:tcPr>
          <w:p>
            <w:pPr>
              <w:pStyle w:val="TableContents"/>
              <w:bidi w:val="0"/>
              <w:spacing w:before="0" w:after="283"/>
              <w:jc w:val="left"/>
              <w:rPr/>
            </w:pPr>
            <w:r>
              <w:rPr/>
              <w:t> </w:t>
            </w:r>
          </w:p>
        </w:tc>
        <w:tc>
          <w:tcPr>
            <w:tcW w:w="90" w:type="dxa"/>
            <w:tcBorders/>
          </w:tcPr>
          <w:p>
            <w:pPr>
              <w:pStyle w:val="TableContents"/>
              <w:bidi w:val="0"/>
              <w:spacing w:before="0" w:after="283"/>
              <w:jc w:val="left"/>
              <w:rPr/>
            </w:pPr>
            <w:r>
              <w:rPr/>
              <w:t> </w:t>
            </w:r>
          </w:p>
        </w:tc>
        <w:tc>
          <w:tcPr>
            <w:tcW w:w="170" w:type="dxa"/>
            <w:tcBorders>
              <w:bottom w:val="single" w:sz="12" w:space="0" w:color="000000"/>
            </w:tcBorders>
            <w:tcMar>
              <w:bottom w:w="28" w:type="dxa"/>
            </w:tcMar>
          </w:tcPr>
          <w:p>
            <w:pPr>
              <w:pStyle w:val="TableContents"/>
              <w:bidi w:val="0"/>
              <w:spacing w:before="0" w:after="283"/>
              <w:jc w:val="left"/>
              <w:rPr/>
            </w:pPr>
            <w:r>
              <w:rPr/>
              <w:t> </w:t>
            </w:r>
          </w:p>
        </w:tc>
        <w:tc>
          <w:tcPr>
            <w:tcW w:w="830" w:type="dxa"/>
            <w:tcBorders>
              <w:bottom w:val="single" w:sz="12" w:space="0" w:color="000000"/>
            </w:tcBorders>
            <w:tcMar>
              <w:bottom w:w="28" w:type="dxa"/>
            </w:tcMar>
          </w:tcPr>
          <w:p>
            <w:pPr>
              <w:pStyle w:val="TableContents"/>
              <w:bidi w:val="0"/>
              <w:spacing w:before="0" w:after="283"/>
              <w:jc w:val="right"/>
              <w:rPr/>
            </w:pPr>
            <w:r>
              <w:rPr/>
              <w:t>36</w:t>
            </w:r>
          </w:p>
        </w:tc>
        <w:tc>
          <w:tcPr>
            <w:tcW w:w="232" w:type="dxa"/>
            <w:tcBorders>
              <w:bottom w:val="single" w:sz="12" w:space="0" w:color="000000"/>
            </w:tcBorders>
            <w:tcMar>
              <w:bottom w:w="28" w:type="dxa"/>
            </w:tcMar>
          </w:tcPr>
          <w:p>
            <w:pPr>
              <w:pStyle w:val="TableContents"/>
              <w:bidi w:val="0"/>
              <w:spacing w:before="0" w:after="283"/>
              <w:jc w:val="left"/>
              <w:rPr/>
            </w:pPr>
            <w:r>
              <w:rPr/>
              <w:t> </w:t>
            </w:r>
          </w:p>
        </w:tc>
      </w:tr>
      <w:tr>
        <w:trPr/>
        <w:tc>
          <w:tcPr>
            <w:tcW w:w="4113" w:type="dxa"/>
            <w:tcBorders/>
            <w:shd w:fill="CCEEFF" w:val="clear"/>
          </w:tcPr>
          <w:p>
            <w:pPr>
              <w:pStyle w:val="TableContents"/>
              <w:bidi w:val="0"/>
              <w:spacing w:before="0" w:after="0"/>
              <w:jc w:val="left"/>
              <w:rPr/>
            </w:pPr>
            <w:r>
              <w:rPr/>
              <w:t>Consolidated revenues</w:t>
            </w:r>
          </w:p>
        </w:tc>
        <w:tc>
          <w:tcPr>
            <w:tcW w:w="101" w:type="dxa"/>
            <w:tcBorders/>
            <w:shd w:fill="CCEEFF" w:val="clear"/>
          </w:tcPr>
          <w:p>
            <w:pPr>
              <w:pStyle w:val="TableContents"/>
              <w:bidi w:val="0"/>
              <w:spacing w:before="0" w:after="283"/>
              <w:jc w:val="left"/>
              <w:rPr/>
            </w:pPr>
            <w:r>
              <w:rPr/>
              <w:t> </w:t>
            </w:r>
          </w:p>
        </w:tc>
        <w:tc>
          <w:tcPr>
            <w:tcW w:w="191" w:type="dxa"/>
            <w:tcBorders/>
            <w:shd w:fill="CCEEFF" w:val="clear"/>
          </w:tcPr>
          <w:p>
            <w:pPr>
              <w:pStyle w:val="TableContents"/>
              <w:bidi w:val="0"/>
              <w:spacing w:before="0" w:after="283"/>
              <w:jc w:val="left"/>
              <w:rPr/>
            </w:pPr>
            <w:r>
              <w:rPr/>
              <w:t> </w:t>
            </w:r>
          </w:p>
        </w:tc>
        <w:tc>
          <w:tcPr>
            <w:tcW w:w="2187" w:type="dxa"/>
            <w:tcBorders/>
            <w:shd w:fill="CCEEFF" w:val="clear"/>
          </w:tcPr>
          <w:p>
            <w:pPr>
              <w:pStyle w:val="TableContents"/>
              <w:bidi w:val="0"/>
              <w:spacing w:before="0" w:after="283"/>
              <w:jc w:val="left"/>
              <w:rPr/>
            </w:pPr>
            <w:r>
              <w:rPr/>
              <w:t> </w:t>
            </w:r>
          </w:p>
        </w:tc>
        <w:tc>
          <w:tcPr>
            <w:tcW w:w="208" w:type="dxa"/>
            <w:tcBorders/>
            <w:shd w:fill="CCEEFF" w:val="clear"/>
          </w:tcPr>
          <w:p>
            <w:pPr>
              <w:pStyle w:val="TableContents"/>
              <w:bidi w:val="0"/>
              <w:spacing w:before="0" w:after="283"/>
              <w:jc w:val="left"/>
              <w:rPr/>
            </w:pPr>
            <w:r>
              <w:rPr/>
              <w:t> </w:t>
            </w:r>
          </w:p>
        </w:tc>
        <w:tc>
          <w:tcPr>
            <w:tcW w:w="90" w:type="dxa"/>
            <w:tcBorders/>
            <w:shd w:fill="CCEEFF" w:val="clear"/>
          </w:tcPr>
          <w:p>
            <w:pPr>
              <w:pStyle w:val="TableContents"/>
              <w:bidi w:val="0"/>
              <w:spacing w:before="0" w:after="283"/>
              <w:jc w:val="left"/>
              <w:rPr/>
            </w:pPr>
            <w:r>
              <w:rPr/>
              <w:t> </w:t>
            </w:r>
          </w:p>
        </w:tc>
        <w:tc>
          <w:tcPr>
            <w:tcW w:w="170" w:type="dxa"/>
            <w:tcBorders/>
            <w:shd w:fill="CCEEFF" w:val="clear"/>
          </w:tcPr>
          <w:p>
            <w:pPr>
              <w:pStyle w:val="TableContents"/>
              <w:bidi w:val="0"/>
              <w:spacing w:before="0" w:after="283"/>
              <w:jc w:val="left"/>
              <w:rPr/>
            </w:pPr>
            <w:r>
              <w:rPr/>
              <w:t> </w:t>
            </w:r>
          </w:p>
        </w:tc>
        <w:tc>
          <w:tcPr>
            <w:tcW w:w="1638" w:type="dxa"/>
            <w:tcBorders/>
            <w:shd w:fill="CCEEFF" w:val="clear"/>
          </w:tcPr>
          <w:p>
            <w:pPr>
              <w:pStyle w:val="TableContents"/>
              <w:bidi w:val="0"/>
              <w:spacing w:before="0" w:after="283"/>
              <w:jc w:val="left"/>
              <w:rPr/>
            </w:pPr>
            <w:r>
              <w:rPr/>
              <w:t> </w:t>
            </w:r>
          </w:p>
        </w:tc>
        <w:tc>
          <w:tcPr>
            <w:tcW w:w="185" w:type="dxa"/>
            <w:tcBorders/>
            <w:shd w:fill="CCEEFF" w:val="clear"/>
          </w:tcPr>
          <w:p>
            <w:pPr>
              <w:pStyle w:val="TableContents"/>
              <w:bidi w:val="0"/>
              <w:spacing w:before="0" w:after="283"/>
              <w:jc w:val="left"/>
              <w:rPr/>
            </w:pPr>
            <w:r>
              <w:rPr/>
              <w:t> </w:t>
            </w:r>
          </w:p>
        </w:tc>
        <w:tc>
          <w:tcPr>
            <w:tcW w:w="90" w:type="dxa"/>
            <w:tcBorders/>
            <w:shd w:fill="CCEEFF" w:val="clear"/>
          </w:tcPr>
          <w:p>
            <w:pPr>
              <w:pStyle w:val="TableContents"/>
              <w:bidi w:val="0"/>
              <w:spacing w:before="0" w:after="283"/>
              <w:jc w:val="left"/>
              <w:rPr/>
            </w:pPr>
            <w:r>
              <w:rPr/>
              <w:t> </w:t>
            </w:r>
          </w:p>
        </w:tc>
        <w:tc>
          <w:tcPr>
            <w:tcW w:w="170" w:type="dxa"/>
            <w:tcBorders>
              <w:bottom w:val="double" w:sz="8" w:space="0" w:color="000000"/>
            </w:tcBorders>
            <w:shd w:fill="CCEEFF" w:val="clear"/>
            <w:tcMar>
              <w:bottom w:w="28" w:type="dxa"/>
            </w:tcMar>
          </w:tcPr>
          <w:p>
            <w:pPr>
              <w:pStyle w:val="TableContents"/>
              <w:bidi w:val="0"/>
              <w:spacing w:before="0" w:after="283"/>
              <w:jc w:val="left"/>
              <w:rPr/>
            </w:pPr>
            <w:r>
              <w:rPr/>
              <w:t>$</w:t>
            </w:r>
          </w:p>
        </w:tc>
        <w:tc>
          <w:tcPr>
            <w:tcW w:w="830" w:type="dxa"/>
            <w:tcBorders>
              <w:bottom w:val="double" w:sz="8" w:space="0" w:color="000000"/>
            </w:tcBorders>
            <w:shd w:fill="CCEEFF" w:val="clear"/>
            <w:tcMar>
              <w:bottom w:w="28" w:type="dxa"/>
            </w:tcMar>
          </w:tcPr>
          <w:p>
            <w:pPr>
              <w:pStyle w:val="TableContents"/>
              <w:bidi w:val="0"/>
              <w:spacing w:before="0" w:after="283"/>
              <w:jc w:val="right"/>
              <w:rPr/>
            </w:pPr>
            <w:r>
              <w:rPr/>
              <w:t>114,802</w:t>
            </w:r>
          </w:p>
        </w:tc>
        <w:tc>
          <w:tcPr>
            <w:tcW w:w="232" w:type="dxa"/>
            <w:tcBorders>
              <w:bottom w:val="double" w:sz="8" w:space="0" w:color="000000"/>
            </w:tcBorders>
            <w:shd w:fill="CCEEFF" w:val="clear"/>
            <w:tcMar>
              <w:bottom w:w="28" w:type="dxa"/>
            </w:tcMar>
          </w:tcPr>
          <w:p>
            <w:pPr>
              <w:pStyle w:val="TableContents"/>
              <w:bidi w:val="0"/>
              <w:spacing w:before="0" w:after="283"/>
              <w:jc w:val="left"/>
              <w:rPr/>
            </w:pPr>
            <w:r>
              <w:rPr/>
              <w:t> </w:t>
            </w:r>
          </w:p>
        </w:tc>
      </w:tr>
      <w:tr>
        <w:trPr/>
        <w:tc>
          <w:tcPr>
            <w:tcW w:w="4113" w:type="dxa"/>
            <w:tcBorders/>
          </w:tcPr>
          <w:p>
            <w:pPr>
              <w:pStyle w:val="TableContents"/>
              <w:bidi w:val="0"/>
              <w:spacing w:before="0" w:after="283"/>
              <w:jc w:val="left"/>
              <w:rPr/>
            </w:pPr>
            <w:r>
              <w:rPr/>
              <w:t> </w:t>
            </w:r>
          </w:p>
        </w:tc>
        <w:tc>
          <w:tcPr>
            <w:tcW w:w="101" w:type="dxa"/>
            <w:tcBorders/>
          </w:tcPr>
          <w:p>
            <w:pPr>
              <w:pStyle w:val="TableContents"/>
              <w:bidi w:val="0"/>
              <w:spacing w:before="0" w:after="283"/>
              <w:jc w:val="left"/>
              <w:rPr/>
            </w:pPr>
            <w:r>
              <w:rPr/>
              <w:t> </w:t>
            </w:r>
          </w:p>
        </w:tc>
        <w:tc>
          <w:tcPr>
            <w:tcW w:w="191" w:type="dxa"/>
            <w:tcBorders/>
          </w:tcPr>
          <w:p>
            <w:pPr>
              <w:pStyle w:val="TableContents"/>
              <w:bidi w:val="0"/>
              <w:spacing w:before="0" w:after="283"/>
              <w:jc w:val="left"/>
              <w:rPr/>
            </w:pPr>
            <w:r>
              <w:rPr/>
              <w:t> </w:t>
            </w:r>
          </w:p>
        </w:tc>
        <w:tc>
          <w:tcPr>
            <w:tcW w:w="2187" w:type="dxa"/>
            <w:tcBorders/>
          </w:tcPr>
          <w:p>
            <w:pPr>
              <w:pStyle w:val="TableContents"/>
              <w:bidi w:val="0"/>
              <w:spacing w:before="0" w:after="283"/>
              <w:jc w:val="left"/>
              <w:rPr/>
            </w:pPr>
            <w:r>
              <w:rPr/>
              <w:t> </w:t>
            </w:r>
          </w:p>
        </w:tc>
        <w:tc>
          <w:tcPr>
            <w:tcW w:w="208" w:type="dxa"/>
            <w:tcBorders/>
          </w:tcPr>
          <w:p>
            <w:pPr>
              <w:pStyle w:val="TableContents"/>
              <w:bidi w:val="0"/>
              <w:spacing w:before="0" w:after="283"/>
              <w:jc w:val="left"/>
              <w:rPr/>
            </w:pPr>
            <w:r>
              <w:rPr/>
              <w:t> </w:t>
            </w:r>
          </w:p>
        </w:tc>
        <w:tc>
          <w:tcPr>
            <w:tcW w:w="90" w:type="dxa"/>
            <w:tcBorders/>
          </w:tcPr>
          <w:p>
            <w:pPr>
              <w:pStyle w:val="TableContents"/>
              <w:bidi w:val="0"/>
              <w:spacing w:before="0" w:after="283"/>
              <w:jc w:val="left"/>
              <w:rPr/>
            </w:pPr>
            <w:r>
              <w:rPr/>
              <w:t> </w:t>
            </w:r>
          </w:p>
        </w:tc>
        <w:tc>
          <w:tcPr>
            <w:tcW w:w="170" w:type="dxa"/>
            <w:tcBorders/>
          </w:tcPr>
          <w:p>
            <w:pPr>
              <w:pStyle w:val="TableContents"/>
              <w:bidi w:val="0"/>
              <w:spacing w:before="0" w:after="283"/>
              <w:jc w:val="left"/>
              <w:rPr/>
            </w:pPr>
            <w:r>
              <w:rPr/>
              <w:t> </w:t>
            </w:r>
          </w:p>
        </w:tc>
        <w:tc>
          <w:tcPr>
            <w:tcW w:w="1638" w:type="dxa"/>
            <w:tcBorders/>
          </w:tcPr>
          <w:p>
            <w:pPr>
              <w:pStyle w:val="TableContents"/>
              <w:bidi w:val="0"/>
              <w:spacing w:before="0" w:after="283"/>
              <w:jc w:val="left"/>
              <w:rPr/>
            </w:pPr>
            <w:r>
              <w:rPr/>
              <w:t> </w:t>
            </w:r>
          </w:p>
        </w:tc>
        <w:tc>
          <w:tcPr>
            <w:tcW w:w="185" w:type="dxa"/>
            <w:tcBorders/>
          </w:tcPr>
          <w:p>
            <w:pPr>
              <w:pStyle w:val="TableContents"/>
              <w:bidi w:val="0"/>
              <w:spacing w:before="0" w:after="283"/>
              <w:jc w:val="left"/>
              <w:rPr/>
            </w:pPr>
            <w:r>
              <w:rPr/>
              <w:t> </w:t>
            </w:r>
          </w:p>
        </w:tc>
        <w:tc>
          <w:tcPr>
            <w:tcW w:w="90" w:type="dxa"/>
            <w:tcBorders/>
          </w:tcPr>
          <w:p>
            <w:pPr>
              <w:pStyle w:val="TableContents"/>
              <w:bidi w:val="0"/>
              <w:spacing w:before="0" w:after="283"/>
              <w:jc w:val="left"/>
              <w:rPr/>
            </w:pPr>
            <w:r>
              <w:rPr/>
              <w:t> </w:t>
            </w:r>
          </w:p>
        </w:tc>
        <w:tc>
          <w:tcPr>
            <w:tcW w:w="170" w:type="dxa"/>
            <w:tcBorders/>
          </w:tcPr>
          <w:p>
            <w:pPr>
              <w:pStyle w:val="TableContents"/>
              <w:bidi w:val="0"/>
              <w:spacing w:before="0" w:after="283"/>
              <w:jc w:val="left"/>
              <w:rPr/>
            </w:pPr>
            <w:r>
              <w:rPr/>
              <w:t> </w:t>
            </w:r>
          </w:p>
        </w:tc>
        <w:tc>
          <w:tcPr>
            <w:tcW w:w="830" w:type="dxa"/>
            <w:tcBorders/>
          </w:tcPr>
          <w:p>
            <w:pPr>
              <w:pStyle w:val="TableContents"/>
              <w:bidi w:val="0"/>
              <w:spacing w:before="0" w:after="283"/>
              <w:jc w:val="left"/>
              <w:rPr/>
            </w:pPr>
            <w:r>
              <w:rPr/>
              <w:t> </w:t>
            </w:r>
          </w:p>
        </w:tc>
        <w:tc>
          <w:tcPr>
            <w:tcW w:w="232" w:type="dxa"/>
            <w:tcBorders/>
          </w:tcPr>
          <w:p>
            <w:pPr>
              <w:pStyle w:val="TableContents"/>
              <w:bidi w:val="0"/>
              <w:spacing w:before="0" w:after="283"/>
              <w:jc w:val="left"/>
              <w:rPr/>
            </w:pPr>
            <w:r>
              <w:rPr/>
              <w:t> </w:t>
            </w:r>
          </w:p>
        </w:tc>
      </w:tr>
      <w:tr>
        <w:trPr/>
        <w:tc>
          <w:tcPr>
            <w:tcW w:w="6800" w:type="dxa"/>
            <w:gridSpan w:val="5"/>
            <w:tcBorders/>
            <w:shd w:fill="CCEEFF" w:val="clear"/>
          </w:tcPr>
          <w:p>
            <w:pPr>
              <w:pStyle w:val="TableContents"/>
              <w:bidi w:val="0"/>
              <w:spacing w:before="0" w:after="0"/>
              <w:jc w:val="left"/>
              <w:rPr>
                <w:i/>
              </w:rPr>
            </w:pPr>
            <w:r>
              <w:rPr>
                <w:i/>
              </w:rPr>
              <w:t>Reconciliation of selling, general and administrative expense:</w:t>
            </w:r>
          </w:p>
        </w:tc>
        <w:tc>
          <w:tcPr>
            <w:tcW w:w="90" w:type="dxa"/>
            <w:tcBorders/>
            <w:shd w:fill="CCEEFF" w:val="clear"/>
          </w:tcPr>
          <w:p>
            <w:pPr>
              <w:pStyle w:val="TableContents"/>
              <w:bidi w:val="0"/>
              <w:spacing w:before="0" w:after="283"/>
              <w:jc w:val="left"/>
              <w:rPr/>
            </w:pPr>
            <w:r>
              <w:rPr/>
              <w:t> </w:t>
            </w:r>
          </w:p>
        </w:tc>
        <w:tc>
          <w:tcPr>
            <w:tcW w:w="170" w:type="dxa"/>
            <w:tcBorders/>
            <w:shd w:fill="CCEEFF" w:val="clear"/>
          </w:tcPr>
          <w:p>
            <w:pPr>
              <w:pStyle w:val="TableContents"/>
              <w:bidi w:val="0"/>
              <w:spacing w:before="0" w:after="283"/>
              <w:jc w:val="left"/>
              <w:rPr/>
            </w:pPr>
            <w:r>
              <w:rPr/>
              <w:t> </w:t>
            </w:r>
          </w:p>
        </w:tc>
        <w:tc>
          <w:tcPr>
            <w:tcW w:w="1638" w:type="dxa"/>
            <w:tcBorders/>
            <w:shd w:fill="CCEEFF" w:val="clear"/>
          </w:tcPr>
          <w:p>
            <w:pPr>
              <w:pStyle w:val="TableContents"/>
              <w:bidi w:val="0"/>
              <w:spacing w:before="0" w:after="283"/>
              <w:jc w:val="left"/>
              <w:rPr/>
            </w:pPr>
            <w:r>
              <w:rPr/>
              <w:t> </w:t>
            </w:r>
          </w:p>
        </w:tc>
        <w:tc>
          <w:tcPr>
            <w:tcW w:w="185" w:type="dxa"/>
            <w:tcBorders/>
            <w:shd w:fill="CCEEFF" w:val="clear"/>
          </w:tcPr>
          <w:p>
            <w:pPr>
              <w:pStyle w:val="TableContents"/>
              <w:bidi w:val="0"/>
              <w:spacing w:before="0" w:after="283"/>
              <w:jc w:val="left"/>
              <w:rPr/>
            </w:pPr>
            <w:r>
              <w:rPr/>
              <w:t> </w:t>
            </w:r>
          </w:p>
        </w:tc>
        <w:tc>
          <w:tcPr>
            <w:tcW w:w="90" w:type="dxa"/>
            <w:tcBorders/>
            <w:shd w:fill="CCEEFF" w:val="clear"/>
          </w:tcPr>
          <w:p>
            <w:pPr>
              <w:pStyle w:val="TableContents"/>
              <w:bidi w:val="0"/>
              <w:spacing w:before="0" w:after="283"/>
              <w:jc w:val="left"/>
              <w:rPr/>
            </w:pPr>
            <w:r>
              <w:rPr/>
              <w:t> </w:t>
            </w:r>
          </w:p>
        </w:tc>
        <w:tc>
          <w:tcPr>
            <w:tcW w:w="170" w:type="dxa"/>
            <w:tcBorders/>
            <w:shd w:fill="CCEEFF" w:val="clear"/>
          </w:tcPr>
          <w:p>
            <w:pPr>
              <w:pStyle w:val="TableContents"/>
              <w:bidi w:val="0"/>
              <w:spacing w:before="0" w:after="283"/>
              <w:jc w:val="left"/>
              <w:rPr/>
            </w:pPr>
            <w:r>
              <w:rPr/>
              <w:t> </w:t>
            </w:r>
          </w:p>
        </w:tc>
        <w:tc>
          <w:tcPr>
            <w:tcW w:w="830" w:type="dxa"/>
            <w:tcBorders/>
            <w:shd w:fill="CCEEFF" w:val="clear"/>
          </w:tcPr>
          <w:p>
            <w:pPr>
              <w:pStyle w:val="TableContents"/>
              <w:bidi w:val="0"/>
              <w:spacing w:before="0" w:after="283"/>
              <w:jc w:val="left"/>
              <w:rPr/>
            </w:pPr>
            <w:r>
              <w:rPr/>
              <w:t> </w:t>
            </w:r>
          </w:p>
        </w:tc>
        <w:tc>
          <w:tcPr>
            <w:tcW w:w="232" w:type="dxa"/>
            <w:tcBorders/>
            <w:shd w:fill="CCEEFF" w:val="clear"/>
          </w:tcPr>
          <w:p>
            <w:pPr>
              <w:pStyle w:val="TableContents"/>
              <w:bidi w:val="0"/>
              <w:spacing w:before="0" w:after="283"/>
              <w:jc w:val="left"/>
              <w:rPr/>
            </w:pPr>
            <w:r>
              <w:rPr/>
              <w:t> </w:t>
            </w:r>
          </w:p>
        </w:tc>
      </w:tr>
      <w:tr>
        <w:trPr/>
        <w:tc>
          <w:tcPr>
            <w:tcW w:w="6800" w:type="dxa"/>
            <w:gridSpan w:val="5"/>
            <w:tcBorders/>
          </w:tcPr>
          <w:p>
            <w:pPr>
              <w:pStyle w:val="TableContents"/>
              <w:bidi w:val="0"/>
              <w:spacing w:before="0" w:after="0"/>
              <w:jc w:val="left"/>
              <w:rPr/>
            </w:pPr>
            <w:r>
              <w:rPr/>
              <w:t>Segment selling, marketing and distribution expense</w:t>
            </w:r>
          </w:p>
        </w:tc>
        <w:tc>
          <w:tcPr>
            <w:tcW w:w="90" w:type="dxa"/>
            <w:tcBorders/>
          </w:tcPr>
          <w:p>
            <w:pPr>
              <w:pStyle w:val="TableContents"/>
              <w:bidi w:val="0"/>
              <w:spacing w:before="0" w:after="283"/>
              <w:jc w:val="left"/>
              <w:rPr/>
            </w:pPr>
            <w:r>
              <w:rPr/>
              <w:t> </w:t>
            </w:r>
          </w:p>
        </w:tc>
        <w:tc>
          <w:tcPr>
            <w:tcW w:w="170" w:type="dxa"/>
            <w:tcBorders/>
          </w:tcPr>
          <w:p>
            <w:pPr>
              <w:pStyle w:val="TableContents"/>
              <w:bidi w:val="0"/>
              <w:spacing w:before="0" w:after="283"/>
              <w:jc w:val="left"/>
              <w:rPr/>
            </w:pPr>
            <w:r>
              <w:rPr/>
              <w:t> </w:t>
            </w:r>
          </w:p>
        </w:tc>
        <w:tc>
          <w:tcPr>
            <w:tcW w:w="1638" w:type="dxa"/>
            <w:tcBorders/>
          </w:tcPr>
          <w:p>
            <w:pPr>
              <w:pStyle w:val="TableContents"/>
              <w:bidi w:val="0"/>
              <w:spacing w:before="0" w:after="283"/>
              <w:jc w:val="left"/>
              <w:rPr/>
            </w:pPr>
            <w:r>
              <w:rPr/>
              <w:t> </w:t>
            </w:r>
          </w:p>
        </w:tc>
        <w:tc>
          <w:tcPr>
            <w:tcW w:w="185" w:type="dxa"/>
            <w:tcBorders/>
          </w:tcPr>
          <w:p>
            <w:pPr>
              <w:pStyle w:val="TableContents"/>
              <w:bidi w:val="0"/>
              <w:spacing w:before="0" w:after="283"/>
              <w:jc w:val="left"/>
              <w:rPr/>
            </w:pPr>
            <w:r>
              <w:rPr/>
              <w:t> </w:t>
            </w:r>
          </w:p>
        </w:tc>
        <w:tc>
          <w:tcPr>
            <w:tcW w:w="90" w:type="dxa"/>
            <w:tcBorders/>
          </w:tcPr>
          <w:p>
            <w:pPr>
              <w:pStyle w:val="TableContents"/>
              <w:bidi w:val="0"/>
              <w:spacing w:before="0" w:after="283"/>
              <w:jc w:val="left"/>
              <w:rPr/>
            </w:pPr>
            <w:r>
              <w:rPr/>
              <w:t> </w:t>
            </w:r>
          </w:p>
        </w:tc>
        <w:tc>
          <w:tcPr>
            <w:tcW w:w="170" w:type="dxa"/>
            <w:tcBorders/>
          </w:tcPr>
          <w:p>
            <w:pPr>
              <w:pStyle w:val="TableContents"/>
              <w:bidi w:val="0"/>
              <w:spacing w:before="0" w:after="283"/>
              <w:jc w:val="left"/>
              <w:rPr/>
            </w:pPr>
            <w:r>
              <w:rPr/>
              <w:t>$</w:t>
            </w:r>
          </w:p>
        </w:tc>
        <w:tc>
          <w:tcPr>
            <w:tcW w:w="830" w:type="dxa"/>
            <w:tcBorders/>
          </w:tcPr>
          <w:p>
            <w:pPr>
              <w:pStyle w:val="TableContents"/>
              <w:bidi w:val="0"/>
              <w:spacing w:before="0" w:after="283"/>
              <w:jc w:val="right"/>
              <w:rPr/>
            </w:pPr>
            <w:r>
              <w:rPr/>
              <w:t>6,044</w:t>
            </w:r>
          </w:p>
        </w:tc>
        <w:tc>
          <w:tcPr>
            <w:tcW w:w="232" w:type="dxa"/>
            <w:tcBorders/>
          </w:tcPr>
          <w:p>
            <w:pPr>
              <w:pStyle w:val="TableContents"/>
              <w:bidi w:val="0"/>
              <w:spacing w:before="0" w:after="283"/>
              <w:jc w:val="left"/>
              <w:rPr/>
            </w:pPr>
            <w:r>
              <w:rPr/>
              <w:t> </w:t>
            </w:r>
          </w:p>
        </w:tc>
      </w:tr>
      <w:tr>
        <w:trPr/>
        <w:tc>
          <w:tcPr>
            <w:tcW w:w="6800" w:type="dxa"/>
            <w:gridSpan w:val="5"/>
            <w:tcBorders/>
            <w:shd w:fill="CCEEFF" w:val="clear"/>
          </w:tcPr>
          <w:p>
            <w:pPr>
              <w:pStyle w:val="TableContents"/>
              <w:bidi w:val="0"/>
              <w:spacing w:before="0" w:after="0"/>
              <w:jc w:val="left"/>
              <w:rPr/>
            </w:pPr>
            <w:r>
              <w:rPr/>
              <w:t>Segment general and administrative expense</w:t>
            </w:r>
          </w:p>
        </w:tc>
        <w:tc>
          <w:tcPr>
            <w:tcW w:w="90" w:type="dxa"/>
            <w:tcBorders/>
            <w:shd w:fill="CCEEFF" w:val="clear"/>
          </w:tcPr>
          <w:p>
            <w:pPr>
              <w:pStyle w:val="TableContents"/>
              <w:bidi w:val="0"/>
              <w:spacing w:before="0" w:after="283"/>
              <w:jc w:val="left"/>
              <w:rPr/>
            </w:pPr>
            <w:r>
              <w:rPr/>
              <w:t> </w:t>
            </w:r>
          </w:p>
        </w:tc>
        <w:tc>
          <w:tcPr>
            <w:tcW w:w="170" w:type="dxa"/>
            <w:tcBorders/>
            <w:shd w:fill="CCEEFF" w:val="clear"/>
          </w:tcPr>
          <w:p>
            <w:pPr>
              <w:pStyle w:val="TableContents"/>
              <w:bidi w:val="0"/>
              <w:spacing w:before="0" w:after="283"/>
              <w:jc w:val="left"/>
              <w:rPr/>
            </w:pPr>
            <w:r>
              <w:rPr/>
              <w:t> </w:t>
            </w:r>
          </w:p>
        </w:tc>
        <w:tc>
          <w:tcPr>
            <w:tcW w:w="1638" w:type="dxa"/>
            <w:tcBorders/>
            <w:shd w:fill="CCEEFF" w:val="clear"/>
          </w:tcPr>
          <w:p>
            <w:pPr>
              <w:pStyle w:val="TableContents"/>
              <w:bidi w:val="0"/>
              <w:spacing w:before="0" w:after="283"/>
              <w:jc w:val="left"/>
              <w:rPr/>
            </w:pPr>
            <w:r>
              <w:rPr/>
              <w:t> </w:t>
            </w:r>
          </w:p>
        </w:tc>
        <w:tc>
          <w:tcPr>
            <w:tcW w:w="185" w:type="dxa"/>
            <w:tcBorders/>
            <w:shd w:fill="CCEEFF" w:val="clear"/>
          </w:tcPr>
          <w:p>
            <w:pPr>
              <w:pStyle w:val="TableContents"/>
              <w:bidi w:val="0"/>
              <w:spacing w:before="0" w:after="283"/>
              <w:jc w:val="left"/>
              <w:rPr/>
            </w:pPr>
            <w:r>
              <w:rPr/>
              <w:t> </w:t>
            </w:r>
          </w:p>
        </w:tc>
        <w:tc>
          <w:tcPr>
            <w:tcW w:w="90" w:type="dxa"/>
            <w:tcBorders/>
            <w:shd w:fill="CCEEFF" w:val="clear"/>
          </w:tcPr>
          <w:p>
            <w:pPr>
              <w:pStyle w:val="TableContents"/>
              <w:bidi w:val="0"/>
              <w:spacing w:before="0" w:after="283"/>
              <w:jc w:val="left"/>
              <w:rPr/>
            </w:pPr>
            <w:r>
              <w:rPr/>
              <w:t> </w:t>
            </w:r>
          </w:p>
        </w:tc>
        <w:tc>
          <w:tcPr>
            <w:tcW w:w="170" w:type="dxa"/>
            <w:tcBorders/>
            <w:shd w:fill="CCEEFF" w:val="clear"/>
          </w:tcPr>
          <w:p>
            <w:pPr>
              <w:pStyle w:val="TableContents"/>
              <w:bidi w:val="0"/>
              <w:spacing w:before="0" w:after="283"/>
              <w:jc w:val="left"/>
              <w:rPr/>
            </w:pPr>
            <w:r>
              <w:rPr/>
              <w:t> </w:t>
            </w:r>
          </w:p>
        </w:tc>
        <w:tc>
          <w:tcPr>
            <w:tcW w:w="830" w:type="dxa"/>
            <w:tcBorders/>
            <w:shd w:fill="CCEEFF" w:val="clear"/>
          </w:tcPr>
          <w:p>
            <w:pPr>
              <w:pStyle w:val="TableContents"/>
              <w:bidi w:val="0"/>
              <w:spacing w:before="0" w:after="283"/>
              <w:jc w:val="right"/>
              <w:rPr/>
            </w:pPr>
            <w:r>
              <w:rPr/>
              <w:t>8,495</w:t>
            </w:r>
          </w:p>
        </w:tc>
        <w:tc>
          <w:tcPr>
            <w:tcW w:w="232" w:type="dxa"/>
            <w:tcBorders/>
            <w:shd w:fill="CCEEFF" w:val="clear"/>
          </w:tcPr>
          <w:p>
            <w:pPr>
              <w:pStyle w:val="TableContents"/>
              <w:bidi w:val="0"/>
              <w:spacing w:before="0" w:after="283"/>
              <w:jc w:val="left"/>
              <w:rPr/>
            </w:pPr>
            <w:r>
              <w:rPr/>
              <w:t> </w:t>
            </w:r>
          </w:p>
        </w:tc>
      </w:tr>
      <w:tr>
        <w:trPr/>
        <w:tc>
          <w:tcPr>
            <w:tcW w:w="6800" w:type="dxa"/>
            <w:gridSpan w:val="5"/>
            <w:tcBorders/>
          </w:tcPr>
          <w:p>
            <w:pPr>
              <w:pStyle w:val="TableContents"/>
              <w:bidi w:val="0"/>
              <w:spacing w:before="0" w:after="0"/>
              <w:jc w:val="left"/>
              <w:rPr/>
            </w:pPr>
            <w:r>
              <w:rPr/>
              <w:t>Corporate general and administrative expense (a)</w:t>
            </w:r>
          </w:p>
        </w:tc>
        <w:tc>
          <w:tcPr>
            <w:tcW w:w="90" w:type="dxa"/>
            <w:tcBorders/>
          </w:tcPr>
          <w:p>
            <w:pPr>
              <w:pStyle w:val="TableContents"/>
              <w:bidi w:val="0"/>
              <w:spacing w:before="0" w:after="283"/>
              <w:jc w:val="left"/>
              <w:rPr/>
            </w:pPr>
            <w:r>
              <w:rPr/>
              <w:t> </w:t>
            </w:r>
          </w:p>
        </w:tc>
        <w:tc>
          <w:tcPr>
            <w:tcW w:w="170" w:type="dxa"/>
            <w:tcBorders/>
          </w:tcPr>
          <w:p>
            <w:pPr>
              <w:pStyle w:val="TableContents"/>
              <w:bidi w:val="0"/>
              <w:spacing w:before="0" w:after="283"/>
              <w:jc w:val="left"/>
              <w:rPr/>
            </w:pPr>
            <w:r>
              <w:rPr/>
              <w:t> </w:t>
            </w:r>
          </w:p>
        </w:tc>
        <w:tc>
          <w:tcPr>
            <w:tcW w:w="1638" w:type="dxa"/>
            <w:tcBorders/>
          </w:tcPr>
          <w:p>
            <w:pPr>
              <w:pStyle w:val="TableContents"/>
              <w:bidi w:val="0"/>
              <w:spacing w:before="0" w:after="283"/>
              <w:jc w:val="left"/>
              <w:rPr/>
            </w:pPr>
            <w:r>
              <w:rPr/>
              <w:t> </w:t>
            </w:r>
          </w:p>
        </w:tc>
        <w:tc>
          <w:tcPr>
            <w:tcW w:w="185" w:type="dxa"/>
            <w:tcBorders/>
          </w:tcPr>
          <w:p>
            <w:pPr>
              <w:pStyle w:val="TableContents"/>
              <w:bidi w:val="0"/>
              <w:spacing w:before="0" w:after="283"/>
              <w:jc w:val="left"/>
              <w:rPr/>
            </w:pPr>
            <w:r>
              <w:rPr/>
              <w:t> </w:t>
            </w:r>
          </w:p>
        </w:tc>
        <w:tc>
          <w:tcPr>
            <w:tcW w:w="90" w:type="dxa"/>
            <w:tcBorders/>
          </w:tcPr>
          <w:p>
            <w:pPr>
              <w:pStyle w:val="TableContents"/>
              <w:bidi w:val="0"/>
              <w:spacing w:before="0" w:after="283"/>
              <w:jc w:val="left"/>
              <w:rPr/>
            </w:pPr>
            <w:r>
              <w:rPr/>
              <w:t> </w:t>
            </w:r>
          </w:p>
        </w:tc>
        <w:tc>
          <w:tcPr>
            <w:tcW w:w="170" w:type="dxa"/>
            <w:tcBorders>
              <w:bottom w:val="single" w:sz="12" w:space="0" w:color="000000"/>
            </w:tcBorders>
            <w:tcMar>
              <w:bottom w:w="28" w:type="dxa"/>
            </w:tcMar>
          </w:tcPr>
          <w:p>
            <w:pPr>
              <w:pStyle w:val="TableContents"/>
              <w:bidi w:val="0"/>
              <w:spacing w:before="0" w:after="283"/>
              <w:jc w:val="left"/>
              <w:rPr/>
            </w:pPr>
            <w:r>
              <w:rPr/>
              <w:t> </w:t>
            </w:r>
          </w:p>
        </w:tc>
        <w:tc>
          <w:tcPr>
            <w:tcW w:w="830" w:type="dxa"/>
            <w:tcBorders>
              <w:bottom w:val="single" w:sz="12" w:space="0" w:color="000000"/>
            </w:tcBorders>
            <w:tcMar>
              <w:bottom w:w="28" w:type="dxa"/>
            </w:tcMar>
          </w:tcPr>
          <w:p>
            <w:pPr>
              <w:pStyle w:val="TableContents"/>
              <w:bidi w:val="0"/>
              <w:spacing w:before="0" w:after="283"/>
              <w:jc w:val="right"/>
              <w:rPr/>
            </w:pPr>
            <w:r>
              <w:rPr/>
              <w:t>9,540</w:t>
            </w:r>
          </w:p>
        </w:tc>
        <w:tc>
          <w:tcPr>
            <w:tcW w:w="232" w:type="dxa"/>
            <w:tcBorders>
              <w:bottom w:val="single" w:sz="12" w:space="0" w:color="000000"/>
            </w:tcBorders>
            <w:tcMar>
              <w:bottom w:w="28" w:type="dxa"/>
            </w:tcMar>
          </w:tcPr>
          <w:p>
            <w:pPr>
              <w:pStyle w:val="TableContents"/>
              <w:bidi w:val="0"/>
              <w:spacing w:before="0" w:after="283"/>
              <w:jc w:val="left"/>
              <w:rPr/>
            </w:pPr>
            <w:r>
              <w:rPr/>
              <w:t> </w:t>
            </w:r>
          </w:p>
        </w:tc>
      </w:tr>
      <w:tr>
        <w:trPr/>
        <w:tc>
          <w:tcPr>
            <w:tcW w:w="6800" w:type="dxa"/>
            <w:gridSpan w:val="5"/>
            <w:tcBorders/>
            <w:shd w:fill="CCEEFF" w:val="clear"/>
          </w:tcPr>
          <w:p>
            <w:pPr>
              <w:pStyle w:val="TableContents"/>
              <w:bidi w:val="0"/>
              <w:spacing w:before="0" w:after="0"/>
              <w:jc w:val="left"/>
              <w:rPr/>
            </w:pPr>
            <w:r>
              <w:rPr/>
              <w:t>Consolidated selling, general and administrative expense</w:t>
            </w:r>
          </w:p>
        </w:tc>
        <w:tc>
          <w:tcPr>
            <w:tcW w:w="90" w:type="dxa"/>
            <w:tcBorders/>
            <w:shd w:fill="CCEEFF" w:val="clear"/>
          </w:tcPr>
          <w:p>
            <w:pPr>
              <w:pStyle w:val="TableContents"/>
              <w:bidi w:val="0"/>
              <w:spacing w:before="0" w:after="283"/>
              <w:jc w:val="left"/>
              <w:rPr/>
            </w:pPr>
            <w:r>
              <w:rPr/>
              <w:t> </w:t>
            </w:r>
          </w:p>
        </w:tc>
        <w:tc>
          <w:tcPr>
            <w:tcW w:w="170" w:type="dxa"/>
            <w:tcBorders/>
            <w:shd w:fill="CCEEFF" w:val="clear"/>
          </w:tcPr>
          <w:p>
            <w:pPr>
              <w:pStyle w:val="TableContents"/>
              <w:bidi w:val="0"/>
              <w:spacing w:before="0" w:after="283"/>
              <w:jc w:val="left"/>
              <w:rPr/>
            </w:pPr>
            <w:r>
              <w:rPr/>
              <w:t> </w:t>
            </w:r>
          </w:p>
        </w:tc>
        <w:tc>
          <w:tcPr>
            <w:tcW w:w="1638" w:type="dxa"/>
            <w:tcBorders/>
            <w:shd w:fill="CCEEFF" w:val="clear"/>
          </w:tcPr>
          <w:p>
            <w:pPr>
              <w:pStyle w:val="TableContents"/>
              <w:bidi w:val="0"/>
              <w:spacing w:before="0" w:after="283"/>
              <w:jc w:val="left"/>
              <w:rPr/>
            </w:pPr>
            <w:r>
              <w:rPr/>
              <w:t> </w:t>
            </w:r>
          </w:p>
        </w:tc>
        <w:tc>
          <w:tcPr>
            <w:tcW w:w="185" w:type="dxa"/>
            <w:tcBorders/>
            <w:shd w:fill="CCEEFF" w:val="clear"/>
          </w:tcPr>
          <w:p>
            <w:pPr>
              <w:pStyle w:val="TableContents"/>
              <w:bidi w:val="0"/>
              <w:spacing w:before="0" w:after="283"/>
              <w:jc w:val="left"/>
              <w:rPr/>
            </w:pPr>
            <w:r>
              <w:rPr/>
              <w:t> </w:t>
            </w:r>
          </w:p>
        </w:tc>
        <w:tc>
          <w:tcPr>
            <w:tcW w:w="90" w:type="dxa"/>
            <w:tcBorders/>
            <w:shd w:fill="CCEEFF" w:val="clear"/>
          </w:tcPr>
          <w:p>
            <w:pPr>
              <w:pStyle w:val="TableContents"/>
              <w:bidi w:val="0"/>
              <w:spacing w:before="0" w:after="283"/>
              <w:jc w:val="left"/>
              <w:rPr/>
            </w:pPr>
            <w:r>
              <w:rPr/>
              <w:t> </w:t>
            </w:r>
          </w:p>
        </w:tc>
        <w:tc>
          <w:tcPr>
            <w:tcW w:w="170" w:type="dxa"/>
            <w:tcBorders>
              <w:bottom w:val="double" w:sz="8" w:space="0" w:color="000000"/>
            </w:tcBorders>
            <w:shd w:fill="CCEEFF" w:val="clear"/>
            <w:tcMar>
              <w:bottom w:w="28" w:type="dxa"/>
            </w:tcMar>
          </w:tcPr>
          <w:p>
            <w:pPr>
              <w:pStyle w:val="TableContents"/>
              <w:bidi w:val="0"/>
              <w:spacing w:before="0" w:after="283"/>
              <w:jc w:val="left"/>
              <w:rPr/>
            </w:pPr>
            <w:r>
              <w:rPr/>
              <w:t>$</w:t>
            </w:r>
          </w:p>
        </w:tc>
        <w:tc>
          <w:tcPr>
            <w:tcW w:w="830" w:type="dxa"/>
            <w:tcBorders>
              <w:bottom w:val="double" w:sz="8" w:space="0" w:color="000000"/>
            </w:tcBorders>
            <w:shd w:fill="CCEEFF" w:val="clear"/>
            <w:tcMar>
              <w:bottom w:w="28" w:type="dxa"/>
            </w:tcMar>
          </w:tcPr>
          <w:p>
            <w:pPr>
              <w:pStyle w:val="TableContents"/>
              <w:bidi w:val="0"/>
              <w:spacing w:before="0" w:after="283"/>
              <w:jc w:val="right"/>
              <w:rPr/>
            </w:pPr>
            <w:r>
              <w:rPr/>
              <w:t>24,079</w:t>
            </w:r>
          </w:p>
        </w:tc>
        <w:tc>
          <w:tcPr>
            <w:tcW w:w="232" w:type="dxa"/>
            <w:tcBorders>
              <w:bottom w:val="double" w:sz="8" w:space="0" w:color="000000"/>
            </w:tcBorders>
            <w:shd w:fill="CCEEFF" w:val="clear"/>
            <w:tcMar>
              <w:bottom w:w="28" w:type="dxa"/>
            </w:tcMar>
          </w:tcPr>
          <w:p>
            <w:pPr>
              <w:pStyle w:val="TableContents"/>
              <w:bidi w:val="0"/>
              <w:spacing w:before="0" w:after="283"/>
              <w:jc w:val="left"/>
              <w:rPr/>
            </w:pPr>
            <w:r>
              <w:rPr/>
              <w:t> </w:t>
            </w:r>
          </w:p>
        </w:tc>
      </w:tr>
      <w:tr>
        <w:trPr/>
        <w:tc>
          <w:tcPr>
            <w:tcW w:w="4113" w:type="dxa"/>
            <w:tcBorders/>
          </w:tcPr>
          <w:p>
            <w:pPr>
              <w:pStyle w:val="TableContents"/>
              <w:bidi w:val="0"/>
              <w:spacing w:before="0" w:after="283"/>
              <w:jc w:val="left"/>
              <w:rPr/>
            </w:pPr>
            <w:r>
              <w:rPr/>
              <w:t> </w:t>
            </w:r>
          </w:p>
        </w:tc>
        <w:tc>
          <w:tcPr>
            <w:tcW w:w="101" w:type="dxa"/>
            <w:tcBorders/>
          </w:tcPr>
          <w:p>
            <w:pPr>
              <w:pStyle w:val="TableContents"/>
              <w:bidi w:val="0"/>
              <w:spacing w:before="0" w:after="283"/>
              <w:jc w:val="left"/>
              <w:rPr/>
            </w:pPr>
            <w:r>
              <w:rPr/>
              <w:t> </w:t>
            </w:r>
          </w:p>
        </w:tc>
        <w:tc>
          <w:tcPr>
            <w:tcW w:w="191" w:type="dxa"/>
            <w:tcBorders/>
          </w:tcPr>
          <w:p>
            <w:pPr>
              <w:pStyle w:val="TableContents"/>
              <w:bidi w:val="0"/>
              <w:spacing w:before="0" w:after="283"/>
              <w:jc w:val="left"/>
              <w:rPr/>
            </w:pPr>
            <w:r>
              <w:rPr/>
              <w:t> </w:t>
            </w:r>
          </w:p>
        </w:tc>
        <w:tc>
          <w:tcPr>
            <w:tcW w:w="2187" w:type="dxa"/>
            <w:tcBorders/>
          </w:tcPr>
          <w:p>
            <w:pPr>
              <w:pStyle w:val="TableContents"/>
              <w:bidi w:val="0"/>
              <w:spacing w:before="0" w:after="283"/>
              <w:jc w:val="left"/>
              <w:rPr/>
            </w:pPr>
            <w:r>
              <w:rPr/>
              <w:t> </w:t>
            </w:r>
          </w:p>
        </w:tc>
        <w:tc>
          <w:tcPr>
            <w:tcW w:w="208" w:type="dxa"/>
            <w:tcBorders/>
          </w:tcPr>
          <w:p>
            <w:pPr>
              <w:pStyle w:val="TableContents"/>
              <w:bidi w:val="0"/>
              <w:spacing w:before="0" w:after="283"/>
              <w:jc w:val="left"/>
              <w:rPr/>
            </w:pPr>
            <w:r>
              <w:rPr/>
              <w:t> </w:t>
            </w:r>
          </w:p>
        </w:tc>
        <w:tc>
          <w:tcPr>
            <w:tcW w:w="90" w:type="dxa"/>
            <w:tcBorders/>
          </w:tcPr>
          <w:p>
            <w:pPr>
              <w:pStyle w:val="TableContents"/>
              <w:bidi w:val="0"/>
              <w:spacing w:before="0" w:after="283"/>
              <w:jc w:val="left"/>
              <w:rPr/>
            </w:pPr>
            <w:r>
              <w:rPr/>
              <w:t> </w:t>
            </w:r>
          </w:p>
        </w:tc>
        <w:tc>
          <w:tcPr>
            <w:tcW w:w="170" w:type="dxa"/>
            <w:tcBorders/>
          </w:tcPr>
          <w:p>
            <w:pPr>
              <w:pStyle w:val="TableContents"/>
              <w:bidi w:val="0"/>
              <w:spacing w:before="0" w:after="283"/>
              <w:jc w:val="left"/>
              <w:rPr/>
            </w:pPr>
            <w:r>
              <w:rPr/>
              <w:t> </w:t>
            </w:r>
          </w:p>
        </w:tc>
        <w:tc>
          <w:tcPr>
            <w:tcW w:w="1638" w:type="dxa"/>
            <w:tcBorders/>
          </w:tcPr>
          <w:p>
            <w:pPr>
              <w:pStyle w:val="TableContents"/>
              <w:bidi w:val="0"/>
              <w:spacing w:before="0" w:after="283"/>
              <w:jc w:val="left"/>
              <w:rPr/>
            </w:pPr>
            <w:r>
              <w:rPr/>
              <w:t> </w:t>
            </w:r>
          </w:p>
        </w:tc>
        <w:tc>
          <w:tcPr>
            <w:tcW w:w="185" w:type="dxa"/>
            <w:tcBorders/>
          </w:tcPr>
          <w:p>
            <w:pPr>
              <w:pStyle w:val="TableContents"/>
              <w:bidi w:val="0"/>
              <w:spacing w:before="0" w:after="283"/>
              <w:jc w:val="left"/>
              <w:rPr/>
            </w:pPr>
            <w:r>
              <w:rPr/>
              <w:t> </w:t>
            </w:r>
          </w:p>
        </w:tc>
        <w:tc>
          <w:tcPr>
            <w:tcW w:w="90" w:type="dxa"/>
            <w:tcBorders/>
          </w:tcPr>
          <w:p>
            <w:pPr>
              <w:pStyle w:val="TableContents"/>
              <w:bidi w:val="0"/>
              <w:spacing w:before="0" w:after="283"/>
              <w:jc w:val="left"/>
              <w:rPr/>
            </w:pPr>
            <w:r>
              <w:rPr/>
              <w:t> </w:t>
            </w:r>
          </w:p>
        </w:tc>
        <w:tc>
          <w:tcPr>
            <w:tcW w:w="170" w:type="dxa"/>
            <w:tcBorders/>
          </w:tcPr>
          <w:p>
            <w:pPr>
              <w:pStyle w:val="TableContents"/>
              <w:bidi w:val="0"/>
              <w:spacing w:before="0" w:after="283"/>
              <w:jc w:val="left"/>
              <w:rPr/>
            </w:pPr>
            <w:r>
              <w:rPr/>
              <w:t> </w:t>
            </w:r>
          </w:p>
        </w:tc>
        <w:tc>
          <w:tcPr>
            <w:tcW w:w="830" w:type="dxa"/>
            <w:tcBorders/>
          </w:tcPr>
          <w:p>
            <w:pPr>
              <w:pStyle w:val="TableContents"/>
              <w:bidi w:val="0"/>
              <w:spacing w:before="0" w:after="283"/>
              <w:jc w:val="left"/>
              <w:rPr/>
            </w:pPr>
            <w:r>
              <w:rPr/>
              <w:t> </w:t>
            </w:r>
          </w:p>
        </w:tc>
        <w:tc>
          <w:tcPr>
            <w:tcW w:w="232" w:type="dxa"/>
            <w:tcBorders/>
          </w:tcPr>
          <w:p>
            <w:pPr>
              <w:pStyle w:val="TableContents"/>
              <w:bidi w:val="0"/>
              <w:spacing w:before="0" w:after="283"/>
              <w:jc w:val="left"/>
              <w:rPr/>
            </w:pPr>
            <w:r>
              <w:rPr/>
              <w:t> </w:t>
            </w:r>
          </w:p>
        </w:tc>
      </w:tr>
      <w:tr>
        <w:trPr/>
        <w:tc>
          <w:tcPr>
            <w:tcW w:w="6800" w:type="dxa"/>
            <w:gridSpan w:val="5"/>
            <w:tcBorders/>
            <w:shd w:fill="CCEEFF" w:val="clear"/>
          </w:tcPr>
          <w:p>
            <w:pPr>
              <w:pStyle w:val="TableContents"/>
              <w:bidi w:val="0"/>
              <w:spacing w:before="0" w:after="0"/>
              <w:jc w:val="left"/>
              <w:rPr>
                <w:i/>
              </w:rPr>
            </w:pPr>
            <w:r>
              <w:rPr>
                <w:i/>
              </w:rPr>
              <w:t>Reconciliation of income (loss) before taxes:</w:t>
            </w:r>
          </w:p>
        </w:tc>
        <w:tc>
          <w:tcPr>
            <w:tcW w:w="90" w:type="dxa"/>
            <w:tcBorders/>
            <w:shd w:fill="CCEEFF" w:val="clear"/>
          </w:tcPr>
          <w:p>
            <w:pPr>
              <w:pStyle w:val="TableContents"/>
              <w:bidi w:val="0"/>
              <w:spacing w:before="0" w:after="283"/>
              <w:jc w:val="left"/>
              <w:rPr/>
            </w:pPr>
            <w:r>
              <w:rPr/>
              <w:t> </w:t>
            </w:r>
          </w:p>
        </w:tc>
        <w:tc>
          <w:tcPr>
            <w:tcW w:w="170" w:type="dxa"/>
            <w:tcBorders/>
            <w:shd w:fill="CCEEFF" w:val="clear"/>
          </w:tcPr>
          <w:p>
            <w:pPr>
              <w:pStyle w:val="TableContents"/>
              <w:bidi w:val="0"/>
              <w:spacing w:before="0" w:after="283"/>
              <w:jc w:val="left"/>
              <w:rPr/>
            </w:pPr>
            <w:r>
              <w:rPr/>
              <w:t> </w:t>
            </w:r>
          </w:p>
        </w:tc>
        <w:tc>
          <w:tcPr>
            <w:tcW w:w="1638" w:type="dxa"/>
            <w:tcBorders/>
            <w:shd w:fill="CCEEFF" w:val="clear"/>
          </w:tcPr>
          <w:p>
            <w:pPr>
              <w:pStyle w:val="TableContents"/>
              <w:bidi w:val="0"/>
              <w:spacing w:before="0" w:after="283"/>
              <w:jc w:val="left"/>
              <w:rPr/>
            </w:pPr>
            <w:r>
              <w:rPr/>
              <w:t> </w:t>
            </w:r>
          </w:p>
        </w:tc>
        <w:tc>
          <w:tcPr>
            <w:tcW w:w="185" w:type="dxa"/>
            <w:tcBorders/>
            <w:shd w:fill="CCEEFF" w:val="clear"/>
          </w:tcPr>
          <w:p>
            <w:pPr>
              <w:pStyle w:val="TableContents"/>
              <w:bidi w:val="0"/>
              <w:spacing w:before="0" w:after="283"/>
              <w:jc w:val="left"/>
              <w:rPr/>
            </w:pPr>
            <w:r>
              <w:rPr/>
              <w:t> </w:t>
            </w:r>
          </w:p>
        </w:tc>
        <w:tc>
          <w:tcPr>
            <w:tcW w:w="90" w:type="dxa"/>
            <w:tcBorders/>
            <w:shd w:fill="CCEEFF" w:val="clear"/>
          </w:tcPr>
          <w:p>
            <w:pPr>
              <w:pStyle w:val="TableContents"/>
              <w:bidi w:val="0"/>
              <w:spacing w:before="0" w:after="283"/>
              <w:jc w:val="left"/>
              <w:rPr/>
            </w:pPr>
            <w:r>
              <w:rPr/>
              <w:t> </w:t>
            </w:r>
          </w:p>
        </w:tc>
        <w:tc>
          <w:tcPr>
            <w:tcW w:w="170" w:type="dxa"/>
            <w:tcBorders/>
            <w:shd w:fill="CCEEFF" w:val="clear"/>
          </w:tcPr>
          <w:p>
            <w:pPr>
              <w:pStyle w:val="TableContents"/>
              <w:bidi w:val="0"/>
              <w:spacing w:before="0" w:after="283"/>
              <w:jc w:val="left"/>
              <w:rPr/>
            </w:pPr>
            <w:r>
              <w:rPr/>
              <w:t> </w:t>
            </w:r>
          </w:p>
        </w:tc>
        <w:tc>
          <w:tcPr>
            <w:tcW w:w="830" w:type="dxa"/>
            <w:tcBorders/>
            <w:shd w:fill="CCEEFF" w:val="clear"/>
          </w:tcPr>
          <w:p>
            <w:pPr>
              <w:pStyle w:val="TableContents"/>
              <w:bidi w:val="0"/>
              <w:spacing w:before="0" w:after="283"/>
              <w:jc w:val="left"/>
              <w:rPr/>
            </w:pPr>
            <w:r>
              <w:rPr/>
              <w:t> </w:t>
            </w:r>
          </w:p>
        </w:tc>
        <w:tc>
          <w:tcPr>
            <w:tcW w:w="232" w:type="dxa"/>
            <w:tcBorders/>
            <w:shd w:fill="CCEEFF" w:val="clear"/>
          </w:tcPr>
          <w:p>
            <w:pPr>
              <w:pStyle w:val="TableContents"/>
              <w:bidi w:val="0"/>
              <w:spacing w:before="0" w:after="283"/>
              <w:jc w:val="left"/>
              <w:rPr/>
            </w:pPr>
            <w:r>
              <w:rPr/>
              <w:t> </w:t>
            </w:r>
          </w:p>
        </w:tc>
      </w:tr>
      <w:tr>
        <w:trPr/>
        <w:tc>
          <w:tcPr>
            <w:tcW w:w="6800" w:type="dxa"/>
            <w:gridSpan w:val="5"/>
            <w:tcBorders/>
          </w:tcPr>
          <w:p>
            <w:pPr>
              <w:pStyle w:val="TableContents"/>
              <w:bidi w:val="0"/>
              <w:spacing w:before="0" w:after="0"/>
              <w:jc w:val="left"/>
              <w:rPr/>
            </w:pPr>
            <w:r>
              <w:rPr/>
              <w:t>Segment income before taxes</w:t>
            </w:r>
          </w:p>
        </w:tc>
        <w:tc>
          <w:tcPr>
            <w:tcW w:w="90" w:type="dxa"/>
            <w:tcBorders/>
          </w:tcPr>
          <w:p>
            <w:pPr>
              <w:pStyle w:val="TableContents"/>
              <w:bidi w:val="0"/>
              <w:spacing w:before="0" w:after="283"/>
              <w:jc w:val="left"/>
              <w:rPr/>
            </w:pPr>
            <w:r>
              <w:rPr/>
              <w:t> </w:t>
            </w:r>
          </w:p>
        </w:tc>
        <w:tc>
          <w:tcPr>
            <w:tcW w:w="170" w:type="dxa"/>
            <w:tcBorders/>
          </w:tcPr>
          <w:p>
            <w:pPr>
              <w:pStyle w:val="TableContents"/>
              <w:bidi w:val="0"/>
              <w:spacing w:before="0" w:after="283"/>
              <w:jc w:val="left"/>
              <w:rPr/>
            </w:pPr>
            <w:r>
              <w:rPr/>
              <w:t> </w:t>
            </w:r>
          </w:p>
        </w:tc>
        <w:tc>
          <w:tcPr>
            <w:tcW w:w="1638" w:type="dxa"/>
            <w:tcBorders/>
          </w:tcPr>
          <w:p>
            <w:pPr>
              <w:pStyle w:val="TableContents"/>
              <w:bidi w:val="0"/>
              <w:spacing w:before="0" w:after="283"/>
              <w:jc w:val="left"/>
              <w:rPr/>
            </w:pPr>
            <w:r>
              <w:rPr/>
              <w:t> </w:t>
            </w:r>
          </w:p>
        </w:tc>
        <w:tc>
          <w:tcPr>
            <w:tcW w:w="185" w:type="dxa"/>
            <w:tcBorders/>
          </w:tcPr>
          <w:p>
            <w:pPr>
              <w:pStyle w:val="TableContents"/>
              <w:bidi w:val="0"/>
              <w:spacing w:before="0" w:after="283"/>
              <w:jc w:val="left"/>
              <w:rPr/>
            </w:pPr>
            <w:r>
              <w:rPr/>
              <w:t> </w:t>
            </w:r>
          </w:p>
        </w:tc>
        <w:tc>
          <w:tcPr>
            <w:tcW w:w="90" w:type="dxa"/>
            <w:tcBorders/>
          </w:tcPr>
          <w:p>
            <w:pPr>
              <w:pStyle w:val="TableContents"/>
              <w:bidi w:val="0"/>
              <w:spacing w:before="0" w:after="283"/>
              <w:jc w:val="left"/>
              <w:rPr/>
            </w:pPr>
            <w:r>
              <w:rPr/>
              <w:t> </w:t>
            </w:r>
          </w:p>
        </w:tc>
        <w:tc>
          <w:tcPr>
            <w:tcW w:w="170" w:type="dxa"/>
            <w:tcBorders/>
          </w:tcPr>
          <w:p>
            <w:pPr>
              <w:pStyle w:val="TableContents"/>
              <w:bidi w:val="0"/>
              <w:spacing w:before="0" w:after="283"/>
              <w:jc w:val="left"/>
              <w:rPr/>
            </w:pPr>
            <w:r>
              <w:rPr/>
              <w:t>$</w:t>
            </w:r>
          </w:p>
        </w:tc>
        <w:tc>
          <w:tcPr>
            <w:tcW w:w="830" w:type="dxa"/>
            <w:tcBorders/>
          </w:tcPr>
          <w:p>
            <w:pPr>
              <w:pStyle w:val="TableContents"/>
              <w:bidi w:val="0"/>
              <w:spacing w:before="0" w:after="283"/>
              <w:jc w:val="right"/>
              <w:rPr/>
            </w:pPr>
            <w:r>
              <w:rPr/>
              <w:t>44,321</w:t>
            </w:r>
          </w:p>
        </w:tc>
        <w:tc>
          <w:tcPr>
            <w:tcW w:w="232" w:type="dxa"/>
            <w:tcBorders/>
          </w:tcPr>
          <w:p>
            <w:pPr>
              <w:pStyle w:val="TableContents"/>
              <w:bidi w:val="0"/>
              <w:spacing w:before="0" w:after="283"/>
              <w:jc w:val="left"/>
              <w:rPr/>
            </w:pPr>
            <w:r>
              <w:rPr/>
              <w:t> </w:t>
            </w:r>
          </w:p>
        </w:tc>
      </w:tr>
      <w:tr>
        <w:trPr/>
        <w:tc>
          <w:tcPr>
            <w:tcW w:w="6800" w:type="dxa"/>
            <w:gridSpan w:val="5"/>
            <w:tcBorders/>
            <w:shd w:fill="CCEEFF" w:val="clear"/>
          </w:tcPr>
          <w:p>
            <w:pPr>
              <w:pStyle w:val="TableContents"/>
              <w:bidi w:val="0"/>
              <w:spacing w:before="0" w:after="0"/>
              <w:jc w:val="left"/>
              <w:rPr/>
            </w:pPr>
            <w:r>
              <w:rPr/>
              <w:t>License revenue</w:t>
            </w:r>
          </w:p>
        </w:tc>
        <w:tc>
          <w:tcPr>
            <w:tcW w:w="90" w:type="dxa"/>
            <w:tcBorders/>
            <w:shd w:fill="CCEEFF" w:val="clear"/>
          </w:tcPr>
          <w:p>
            <w:pPr>
              <w:pStyle w:val="TableContents"/>
              <w:bidi w:val="0"/>
              <w:spacing w:before="0" w:after="283"/>
              <w:jc w:val="left"/>
              <w:rPr/>
            </w:pPr>
            <w:r>
              <w:rPr/>
              <w:t> </w:t>
            </w:r>
          </w:p>
        </w:tc>
        <w:tc>
          <w:tcPr>
            <w:tcW w:w="170" w:type="dxa"/>
            <w:tcBorders/>
            <w:shd w:fill="CCEEFF" w:val="clear"/>
          </w:tcPr>
          <w:p>
            <w:pPr>
              <w:pStyle w:val="TableContents"/>
              <w:bidi w:val="0"/>
              <w:spacing w:before="0" w:after="283"/>
              <w:jc w:val="left"/>
              <w:rPr/>
            </w:pPr>
            <w:r>
              <w:rPr/>
              <w:t> </w:t>
            </w:r>
          </w:p>
        </w:tc>
        <w:tc>
          <w:tcPr>
            <w:tcW w:w="1638" w:type="dxa"/>
            <w:tcBorders/>
            <w:shd w:fill="CCEEFF" w:val="clear"/>
          </w:tcPr>
          <w:p>
            <w:pPr>
              <w:pStyle w:val="TableContents"/>
              <w:bidi w:val="0"/>
              <w:spacing w:before="0" w:after="283"/>
              <w:jc w:val="left"/>
              <w:rPr/>
            </w:pPr>
            <w:r>
              <w:rPr/>
              <w:t> </w:t>
            </w:r>
          </w:p>
        </w:tc>
        <w:tc>
          <w:tcPr>
            <w:tcW w:w="185" w:type="dxa"/>
            <w:tcBorders/>
            <w:shd w:fill="CCEEFF" w:val="clear"/>
          </w:tcPr>
          <w:p>
            <w:pPr>
              <w:pStyle w:val="TableContents"/>
              <w:bidi w:val="0"/>
              <w:spacing w:before="0" w:after="283"/>
              <w:jc w:val="left"/>
              <w:rPr/>
            </w:pPr>
            <w:r>
              <w:rPr/>
              <w:t> </w:t>
            </w:r>
          </w:p>
        </w:tc>
        <w:tc>
          <w:tcPr>
            <w:tcW w:w="90" w:type="dxa"/>
            <w:tcBorders/>
            <w:shd w:fill="CCEEFF" w:val="clear"/>
          </w:tcPr>
          <w:p>
            <w:pPr>
              <w:pStyle w:val="TableContents"/>
              <w:bidi w:val="0"/>
              <w:spacing w:before="0" w:after="283"/>
              <w:jc w:val="left"/>
              <w:rPr/>
            </w:pPr>
            <w:r>
              <w:rPr/>
              <w:t> </w:t>
            </w:r>
          </w:p>
        </w:tc>
        <w:tc>
          <w:tcPr>
            <w:tcW w:w="170" w:type="dxa"/>
            <w:tcBorders/>
            <w:shd w:fill="CCEEFF" w:val="clear"/>
          </w:tcPr>
          <w:p>
            <w:pPr>
              <w:pStyle w:val="TableContents"/>
              <w:bidi w:val="0"/>
              <w:spacing w:before="0" w:after="283"/>
              <w:jc w:val="left"/>
              <w:rPr/>
            </w:pPr>
            <w:r>
              <w:rPr/>
              <w:t> </w:t>
            </w:r>
          </w:p>
        </w:tc>
        <w:tc>
          <w:tcPr>
            <w:tcW w:w="830" w:type="dxa"/>
            <w:tcBorders/>
            <w:shd w:fill="CCEEFF" w:val="clear"/>
          </w:tcPr>
          <w:p>
            <w:pPr>
              <w:pStyle w:val="TableContents"/>
              <w:bidi w:val="0"/>
              <w:spacing w:before="0" w:after="283"/>
              <w:jc w:val="right"/>
              <w:rPr/>
            </w:pPr>
            <w:r>
              <w:rPr/>
              <w:t>36</w:t>
            </w:r>
          </w:p>
        </w:tc>
        <w:tc>
          <w:tcPr>
            <w:tcW w:w="232" w:type="dxa"/>
            <w:tcBorders/>
            <w:shd w:fill="CCEEFF" w:val="clear"/>
          </w:tcPr>
          <w:p>
            <w:pPr>
              <w:pStyle w:val="TableContents"/>
              <w:bidi w:val="0"/>
              <w:spacing w:before="0" w:after="283"/>
              <w:jc w:val="left"/>
              <w:rPr/>
            </w:pPr>
            <w:r>
              <w:rPr/>
              <w:t> </w:t>
            </w:r>
          </w:p>
        </w:tc>
      </w:tr>
      <w:tr>
        <w:trPr/>
        <w:tc>
          <w:tcPr>
            <w:tcW w:w="6800" w:type="dxa"/>
            <w:gridSpan w:val="5"/>
            <w:tcBorders/>
          </w:tcPr>
          <w:p>
            <w:pPr>
              <w:pStyle w:val="TableContents"/>
              <w:bidi w:val="0"/>
              <w:spacing w:before="0" w:after="0"/>
              <w:jc w:val="left"/>
              <w:rPr/>
            </w:pPr>
            <w:r>
              <w:rPr/>
              <w:t>Unallocated interest expense, primarily related to interest on senior debt (see Note 7)</w:t>
            </w:r>
          </w:p>
        </w:tc>
        <w:tc>
          <w:tcPr>
            <w:tcW w:w="90" w:type="dxa"/>
            <w:tcBorders/>
          </w:tcPr>
          <w:p>
            <w:pPr>
              <w:pStyle w:val="TableContents"/>
              <w:bidi w:val="0"/>
              <w:spacing w:before="0" w:after="283"/>
              <w:jc w:val="left"/>
              <w:rPr/>
            </w:pPr>
            <w:r>
              <w:rPr/>
              <w:t> </w:t>
            </w:r>
          </w:p>
        </w:tc>
        <w:tc>
          <w:tcPr>
            <w:tcW w:w="170" w:type="dxa"/>
            <w:tcBorders/>
          </w:tcPr>
          <w:p>
            <w:pPr>
              <w:pStyle w:val="TableContents"/>
              <w:bidi w:val="0"/>
              <w:spacing w:before="0" w:after="283"/>
              <w:jc w:val="left"/>
              <w:rPr/>
            </w:pPr>
            <w:r>
              <w:rPr/>
              <w:t> </w:t>
            </w:r>
          </w:p>
        </w:tc>
        <w:tc>
          <w:tcPr>
            <w:tcW w:w="1638" w:type="dxa"/>
            <w:tcBorders/>
          </w:tcPr>
          <w:p>
            <w:pPr>
              <w:pStyle w:val="TableContents"/>
              <w:bidi w:val="0"/>
              <w:spacing w:before="0" w:after="283"/>
              <w:jc w:val="left"/>
              <w:rPr/>
            </w:pPr>
            <w:r>
              <w:rPr/>
              <w:t> </w:t>
            </w:r>
          </w:p>
        </w:tc>
        <w:tc>
          <w:tcPr>
            <w:tcW w:w="185" w:type="dxa"/>
            <w:tcBorders/>
          </w:tcPr>
          <w:p>
            <w:pPr>
              <w:pStyle w:val="TableContents"/>
              <w:bidi w:val="0"/>
              <w:spacing w:before="0" w:after="283"/>
              <w:jc w:val="left"/>
              <w:rPr/>
            </w:pPr>
            <w:r>
              <w:rPr/>
              <w:t> </w:t>
            </w:r>
          </w:p>
        </w:tc>
        <w:tc>
          <w:tcPr>
            <w:tcW w:w="90" w:type="dxa"/>
            <w:tcBorders/>
          </w:tcPr>
          <w:p>
            <w:pPr>
              <w:pStyle w:val="TableContents"/>
              <w:bidi w:val="0"/>
              <w:spacing w:before="0" w:after="283"/>
              <w:jc w:val="left"/>
              <w:rPr/>
            </w:pPr>
            <w:r>
              <w:rPr/>
              <w:t> </w:t>
            </w:r>
          </w:p>
        </w:tc>
        <w:tc>
          <w:tcPr>
            <w:tcW w:w="170" w:type="dxa"/>
            <w:tcBorders/>
          </w:tcPr>
          <w:p>
            <w:pPr>
              <w:pStyle w:val="TableContents"/>
              <w:bidi w:val="0"/>
              <w:spacing w:before="0" w:after="283"/>
              <w:jc w:val="left"/>
              <w:rPr/>
            </w:pPr>
            <w:r>
              <w:rPr/>
              <w:t> </w:t>
            </w:r>
          </w:p>
        </w:tc>
        <w:tc>
          <w:tcPr>
            <w:tcW w:w="830" w:type="dxa"/>
            <w:tcBorders/>
          </w:tcPr>
          <w:p>
            <w:pPr>
              <w:pStyle w:val="TableContents"/>
              <w:bidi w:val="0"/>
              <w:spacing w:before="0" w:after="283"/>
              <w:jc w:val="right"/>
              <w:rPr/>
            </w:pPr>
            <w:r>
              <w:rPr/>
              <w:t>(1,975</w:t>
            </w:r>
          </w:p>
        </w:tc>
        <w:tc>
          <w:tcPr>
            <w:tcW w:w="232" w:type="dxa"/>
            <w:tcBorders/>
          </w:tcPr>
          <w:p>
            <w:pPr>
              <w:pStyle w:val="TableContents"/>
              <w:bidi w:val="0"/>
              <w:spacing w:before="0" w:after="283"/>
              <w:jc w:val="left"/>
              <w:rPr/>
            </w:pPr>
            <w:r>
              <w:rPr/>
              <w:t>) </w:t>
            </w:r>
          </w:p>
        </w:tc>
      </w:tr>
      <w:tr>
        <w:trPr/>
        <w:tc>
          <w:tcPr>
            <w:tcW w:w="6800" w:type="dxa"/>
            <w:gridSpan w:val="5"/>
            <w:tcBorders/>
            <w:shd w:fill="CCEEFF" w:val="clear"/>
          </w:tcPr>
          <w:p>
            <w:pPr>
              <w:pStyle w:val="TableContents"/>
              <w:bidi w:val="0"/>
              <w:spacing w:before="0" w:after="0"/>
              <w:jc w:val="left"/>
              <w:rPr/>
            </w:pPr>
            <w:r>
              <w:rPr/>
              <w:t>Unallocated interest income</w:t>
            </w:r>
          </w:p>
        </w:tc>
        <w:tc>
          <w:tcPr>
            <w:tcW w:w="90" w:type="dxa"/>
            <w:tcBorders/>
            <w:shd w:fill="CCEEFF" w:val="clear"/>
          </w:tcPr>
          <w:p>
            <w:pPr>
              <w:pStyle w:val="TableContents"/>
              <w:bidi w:val="0"/>
              <w:spacing w:before="0" w:after="283"/>
              <w:jc w:val="left"/>
              <w:rPr/>
            </w:pPr>
            <w:r>
              <w:rPr/>
              <w:t> </w:t>
            </w:r>
          </w:p>
        </w:tc>
        <w:tc>
          <w:tcPr>
            <w:tcW w:w="170" w:type="dxa"/>
            <w:tcBorders/>
            <w:shd w:fill="CCEEFF" w:val="clear"/>
          </w:tcPr>
          <w:p>
            <w:pPr>
              <w:pStyle w:val="TableContents"/>
              <w:bidi w:val="0"/>
              <w:spacing w:before="0" w:after="283"/>
              <w:jc w:val="left"/>
              <w:rPr/>
            </w:pPr>
            <w:r>
              <w:rPr/>
              <w:t> </w:t>
            </w:r>
          </w:p>
        </w:tc>
        <w:tc>
          <w:tcPr>
            <w:tcW w:w="1638" w:type="dxa"/>
            <w:tcBorders/>
            <w:shd w:fill="CCEEFF" w:val="clear"/>
          </w:tcPr>
          <w:p>
            <w:pPr>
              <w:pStyle w:val="TableContents"/>
              <w:bidi w:val="0"/>
              <w:spacing w:before="0" w:after="283"/>
              <w:jc w:val="left"/>
              <w:rPr/>
            </w:pPr>
            <w:r>
              <w:rPr/>
              <w:t> </w:t>
            </w:r>
          </w:p>
        </w:tc>
        <w:tc>
          <w:tcPr>
            <w:tcW w:w="185" w:type="dxa"/>
            <w:tcBorders/>
            <w:shd w:fill="CCEEFF" w:val="clear"/>
          </w:tcPr>
          <w:p>
            <w:pPr>
              <w:pStyle w:val="TableContents"/>
              <w:bidi w:val="0"/>
              <w:spacing w:before="0" w:after="283"/>
              <w:jc w:val="left"/>
              <w:rPr/>
            </w:pPr>
            <w:r>
              <w:rPr/>
              <w:t> </w:t>
            </w:r>
          </w:p>
        </w:tc>
        <w:tc>
          <w:tcPr>
            <w:tcW w:w="90" w:type="dxa"/>
            <w:tcBorders/>
            <w:shd w:fill="CCEEFF" w:val="clear"/>
          </w:tcPr>
          <w:p>
            <w:pPr>
              <w:pStyle w:val="TableContents"/>
              <w:bidi w:val="0"/>
              <w:spacing w:before="0" w:after="283"/>
              <w:jc w:val="left"/>
              <w:rPr/>
            </w:pPr>
            <w:r>
              <w:rPr/>
              <w:t> </w:t>
            </w:r>
          </w:p>
        </w:tc>
        <w:tc>
          <w:tcPr>
            <w:tcW w:w="170" w:type="dxa"/>
            <w:tcBorders/>
            <w:shd w:fill="CCEEFF" w:val="clear"/>
          </w:tcPr>
          <w:p>
            <w:pPr>
              <w:pStyle w:val="TableContents"/>
              <w:bidi w:val="0"/>
              <w:spacing w:before="0" w:after="283"/>
              <w:jc w:val="left"/>
              <w:rPr/>
            </w:pPr>
            <w:r>
              <w:rPr/>
              <w:t> </w:t>
            </w:r>
          </w:p>
        </w:tc>
        <w:tc>
          <w:tcPr>
            <w:tcW w:w="830" w:type="dxa"/>
            <w:tcBorders/>
            <w:shd w:fill="CCEEFF" w:val="clear"/>
          </w:tcPr>
          <w:p>
            <w:pPr>
              <w:pStyle w:val="TableContents"/>
              <w:bidi w:val="0"/>
              <w:spacing w:before="0" w:after="283"/>
              <w:jc w:val="right"/>
              <w:rPr/>
            </w:pPr>
            <w:r>
              <w:rPr/>
              <w:t>608</w:t>
            </w:r>
          </w:p>
        </w:tc>
        <w:tc>
          <w:tcPr>
            <w:tcW w:w="232" w:type="dxa"/>
            <w:tcBorders/>
            <w:shd w:fill="CCEEFF" w:val="clear"/>
          </w:tcPr>
          <w:p>
            <w:pPr>
              <w:pStyle w:val="TableContents"/>
              <w:bidi w:val="0"/>
              <w:spacing w:before="0" w:after="283"/>
              <w:jc w:val="left"/>
              <w:rPr/>
            </w:pPr>
            <w:r>
              <w:rPr/>
              <w:t> </w:t>
            </w:r>
          </w:p>
        </w:tc>
      </w:tr>
      <w:tr>
        <w:trPr/>
        <w:tc>
          <w:tcPr>
            <w:tcW w:w="6800" w:type="dxa"/>
            <w:gridSpan w:val="5"/>
            <w:tcBorders/>
          </w:tcPr>
          <w:p>
            <w:pPr>
              <w:pStyle w:val="TableContents"/>
              <w:bidi w:val="0"/>
              <w:spacing w:before="0" w:after="0"/>
              <w:jc w:val="left"/>
              <w:rPr/>
            </w:pPr>
            <w:r>
              <w:rPr/>
              <w:t>Corporate general and administrative expense (a)</w:t>
            </w:r>
          </w:p>
        </w:tc>
        <w:tc>
          <w:tcPr>
            <w:tcW w:w="90" w:type="dxa"/>
            <w:tcBorders/>
          </w:tcPr>
          <w:p>
            <w:pPr>
              <w:pStyle w:val="TableContents"/>
              <w:bidi w:val="0"/>
              <w:spacing w:before="0" w:after="283"/>
              <w:jc w:val="left"/>
              <w:rPr/>
            </w:pPr>
            <w:r>
              <w:rPr/>
              <w:t> </w:t>
            </w:r>
          </w:p>
        </w:tc>
        <w:tc>
          <w:tcPr>
            <w:tcW w:w="170" w:type="dxa"/>
            <w:tcBorders/>
          </w:tcPr>
          <w:p>
            <w:pPr>
              <w:pStyle w:val="TableContents"/>
              <w:bidi w:val="0"/>
              <w:spacing w:before="0" w:after="283"/>
              <w:jc w:val="left"/>
              <w:rPr/>
            </w:pPr>
            <w:r>
              <w:rPr/>
              <w:t> </w:t>
            </w:r>
          </w:p>
        </w:tc>
        <w:tc>
          <w:tcPr>
            <w:tcW w:w="1638" w:type="dxa"/>
            <w:tcBorders/>
          </w:tcPr>
          <w:p>
            <w:pPr>
              <w:pStyle w:val="TableContents"/>
              <w:bidi w:val="0"/>
              <w:spacing w:before="0" w:after="283"/>
              <w:jc w:val="left"/>
              <w:rPr/>
            </w:pPr>
            <w:r>
              <w:rPr/>
              <w:t> </w:t>
            </w:r>
          </w:p>
        </w:tc>
        <w:tc>
          <w:tcPr>
            <w:tcW w:w="185" w:type="dxa"/>
            <w:tcBorders/>
          </w:tcPr>
          <w:p>
            <w:pPr>
              <w:pStyle w:val="TableContents"/>
              <w:bidi w:val="0"/>
              <w:spacing w:before="0" w:after="283"/>
              <w:jc w:val="left"/>
              <w:rPr/>
            </w:pPr>
            <w:r>
              <w:rPr/>
              <w:t> </w:t>
            </w:r>
          </w:p>
        </w:tc>
        <w:tc>
          <w:tcPr>
            <w:tcW w:w="90" w:type="dxa"/>
            <w:tcBorders/>
          </w:tcPr>
          <w:p>
            <w:pPr>
              <w:pStyle w:val="TableContents"/>
              <w:bidi w:val="0"/>
              <w:spacing w:before="0" w:after="283"/>
              <w:jc w:val="left"/>
              <w:rPr/>
            </w:pPr>
            <w:r>
              <w:rPr/>
              <w:t> </w:t>
            </w:r>
          </w:p>
        </w:tc>
        <w:tc>
          <w:tcPr>
            <w:tcW w:w="170" w:type="dxa"/>
            <w:tcBorders>
              <w:bottom w:val="single" w:sz="12" w:space="0" w:color="000000"/>
            </w:tcBorders>
            <w:tcMar>
              <w:bottom w:w="28" w:type="dxa"/>
            </w:tcMar>
          </w:tcPr>
          <w:p>
            <w:pPr>
              <w:pStyle w:val="TableContents"/>
              <w:bidi w:val="0"/>
              <w:spacing w:before="0" w:after="283"/>
              <w:jc w:val="left"/>
              <w:rPr/>
            </w:pPr>
            <w:r>
              <w:rPr/>
              <w:t> </w:t>
            </w:r>
          </w:p>
        </w:tc>
        <w:tc>
          <w:tcPr>
            <w:tcW w:w="830" w:type="dxa"/>
            <w:tcBorders>
              <w:bottom w:val="single" w:sz="12" w:space="0" w:color="000000"/>
            </w:tcBorders>
            <w:tcMar>
              <w:bottom w:w="28" w:type="dxa"/>
            </w:tcMar>
          </w:tcPr>
          <w:p>
            <w:pPr>
              <w:pStyle w:val="TableContents"/>
              <w:bidi w:val="0"/>
              <w:spacing w:before="0" w:after="283"/>
              <w:jc w:val="right"/>
              <w:rPr/>
            </w:pPr>
            <w:r>
              <w:rPr/>
              <w:t>(9,540</w:t>
            </w:r>
          </w:p>
        </w:tc>
        <w:tc>
          <w:tcPr>
            <w:tcW w:w="232" w:type="dxa"/>
            <w:tcBorders>
              <w:bottom w:val="single" w:sz="12" w:space="0" w:color="000000"/>
            </w:tcBorders>
            <w:tcMar>
              <w:bottom w:w="28" w:type="dxa"/>
            </w:tcMar>
          </w:tcPr>
          <w:p>
            <w:pPr>
              <w:pStyle w:val="TableContents"/>
              <w:bidi w:val="0"/>
              <w:spacing w:before="0" w:after="283"/>
              <w:jc w:val="left"/>
              <w:rPr/>
            </w:pPr>
            <w:r>
              <w:rPr/>
              <w:t>) </w:t>
            </w:r>
          </w:p>
        </w:tc>
      </w:tr>
      <w:tr>
        <w:trPr/>
        <w:tc>
          <w:tcPr>
            <w:tcW w:w="6800" w:type="dxa"/>
            <w:gridSpan w:val="5"/>
            <w:tcBorders/>
            <w:shd w:fill="CCEEFF" w:val="clear"/>
          </w:tcPr>
          <w:p>
            <w:pPr>
              <w:pStyle w:val="TableContents"/>
              <w:bidi w:val="0"/>
              <w:spacing w:before="0" w:after="0"/>
              <w:jc w:val="left"/>
              <w:rPr/>
            </w:pPr>
            <w:r>
              <w:rPr/>
              <w:t>Consolidated income before taxes</w:t>
            </w:r>
          </w:p>
        </w:tc>
        <w:tc>
          <w:tcPr>
            <w:tcW w:w="90" w:type="dxa"/>
            <w:tcBorders/>
            <w:shd w:fill="CCEEFF" w:val="clear"/>
          </w:tcPr>
          <w:p>
            <w:pPr>
              <w:pStyle w:val="TableContents"/>
              <w:bidi w:val="0"/>
              <w:spacing w:before="0" w:after="283"/>
              <w:jc w:val="left"/>
              <w:rPr/>
            </w:pPr>
            <w:r>
              <w:rPr/>
              <w:t> </w:t>
            </w:r>
          </w:p>
        </w:tc>
        <w:tc>
          <w:tcPr>
            <w:tcW w:w="170" w:type="dxa"/>
            <w:tcBorders/>
            <w:shd w:fill="CCEEFF" w:val="clear"/>
          </w:tcPr>
          <w:p>
            <w:pPr>
              <w:pStyle w:val="TableContents"/>
              <w:bidi w:val="0"/>
              <w:spacing w:before="0" w:after="283"/>
              <w:jc w:val="left"/>
              <w:rPr/>
            </w:pPr>
            <w:r>
              <w:rPr/>
              <w:t> </w:t>
            </w:r>
          </w:p>
        </w:tc>
        <w:tc>
          <w:tcPr>
            <w:tcW w:w="1638" w:type="dxa"/>
            <w:tcBorders/>
            <w:shd w:fill="CCEEFF" w:val="clear"/>
          </w:tcPr>
          <w:p>
            <w:pPr>
              <w:pStyle w:val="TableContents"/>
              <w:bidi w:val="0"/>
              <w:spacing w:before="0" w:after="283"/>
              <w:jc w:val="left"/>
              <w:rPr/>
            </w:pPr>
            <w:r>
              <w:rPr/>
              <w:t> </w:t>
            </w:r>
          </w:p>
        </w:tc>
        <w:tc>
          <w:tcPr>
            <w:tcW w:w="185" w:type="dxa"/>
            <w:tcBorders/>
            <w:shd w:fill="CCEEFF" w:val="clear"/>
          </w:tcPr>
          <w:p>
            <w:pPr>
              <w:pStyle w:val="TableContents"/>
              <w:bidi w:val="0"/>
              <w:spacing w:before="0" w:after="283"/>
              <w:jc w:val="left"/>
              <w:rPr/>
            </w:pPr>
            <w:r>
              <w:rPr/>
              <w:t> </w:t>
            </w:r>
          </w:p>
        </w:tc>
        <w:tc>
          <w:tcPr>
            <w:tcW w:w="90" w:type="dxa"/>
            <w:tcBorders/>
            <w:shd w:fill="CCEEFF" w:val="clear"/>
          </w:tcPr>
          <w:p>
            <w:pPr>
              <w:pStyle w:val="TableContents"/>
              <w:bidi w:val="0"/>
              <w:spacing w:before="0" w:after="283"/>
              <w:jc w:val="left"/>
              <w:rPr/>
            </w:pPr>
            <w:r>
              <w:rPr/>
              <w:t> </w:t>
            </w:r>
          </w:p>
        </w:tc>
        <w:tc>
          <w:tcPr>
            <w:tcW w:w="170" w:type="dxa"/>
            <w:tcBorders>
              <w:bottom w:val="double" w:sz="8" w:space="0" w:color="000000"/>
            </w:tcBorders>
            <w:shd w:fill="CCEEFF" w:val="clear"/>
            <w:tcMar>
              <w:bottom w:w="28" w:type="dxa"/>
            </w:tcMar>
          </w:tcPr>
          <w:p>
            <w:pPr>
              <w:pStyle w:val="TableContents"/>
              <w:bidi w:val="0"/>
              <w:spacing w:before="0" w:after="283"/>
              <w:jc w:val="left"/>
              <w:rPr/>
            </w:pPr>
            <w:r>
              <w:rPr/>
              <w:t>$</w:t>
            </w:r>
          </w:p>
        </w:tc>
        <w:tc>
          <w:tcPr>
            <w:tcW w:w="830" w:type="dxa"/>
            <w:tcBorders>
              <w:bottom w:val="double" w:sz="8" w:space="0" w:color="000000"/>
            </w:tcBorders>
            <w:shd w:fill="CCEEFF" w:val="clear"/>
            <w:tcMar>
              <w:bottom w:w="28" w:type="dxa"/>
            </w:tcMar>
          </w:tcPr>
          <w:p>
            <w:pPr>
              <w:pStyle w:val="TableContents"/>
              <w:bidi w:val="0"/>
              <w:spacing w:before="0" w:after="283"/>
              <w:jc w:val="right"/>
              <w:rPr/>
            </w:pPr>
            <w:r>
              <w:rPr/>
              <w:t>33,450</w:t>
            </w:r>
          </w:p>
        </w:tc>
        <w:tc>
          <w:tcPr>
            <w:tcW w:w="232" w:type="dxa"/>
            <w:tcBorders>
              <w:bottom w:val="double" w:sz="8" w:space="0" w:color="000000"/>
            </w:tcBorders>
            <w:shd w:fill="CCEEFF" w:val="clear"/>
            <w:tcMar>
              <w:bottom w:w="28" w:type="dxa"/>
            </w:tcMar>
          </w:tcPr>
          <w:p>
            <w:pPr>
              <w:pStyle w:val="TableContents"/>
              <w:bidi w:val="0"/>
              <w:spacing w:before="0" w:after="283"/>
              <w:jc w:val="left"/>
              <w:rPr/>
            </w:pPr>
            <w:r>
              <w:rPr/>
              <w:t> </w:t>
            </w:r>
          </w:p>
        </w:tc>
      </w:tr>
      <w:tr>
        <w:trPr/>
        <w:tc>
          <w:tcPr>
            <w:tcW w:w="4113" w:type="dxa"/>
            <w:tcBorders/>
          </w:tcPr>
          <w:p>
            <w:pPr>
              <w:pStyle w:val="TableContents"/>
              <w:bidi w:val="0"/>
              <w:spacing w:before="0" w:after="283"/>
              <w:jc w:val="left"/>
              <w:rPr/>
            </w:pPr>
            <w:r>
              <w:rPr/>
              <w:t> </w:t>
            </w:r>
          </w:p>
        </w:tc>
        <w:tc>
          <w:tcPr>
            <w:tcW w:w="101" w:type="dxa"/>
            <w:tcBorders/>
          </w:tcPr>
          <w:p>
            <w:pPr>
              <w:pStyle w:val="TableContents"/>
              <w:bidi w:val="0"/>
              <w:spacing w:before="0" w:after="283"/>
              <w:jc w:val="left"/>
              <w:rPr/>
            </w:pPr>
            <w:r>
              <w:rPr/>
              <w:t> </w:t>
            </w:r>
          </w:p>
        </w:tc>
        <w:tc>
          <w:tcPr>
            <w:tcW w:w="191" w:type="dxa"/>
            <w:tcBorders/>
          </w:tcPr>
          <w:p>
            <w:pPr>
              <w:pStyle w:val="TableContents"/>
              <w:bidi w:val="0"/>
              <w:spacing w:before="0" w:after="283"/>
              <w:jc w:val="left"/>
              <w:rPr/>
            </w:pPr>
            <w:r>
              <w:rPr/>
              <w:t> </w:t>
            </w:r>
          </w:p>
        </w:tc>
        <w:tc>
          <w:tcPr>
            <w:tcW w:w="2187" w:type="dxa"/>
            <w:tcBorders/>
          </w:tcPr>
          <w:p>
            <w:pPr>
              <w:pStyle w:val="TableContents"/>
              <w:bidi w:val="0"/>
              <w:spacing w:before="0" w:after="283"/>
              <w:jc w:val="left"/>
              <w:rPr/>
            </w:pPr>
            <w:r>
              <w:rPr/>
              <w:t> </w:t>
            </w:r>
          </w:p>
        </w:tc>
        <w:tc>
          <w:tcPr>
            <w:tcW w:w="208" w:type="dxa"/>
            <w:tcBorders/>
          </w:tcPr>
          <w:p>
            <w:pPr>
              <w:pStyle w:val="TableContents"/>
              <w:bidi w:val="0"/>
              <w:spacing w:before="0" w:after="283"/>
              <w:jc w:val="left"/>
              <w:rPr/>
            </w:pPr>
            <w:r>
              <w:rPr/>
              <w:t> </w:t>
            </w:r>
          </w:p>
        </w:tc>
        <w:tc>
          <w:tcPr>
            <w:tcW w:w="90" w:type="dxa"/>
            <w:tcBorders/>
          </w:tcPr>
          <w:p>
            <w:pPr>
              <w:pStyle w:val="TableContents"/>
              <w:bidi w:val="0"/>
              <w:spacing w:before="0" w:after="283"/>
              <w:jc w:val="left"/>
              <w:rPr/>
            </w:pPr>
            <w:r>
              <w:rPr/>
              <w:t> </w:t>
            </w:r>
          </w:p>
        </w:tc>
        <w:tc>
          <w:tcPr>
            <w:tcW w:w="170" w:type="dxa"/>
            <w:tcBorders/>
          </w:tcPr>
          <w:p>
            <w:pPr>
              <w:pStyle w:val="TableContents"/>
              <w:bidi w:val="0"/>
              <w:spacing w:before="0" w:after="283"/>
              <w:jc w:val="left"/>
              <w:rPr/>
            </w:pPr>
            <w:r>
              <w:rPr/>
              <w:t> </w:t>
            </w:r>
          </w:p>
        </w:tc>
        <w:tc>
          <w:tcPr>
            <w:tcW w:w="1638" w:type="dxa"/>
            <w:tcBorders/>
          </w:tcPr>
          <w:p>
            <w:pPr>
              <w:pStyle w:val="TableContents"/>
              <w:bidi w:val="0"/>
              <w:spacing w:before="0" w:after="283"/>
              <w:jc w:val="left"/>
              <w:rPr/>
            </w:pPr>
            <w:r>
              <w:rPr/>
              <w:t> </w:t>
            </w:r>
          </w:p>
        </w:tc>
        <w:tc>
          <w:tcPr>
            <w:tcW w:w="185" w:type="dxa"/>
            <w:tcBorders/>
          </w:tcPr>
          <w:p>
            <w:pPr>
              <w:pStyle w:val="TableContents"/>
              <w:bidi w:val="0"/>
              <w:spacing w:before="0" w:after="283"/>
              <w:jc w:val="left"/>
              <w:rPr/>
            </w:pPr>
            <w:r>
              <w:rPr/>
              <w:t> </w:t>
            </w:r>
          </w:p>
        </w:tc>
        <w:tc>
          <w:tcPr>
            <w:tcW w:w="90" w:type="dxa"/>
            <w:tcBorders/>
          </w:tcPr>
          <w:p>
            <w:pPr>
              <w:pStyle w:val="TableContents"/>
              <w:bidi w:val="0"/>
              <w:spacing w:before="0" w:after="283"/>
              <w:jc w:val="left"/>
              <w:rPr/>
            </w:pPr>
            <w:r>
              <w:rPr/>
              <w:t> </w:t>
            </w:r>
          </w:p>
        </w:tc>
        <w:tc>
          <w:tcPr>
            <w:tcW w:w="170" w:type="dxa"/>
            <w:tcBorders/>
          </w:tcPr>
          <w:p>
            <w:pPr>
              <w:pStyle w:val="TableContents"/>
              <w:bidi w:val="0"/>
              <w:spacing w:before="0" w:after="283"/>
              <w:jc w:val="left"/>
              <w:rPr/>
            </w:pPr>
            <w:r>
              <w:rPr/>
              <w:t> </w:t>
            </w:r>
          </w:p>
        </w:tc>
        <w:tc>
          <w:tcPr>
            <w:tcW w:w="830" w:type="dxa"/>
            <w:tcBorders/>
          </w:tcPr>
          <w:p>
            <w:pPr>
              <w:pStyle w:val="TableContents"/>
              <w:bidi w:val="0"/>
              <w:spacing w:before="0" w:after="283"/>
              <w:jc w:val="left"/>
              <w:rPr/>
            </w:pPr>
            <w:r>
              <w:rPr/>
              <w:t> </w:t>
            </w:r>
          </w:p>
        </w:tc>
        <w:tc>
          <w:tcPr>
            <w:tcW w:w="232" w:type="dxa"/>
            <w:tcBorders/>
          </w:tcPr>
          <w:p>
            <w:pPr>
              <w:pStyle w:val="TableContents"/>
              <w:bidi w:val="0"/>
              <w:spacing w:before="0" w:after="283"/>
              <w:jc w:val="left"/>
              <w:rPr/>
            </w:pPr>
            <w:r>
              <w:rPr/>
              <w:t> </w:t>
            </w:r>
          </w:p>
        </w:tc>
      </w:tr>
      <w:tr>
        <w:trPr/>
        <w:tc>
          <w:tcPr>
            <w:tcW w:w="6800" w:type="dxa"/>
            <w:gridSpan w:val="5"/>
            <w:tcBorders/>
            <w:shd w:fill="CCEEFF" w:val="clear"/>
          </w:tcPr>
          <w:p>
            <w:pPr>
              <w:pStyle w:val="TableContents"/>
              <w:bidi w:val="0"/>
              <w:spacing w:before="0" w:after="0"/>
              <w:jc w:val="left"/>
              <w:rPr>
                <w:i/>
              </w:rPr>
            </w:pPr>
            <w:r>
              <w:rPr>
                <w:i/>
              </w:rPr>
              <w:t>Reconciliation of total assets:</w:t>
            </w:r>
          </w:p>
        </w:tc>
        <w:tc>
          <w:tcPr>
            <w:tcW w:w="90" w:type="dxa"/>
            <w:tcBorders/>
            <w:shd w:fill="CCEEFF" w:val="clear"/>
          </w:tcPr>
          <w:p>
            <w:pPr>
              <w:pStyle w:val="TableContents"/>
              <w:bidi w:val="0"/>
              <w:spacing w:before="0" w:after="283"/>
              <w:jc w:val="left"/>
              <w:rPr/>
            </w:pPr>
            <w:r>
              <w:rPr/>
              <w:t> </w:t>
            </w:r>
          </w:p>
        </w:tc>
        <w:tc>
          <w:tcPr>
            <w:tcW w:w="170" w:type="dxa"/>
            <w:tcBorders/>
            <w:shd w:fill="CCEEFF" w:val="clear"/>
          </w:tcPr>
          <w:p>
            <w:pPr>
              <w:pStyle w:val="TableContents"/>
              <w:bidi w:val="0"/>
              <w:spacing w:before="0" w:after="283"/>
              <w:jc w:val="left"/>
              <w:rPr/>
            </w:pPr>
            <w:r>
              <w:rPr/>
              <w:t> </w:t>
            </w:r>
          </w:p>
        </w:tc>
        <w:tc>
          <w:tcPr>
            <w:tcW w:w="1638" w:type="dxa"/>
            <w:tcBorders/>
            <w:shd w:fill="CCEEFF" w:val="clear"/>
          </w:tcPr>
          <w:p>
            <w:pPr>
              <w:pStyle w:val="TableContents"/>
              <w:bidi w:val="0"/>
              <w:spacing w:before="0" w:after="283"/>
              <w:jc w:val="left"/>
              <w:rPr/>
            </w:pPr>
            <w:r>
              <w:rPr/>
              <w:t> </w:t>
            </w:r>
          </w:p>
        </w:tc>
        <w:tc>
          <w:tcPr>
            <w:tcW w:w="185" w:type="dxa"/>
            <w:tcBorders/>
            <w:shd w:fill="CCEEFF" w:val="clear"/>
          </w:tcPr>
          <w:p>
            <w:pPr>
              <w:pStyle w:val="TableContents"/>
              <w:bidi w:val="0"/>
              <w:spacing w:before="0" w:after="283"/>
              <w:jc w:val="left"/>
              <w:rPr/>
            </w:pPr>
            <w:r>
              <w:rPr/>
              <w:t> </w:t>
            </w:r>
          </w:p>
        </w:tc>
        <w:tc>
          <w:tcPr>
            <w:tcW w:w="90" w:type="dxa"/>
            <w:tcBorders/>
            <w:shd w:fill="CCEEFF" w:val="clear"/>
          </w:tcPr>
          <w:p>
            <w:pPr>
              <w:pStyle w:val="TableContents"/>
              <w:bidi w:val="0"/>
              <w:spacing w:before="0" w:after="283"/>
              <w:jc w:val="left"/>
              <w:rPr/>
            </w:pPr>
            <w:r>
              <w:rPr/>
              <w:t> </w:t>
            </w:r>
          </w:p>
        </w:tc>
        <w:tc>
          <w:tcPr>
            <w:tcW w:w="170" w:type="dxa"/>
            <w:tcBorders/>
            <w:shd w:fill="CCEEFF" w:val="clear"/>
          </w:tcPr>
          <w:p>
            <w:pPr>
              <w:pStyle w:val="TableContents"/>
              <w:bidi w:val="0"/>
              <w:spacing w:before="0" w:after="283"/>
              <w:jc w:val="left"/>
              <w:rPr/>
            </w:pPr>
            <w:r>
              <w:rPr/>
              <w:t> </w:t>
            </w:r>
          </w:p>
        </w:tc>
        <w:tc>
          <w:tcPr>
            <w:tcW w:w="830" w:type="dxa"/>
            <w:tcBorders/>
            <w:shd w:fill="CCEEFF" w:val="clear"/>
          </w:tcPr>
          <w:p>
            <w:pPr>
              <w:pStyle w:val="TableContents"/>
              <w:bidi w:val="0"/>
              <w:spacing w:before="0" w:after="283"/>
              <w:jc w:val="left"/>
              <w:rPr/>
            </w:pPr>
            <w:r>
              <w:rPr/>
              <w:t> </w:t>
            </w:r>
          </w:p>
        </w:tc>
        <w:tc>
          <w:tcPr>
            <w:tcW w:w="232" w:type="dxa"/>
            <w:tcBorders/>
            <w:shd w:fill="CCEEFF" w:val="clear"/>
          </w:tcPr>
          <w:p>
            <w:pPr>
              <w:pStyle w:val="TableContents"/>
              <w:bidi w:val="0"/>
              <w:spacing w:before="0" w:after="283"/>
              <w:jc w:val="left"/>
              <w:rPr/>
            </w:pPr>
            <w:r>
              <w:rPr/>
              <w:t> </w:t>
            </w:r>
          </w:p>
        </w:tc>
      </w:tr>
      <w:tr>
        <w:trPr/>
        <w:tc>
          <w:tcPr>
            <w:tcW w:w="6800" w:type="dxa"/>
            <w:gridSpan w:val="5"/>
            <w:tcBorders/>
          </w:tcPr>
          <w:p>
            <w:pPr>
              <w:pStyle w:val="TableContents"/>
              <w:bidi w:val="0"/>
              <w:spacing w:before="0" w:after="0"/>
              <w:jc w:val="left"/>
              <w:rPr/>
            </w:pPr>
            <w:r>
              <w:rPr/>
              <w:t>Total segment assets</w:t>
            </w:r>
          </w:p>
        </w:tc>
        <w:tc>
          <w:tcPr>
            <w:tcW w:w="90" w:type="dxa"/>
            <w:tcBorders/>
          </w:tcPr>
          <w:p>
            <w:pPr>
              <w:pStyle w:val="TableContents"/>
              <w:bidi w:val="0"/>
              <w:spacing w:before="0" w:after="283"/>
              <w:jc w:val="left"/>
              <w:rPr/>
            </w:pPr>
            <w:r>
              <w:rPr/>
              <w:t> </w:t>
            </w:r>
          </w:p>
        </w:tc>
        <w:tc>
          <w:tcPr>
            <w:tcW w:w="170" w:type="dxa"/>
            <w:tcBorders/>
          </w:tcPr>
          <w:p>
            <w:pPr>
              <w:pStyle w:val="TableContents"/>
              <w:bidi w:val="0"/>
              <w:spacing w:before="0" w:after="283"/>
              <w:jc w:val="left"/>
              <w:rPr/>
            </w:pPr>
            <w:r>
              <w:rPr/>
              <w:t> </w:t>
            </w:r>
          </w:p>
        </w:tc>
        <w:tc>
          <w:tcPr>
            <w:tcW w:w="1638" w:type="dxa"/>
            <w:tcBorders/>
          </w:tcPr>
          <w:p>
            <w:pPr>
              <w:pStyle w:val="TableContents"/>
              <w:bidi w:val="0"/>
              <w:spacing w:before="0" w:after="283"/>
              <w:jc w:val="left"/>
              <w:rPr/>
            </w:pPr>
            <w:r>
              <w:rPr/>
              <w:t> </w:t>
            </w:r>
          </w:p>
        </w:tc>
        <w:tc>
          <w:tcPr>
            <w:tcW w:w="185" w:type="dxa"/>
            <w:tcBorders/>
          </w:tcPr>
          <w:p>
            <w:pPr>
              <w:pStyle w:val="TableContents"/>
              <w:bidi w:val="0"/>
              <w:spacing w:before="0" w:after="283"/>
              <w:jc w:val="left"/>
              <w:rPr/>
            </w:pPr>
            <w:r>
              <w:rPr/>
              <w:t> </w:t>
            </w:r>
          </w:p>
        </w:tc>
        <w:tc>
          <w:tcPr>
            <w:tcW w:w="90" w:type="dxa"/>
            <w:tcBorders/>
          </w:tcPr>
          <w:p>
            <w:pPr>
              <w:pStyle w:val="TableContents"/>
              <w:bidi w:val="0"/>
              <w:spacing w:before="0" w:after="283"/>
              <w:jc w:val="left"/>
              <w:rPr/>
            </w:pPr>
            <w:r>
              <w:rPr/>
              <w:t> </w:t>
            </w:r>
          </w:p>
        </w:tc>
        <w:tc>
          <w:tcPr>
            <w:tcW w:w="170" w:type="dxa"/>
            <w:tcBorders/>
          </w:tcPr>
          <w:p>
            <w:pPr>
              <w:pStyle w:val="TableContents"/>
              <w:bidi w:val="0"/>
              <w:spacing w:before="0" w:after="283"/>
              <w:jc w:val="left"/>
              <w:rPr/>
            </w:pPr>
            <w:r>
              <w:rPr/>
              <w:t>$</w:t>
            </w:r>
          </w:p>
        </w:tc>
        <w:tc>
          <w:tcPr>
            <w:tcW w:w="830" w:type="dxa"/>
            <w:tcBorders/>
          </w:tcPr>
          <w:p>
            <w:pPr>
              <w:pStyle w:val="TableContents"/>
              <w:bidi w:val="0"/>
              <w:spacing w:before="0" w:after="283"/>
              <w:jc w:val="right"/>
              <w:rPr/>
            </w:pPr>
            <w:r>
              <w:rPr/>
              <w:t>357,735</w:t>
            </w:r>
          </w:p>
        </w:tc>
        <w:tc>
          <w:tcPr>
            <w:tcW w:w="232" w:type="dxa"/>
            <w:tcBorders/>
          </w:tcPr>
          <w:p>
            <w:pPr>
              <w:pStyle w:val="TableContents"/>
              <w:bidi w:val="0"/>
              <w:spacing w:before="0" w:after="283"/>
              <w:jc w:val="left"/>
              <w:rPr/>
            </w:pPr>
            <w:r>
              <w:rPr/>
              <w:t> </w:t>
            </w:r>
          </w:p>
        </w:tc>
      </w:tr>
      <w:tr>
        <w:trPr/>
        <w:tc>
          <w:tcPr>
            <w:tcW w:w="4113" w:type="dxa"/>
            <w:tcBorders/>
            <w:shd w:fill="CCEEFF" w:val="clear"/>
          </w:tcPr>
          <w:p>
            <w:pPr>
              <w:pStyle w:val="TableContents"/>
              <w:bidi w:val="0"/>
              <w:spacing w:before="0" w:after="0"/>
              <w:jc w:val="left"/>
              <w:rPr/>
            </w:pPr>
            <w:r>
              <w:rPr/>
              <w:t>Corporate (b)</w:t>
            </w:r>
          </w:p>
        </w:tc>
        <w:tc>
          <w:tcPr>
            <w:tcW w:w="101" w:type="dxa"/>
            <w:tcBorders/>
            <w:shd w:fill="CCEEFF" w:val="clear"/>
          </w:tcPr>
          <w:p>
            <w:pPr>
              <w:pStyle w:val="TableContents"/>
              <w:bidi w:val="0"/>
              <w:spacing w:before="0" w:after="283"/>
              <w:jc w:val="left"/>
              <w:rPr/>
            </w:pPr>
            <w:r>
              <w:rPr/>
              <w:t> </w:t>
            </w:r>
          </w:p>
        </w:tc>
        <w:tc>
          <w:tcPr>
            <w:tcW w:w="191" w:type="dxa"/>
            <w:tcBorders/>
            <w:shd w:fill="CCEEFF" w:val="clear"/>
          </w:tcPr>
          <w:p>
            <w:pPr>
              <w:pStyle w:val="TableContents"/>
              <w:bidi w:val="0"/>
              <w:spacing w:before="0" w:after="283"/>
              <w:jc w:val="left"/>
              <w:rPr/>
            </w:pPr>
            <w:r>
              <w:rPr/>
              <w:t> </w:t>
            </w:r>
          </w:p>
        </w:tc>
        <w:tc>
          <w:tcPr>
            <w:tcW w:w="2187" w:type="dxa"/>
            <w:tcBorders/>
            <w:shd w:fill="CCEEFF" w:val="clear"/>
          </w:tcPr>
          <w:p>
            <w:pPr>
              <w:pStyle w:val="TableContents"/>
              <w:bidi w:val="0"/>
              <w:spacing w:before="0" w:after="283"/>
              <w:jc w:val="left"/>
              <w:rPr/>
            </w:pPr>
            <w:r>
              <w:rPr/>
              <w:t> </w:t>
            </w:r>
          </w:p>
        </w:tc>
        <w:tc>
          <w:tcPr>
            <w:tcW w:w="208" w:type="dxa"/>
            <w:tcBorders/>
            <w:shd w:fill="CCEEFF" w:val="clear"/>
          </w:tcPr>
          <w:p>
            <w:pPr>
              <w:pStyle w:val="TableContents"/>
              <w:bidi w:val="0"/>
              <w:spacing w:before="0" w:after="283"/>
              <w:jc w:val="left"/>
              <w:rPr/>
            </w:pPr>
            <w:r>
              <w:rPr/>
              <w:t> </w:t>
            </w:r>
          </w:p>
        </w:tc>
        <w:tc>
          <w:tcPr>
            <w:tcW w:w="90" w:type="dxa"/>
            <w:tcBorders/>
            <w:shd w:fill="CCEEFF" w:val="clear"/>
          </w:tcPr>
          <w:p>
            <w:pPr>
              <w:pStyle w:val="TableContents"/>
              <w:bidi w:val="0"/>
              <w:spacing w:before="0" w:after="283"/>
              <w:jc w:val="left"/>
              <w:rPr/>
            </w:pPr>
            <w:r>
              <w:rPr/>
              <w:t> </w:t>
            </w:r>
          </w:p>
        </w:tc>
        <w:tc>
          <w:tcPr>
            <w:tcW w:w="170" w:type="dxa"/>
            <w:tcBorders/>
            <w:shd w:fill="CCEEFF" w:val="clear"/>
          </w:tcPr>
          <w:p>
            <w:pPr>
              <w:pStyle w:val="TableContents"/>
              <w:bidi w:val="0"/>
              <w:spacing w:before="0" w:after="283"/>
              <w:jc w:val="left"/>
              <w:rPr/>
            </w:pPr>
            <w:r>
              <w:rPr/>
              <w:t> </w:t>
            </w:r>
          </w:p>
        </w:tc>
        <w:tc>
          <w:tcPr>
            <w:tcW w:w="1638" w:type="dxa"/>
            <w:tcBorders/>
            <w:shd w:fill="CCEEFF" w:val="clear"/>
          </w:tcPr>
          <w:p>
            <w:pPr>
              <w:pStyle w:val="TableContents"/>
              <w:bidi w:val="0"/>
              <w:spacing w:before="0" w:after="283"/>
              <w:jc w:val="left"/>
              <w:rPr/>
            </w:pPr>
            <w:r>
              <w:rPr/>
              <w:t> </w:t>
            </w:r>
          </w:p>
        </w:tc>
        <w:tc>
          <w:tcPr>
            <w:tcW w:w="185" w:type="dxa"/>
            <w:tcBorders/>
            <w:shd w:fill="CCEEFF" w:val="clear"/>
          </w:tcPr>
          <w:p>
            <w:pPr>
              <w:pStyle w:val="TableContents"/>
              <w:bidi w:val="0"/>
              <w:spacing w:before="0" w:after="283"/>
              <w:jc w:val="left"/>
              <w:rPr/>
            </w:pPr>
            <w:r>
              <w:rPr/>
              <w:t> </w:t>
            </w:r>
          </w:p>
        </w:tc>
        <w:tc>
          <w:tcPr>
            <w:tcW w:w="90" w:type="dxa"/>
            <w:tcBorders/>
            <w:shd w:fill="CCEEFF" w:val="clea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tcPr>
          <w:p>
            <w:pPr>
              <w:pStyle w:val="TableContents"/>
              <w:bidi w:val="0"/>
              <w:spacing w:before="0" w:after="283"/>
              <w:jc w:val="left"/>
              <w:rPr/>
            </w:pPr>
            <w:r>
              <w:rPr/>
              <w:t> </w:t>
            </w:r>
          </w:p>
        </w:tc>
        <w:tc>
          <w:tcPr>
            <w:tcW w:w="830" w:type="dxa"/>
            <w:tcBorders>
              <w:bottom w:val="single" w:sz="12" w:space="0" w:color="000000"/>
            </w:tcBorders>
            <w:shd w:fill="CCEEFF" w:val="clear"/>
            <w:tcMar>
              <w:bottom w:w="28" w:type="dxa"/>
            </w:tcMar>
          </w:tcPr>
          <w:p>
            <w:pPr>
              <w:pStyle w:val="TableContents"/>
              <w:bidi w:val="0"/>
              <w:spacing w:before="0" w:after="283"/>
              <w:jc w:val="right"/>
              <w:rPr/>
            </w:pPr>
            <w:r>
              <w:rPr/>
              <w:t>152,834</w:t>
            </w:r>
          </w:p>
        </w:tc>
        <w:tc>
          <w:tcPr>
            <w:tcW w:w="232" w:type="dxa"/>
            <w:tcBorders>
              <w:bottom w:val="single" w:sz="12" w:space="0" w:color="000000"/>
            </w:tcBorders>
            <w:shd w:fill="CCEEFF" w:val="clear"/>
            <w:tcMar>
              <w:bottom w:w="28" w:type="dxa"/>
            </w:tcMar>
          </w:tcPr>
          <w:p>
            <w:pPr>
              <w:pStyle w:val="TableContents"/>
              <w:bidi w:val="0"/>
              <w:spacing w:before="0" w:after="283"/>
              <w:jc w:val="left"/>
              <w:rPr/>
            </w:pPr>
            <w:r>
              <w:rPr/>
              <w:t> </w:t>
            </w:r>
          </w:p>
        </w:tc>
      </w:tr>
      <w:tr>
        <w:trPr/>
        <w:tc>
          <w:tcPr>
            <w:tcW w:w="6800" w:type="dxa"/>
            <w:gridSpan w:val="5"/>
            <w:tcBorders/>
          </w:tcPr>
          <w:p>
            <w:pPr>
              <w:pStyle w:val="TableContents"/>
              <w:bidi w:val="0"/>
              <w:spacing w:before="0" w:after="0"/>
              <w:jc w:val="left"/>
              <w:rPr/>
            </w:pPr>
            <w:r>
              <w:rPr/>
              <w:t>Consolidated total assets</w:t>
            </w:r>
          </w:p>
        </w:tc>
        <w:tc>
          <w:tcPr>
            <w:tcW w:w="90" w:type="dxa"/>
            <w:tcBorders/>
          </w:tcPr>
          <w:p>
            <w:pPr>
              <w:pStyle w:val="TableContents"/>
              <w:bidi w:val="0"/>
              <w:spacing w:before="0" w:after="283"/>
              <w:jc w:val="left"/>
              <w:rPr/>
            </w:pPr>
            <w:r>
              <w:rPr/>
              <w:t> </w:t>
            </w:r>
          </w:p>
        </w:tc>
        <w:tc>
          <w:tcPr>
            <w:tcW w:w="170" w:type="dxa"/>
            <w:tcBorders/>
          </w:tcPr>
          <w:p>
            <w:pPr>
              <w:pStyle w:val="TableContents"/>
              <w:bidi w:val="0"/>
              <w:spacing w:before="0" w:after="283"/>
              <w:jc w:val="left"/>
              <w:rPr/>
            </w:pPr>
            <w:r>
              <w:rPr/>
              <w:t> </w:t>
            </w:r>
          </w:p>
        </w:tc>
        <w:tc>
          <w:tcPr>
            <w:tcW w:w="1638" w:type="dxa"/>
            <w:tcBorders/>
          </w:tcPr>
          <w:p>
            <w:pPr>
              <w:pStyle w:val="TableContents"/>
              <w:bidi w:val="0"/>
              <w:spacing w:before="0" w:after="283"/>
              <w:jc w:val="left"/>
              <w:rPr/>
            </w:pPr>
            <w:r>
              <w:rPr/>
              <w:t> </w:t>
            </w:r>
          </w:p>
        </w:tc>
        <w:tc>
          <w:tcPr>
            <w:tcW w:w="185" w:type="dxa"/>
            <w:tcBorders/>
          </w:tcPr>
          <w:p>
            <w:pPr>
              <w:pStyle w:val="TableContents"/>
              <w:bidi w:val="0"/>
              <w:spacing w:before="0" w:after="283"/>
              <w:jc w:val="left"/>
              <w:rPr/>
            </w:pPr>
            <w:r>
              <w:rPr/>
              <w:t> </w:t>
            </w:r>
          </w:p>
        </w:tc>
        <w:tc>
          <w:tcPr>
            <w:tcW w:w="90" w:type="dxa"/>
            <w:tcBorders/>
          </w:tcPr>
          <w:p>
            <w:pPr>
              <w:pStyle w:val="TableContents"/>
              <w:bidi w:val="0"/>
              <w:spacing w:before="0" w:after="283"/>
              <w:jc w:val="left"/>
              <w:rPr/>
            </w:pPr>
            <w:r>
              <w:rPr/>
              <w:t> </w:t>
            </w:r>
          </w:p>
        </w:tc>
        <w:tc>
          <w:tcPr>
            <w:tcW w:w="170" w:type="dxa"/>
            <w:tcBorders>
              <w:bottom w:val="double" w:sz="8" w:space="0" w:color="000000"/>
            </w:tcBorders>
            <w:tcMar>
              <w:bottom w:w="28" w:type="dxa"/>
            </w:tcMar>
          </w:tcPr>
          <w:p>
            <w:pPr>
              <w:pStyle w:val="TableContents"/>
              <w:bidi w:val="0"/>
              <w:spacing w:before="0" w:after="283"/>
              <w:jc w:val="left"/>
              <w:rPr/>
            </w:pPr>
            <w:r>
              <w:rPr/>
              <w:t>$</w:t>
            </w:r>
          </w:p>
        </w:tc>
        <w:tc>
          <w:tcPr>
            <w:tcW w:w="830" w:type="dxa"/>
            <w:tcBorders>
              <w:bottom w:val="double" w:sz="8" w:space="0" w:color="000000"/>
            </w:tcBorders>
            <w:tcMar>
              <w:bottom w:w="28" w:type="dxa"/>
            </w:tcMar>
          </w:tcPr>
          <w:p>
            <w:pPr>
              <w:pStyle w:val="TableContents"/>
              <w:bidi w:val="0"/>
              <w:spacing w:before="0" w:after="283"/>
              <w:jc w:val="right"/>
              <w:rPr/>
            </w:pPr>
            <w:r>
              <w:rPr/>
              <w:t>510,569</w:t>
            </w:r>
          </w:p>
        </w:tc>
        <w:tc>
          <w:tcPr>
            <w:tcW w:w="232" w:type="dxa"/>
            <w:tcBorders>
              <w:bottom w:val="double" w:sz="8" w:space="0" w:color="000000"/>
            </w:tcBorders>
            <w:tcMar>
              <w:bottom w:w="28" w:type="dxa"/>
            </w:tcMa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(a) - Primarily includes compensation expense, including stock-based compensation expense, for certain executive officers and consultants, insurance, legal and investor relations expenses and accounting and tax fees that are  not allocated to the Company's operating segments.</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(b) - Primarily consists of cash and deferred tax assets. </w:t>
      </w:r>
    </w:p>
    <w:p>
      <w:pPr>
        <w:pStyle w:val="TextBody"/>
        <w:bidi w:val="0"/>
        <w:spacing w:before="0" w:after="0"/>
        <w:jc w:val="left"/>
        <w:rPr/>
      </w:pPr>
      <w:r>
        <w:rPr/>
        <w:t xml:space="preserve">  </w:t>
      </w:r>
    </w:p>
    <w:p>
      <w:pPr>
        <w:pStyle w:val="TextBody"/>
        <w:bidi w:val="0"/>
        <w:spacing w:before="150" w:after="15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t>17</w:t>
      </w:r>
    </w:p>
    <w:p>
      <w:pPr>
        <w:pStyle w:val="HorizontalLine"/>
        <w:bidi w:val="0"/>
        <w:spacing w:before="150" w:after="150"/>
        <w:jc w:val="left"/>
        <w:rPr/>
      </w:pPr>
      <w:r>
        <w:rPr/>
      </w:r>
    </w:p>
    <w:p>
      <w:pPr>
        <w:pStyle w:val="TextBody"/>
        <w:bidi w:val="0"/>
        <w:spacing w:before="150" w:after="150"/>
        <w:jc w:val="left"/>
        <w:rPr/>
      </w:pPr>
      <w:hyperlink w:anchor="index">
        <w:r>
          <w:rPr>
            <w:rStyle w:val="InternetLink"/>
            <w:rFonts w:ascii="TimesNewRoman;Times New Roman;Times;Baskerville;Georgia;serif" w:hAnsi="TimesNewRoman;Times New Roman;Times;Baskerville;Georgia;serif"/>
            <w:b w:val="false"/>
            <w:i/>
            <w:caps w:val="false"/>
            <w:smallCaps w:val="false"/>
            <w:strike w:val="false"/>
            <w:dstrike w:val="false"/>
            <w:sz w:val="16"/>
            <w:u w:val="none"/>
            <w:effect w:val="none"/>
          </w:rPr>
          <w:t>Index</w:t>
        </w:r>
      </w:hyperlink>
    </w:p>
    <w:p>
      <w:pPr>
        <w:pStyle w:val="TextBody"/>
        <w:bidi w:val="0"/>
        <w:spacing w:before="0" w:after="0"/>
        <w:ind w:left="0" w:right="0" w:hanging="0"/>
        <w:jc w:val="center"/>
        <w:rPr>
          <w:rFonts w:ascii="Times New Roman" w:hAnsi="Times New Roman"/>
          <w:b/>
          <w:sz w:val="20"/>
        </w:rPr>
      </w:pPr>
      <w:r>
        <w:rPr>
          <w:rFonts w:ascii="Times New Roman" w:hAnsi="Times New Roman"/>
          <w:b/>
          <w:sz w:val="20"/>
        </w:rPr>
        <w:t>ADMA BIOLOGICS, INC. AND SUBSIDIARIES</w:t>
      </w:r>
    </w:p>
    <w:p>
      <w:pPr>
        <w:pStyle w:val="TextBody"/>
        <w:bidi w:val="0"/>
        <w:spacing w:before="0" w:after="0"/>
        <w:ind w:left="0" w:right="0" w:hanging="0"/>
        <w:jc w:val="center"/>
        <w:rPr>
          <w:rFonts w:ascii="Times New Roman" w:hAnsi="Times New Roman"/>
          <w:b/>
          <w:sz w:val="20"/>
        </w:rPr>
      </w:pPr>
      <w:r>
        <w:rPr>
          <w:rFonts w:ascii="Times New Roman" w:hAnsi="Times New Roman"/>
          <w:b/>
          <w:sz w:val="20"/>
        </w:rPr>
        <w:t>NOTES TO CONDENSED CONSOLIDATED FINANCIAL STATEMENTS (UNAUDITED)</w:t>
      </w:r>
    </w:p>
    <w:p>
      <w:pPr>
        <w:pStyle w:val="TextBody"/>
        <w:bidi w:val="0"/>
        <w:spacing w:before="0" w:after="0"/>
        <w:jc w:val="center"/>
        <w:rPr/>
      </w:pPr>
      <w:r>
        <w:rPr/>
        <w:t> </w:t>
      </w:r>
    </w:p>
    <w:p>
      <w:pPr>
        <w:pStyle w:val="TextBody"/>
        <w:bidi w:val="0"/>
        <w:spacing w:before="0" w:after="0"/>
        <w:ind w:left="0" w:right="0" w:firstLine="720"/>
        <w:jc w:val="left"/>
        <w:rPr>
          <w:rFonts w:ascii="Times New Roman" w:hAnsi="Times New Roman"/>
          <w:sz w:val="20"/>
        </w:rPr>
      </w:pPr>
      <w:r>
        <w:rPr>
          <w:rFonts w:ascii="Times New Roman" w:hAnsi="Times New Roman"/>
          <w:sz w:val="20"/>
        </w:rPr>
        <w:t xml:space="preserve">Net revenues according to geographic area, based on the location of where the product is shipped, were as follows: </w:t>
      </w:r>
    </w:p>
    <w:p>
      <w:pPr>
        <w:pStyle w:val="TextBody"/>
        <w:bidi w:val="0"/>
        <w:spacing w:before="0" w:after="0"/>
        <w:jc w:val="center"/>
        <w:rPr/>
      </w:pPr>
      <w:r>
        <w:rPr/>
        <w:t xml:space="preserve">  </w:t>
      </w:r>
    </w:p>
    <w:tbl>
      <w:tblPr>
        <w:tblW w:w="10205" w:type="dxa"/>
        <w:jc w:val="left"/>
        <w:tblInd w:w="0" w:type="dxa"/>
        <w:tblLayout w:type="fixed"/>
        <w:tblCellMar>
          <w:top w:w="0" w:type="dxa"/>
          <w:left w:w="0" w:type="dxa"/>
          <w:bottom w:w="0" w:type="dxa"/>
          <w:right w:w="0" w:type="dxa"/>
        </w:tblCellMar>
      </w:tblPr>
      <w:tblGrid>
        <w:gridCol w:w="1219"/>
        <w:gridCol w:w="90"/>
        <w:gridCol w:w="170"/>
        <w:gridCol w:w="2181"/>
        <w:gridCol w:w="90"/>
        <w:gridCol w:w="90"/>
        <w:gridCol w:w="170"/>
        <w:gridCol w:w="1078"/>
        <w:gridCol w:w="90"/>
        <w:gridCol w:w="90"/>
        <w:gridCol w:w="170"/>
        <w:gridCol w:w="1094"/>
        <w:gridCol w:w="90"/>
        <w:gridCol w:w="90"/>
        <w:gridCol w:w="170"/>
        <w:gridCol w:w="1176"/>
        <w:gridCol w:w="90"/>
        <w:gridCol w:w="90"/>
        <w:gridCol w:w="170"/>
        <w:gridCol w:w="1659"/>
        <w:gridCol w:w="138"/>
      </w:tblGrid>
      <w:tr>
        <w:trPr/>
        <w:tc>
          <w:tcPr>
            <w:tcW w:w="1219"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2181"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078"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094"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176"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659" w:type="dxa"/>
            <w:tcBorders/>
            <w:vAlign w:val="center"/>
          </w:tcPr>
          <w:p>
            <w:pPr>
              <w:pStyle w:val="TableContents"/>
              <w:bidi w:val="0"/>
              <w:spacing w:before="0" w:after="283"/>
              <w:jc w:val="left"/>
              <w:rPr/>
            </w:pPr>
            <w:r>
              <w:rPr/>
              <w:t> </w:t>
            </w:r>
          </w:p>
        </w:tc>
        <w:tc>
          <w:tcPr>
            <w:tcW w:w="138" w:type="dxa"/>
            <w:tcBorders/>
            <w:vAlign w:val="center"/>
          </w:tcPr>
          <w:p>
            <w:pPr>
              <w:pStyle w:val="TableContents"/>
              <w:bidi w:val="0"/>
              <w:spacing w:before="0" w:after="283"/>
              <w:jc w:val="left"/>
              <w:rPr/>
            </w:pPr>
            <w:r>
              <w:rPr/>
              <w:t> </w:t>
            </w:r>
          </w:p>
        </w:tc>
      </w:tr>
      <w:tr>
        <w:trPr/>
        <w:tc>
          <w:tcPr>
            <w:tcW w:w="1219"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2181"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078"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094"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176"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659" w:type="dxa"/>
            <w:tcBorders/>
            <w:vAlign w:val="center"/>
          </w:tcPr>
          <w:p>
            <w:pPr>
              <w:pStyle w:val="TableContents"/>
              <w:bidi w:val="0"/>
              <w:spacing w:before="0" w:after="283"/>
              <w:jc w:val="left"/>
              <w:rPr/>
            </w:pPr>
            <w:r>
              <w:rPr/>
              <w:t> </w:t>
            </w:r>
          </w:p>
        </w:tc>
        <w:tc>
          <w:tcPr>
            <w:tcW w:w="138" w:type="dxa"/>
            <w:tcBorders/>
            <w:vAlign w:val="center"/>
          </w:tcPr>
          <w:p>
            <w:pPr>
              <w:pStyle w:val="TableContents"/>
              <w:bidi w:val="0"/>
              <w:spacing w:before="0" w:after="283"/>
              <w:jc w:val="left"/>
              <w:rPr/>
            </w:pPr>
            <w:r>
              <w:rPr/>
              <w:t> </w:t>
            </w:r>
          </w:p>
        </w:tc>
      </w:tr>
      <w:tr>
        <w:trPr/>
        <w:tc>
          <w:tcPr>
            <w:tcW w:w="1219"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r>
          </w:p>
        </w:tc>
        <w:tc>
          <w:tcPr>
            <w:tcW w:w="170" w:type="dxa"/>
            <w:tcBorders>
              <w:bottom w:val="single" w:sz="12" w:space="0" w:color="000000"/>
            </w:tcBorders>
            <w:tcMar>
              <w:bottom w:w="28" w:type="dxa"/>
            </w:tcMar>
            <w:vAlign w:val="center"/>
          </w:tcPr>
          <w:p>
            <w:pPr>
              <w:pStyle w:val="TableContents"/>
              <w:bidi w:val="0"/>
              <w:spacing w:before="0" w:after="283"/>
              <w:jc w:val="center"/>
              <w:rPr/>
            </w:pPr>
            <w:r>
              <w:rPr/>
              <w:t> </w:t>
            </w:r>
          </w:p>
        </w:tc>
        <w:tc>
          <w:tcPr>
            <w:tcW w:w="8588" w:type="dxa"/>
            <w:gridSpan w:val="17"/>
            <w:tcBorders>
              <w:bottom w:val="single" w:sz="12" w:space="0" w:color="000000"/>
            </w:tcBorders>
            <w:tcMar>
              <w:bottom w:w="28" w:type="dxa"/>
            </w:tcMar>
            <w:vAlign w:val="center"/>
          </w:tcPr>
          <w:p>
            <w:pPr>
              <w:pStyle w:val="TableContents"/>
              <w:bidi w:val="0"/>
              <w:spacing w:before="0" w:after="283"/>
              <w:jc w:val="center"/>
              <w:rPr/>
            </w:pPr>
            <w:r>
              <w:rPr>
                <w:b/>
                <w:spacing w:val="0"/>
              </w:rPr>
              <w:t>Three Months Ended March 31, 2026</w:t>
            </w:r>
            <w:r>
              <w:rPr/>
              <w:t xml:space="preserve"> </w:t>
            </w:r>
          </w:p>
        </w:tc>
        <w:tc>
          <w:tcPr>
            <w:tcW w:w="138" w:type="dxa"/>
            <w:tcBorders/>
            <w:vAlign w:val="center"/>
          </w:tcPr>
          <w:p>
            <w:pPr>
              <w:pStyle w:val="TableContents"/>
              <w:bidi w:val="0"/>
              <w:spacing w:before="0" w:after="283"/>
              <w:jc w:val="center"/>
              <w:rPr/>
            </w:pPr>
            <w:r>
              <w:rPr/>
              <w:t> </w:t>
            </w:r>
          </w:p>
        </w:tc>
      </w:tr>
      <w:tr>
        <w:trPr/>
        <w:tc>
          <w:tcPr>
            <w:tcW w:w="1219" w:type="dxa"/>
            <w:tcBorders/>
            <w:vAlign w:val="center"/>
          </w:tcPr>
          <w:p>
            <w:pPr>
              <w:pStyle w:val="TableContents"/>
              <w:bidi w:val="0"/>
              <w:spacing w:before="0" w:after="0"/>
              <w:ind w:left="0" w:right="0" w:hanging="144"/>
              <w:jc w:val="left"/>
              <w:rPr/>
            </w:pPr>
            <w:r>
              <w:rPr>
                <w:i/>
              </w:rPr>
              <w:t>(in thousands)</w:t>
            </w:r>
            <w:r>
              <w:rPr/>
              <w:t xml:space="preserve"> </w:t>
            </w:r>
          </w:p>
        </w:tc>
        <w:tc>
          <w:tcPr>
            <w:tcW w:w="90" w:type="dxa"/>
            <w:tcBorders/>
            <w:vAlign w:val="center"/>
          </w:tcPr>
          <w:p>
            <w:pPr>
              <w:pStyle w:val="TableContents"/>
              <w:bidi w:val="0"/>
              <w:spacing w:before="0" w:after="283"/>
              <w:jc w:val="center"/>
              <w:rPr/>
            </w:pPr>
            <w:r>
              <w:rPr/>
              <w:t> </w:t>
            </w:r>
          </w:p>
        </w:tc>
        <w:tc>
          <w:tcPr>
            <w:tcW w:w="170" w:type="dxa"/>
            <w:tcBorders>
              <w:bottom w:val="single" w:sz="12" w:space="0" w:color="000000"/>
            </w:tcBorders>
            <w:tcMar>
              <w:bottom w:w="28" w:type="dxa"/>
            </w:tcMar>
            <w:vAlign w:val="center"/>
          </w:tcPr>
          <w:p>
            <w:pPr>
              <w:pStyle w:val="TableContents"/>
              <w:bidi w:val="0"/>
              <w:spacing w:before="0" w:after="283"/>
              <w:jc w:val="center"/>
              <w:rPr/>
            </w:pPr>
            <w:r>
              <w:rPr/>
              <w:t> </w:t>
            </w:r>
          </w:p>
        </w:tc>
        <w:tc>
          <w:tcPr>
            <w:tcW w:w="2181" w:type="dxa"/>
            <w:tcBorders>
              <w:bottom w:val="single" w:sz="12" w:space="0" w:color="000000"/>
            </w:tcBorders>
            <w:tcMar>
              <w:bottom w:w="28" w:type="dxa"/>
            </w:tcMar>
            <w:vAlign w:val="center"/>
          </w:tcPr>
          <w:p>
            <w:pPr>
              <w:pStyle w:val="TableContents"/>
              <w:bidi w:val="0"/>
              <w:spacing w:before="0" w:after="283"/>
              <w:jc w:val="center"/>
              <w:rPr/>
            </w:pPr>
            <w:r>
              <w:rPr>
                <w:b/>
              </w:rPr>
              <w:t>ADMA BioManufacturing</w:t>
            </w:r>
            <w:r>
              <w:rPr/>
              <w:t xml:space="preserve"> </w:t>
            </w:r>
          </w:p>
        </w:tc>
        <w:tc>
          <w:tcPr>
            <w:tcW w:w="9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70" w:type="dxa"/>
            <w:tcBorders>
              <w:bottom w:val="single" w:sz="12" w:space="0" w:color="000000"/>
            </w:tcBorders>
            <w:tcMar>
              <w:bottom w:w="28" w:type="dxa"/>
            </w:tcMar>
            <w:vAlign w:val="center"/>
          </w:tcPr>
          <w:p>
            <w:pPr>
              <w:pStyle w:val="TableContents"/>
              <w:bidi w:val="0"/>
              <w:spacing w:before="0" w:after="283"/>
              <w:jc w:val="center"/>
              <w:rPr/>
            </w:pPr>
            <w:r>
              <w:rPr/>
              <w:t> </w:t>
            </w:r>
          </w:p>
        </w:tc>
        <w:tc>
          <w:tcPr>
            <w:tcW w:w="1078" w:type="dxa"/>
            <w:tcBorders>
              <w:bottom w:val="single" w:sz="12" w:space="0" w:color="000000"/>
            </w:tcBorders>
            <w:tcMar>
              <w:bottom w:w="28" w:type="dxa"/>
            </w:tcMar>
            <w:vAlign w:val="center"/>
          </w:tcPr>
          <w:p>
            <w:pPr>
              <w:pStyle w:val="TableContents"/>
              <w:bidi w:val="0"/>
              <w:spacing w:before="0" w:after="283"/>
              <w:jc w:val="center"/>
              <w:rPr/>
            </w:pPr>
            <w:r>
              <w:rPr>
                <w:b/>
              </w:rPr>
              <w:t>Plasma Centers</w:t>
            </w:r>
            <w:r>
              <w:rPr/>
              <w:t xml:space="preserve"> </w:t>
            </w:r>
          </w:p>
        </w:tc>
        <w:tc>
          <w:tcPr>
            <w:tcW w:w="9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70" w:type="dxa"/>
            <w:tcBorders>
              <w:bottom w:val="single" w:sz="12" w:space="0" w:color="000000"/>
            </w:tcBorders>
            <w:tcMar>
              <w:bottom w:w="28" w:type="dxa"/>
            </w:tcMar>
            <w:vAlign w:val="center"/>
          </w:tcPr>
          <w:p>
            <w:pPr>
              <w:pStyle w:val="TableContents"/>
              <w:bidi w:val="0"/>
              <w:spacing w:before="0" w:after="283"/>
              <w:jc w:val="center"/>
              <w:rPr/>
            </w:pPr>
            <w:r>
              <w:rPr/>
              <w:t> </w:t>
            </w:r>
          </w:p>
        </w:tc>
        <w:tc>
          <w:tcPr>
            <w:tcW w:w="1094" w:type="dxa"/>
            <w:tcBorders>
              <w:bottom w:val="single" w:sz="12" w:space="0" w:color="000000"/>
            </w:tcBorders>
            <w:tcMar>
              <w:bottom w:w="28" w:type="dxa"/>
            </w:tcMar>
            <w:vAlign w:val="center"/>
          </w:tcPr>
          <w:p>
            <w:pPr>
              <w:pStyle w:val="TableContents"/>
              <w:bidi w:val="0"/>
              <w:spacing w:before="0" w:after="283"/>
              <w:jc w:val="center"/>
              <w:rPr/>
            </w:pPr>
            <w:r>
              <w:rPr>
                <w:b/>
              </w:rPr>
              <w:t>Total Segment</w:t>
              <w:br/>
              <w:t>Revenue</w:t>
            </w:r>
            <w:r>
              <w:rPr/>
              <w:t xml:space="preserve"> </w:t>
            </w:r>
          </w:p>
        </w:tc>
        <w:tc>
          <w:tcPr>
            <w:tcW w:w="9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70" w:type="dxa"/>
            <w:tcBorders>
              <w:bottom w:val="single" w:sz="12" w:space="0" w:color="000000"/>
            </w:tcBorders>
            <w:tcMar>
              <w:bottom w:w="28" w:type="dxa"/>
            </w:tcMar>
            <w:vAlign w:val="center"/>
          </w:tcPr>
          <w:p>
            <w:pPr>
              <w:pStyle w:val="TableContents"/>
              <w:bidi w:val="0"/>
              <w:spacing w:before="0" w:after="283"/>
              <w:jc w:val="center"/>
              <w:rPr/>
            </w:pPr>
            <w:r>
              <w:rPr/>
              <w:t> </w:t>
            </w:r>
          </w:p>
        </w:tc>
        <w:tc>
          <w:tcPr>
            <w:tcW w:w="1176" w:type="dxa"/>
            <w:tcBorders>
              <w:bottom w:val="single" w:sz="12" w:space="0" w:color="000000"/>
            </w:tcBorders>
            <w:tcMar>
              <w:bottom w:w="28" w:type="dxa"/>
            </w:tcMar>
            <w:vAlign w:val="center"/>
          </w:tcPr>
          <w:p>
            <w:pPr>
              <w:pStyle w:val="TableContents"/>
              <w:bidi w:val="0"/>
              <w:spacing w:before="0" w:after="283"/>
              <w:jc w:val="center"/>
              <w:rPr/>
            </w:pPr>
            <w:r>
              <w:rPr>
                <w:b/>
              </w:rPr>
              <w:t>License Revenue</w:t>
            </w:r>
            <w:r>
              <w:rPr/>
              <w:t xml:space="preserve"> </w:t>
            </w:r>
          </w:p>
        </w:tc>
        <w:tc>
          <w:tcPr>
            <w:tcW w:w="9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70" w:type="dxa"/>
            <w:tcBorders>
              <w:bottom w:val="single" w:sz="12" w:space="0" w:color="000000"/>
            </w:tcBorders>
            <w:tcMar>
              <w:bottom w:w="28" w:type="dxa"/>
            </w:tcMar>
            <w:vAlign w:val="center"/>
          </w:tcPr>
          <w:p>
            <w:pPr>
              <w:pStyle w:val="TableContents"/>
              <w:bidi w:val="0"/>
              <w:spacing w:before="0" w:after="283"/>
              <w:jc w:val="center"/>
              <w:rPr/>
            </w:pPr>
            <w:r>
              <w:rPr/>
              <w:t> </w:t>
            </w:r>
          </w:p>
        </w:tc>
        <w:tc>
          <w:tcPr>
            <w:tcW w:w="1659" w:type="dxa"/>
            <w:tcBorders>
              <w:bottom w:val="single" w:sz="12" w:space="0" w:color="000000"/>
            </w:tcBorders>
            <w:tcMar>
              <w:bottom w:w="28" w:type="dxa"/>
            </w:tcMar>
            <w:vAlign w:val="center"/>
          </w:tcPr>
          <w:p>
            <w:pPr>
              <w:pStyle w:val="TableContents"/>
              <w:bidi w:val="0"/>
              <w:spacing w:before="0" w:after="283"/>
              <w:jc w:val="center"/>
              <w:rPr/>
            </w:pPr>
            <w:r>
              <w:rPr>
                <w:b/>
              </w:rPr>
              <w:t>Consolidated Revenue</w:t>
            </w:r>
            <w:r>
              <w:rPr/>
              <w:t xml:space="preserve"> </w:t>
            </w:r>
          </w:p>
        </w:tc>
        <w:tc>
          <w:tcPr>
            <w:tcW w:w="138" w:type="dxa"/>
            <w:tcBorders/>
            <w:vAlign w:val="center"/>
          </w:tcPr>
          <w:p>
            <w:pPr>
              <w:pStyle w:val="TableContents"/>
              <w:bidi w:val="0"/>
              <w:spacing w:before="0" w:after="283"/>
              <w:jc w:val="center"/>
              <w:rPr/>
            </w:pPr>
            <w:r>
              <w:rPr/>
              <w:t> </w:t>
            </w:r>
          </w:p>
        </w:tc>
      </w:tr>
      <w:tr>
        <w:trPr/>
        <w:tc>
          <w:tcPr>
            <w:tcW w:w="1219" w:type="dxa"/>
            <w:tcBorders/>
            <w:shd w:fill="CCEEFF" w:val="clear"/>
            <w:vAlign w:val="center"/>
          </w:tcPr>
          <w:p>
            <w:pPr>
              <w:pStyle w:val="TableContents"/>
              <w:bidi w:val="0"/>
              <w:spacing w:before="0" w:after="0"/>
              <w:ind w:left="0" w:right="0" w:hanging="144"/>
              <w:jc w:val="left"/>
              <w:rPr/>
            </w:pPr>
            <w:r>
              <w:rPr/>
              <w:t xml:space="preserve">United States </w:t>
            </w:r>
          </w:p>
        </w:tc>
        <w:tc>
          <w:tcPr>
            <w:tcW w:w="90"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w:t>
            </w:r>
          </w:p>
        </w:tc>
        <w:tc>
          <w:tcPr>
            <w:tcW w:w="2181" w:type="dxa"/>
            <w:tcBorders/>
            <w:shd w:fill="CCEEFF" w:val="clear"/>
            <w:vAlign w:val="center"/>
          </w:tcPr>
          <w:p>
            <w:pPr>
              <w:pStyle w:val="TableContents"/>
              <w:bidi w:val="0"/>
              <w:spacing w:before="0" w:after="283"/>
              <w:jc w:val="right"/>
              <w:rPr/>
            </w:pPr>
            <w:r>
              <w:rPr/>
              <w:t>113,363</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w:t>
            </w:r>
          </w:p>
        </w:tc>
        <w:tc>
          <w:tcPr>
            <w:tcW w:w="1078" w:type="dxa"/>
            <w:tcBorders/>
            <w:shd w:fill="CCEEFF" w:val="clear"/>
            <w:vAlign w:val="center"/>
          </w:tcPr>
          <w:p>
            <w:pPr>
              <w:pStyle w:val="TableContents"/>
              <w:bidi w:val="0"/>
              <w:spacing w:before="0" w:after="283"/>
              <w:jc w:val="right"/>
              <w:rPr/>
            </w:pPr>
            <w:r>
              <w:rPr/>
              <w:t>26</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w:t>
            </w:r>
          </w:p>
        </w:tc>
        <w:tc>
          <w:tcPr>
            <w:tcW w:w="1094" w:type="dxa"/>
            <w:tcBorders/>
            <w:shd w:fill="CCEEFF" w:val="clear"/>
            <w:vAlign w:val="center"/>
          </w:tcPr>
          <w:p>
            <w:pPr>
              <w:pStyle w:val="TableContents"/>
              <w:bidi w:val="0"/>
              <w:spacing w:before="0" w:after="283"/>
              <w:jc w:val="right"/>
              <w:rPr/>
            </w:pPr>
            <w:r>
              <w:rPr/>
              <w:t>113,389</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w:t>
            </w:r>
          </w:p>
        </w:tc>
        <w:tc>
          <w:tcPr>
            <w:tcW w:w="1176" w:type="dxa"/>
            <w:tcBorders/>
            <w:shd w:fill="CCEEFF" w:val="clear"/>
            <w:vAlign w:val="center"/>
          </w:tcPr>
          <w:p>
            <w:pPr>
              <w:pStyle w:val="TableContents"/>
              <w:bidi w:val="0"/>
              <w:spacing w:before="0" w:after="283"/>
              <w:jc w:val="right"/>
              <w:rPr/>
            </w:pPr>
            <w:r>
              <w:rPr/>
              <w:t>36</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w:t>
            </w:r>
          </w:p>
        </w:tc>
        <w:tc>
          <w:tcPr>
            <w:tcW w:w="1659" w:type="dxa"/>
            <w:tcBorders/>
            <w:shd w:fill="CCEEFF" w:val="clear"/>
            <w:vAlign w:val="center"/>
          </w:tcPr>
          <w:p>
            <w:pPr>
              <w:pStyle w:val="TableContents"/>
              <w:bidi w:val="0"/>
              <w:spacing w:before="0" w:after="283"/>
              <w:jc w:val="right"/>
              <w:rPr/>
            </w:pPr>
            <w:r>
              <w:rPr/>
              <w:t>113,425</w:t>
            </w:r>
          </w:p>
        </w:tc>
        <w:tc>
          <w:tcPr>
            <w:tcW w:w="138" w:type="dxa"/>
            <w:tcBorders/>
            <w:shd w:fill="CCEEFF" w:val="clear"/>
            <w:vAlign w:val="center"/>
          </w:tcPr>
          <w:p>
            <w:pPr>
              <w:pStyle w:val="TableContents"/>
              <w:bidi w:val="0"/>
              <w:spacing w:before="0" w:after="283"/>
              <w:jc w:val="left"/>
              <w:rPr/>
            </w:pPr>
            <w:r>
              <w:rPr/>
              <w:t> </w:t>
            </w:r>
          </w:p>
        </w:tc>
      </w:tr>
      <w:tr>
        <w:trPr/>
        <w:tc>
          <w:tcPr>
            <w:tcW w:w="1219" w:type="dxa"/>
            <w:tcBorders/>
            <w:vAlign w:val="center"/>
          </w:tcPr>
          <w:p>
            <w:pPr>
              <w:pStyle w:val="TableContents"/>
              <w:bidi w:val="0"/>
              <w:spacing w:before="0" w:after="0"/>
              <w:ind w:left="0" w:right="0" w:hanging="144"/>
              <w:jc w:val="left"/>
              <w:rPr/>
            </w:pPr>
            <w:r>
              <w:rPr/>
              <w:t xml:space="preserve">International </w:t>
            </w:r>
          </w:p>
        </w:tc>
        <w:tc>
          <w:tcPr>
            <w:tcW w:w="90" w:type="dxa"/>
            <w:tcBorders/>
            <w:vAlign w:val="center"/>
          </w:tcPr>
          <w:p>
            <w:pPr>
              <w:pStyle w:val="TableContents"/>
              <w:bidi w:val="0"/>
              <w:spacing w:before="0" w:after="283"/>
              <w:jc w:val="righ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2181" w:type="dxa"/>
            <w:tcBorders>
              <w:bottom w:val="single" w:sz="12" w:space="0" w:color="000000"/>
            </w:tcBorders>
            <w:tcMar>
              <w:bottom w:w="28" w:type="dxa"/>
            </w:tcMar>
            <w:vAlign w:val="center"/>
          </w:tcPr>
          <w:p>
            <w:pPr>
              <w:pStyle w:val="TableContents"/>
              <w:bidi w:val="0"/>
              <w:spacing w:before="0" w:after="283"/>
              <w:jc w:val="right"/>
              <w:rPr/>
            </w:pPr>
            <w:r>
              <w:rPr/>
              <w:t>378</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righ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1078" w:type="dxa"/>
            <w:tcBorders>
              <w:bottom w:val="single" w:sz="12" w:space="0" w:color="000000"/>
            </w:tcBorders>
            <w:tcMar>
              <w:bottom w:w="28" w:type="dxa"/>
            </w:tcMar>
            <w:vAlign w:val="center"/>
          </w:tcPr>
          <w:p>
            <w:pPr>
              <w:pStyle w:val="TableContents"/>
              <w:bidi w:val="0"/>
              <w:spacing w:before="0" w:after="283"/>
              <w:jc w:val="right"/>
              <w:rPr/>
            </w:pPr>
            <w:r>
              <w:rPr/>
              <w:t>690</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righ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1094" w:type="dxa"/>
            <w:tcBorders>
              <w:bottom w:val="single" w:sz="12" w:space="0" w:color="000000"/>
            </w:tcBorders>
            <w:tcMar>
              <w:bottom w:w="28" w:type="dxa"/>
            </w:tcMar>
            <w:vAlign w:val="center"/>
          </w:tcPr>
          <w:p>
            <w:pPr>
              <w:pStyle w:val="TableContents"/>
              <w:bidi w:val="0"/>
              <w:spacing w:before="0" w:after="283"/>
              <w:jc w:val="right"/>
              <w:rPr/>
            </w:pPr>
            <w:r>
              <w:rPr/>
              <w:t>1,068</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righ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1176" w:type="dxa"/>
            <w:tcBorders>
              <w:bottom w:val="single" w:sz="12" w:space="0" w:color="000000"/>
            </w:tcBorders>
            <w:tcMar>
              <w:bottom w:w="28" w:type="dxa"/>
            </w:tcMar>
            <w:vAlign w:val="center"/>
          </w:tcPr>
          <w:p>
            <w:pPr>
              <w:pStyle w:val="TableContents"/>
              <w:bidi w:val="0"/>
              <w:spacing w:before="0" w:after="283"/>
              <w:jc w:val="right"/>
              <w:rPr/>
            </w:pPr>
            <w:r>
              <w:rPr/>
              <w:t xml:space="preserve">-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righ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1659" w:type="dxa"/>
            <w:tcBorders>
              <w:bottom w:val="single" w:sz="12" w:space="0" w:color="000000"/>
            </w:tcBorders>
            <w:tcMar>
              <w:bottom w:w="28" w:type="dxa"/>
            </w:tcMar>
            <w:vAlign w:val="center"/>
          </w:tcPr>
          <w:p>
            <w:pPr>
              <w:pStyle w:val="TableContents"/>
              <w:bidi w:val="0"/>
              <w:spacing w:before="0" w:after="283"/>
              <w:jc w:val="right"/>
              <w:rPr/>
            </w:pPr>
            <w:r>
              <w:rPr/>
              <w:t>1,068</w:t>
            </w:r>
          </w:p>
        </w:tc>
        <w:tc>
          <w:tcPr>
            <w:tcW w:w="138" w:type="dxa"/>
            <w:tcBorders/>
            <w:vAlign w:val="center"/>
          </w:tcPr>
          <w:p>
            <w:pPr>
              <w:pStyle w:val="TableContents"/>
              <w:bidi w:val="0"/>
              <w:spacing w:before="0" w:after="283"/>
              <w:jc w:val="left"/>
              <w:rPr/>
            </w:pPr>
            <w:r>
              <w:rPr/>
              <w:t> </w:t>
            </w:r>
          </w:p>
        </w:tc>
      </w:tr>
      <w:tr>
        <w:trPr/>
        <w:tc>
          <w:tcPr>
            <w:tcW w:w="1219" w:type="dxa"/>
            <w:tcBorders/>
            <w:shd w:fill="CCEEFF" w:val="clear"/>
            <w:vAlign w:val="center"/>
          </w:tcPr>
          <w:p>
            <w:pPr>
              <w:pStyle w:val="TableContents"/>
              <w:bidi w:val="0"/>
              <w:spacing w:before="0" w:after="0"/>
              <w:jc w:val="left"/>
              <w:rPr/>
            </w:pPr>
            <w:r>
              <w:rPr/>
              <w:t xml:space="preserve">Total revenues </w:t>
            </w:r>
          </w:p>
        </w:tc>
        <w:tc>
          <w:tcPr>
            <w:tcW w:w="90" w:type="dxa"/>
            <w:tcBorders/>
            <w:shd w:fill="CCEEFF" w:val="clear"/>
            <w:vAlign w:val="center"/>
          </w:tcPr>
          <w:p>
            <w:pPr>
              <w:pStyle w:val="TableContents"/>
              <w:bidi w:val="0"/>
              <w:spacing w:before="0" w:after="283"/>
              <w:jc w:val="righ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w:t>
            </w:r>
          </w:p>
        </w:tc>
        <w:tc>
          <w:tcPr>
            <w:tcW w:w="2181" w:type="dxa"/>
            <w:tcBorders>
              <w:bottom w:val="single" w:sz="12" w:space="0" w:color="000000"/>
            </w:tcBorders>
            <w:shd w:fill="CCEEFF" w:val="clear"/>
            <w:tcMar>
              <w:bottom w:w="28" w:type="dxa"/>
            </w:tcMar>
            <w:vAlign w:val="center"/>
          </w:tcPr>
          <w:p>
            <w:pPr>
              <w:pStyle w:val="TableContents"/>
              <w:bidi w:val="0"/>
              <w:spacing w:before="0" w:after="283"/>
              <w:jc w:val="right"/>
              <w:rPr/>
            </w:pPr>
            <w:r>
              <w:rPr/>
              <w:t>113,741</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righ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w:t>
            </w:r>
          </w:p>
        </w:tc>
        <w:tc>
          <w:tcPr>
            <w:tcW w:w="1078" w:type="dxa"/>
            <w:tcBorders>
              <w:bottom w:val="single" w:sz="12" w:space="0" w:color="000000"/>
            </w:tcBorders>
            <w:shd w:fill="CCEEFF" w:val="clear"/>
            <w:tcMar>
              <w:bottom w:w="28" w:type="dxa"/>
            </w:tcMar>
            <w:vAlign w:val="center"/>
          </w:tcPr>
          <w:p>
            <w:pPr>
              <w:pStyle w:val="TableContents"/>
              <w:bidi w:val="0"/>
              <w:spacing w:before="0" w:after="283"/>
              <w:jc w:val="right"/>
              <w:rPr/>
            </w:pPr>
            <w:r>
              <w:rPr/>
              <w:t>716</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righ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w:t>
            </w:r>
          </w:p>
        </w:tc>
        <w:tc>
          <w:tcPr>
            <w:tcW w:w="1094" w:type="dxa"/>
            <w:tcBorders>
              <w:bottom w:val="single" w:sz="12" w:space="0" w:color="000000"/>
            </w:tcBorders>
            <w:shd w:fill="CCEEFF" w:val="clear"/>
            <w:tcMar>
              <w:bottom w:w="28" w:type="dxa"/>
            </w:tcMar>
            <w:vAlign w:val="center"/>
          </w:tcPr>
          <w:p>
            <w:pPr>
              <w:pStyle w:val="TableContents"/>
              <w:bidi w:val="0"/>
              <w:spacing w:before="0" w:after="283"/>
              <w:jc w:val="right"/>
              <w:rPr/>
            </w:pPr>
            <w:r>
              <w:rPr/>
              <w:t>114,457</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righ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w:t>
            </w:r>
          </w:p>
        </w:tc>
        <w:tc>
          <w:tcPr>
            <w:tcW w:w="1176" w:type="dxa"/>
            <w:tcBorders>
              <w:bottom w:val="single" w:sz="12" w:space="0" w:color="000000"/>
            </w:tcBorders>
            <w:shd w:fill="CCEEFF" w:val="clear"/>
            <w:tcMar>
              <w:bottom w:w="28" w:type="dxa"/>
            </w:tcMar>
            <w:vAlign w:val="center"/>
          </w:tcPr>
          <w:p>
            <w:pPr>
              <w:pStyle w:val="TableContents"/>
              <w:bidi w:val="0"/>
              <w:spacing w:before="0" w:after="283"/>
              <w:jc w:val="right"/>
              <w:rPr/>
            </w:pPr>
            <w:r>
              <w:rPr/>
              <w:t>36</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righ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w:t>
            </w:r>
          </w:p>
        </w:tc>
        <w:tc>
          <w:tcPr>
            <w:tcW w:w="1659" w:type="dxa"/>
            <w:tcBorders>
              <w:bottom w:val="single" w:sz="12" w:space="0" w:color="000000"/>
            </w:tcBorders>
            <w:shd w:fill="CCEEFF" w:val="clear"/>
            <w:tcMar>
              <w:bottom w:w="28" w:type="dxa"/>
            </w:tcMar>
            <w:vAlign w:val="center"/>
          </w:tcPr>
          <w:p>
            <w:pPr>
              <w:pStyle w:val="TableContents"/>
              <w:bidi w:val="0"/>
              <w:spacing w:before="0" w:after="283"/>
              <w:jc w:val="right"/>
              <w:rPr/>
            </w:pPr>
            <w:r>
              <w:rPr/>
              <w:t>114,493</w:t>
            </w:r>
          </w:p>
        </w:tc>
        <w:tc>
          <w:tcPr>
            <w:tcW w:w="138"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r>
    </w:tbl>
    <w:p>
      <w:pPr>
        <w:pStyle w:val="TextBody"/>
        <w:bidi w:val="0"/>
        <w:spacing w:before="0" w:after="0"/>
        <w:jc w:val="left"/>
        <w:rPr/>
      </w:pPr>
      <w:r>
        <w:rPr/>
        <w:t xml:space="preserve">  </w:t>
      </w:r>
    </w:p>
    <w:tbl>
      <w:tblPr>
        <w:tblW w:w="10205" w:type="dxa"/>
        <w:jc w:val="left"/>
        <w:tblInd w:w="0" w:type="dxa"/>
        <w:tblLayout w:type="fixed"/>
        <w:tblCellMar>
          <w:top w:w="0" w:type="dxa"/>
          <w:left w:w="0" w:type="dxa"/>
          <w:bottom w:w="0" w:type="dxa"/>
          <w:right w:w="0" w:type="dxa"/>
        </w:tblCellMar>
      </w:tblPr>
      <w:tblGrid>
        <w:gridCol w:w="1217"/>
        <w:gridCol w:w="90"/>
        <w:gridCol w:w="170"/>
        <w:gridCol w:w="2178"/>
        <w:gridCol w:w="90"/>
        <w:gridCol w:w="90"/>
        <w:gridCol w:w="170"/>
        <w:gridCol w:w="1075"/>
        <w:gridCol w:w="90"/>
        <w:gridCol w:w="90"/>
        <w:gridCol w:w="170"/>
        <w:gridCol w:w="1108"/>
        <w:gridCol w:w="90"/>
        <w:gridCol w:w="90"/>
        <w:gridCol w:w="170"/>
        <w:gridCol w:w="1173"/>
        <w:gridCol w:w="90"/>
        <w:gridCol w:w="90"/>
        <w:gridCol w:w="170"/>
        <w:gridCol w:w="1655"/>
        <w:gridCol w:w="139"/>
      </w:tblGrid>
      <w:tr>
        <w:trPr/>
        <w:tc>
          <w:tcPr>
            <w:tcW w:w="1217"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2178"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07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108"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173"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655" w:type="dxa"/>
            <w:tcBorders/>
            <w:vAlign w:val="center"/>
          </w:tcPr>
          <w:p>
            <w:pPr>
              <w:pStyle w:val="TableContents"/>
              <w:bidi w:val="0"/>
              <w:spacing w:before="0" w:after="283"/>
              <w:jc w:val="left"/>
              <w:rPr/>
            </w:pPr>
            <w:r>
              <w:rPr/>
              <w:t> </w:t>
            </w:r>
          </w:p>
        </w:tc>
        <w:tc>
          <w:tcPr>
            <w:tcW w:w="139" w:type="dxa"/>
            <w:tcBorders/>
            <w:vAlign w:val="center"/>
          </w:tcPr>
          <w:p>
            <w:pPr>
              <w:pStyle w:val="TableContents"/>
              <w:bidi w:val="0"/>
              <w:spacing w:before="0" w:after="283"/>
              <w:jc w:val="left"/>
              <w:rPr/>
            </w:pPr>
            <w:r>
              <w:rPr/>
              <w:t> </w:t>
            </w:r>
          </w:p>
        </w:tc>
      </w:tr>
      <w:tr>
        <w:trPr/>
        <w:tc>
          <w:tcPr>
            <w:tcW w:w="1217"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r>
          </w:p>
        </w:tc>
        <w:tc>
          <w:tcPr>
            <w:tcW w:w="170" w:type="dxa"/>
            <w:tcBorders>
              <w:bottom w:val="single" w:sz="12" w:space="0" w:color="000000"/>
            </w:tcBorders>
            <w:tcMar>
              <w:bottom w:w="28" w:type="dxa"/>
            </w:tcMar>
            <w:vAlign w:val="center"/>
          </w:tcPr>
          <w:p>
            <w:pPr>
              <w:pStyle w:val="TableContents"/>
              <w:bidi w:val="0"/>
              <w:spacing w:before="0" w:after="283"/>
              <w:jc w:val="center"/>
              <w:rPr/>
            </w:pPr>
            <w:r>
              <w:rPr/>
              <w:t> </w:t>
            </w:r>
          </w:p>
        </w:tc>
        <w:tc>
          <w:tcPr>
            <w:tcW w:w="8589" w:type="dxa"/>
            <w:gridSpan w:val="17"/>
            <w:tcBorders>
              <w:bottom w:val="single" w:sz="12" w:space="0" w:color="000000"/>
            </w:tcBorders>
            <w:tcMar>
              <w:bottom w:w="28" w:type="dxa"/>
            </w:tcMar>
            <w:vAlign w:val="center"/>
          </w:tcPr>
          <w:p>
            <w:pPr>
              <w:pStyle w:val="TableContents"/>
              <w:bidi w:val="0"/>
              <w:spacing w:before="0" w:after="283"/>
              <w:jc w:val="center"/>
              <w:rPr/>
            </w:pPr>
            <w:r>
              <w:rPr>
                <w:b/>
                <w:spacing w:val="0"/>
              </w:rPr>
              <w:t>Three Months Ended March 31, 2025</w:t>
            </w:r>
            <w:r>
              <w:rPr/>
              <w:t xml:space="preserve"> </w:t>
            </w:r>
          </w:p>
        </w:tc>
        <w:tc>
          <w:tcPr>
            <w:tcW w:w="139" w:type="dxa"/>
            <w:tcBorders/>
            <w:vAlign w:val="center"/>
          </w:tcPr>
          <w:p>
            <w:pPr>
              <w:pStyle w:val="TableContents"/>
              <w:bidi w:val="0"/>
              <w:spacing w:before="0" w:after="283"/>
              <w:jc w:val="center"/>
              <w:rPr/>
            </w:pPr>
            <w:r>
              <w:rPr/>
              <w:t> </w:t>
            </w:r>
          </w:p>
        </w:tc>
      </w:tr>
      <w:tr>
        <w:trPr/>
        <w:tc>
          <w:tcPr>
            <w:tcW w:w="1217" w:type="dxa"/>
            <w:tcBorders/>
            <w:vAlign w:val="center"/>
          </w:tcPr>
          <w:p>
            <w:pPr>
              <w:pStyle w:val="TableContents"/>
              <w:bidi w:val="0"/>
              <w:spacing w:before="0" w:after="0"/>
              <w:ind w:left="0" w:right="0" w:hanging="144"/>
              <w:jc w:val="left"/>
              <w:rPr/>
            </w:pPr>
            <w:r>
              <w:rPr>
                <w:i/>
              </w:rPr>
              <w:t>(in thousands)</w:t>
            </w:r>
            <w:r>
              <w:rPr/>
              <w:t xml:space="preserve"> </w:t>
            </w:r>
          </w:p>
        </w:tc>
        <w:tc>
          <w:tcPr>
            <w:tcW w:w="90" w:type="dxa"/>
            <w:tcBorders/>
            <w:vAlign w:val="center"/>
          </w:tcPr>
          <w:p>
            <w:pPr>
              <w:pStyle w:val="TableContents"/>
              <w:bidi w:val="0"/>
              <w:spacing w:before="0" w:after="283"/>
              <w:jc w:val="center"/>
              <w:rPr/>
            </w:pPr>
            <w:r>
              <w:rPr/>
              <w:t> </w:t>
            </w:r>
          </w:p>
        </w:tc>
        <w:tc>
          <w:tcPr>
            <w:tcW w:w="170" w:type="dxa"/>
            <w:tcBorders>
              <w:bottom w:val="single" w:sz="12" w:space="0" w:color="000000"/>
            </w:tcBorders>
            <w:tcMar>
              <w:bottom w:w="28" w:type="dxa"/>
            </w:tcMar>
            <w:vAlign w:val="center"/>
          </w:tcPr>
          <w:p>
            <w:pPr>
              <w:pStyle w:val="TableContents"/>
              <w:bidi w:val="0"/>
              <w:spacing w:before="0" w:after="283"/>
              <w:jc w:val="center"/>
              <w:rPr/>
            </w:pPr>
            <w:r>
              <w:rPr/>
              <w:t> </w:t>
            </w:r>
          </w:p>
        </w:tc>
        <w:tc>
          <w:tcPr>
            <w:tcW w:w="2178" w:type="dxa"/>
            <w:tcBorders>
              <w:bottom w:val="single" w:sz="12" w:space="0" w:color="000000"/>
            </w:tcBorders>
            <w:tcMar>
              <w:bottom w:w="28" w:type="dxa"/>
            </w:tcMar>
            <w:vAlign w:val="center"/>
          </w:tcPr>
          <w:p>
            <w:pPr>
              <w:pStyle w:val="TableContents"/>
              <w:bidi w:val="0"/>
              <w:spacing w:before="0" w:after="283"/>
              <w:jc w:val="center"/>
              <w:rPr/>
            </w:pPr>
            <w:r>
              <w:rPr>
                <w:b/>
              </w:rPr>
              <w:t>ADMA BioManufacturing</w:t>
            </w:r>
            <w:r>
              <w:rPr/>
              <w:t xml:space="preserve"> </w:t>
            </w:r>
          </w:p>
        </w:tc>
        <w:tc>
          <w:tcPr>
            <w:tcW w:w="9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70" w:type="dxa"/>
            <w:tcBorders>
              <w:bottom w:val="single" w:sz="12" w:space="0" w:color="000000"/>
            </w:tcBorders>
            <w:tcMar>
              <w:bottom w:w="28" w:type="dxa"/>
            </w:tcMar>
            <w:vAlign w:val="center"/>
          </w:tcPr>
          <w:p>
            <w:pPr>
              <w:pStyle w:val="TableContents"/>
              <w:bidi w:val="0"/>
              <w:spacing w:before="0" w:after="283"/>
              <w:jc w:val="center"/>
              <w:rPr/>
            </w:pPr>
            <w:r>
              <w:rPr/>
              <w:t> </w:t>
            </w:r>
          </w:p>
        </w:tc>
        <w:tc>
          <w:tcPr>
            <w:tcW w:w="1075" w:type="dxa"/>
            <w:tcBorders>
              <w:bottom w:val="single" w:sz="12" w:space="0" w:color="000000"/>
            </w:tcBorders>
            <w:tcMar>
              <w:bottom w:w="28" w:type="dxa"/>
            </w:tcMar>
            <w:vAlign w:val="center"/>
          </w:tcPr>
          <w:p>
            <w:pPr>
              <w:pStyle w:val="TableContents"/>
              <w:bidi w:val="0"/>
              <w:spacing w:before="0" w:after="283"/>
              <w:jc w:val="center"/>
              <w:rPr/>
            </w:pPr>
            <w:r>
              <w:rPr>
                <w:b/>
              </w:rPr>
              <w:t>Plasma Centers</w:t>
            </w:r>
            <w:r>
              <w:rPr/>
              <w:t xml:space="preserve"> </w:t>
            </w:r>
          </w:p>
        </w:tc>
        <w:tc>
          <w:tcPr>
            <w:tcW w:w="9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70" w:type="dxa"/>
            <w:tcBorders>
              <w:bottom w:val="single" w:sz="12" w:space="0" w:color="000000"/>
            </w:tcBorders>
            <w:tcMar>
              <w:bottom w:w="28" w:type="dxa"/>
            </w:tcMar>
            <w:vAlign w:val="center"/>
          </w:tcPr>
          <w:p>
            <w:pPr>
              <w:pStyle w:val="TableContents"/>
              <w:bidi w:val="0"/>
              <w:spacing w:before="0" w:after="283"/>
              <w:jc w:val="center"/>
              <w:rPr/>
            </w:pPr>
            <w:r>
              <w:rPr/>
              <w:t> </w:t>
            </w:r>
          </w:p>
        </w:tc>
        <w:tc>
          <w:tcPr>
            <w:tcW w:w="1108" w:type="dxa"/>
            <w:tcBorders>
              <w:bottom w:val="single" w:sz="12" w:space="0" w:color="000000"/>
            </w:tcBorders>
            <w:tcMar>
              <w:bottom w:w="28" w:type="dxa"/>
            </w:tcMar>
            <w:vAlign w:val="center"/>
          </w:tcPr>
          <w:p>
            <w:pPr>
              <w:pStyle w:val="TableContents"/>
              <w:bidi w:val="0"/>
              <w:spacing w:before="0" w:after="283"/>
              <w:jc w:val="center"/>
              <w:rPr/>
            </w:pPr>
            <w:r>
              <w:rPr>
                <w:b/>
              </w:rPr>
              <w:t xml:space="preserve">Total Segment </w:t>
              <w:br/>
              <w:t>Revenue</w:t>
            </w:r>
            <w:r>
              <w:rPr/>
              <w:t xml:space="preserve"> </w:t>
            </w:r>
          </w:p>
        </w:tc>
        <w:tc>
          <w:tcPr>
            <w:tcW w:w="9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70" w:type="dxa"/>
            <w:tcBorders>
              <w:bottom w:val="single" w:sz="12" w:space="0" w:color="000000"/>
            </w:tcBorders>
            <w:tcMar>
              <w:bottom w:w="28" w:type="dxa"/>
            </w:tcMar>
            <w:vAlign w:val="center"/>
          </w:tcPr>
          <w:p>
            <w:pPr>
              <w:pStyle w:val="TableContents"/>
              <w:bidi w:val="0"/>
              <w:spacing w:before="0" w:after="283"/>
              <w:jc w:val="center"/>
              <w:rPr/>
            </w:pPr>
            <w:r>
              <w:rPr/>
              <w:t> </w:t>
            </w:r>
          </w:p>
        </w:tc>
        <w:tc>
          <w:tcPr>
            <w:tcW w:w="1173" w:type="dxa"/>
            <w:tcBorders>
              <w:bottom w:val="single" w:sz="12" w:space="0" w:color="000000"/>
            </w:tcBorders>
            <w:tcMar>
              <w:bottom w:w="28" w:type="dxa"/>
            </w:tcMar>
            <w:vAlign w:val="center"/>
          </w:tcPr>
          <w:p>
            <w:pPr>
              <w:pStyle w:val="TableContents"/>
              <w:bidi w:val="0"/>
              <w:spacing w:before="0" w:after="283"/>
              <w:jc w:val="center"/>
              <w:rPr/>
            </w:pPr>
            <w:r>
              <w:rPr>
                <w:b/>
              </w:rPr>
              <w:t>License Revenue</w:t>
            </w:r>
            <w:r>
              <w:rPr/>
              <w:t xml:space="preserve"> </w:t>
            </w:r>
          </w:p>
        </w:tc>
        <w:tc>
          <w:tcPr>
            <w:tcW w:w="9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70" w:type="dxa"/>
            <w:tcBorders>
              <w:bottom w:val="single" w:sz="12" w:space="0" w:color="000000"/>
            </w:tcBorders>
            <w:tcMar>
              <w:bottom w:w="28" w:type="dxa"/>
            </w:tcMar>
            <w:vAlign w:val="center"/>
          </w:tcPr>
          <w:p>
            <w:pPr>
              <w:pStyle w:val="TableContents"/>
              <w:bidi w:val="0"/>
              <w:spacing w:before="0" w:after="283"/>
              <w:jc w:val="center"/>
              <w:rPr/>
            </w:pPr>
            <w:r>
              <w:rPr/>
              <w:t> </w:t>
            </w:r>
          </w:p>
        </w:tc>
        <w:tc>
          <w:tcPr>
            <w:tcW w:w="1655" w:type="dxa"/>
            <w:tcBorders>
              <w:bottom w:val="single" w:sz="12" w:space="0" w:color="000000"/>
            </w:tcBorders>
            <w:tcMar>
              <w:bottom w:w="28" w:type="dxa"/>
            </w:tcMar>
            <w:vAlign w:val="center"/>
          </w:tcPr>
          <w:p>
            <w:pPr>
              <w:pStyle w:val="TableContents"/>
              <w:bidi w:val="0"/>
              <w:spacing w:before="0" w:after="283"/>
              <w:jc w:val="center"/>
              <w:rPr/>
            </w:pPr>
            <w:r>
              <w:rPr>
                <w:b/>
              </w:rPr>
              <w:t>Consolidated Revenue</w:t>
            </w:r>
            <w:r>
              <w:rPr/>
              <w:t xml:space="preserve"> </w:t>
            </w:r>
          </w:p>
        </w:tc>
        <w:tc>
          <w:tcPr>
            <w:tcW w:w="139" w:type="dxa"/>
            <w:tcBorders/>
            <w:vAlign w:val="center"/>
          </w:tcPr>
          <w:p>
            <w:pPr>
              <w:pStyle w:val="TableContents"/>
              <w:bidi w:val="0"/>
              <w:spacing w:before="0" w:after="283"/>
              <w:jc w:val="center"/>
              <w:rPr/>
            </w:pPr>
            <w:r>
              <w:rPr/>
              <w:t> </w:t>
            </w:r>
          </w:p>
        </w:tc>
      </w:tr>
      <w:tr>
        <w:trPr/>
        <w:tc>
          <w:tcPr>
            <w:tcW w:w="1217" w:type="dxa"/>
            <w:tcBorders/>
            <w:shd w:fill="CCEEFF" w:val="clear"/>
            <w:vAlign w:val="center"/>
          </w:tcPr>
          <w:p>
            <w:pPr>
              <w:pStyle w:val="TableContents"/>
              <w:bidi w:val="0"/>
              <w:spacing w:before="0" w:after="0"/>
              <w:ind w:left="0" w:right="0" w:hanging="144"/>
              <w:jc w:val="left"/>
              <w:rPr/>
            </w:pPr>
            <w:r>
              <w:rPr/>
              <w:t xml:space="preserve">United States </w:t>
            </w:r>
          </w:p>
        </w:tc>
        <w:tc>
          <w:tcPr>
            <w:tcW w:w="90"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w:t>
            </w:r>
          </w:p>
        </w:tc>
        <w:tc>
          <w:tcPr>
            <w:tcW w:w="2178" w:type="dxa"/>
            <w:tcBorders/>
            <w:shd w:fill="CCEEFF" w:val="clear"/>
            <w:vAlign w:val="center"/>
          </w:tcPr>
          <w:p>
            <w:pPr>
              <w:pStyle w:val="TableContents"/>
              <w:bidi w:val="0"/>
              <w:spacing w:before="0" w:after="283"/>
              <w:jc w:val="right"/>
              <w:rPr/>
            </w:pPr>
            <w:r>
              <w:rPr/>
              <w:t>110,609</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w:t>
            </w:r>
          </w:p>
        </w:tc>
        <w:tc>
          <w:tcPr>
            <w:tcW w:w="1075" w:type="dxa"/>
            <w:tcBorders/>
            <w:shd w:fill="CCEEFF" w:val="clear"/>
            <w:vAlign w:val="center"/>
          </w:tcPr>
          <w:p>
            <w:pPr>
              <w:pStyle w:val="TableContents"/>
              <w:bidi w:val="0"/>
              <w:spacing w:before="0" w:after="283"/>
              <w:jc w:val="right"/>
              <w:rPr/>
            </w:pPr>
            <w:r>
              <w:rPr/>
              <w:t>85</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w:t>
            </w:r>
          </w:p>
        </w:tc>
        <w:tc>
          <w:tcPr>
            <w:tcW w:w="1108" w:type="dxa"/>
            <w:tcBorders/>
            <w:shd w:fill="CCEEFF" w:val="clear"/>
            <w:vAlign w:val="center"/>
          </w:tcPr>
          <w:p>
            <w:pPr>
              <w:pStyle w:val="TableContents"/>
              <w:bidi w:val="0"/>
              <w:spacing w:before="0" w:after="283"/>
              <w:jc w:val="right"/>
              <w:rPr/>
            </w:pPr>
            <w:r>
              <w:rPr/>
              <w:t>110,694</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w:t>
            </w:r>
          </w:p>
        </w:tc>
        <w:tc>
          <w:tcPr>
            <w:tcW w:w="1173" w:type="dxa"/>
            <w:tcBorders/>
            <w:shd w:fill="CCEEFF" w:val="clear"/>
            <w:vAlign w:val="center"/>
          </w:tcPr>
          <w:p>
            <w:pPr>
              <w:pStyle w:val="TableContents"/>
              <w:bidi w:val="0"/>
              <w:spacing w:before="0" w:after="283"/>
              <w:jc w:val="right"/>
              <w:rPr/>
            </w:pPr>
            <w:r>
              <w:rPr/>
              <w:t>36</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w:t>
            </w:r>
          </w:p>
        </w:tc>
        <w:tc>
          <w:tcPr>
            <w:tcW w:w="1655" w:type="dxa"/>
            <w:tcBorders/>
            <w:shd w:fill="CCEEFF" w:val="clear"/>
            <w:vAlign w:val="center"/>
          </w:tcPr>
          <w:p>
            <w:pPr>
              <w:pStyle w:val="TableContents"/>
              <w:bidi w:val="0"/>
              <w:spacing w:before="0" w:after="283"/>
              <w:jc w:val="right"/>
              <w:rPr/>
            </w:pPr>
            <w:r>
              <w:rPr/>
              <w:t>110,730</w:t>
            </w:r>
          </w:p>
        </w:tc>
        <w:tc>
          <w:tcPr>
            <w:tcW w:w="139" w:type="dxa"/>
            <w:tcBorders/>
            <w:shd w:fill="CCEEFF" w:val="clear"/>
            <w:vAlign w:val="center"/>
          </w:tcPr>
          <w:p>
            <w:pPr>
              <w:pStyle w:val="TableContents"/>
              <w:bidi w:val="0"/>
              <w:spacing w:before="0" w:after="283"/>
              <w:jc w:val="left"/>
              <w:rPr/>
            </w:pPr>
            <w:r>
              <w:rPr/>
              <w:t> </w:t>
            </w:r>
          </w:p>
        </w:tc>
      </w:tr>
      <w:tr>
        <w:trPr/>
        <w:tc>
          <w:tcPr>
            <w:tcW w:w="1217" w:type="dxa"/>
            <w:tcBorders/>
            <w:vAlign w:val="center"/>
          </w:tcPr>
          <w:p>
            <w:pPr>
              <w:pStyle w:val="TableContents"/>
              <w:bidi w:val="0"/>
              <w:spacing w:before="0" w:after="0"/>
              <w:ind w:left="0" w:right="0" w:hanging="144"/>
              <w:jc w:val="left"/>
              <w:rPr/>
            </w:pPr>
            <w:r>
              <w:rPr/>
              <w:t xml:space="preserve">International </w:t>
            </w:r>
          </w:p>
        </w:tc>
        <w:tc>
          <w:tcPr>
            <w:tcW w:w="90" w:type="dxa"/>
            <w:tcBorders/>
            <w:vAlign w:val="center"/>
          </w:tcPr>
          <w:p>
            <w:pPr>
              <w:pStyle w:val="TableContents"/>
              <w:bidi w:val="0"/>
              <w:spacing w:before="0" w:after="283"/>
              <w:jc w:val="righ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2178" w:type="dxa"/>
            <w:tcBorders>
              <w:bottom w:val="single" w:sz="12" w:space="0" w:color="000000"/>
            </w:tcBorders>
            <w:tcMar>
              <w:bottom w:w="28" w:type="dxa"/>
            </w:tcMar>
            <w:vAlign w:val="center"/>
          </w:tcPr>
          <w:p>
            <w:pPr>
              <w:pStyle w:val="TableContents"/>
              <w:bidi w:val="0"/>
              <w:spacing w:before="0" w:after="283"/>
              <w:jc w:val="right"/>
              <w:rPr/>
            </w:pPr>
            <w:r>
              <w:rPr/>
              <w:t>3,107</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righ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1075" w:type="dxa"/>
            <w:tcBorders>
              <w:bottom w:val="single" w:sz="12" w:space="0" w:color="000000"/>
            </w:tcBorders>
            <w:tcMar>
              <w:bottom w:w="28" w:type="dxa"/>
            </w:tcMar>
            <w:vAlign w:val="center"/>
          </w:tcPr>
          <w:p>
            <w:pPr>
              <w:pStyle w:val="TableContents"/>
              <w:bidi w:val="0"/>
              <w:spacing w:before="0" w:after="283"/>
              <w:jc w:val="right"/>
              <w:rPr/>
            </w:pPr>
            <w:r>
              <w:rPr/>
              <w:t>965</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righ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1108" w:type="dxa"/>
            <w:tcBorders>
              <w:bottom w:val="single" w:sz="12" w:space="0" w:color="000000"/>
            </w:tcBorders>
            <w:tcMar>
              <w:bottom w:w="28" w:type="dxa"/>
            </w:tcMar>
            <w:vAlign w:val="center"/>
          </w:tcPr>
          <w:p>
            <w:pPr>
              <w:pStyle w:val="TableContents"/>
              <w:bidi w:val="0"/>
              <w:spacing w:before="0" w:after="283"/>
              <w:jc w:val="right"/>
              <w:rPr/>
            </w:pPr>
            <w:r>
              <w:rPr/>
              <w:t>4,072</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righ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1173" w:type="dxa"/>
            <w:tcBorders>
              <w:bottom w:val="single" w:sz="12" w:space="0" w:color="000000"/>
            </w:tcBorders>
            <w:tcMar>
              <w:bottom w:w="28" w:type="dxa"/>
            </w:tcMar>
            <w:vAlign w:val="center"/>
          </w:tcPr>
          <w:p>
            <w:pPr>
              <w:pStyle w:val="TableContents"/>
              <w:bidi w:val="0"/>
              <w:spacing w:before="0" w:after="283"/>
              <w:jc w:val="right"/>
              <w:rPr/>
            </w:pPr>
            <w:r>
              <w:rPr/>
              <w:t xml:space="preserve">-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righ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1655" w:type="dxa"/>
            <w:tcBorders>
              <w:bottom w:val="single" w:sz="12" w:space="0" w:color="000000"/>
            </w:tcBorders>
            <w:tcMar>
              <w:bottom w:w="28" w:type="dxa"/>
            </w:tcMar>
            <w:vAlign w:val="center"/>
          </w:tcPr>
          <w:p>
            <w:pPr>
              <w:pStyle w:val="TableContents"/>
              <w:bidi w:val="0"/>
              <w:spacing w:before="0" w:after="283"/>
              <w:jc w:val="right"/>
              <w:rPr/>
            </w:pPr>
            <w:r>
              <w:rPr/>
              <w:t>4,072</w:t>
            </w:r>
          </w:p>
        </w:tc>
        <w:tc>
          <w:tcPr>
            <w:tcW w:w="139" w:type="dxa"/>
            <w:tcBorders/>
            <w:vAlign w:val="center"/>
          </w:tcPr>
          <w:p>
            <w:pPr>
              <w:pStyle w:val="TableContents"/>
              <w:bidi w:val="0"/>
              <w:spacing w:before="0" w:after="283"/>
              <w:jc w:val="left"/>
              <w:rPr/>
            </w:pPr>
            <w:r>
              <w:rPr/>
              <w:t> </w:t>
            </w:r>
          </w:p>
        </w:tc>
      </w:tr>
      <w:tr>
        <w:trPr/>
        <w:tc>
          <w:tcPr>
            <w:tcW w:w="1217" w:type="dxa"/>
            <w:tcBorders/>
            <w:shd w:fill="CCEEFF" w:val="clear"/>
            <w:vAlign w:val="center"/>
          </w:tcPr>
          <w:p>
            <w:pPr>
              <w:pStyle w:val="TableContents"/>
              <w:bidi w:val="0"/>
              <w:spacing w:before="0" w:after="0"/>
              <w:jc w:val="left"/>
              <w:rPr/>
            </w:pPr>
            <w:r>
              <w:rPr/>
              <w:t xml:space="preserve">Total revenues </w:t>
            </w:r>
          </w:p>
        </w:tc>
        <w:tc>
          <w:tcPr>
            <w:tcW w:w="90" w:type="dxa"/>
            <w:tcBorders/>
            <w:shd w:fill="CCEEFF" w:val="clear"/>
            <w:vAlign w:val="center"/>
          </w:tcPr>
          <w:p>
            <w:pPr>
              <w:pStyle w:val="TableContents"/>
              <w:bidi w:val="0"/>
              <w:spacing w:before="0" w:after="283"/>
              <w:jc w:val="righ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w:t>
            </w:r>
          </w:p>
        </w:tc>
        <w:tc>
          <w:tcPr>
            <w:tcW w:w="2178" w:type="dxa"/>
            <w:tcBorders>
              <w:bottom w:val="single" w:sz="12" w:space="0" w:color="000000"/>
            </w:tcBorders>
            <w:shd w:fill="CCEEFF" w:val="clear"/>
            <w:tcMar>
              <w:bottom w:w="28" w:type="dxa"/>
            </w:tcMar>
            <w:vAlign w:val="center"/>
          </w:tcPr>
          <w:p>
            <w:pPr>
              <w:pStyle w:val="TableContents"/>
              <w:bidi w:val="0"/>
              <w:spacing w:before="0" w:after="283"/>
              <w:jc w:val="right"/>
              <w:rPr/>
            </w:pPr>
            <w:r>
              <w:rPr/>
              <w:t>113,716</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righ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w:t>
            </w:r>
          </w:p>
        </w:tc>
        <w:tc>
          <w:tcPr>
            <w:tcW w:w="1075" w:type="dxa"/>
            <w:tcBorders>
              <w:bottom w:val="single" w:sz="12" w:space="0" w:color="000000"/>
            </w:tcBorders>
            <w:shd w:fill="CCEEFF" w:val="clear"/>
            <w:tcMar>
              <w:bottom w:w="28" w:type="dxa"/>
            </w:tcMar>
            <w:vAlign w:val="center"/>
          </w:tcPr>
          <w:p>
            <w:pPr>
              <w:pStyle w:val="TableContents"/>
              <w:bidi w:val="0"/>
              <w:spacing w:before="0" w:after="283"/>
              <w:jc w:val="right"/>
              <w:rPr/>
            </w:pPr>
            <w:r>
              <w:rPr/>
              <w:t>1,050</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righ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w:t>
            </w:r>
          </w:p>
        </w:tc>
        <w:tc>
          <w:tcPr>
            <w:tcW w:w="1108" w:type="dxa"/>
            <w:tcBorders>
              <w:bottom w:val="single" w:sz="12" w:space="0" w:color="000000"/>
            </w:tcBorders>
            <w:shd w:fill="CCEEFF" w:val="clear"/>
            <w:tcMar>
              <w:bottom w:w="28" w:type="dxa"/>
            </w:tcMar>
            <w:vAlign w:val="center"/>
          </w:tcPr>
          <w:p>
            <w:pPr>
              <w:pStyle w:val="TableContents"/>
              <w:bidi w:val="0"/>
              <w:spacing w:before="0" w:after="283"/>
              <w:jc w:val="right"/>
              <w:rPr/>
            </w:pPr>
            <w:r>
              <w:rPr/>
              <w:t>114,766</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righ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w:t>
            </w:r>
          </w:p>
        </w:tc>
        <w:tc>
          <w:tcPr>
            <w:tcW w:w="1173" w:type="dxa"/>
            <w:tcBorders>
              <w:bottom w:val="single" w:sz="12" w:space="0" w:color="000000"/>
            </w:tcBorders>
            <w:shd w:fill="CCEEFF" w:val="clear"/>
            <w:tcMar>
              <w:bottom w:w="28" w:type="dxa"/>
            </w:tcMar>
            <w:vAlign w:val="center"/>
          </w:tcPr>
          <w:p>
            <w:pPr>
              <w:pStyle w:val="TableContents"/>
              <w:bidi w:val="0"/>
              <w:spacing w:before="0" w:after="283"/>
              <w:jc w:val="right"/>
              <w:rPr/>
            </w:pPr>
            <w:r>
              <w:rPr/>
              <w:t>36</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righ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w:t>
            </w:r>
          </w:p>
        </w:tc>
        <w:tc>
          <w:tcPr>
            <w:tcW w:w="1655" w:type="dxa"/>
            <w:tcBorders>
              <w:bottom w:val="single" w:sz="12" w:space="0" w:color="000000"/>
            </w:tcBorders>
            <w:shd w:fill="CCEEFF" w:val="clear"/>
            <w:tcMar>
              <w:bottom w:w="28" w:type="dxa"/>
            </w:tcMar>
            <w:vAlign w:val="center"/>
          </w:tcPr>
          <w:p>
            <w:pPr>
              <w:pStyle w:val="TableContents"/>
              <w:bidi w:val="0"/>
              <w:spacing w:before="0" w:after="283"/>
              <w:jc w:val="right"/>
              <w:rPr/>
            </w:pPr>
            <w:r>
              <w:rPr/>
              <w:t>114,802</w:t>
            </w:r>
          </w:p>
        </w:tc>
        <w:tc>
          <w:tcPr>
            <w:tcW w:w="139"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r>
    </w:tbl>
    <w:p>
      <w:pPr>
        <w:pStyle w:val="TextBody"/>
        <w:bidi w:val="0"/>
        <w:spacing w:before="0" w:after="0"/>
        <w:jc w:val="left"/>
        <w:rPr/>
      </w:pPr>
      <w:r>
        <w:rPr/>
        <w:t xml:space="preserve">  </w:t>
      </w:r>
    </w:p>
    <w:p>
      <w:pPr>
        <w:pStyle w:val="TextBody"/>
        <w:bidi w:val="0"/>
        <w:spacing w:before="0" w:after="0"/>
        <w:ind w:left="0" w:right="0" w:firstLine="720"/>
        <w:jc w:val="left"/>
        <w:rPr>
          <w:rFonts w:ascii="Times New Roman" w:hAnsi="Times New Roman"/>
          <w:sz w:val="20"/>
        </w:rPr>
      </w:pPr>
      <w:r>
        <w:rPr>
          <w:rFonts w:ascii="Times New Roman" w:hAnsi="Times New Roman"/>
          <w:sz w:val="20"/>
        </w:rPr>
        <w:t xml:space="preserve">Net revenues, disaggregated by product, are as follows: </w:t>
      </w:r>
    </w:p>
    <w:p>
      <w:pPr>
        <w:pStyle w:val="TextBody"/>
        <w:bidi w:val="0"/>
        <w:spacing w:before="0" w:after="0"/>
        <w:jc w:val="left"/>
        <w:rPr/>
      </w:pPr>
      <w:r>
        <w:rPr/>
        <w:t> </w:t>
      </w:r>
    </w:p>
    <w:tbl>
      <w:tblPr>
        <w:tblW w:w="9360" w:type="dxa"/>
        <w:jc w:val="left"/>
        <w:tblInd w:w="0" w:type="dxa"/>
        <w:tblLayout w:type="fixed"/>
        <w:tblCellMar>
          <w:top w:w="0" w:type="dxa"/>
          <w:left w:w="0" w:type="dxa"/>
          <w:bottom w:w="0" w:type="dxa"/>
          <w:right w:w="0" w:type="dxa"/>
        </w:tblCellMar>
      </w:tblPr>
      <w:tblGrid>
        <w:gridCol w:w="3919"/>
        <w:gridCol w:w="134"/>
        <w:gridCol w:w="397"/>
        <w:gridCol w:w="1945"/>
        <w:gridCol w:w="209"/>
        <w:gridCol w:w="209"/>
        <w:gridCol w:w="397"/>
        <w:gridCol w:w="1945"/>
        <w:gridCol w:w="205"/>
      </w:tblGrid>
      <w:tr>
        <w:trPr/>
        <w:tc>
          <w:tcPr>
            <w:tcW w:w="3919" w:type="dxa"/>
            <w:tcBorders/>
            <w:vAlign w:val="bottom"/>
          </w:tcPr>
          <w:p>
            <w:pPr>
              <w:pStyle w:val="TableContents"/>
              <w:bidi w:val="0"/>
              <w:spacing w:before="0" w:after="283"/>
              <w:jc w:val="left"/>
              <w:rPr/>
            </w:pPr>
            <w:r>
              <w:rPr/>
              <w:t> </w:t>
            </w:r>
          </w:p>
        </w:tc>
        <w:tc>
          <w:tcPr>
            <w:tcW w:w="134" w:type="dxa"/>
            <w:tcBorders/>
            <w:vAlign w:val="bottom"/>
          </w:tcPr>
          <w:p>
            <w:pPr>
              <w:pStyle w:val="TableContents"/>
              <w:bidi w:val="0"/>
              <w:spacing w:before="0" w:after="283"/>
              <w:jc w:val="center"/>
              <w:rPr/>
            </w:pPr>
            <w:r>
              <w:rPr/>
              <w:t> </w:t>
            </w:r>
          </w:p>
        </w:tc>
        <w:tc>
          <w:tcPr>
            <w:tcW w:w="5102" w:type="dxa"/>
            <w:gridSpan w:val="6"/>
            <w:tcBorders>
              <w:bottom w:val="single" w:sz="12" w:space="0" w:color="000000"/>
            </w:tcBorders>
            <w:tcMar>
              <w:bottom w:w="28" w:type="dxa"/>
            </w:tcMar>
            <w:vAlign w:val="bottom"/>
          </w:tcPr>
          <w:p>
            <w:pPr>
              <w:pStyle w:val="TableContents"/>
              <w:bidi w:val="0"/>
              <w:spacing w:before="0" w:after="283"/>
              <w:jc w:val="center"/>
              <w:rPr/>
            </w:pPr>
            <w:r>
              <w:rPr>
                <w:b/>
                <w:spacing w:val="0"/>
              </w:rPr>
              <w:t>Three Months Ended March 31,</w:t>
            </w:r>
            <w:r>
              <w:rPr/>
              <w:t xml:space="preserve"> </w:t>
            </w:r>
          </w:p>
        </w:tc>
        <w:tc>
          <w:tcPr>
            <w:tcW w:w="205" w:type="dxa"/>
            <w:tcBorders/>
          </w:tcPr>
          <w:p>
            <w:pPr>
              <w:pStyle w:val="TableContents"/>
              <w:bidi w:val="0"/>
              <w:spacing w:before="0" w:after="283"/>
              <w:jc w:val="left"/>
              <w:rPr/>
            </w:pPr>
            <w:r>
              <w:rPr/>
              <w:t> </w:t>
            </w:r>
          </w:p>
        </w:tc>
      </w:tr>
      <w:tr>
        <w:trPr/>
        <w:tc>
          <w:tcPr>
            <w:tcW w:w="3919" w:type="dxa"/>
            <w:tcBorders/>
            <w:vAlign w:val="bottom"/>
          </w:tcPr>
          <w:p>
            <w:pPr>
              <w:pStyle w:val="TableContents"/>
              <w:bidi w:val="0"/>
              <w:spacing w:before="0" w:after="283"/>
              <w:jc w:val="left"/>
              <w:rPr/>
            </w:pPr>
            <w:r>
              <w:rPr/>
              <w:t> </w:t>
            </w:r>
          </w:p>
        </w:tc>
        <w:tc>
          <w:tcPr>
            <w:tcW w:w="134" w:type="dxa"/>
            <w:tcBorders/>
            <w:vAlign w:val="bottom"/>
          </w:tcPr>
          <w:p>
            <w:pPr>
              <w:pStyle w:val="TableContents"/>
              <w:bidi w:val="0"/>
              <w:spacing w:before="0" w:after="283"/>
              <w:jc w:val="center"/>
              <w:rPr/>
            </w:pPr>
            <w:r>
              <w:rPr/>
              <w:t> </w:t>
            </w:r>
          </w:p>
        </w:tc>
        <w:tc>
          <w:tcPr>
            <w:tcW w:w="397" w:type="dxa"/>
            <w:tcBorders>
              <w:bottom w:val="single" w:sz="12" w:space="0" w:color="000000"/>
            </w:tcBorders>
            <w:tcMar>
              <w:bottom w:w="28" w:type="dxa"/>
            </w:tcMar>
            <w:vAlign w:val="bottom"/>
          </w:tcPr>
          <w:p>
            <w:pPr>
              <w:pStyle w:val="TableContents"/>
              <w:bidi w:val="0"/>
              <w:spacing w:before="0" w:after="283"/>
              <w:jc w:val="center"/>
              <w:rPr/>
            </w:pPr>
            <w:r>
              <w:rPr/>
              <w:t> </w:t>
            </w:r>
          </w:p>
        </w:tc>
        <w:tc>
          <w:tcPr>
            <w:tcW w:w="1945" w:type="dxa"/>
            <w:tcBorders>
              <w:bottom w:val="single" w:sz="12" w:space="0" w:color="000000"/>
            </w:tcBorders>
            <w:tcMar>
              <w:bottom w:w="28" w:type="dxa"/>
            </w:tcMar>
            <w:vAlign w:val="bottom"/>
          </w:tcPr>
          <w:p>
            <w:pPr>
              <w:pStyle w:val="TableContents"/>
              <w:bidi w:val="0"/>
              <w:spacing w:before="0" w:after="0"/>
              <w:ind w:left="0" w:right="0" w:hanging="0"/>
              <w:jc w:val="center"/>
              <w:rPr>
                <w:b/>
              </w:rPr>
            </w:pPr>
            <w:r>
              <w:rPr>
                <w:b/>
              </w:rPr>
              <w:t>2026</w:t>
            </w:r>
          </w:p>
        </w:tc>
        <w:tc>
          <w:tcPr>
            <w:tcW w:w="209" w:type="dxa"/>
            <w:tcBorders/>
            <w:vAlign w:val="bottom"/>
          </w:tcPr>
          <w:p>
            <w:pPr>
              <w:pStyle w:val="TableContents"/>
              <w:bidi w:val="0"/>
              <w:spacing w:before="0" w:after="283"/>
              <w:jc w:val="center"/>
              <w:rPr/>
            </w:pPr>
            <w:r>
              <w:rPr/>
              <w:t> </w:t>
            </w:r>
          </w:p>
        </w:tc>
        <w:tc>
          <w:tcPr>
            <w:tcW w:w="209" w:type="dxa"/>
            <w:tcBorders/>
            <w:vAlign w:val="bottom"/>
          </w:tcPr>
          <w:p>
            <w:pPr>
              <w:pStyle w:val="TableContents"/>
              <w:bidi w:val="0"/>
              <w:spacing w:before="0" w:after="283"/>
              <w:jc w:val="center"/>
              <w:rPr/>
            </w:pPr>
            <w:r>
              <w:rPr/>
              <w:t> </w:t>
            </w:r>
          </w:p>
        </w:tc>
        <w:tc>
          <w:tcPr>
            <w:tcW w:w="397" w:type="dxa"/>
            <w:tcBorders>
              <w:bottom w:val="single" w:sz="12" w:space="0" w:color="000000"/>
            </w:tcBorders>
            <w:tcMar>
              <w:bottom w:w="28" w:type="dxa"/>
            </w:tcMar>
            <w:vAlign w:val="bottom"/>
          </w:tcPr>
          <w:p>
            <w:pPr>
              <w:pStyle w:val="TableContents"/>
              <w:bidi w:val="0"/>
              <w:spacing w:before="0" w:after="283"/>
              <w:jc w:val="center"/>
              <w:rPr/>
            </w:pPr>
            <w:r>
              <w:rPr/>
              <w:t> </w:t>
            </w:r>
          </w:p>
        </w:tc>
        <w:tc>
          <w:tcPr>
            <w:tcW w:w="1945" w:type="dxa"/>
            <w:tcBorders>
              <w:bottom w:val="single" w:sz="12" w:space="0" w:color="000000"/>
            </w:tcBorders>
            <w:tcMar>
              <w:bottom w:w="28" w:type="dxa"/>
            </w:tcMar>
            <w:vAlign w:val="bottom"/>
          </w:tcPr>
          <w:p>
            <w:pPr>
              <w:pStyle w:val="TableContents"/>
              <w:bidi w:val="0"/>
              <w:spacing w:before="0" w:after="0"/>
              <w:ind w:left="0" w:right="0" w:hanging="0"/>
              <w:jc w:val="center"/>
              <w:rPr>
                <w:b/>
              </w:rPr>
            </w:pPr>
            <w:r>
              <w:rPr>
                <w:b/>
              </w:rPr>
              <w:t>2025</w:t>
            </w:r>
          </w:p>
        </w:tc>
        <w:tc>
          <w:tcPr>
            <w:tcW w:w="205" w:type="dxa"/>
            <w:tcBorders/>
          </w:tcPr>
          <w:p>
            <w:pPr>
              <w:pStyle w:val="TableContents"/>
              <w:bidi w:val="0"/>
              <w:spacing w:before="0" w:after="283"/>
              <w:jc w:val="left"/>
              <w:rPr/>
            </w:pPr>
            <w:r>
              <w:rPr/>
              <w:t> </w:t>
            </w:r>
          </w:p>
        </w:tc>
      </w:tr>
      <w:tr>
        <w:trPr/>
        <w:tc>
          <w:tcPr>
            <w:tcW w:w="3919" w:type="dxa"/>
            <w:tcBorders/>
            <w:vAlign w:val="bottom"/>
          </w:tcPr>
          <w:p>
            <w:pPr>
              <w:pStyle w:val="TableContents"/>
              <w:bidi w:val="0"/>
              <w:spacing w:before="0" w:after="0"/>
              <w:jc w:val="left"/>
              <w:rPr>
                <w:i/>
              </w:rPr>
            </w:pPr>
            <w:r>
              <w:rPr>
                <w:i/>
              </w:rPr>
              <w:t>(in thousands)</w:t>
            </w:r>
          </w:p>
        </w:tc>
        <w:tc>
          <w:tcPr>
            <w:tcW w:w="134" w:type="dxa"/>
            <w:tcBorders/>
            <w:vAlign w:val="bottom"/>
          </w:tcPr>
          <w:p>
            <w:pPr>
              <w:pStyle w:val="TableContents"/>
              <w:bidi w:val="0"/>
              <w:spacing w:before="0" w:after="283"/>
              <w:jc w:val="left"/>
              <w:rPr/>
            </w:pPr>
            <w:r>
              <w:rPr/>
              <w:t> </w:t>
            </w:r>
          </w:p>
        </w:tc>
        <w:tc>
          <w:tcPr>
            <w:tcW w:w="397" w:type="dxa"/>
            <w:tcBorders/>
            <w:vAlign w:val="bottom"/>
          </w:tcPr>
          <w:p>
            <w:pPr>
              <w:pStyle w:val="TableContents"/>
              <w:bidi w:val="0"/>
              <w:spacing w:before="0" w:after="283"/>
              <w:jc w:val="left"/>
              <w:rPr/>
            </w:pPr>
            <w:r>
              <w:rPr/>
              <w:t> </w:t>
            </w:r>
          </w:p>
        </w:tc>
        <w:tc>
          <w:tcPr>
            <w:tcW w:w="1945" w:type="dxa"/>
            <w:tcBorders/>
            <w:vAlign w:val="bottom"/>
          </w:tcPr>
          <w:p>
            <w:pPr>
              <w:pStyle w:val="TableContents"/>
              <w:bidi w:val="0"/>
              <w:spacing w:before="0" w:after="283"/>
              <w:jc w:val="left"/>
              <w:rPr/>
            </w:pPr>
            <w:r>
              <w:rPr/>
              <w:t> </w:t>
            </w:r>
          </w:p>
        </w:tc>
        <w:tc>
          <w:tcPr>
            <w:tcW w:w="209" w:type="dxa"/>
            <w:tcBorders/>
            <w:vAlign w:val="bottom"/>
          </w:tcPr>
          <w:p>
            <w:pPr>
              <w:pStyle w:val="TableContents"/>
              <w:bidi w:val="0"/>
              <w:spacing w:before="0" w:after="283"/>
              <w:jc w:val="left"/>
              <w:rPr/>
            </w:pPr>
            <w:r>
              <w:rPr/>
              <w:t> </w:t>
            </w:r>
          </w:p>
        </w:tc>
        <w:tc>
          <w:tcPr>
            <w:tcW w:w="209" w:type="dxa"/>
            <w:tcBorders/>
            <w:vAlign w:val="bottom"/>
          </w:tcPr>
          <w:p>
            <w:pPr>
              <w:pStyle w:val="TableContents"/>
              <w:bidi w:val="0"/>
              <w:spacing w:before="0" w:after="283"/>
              <w:jc w:val="left"/>
              <w:rPr/>
            </w:pPr>
            <w:r>
              <w:rPr/>
              <w:t> </w:t>
            </w:r>
          </w:p>
        </w:tc>
        <w:tc>
          <w:tcPr>
            <w:tcW w:w="397" w:type="dxa"/>
            <w:tcBorders/>
            <w:vAlign w:val="bottom"/>
          </w:tcPr>
          <w:p>
            <w:pPr>
              <w:pStyle w:val="TableContents"/>
              <w:bidi w:val="0"/>
              <w:spacing w:before="0" w:after="283"/>
              <w:jc w:val="left"/>
              <w:rPr/>
            </w:pPr>
            <w:r>
              <w:rPr/>
              <w:t> </w:t>
            </w:r>
          </w:p>
        </w:tc>
        <w:tc>
          <w:tcPr>
            <w:tcW w:w="1945" w:type="dxa"/>
            <w:tcBorders/>
            <w:vAlign w:val="bottom"/>
          </w:tcPr>
          <w:p>
            <w:pPr>
              <w:pStyle w:val="TableContents"/>
              <w:bidi w:val="0"/>
              <w:spacing w:before="0" w:after="283"/>
              <w:jc w:val="left"/>
              <w:rPr/>
            </w:pPr>
            <w:r>
              <w:rPr/>
              <w:t> </w:t>
            </w:r>
          </w:p>
        </w:tc>
        <w:tc>
          <w:tcPr>
            <w:tcW w:w="205" w:type="dxa"/>
            <w:tcBorders/>
          </w:tcPr>
          <w:p>
            <w:pPr>
              <w:pStyle w:val="TableContents"/>
              <w:bidi w:val="0"/>
              <w:spacing w:before="0" w:after="283"/>
              <w:jc w:val="left"/>
              <w:rPr/>
            </w:pPr>
            <w:r>
              <w:rPr/>
              <w:t> </w:t>
            </w:r>
          </w:p>
        </w:tc>
      </w:tr>
      <w:tr>
        <w:trPr/>
        <w:tc>
          <w:tcPr>
            <w:tcW w:w="3919" w:type="dxa"/>
            <w:tcBorders/>
            <w:shd w:fill="CCEEFF" w:val="clear"/>
            <w:vAlign w:val="bottom"/>
          </w:tcPr>
          <w:p>
            <w:pPr>
              <w:pStyle w:val="TableContents"/>
              <w:bidi w:val="0"/>
              <w:spacing w:before="0" w:after="0"/>
              <w:jc w:val="left"/>
              <w:rPr/>
            </w:pPr>
            <w:r>
              <w:rPr/>
              <w:t>ASCENIV</w:t>
            </w:r>
          </w:p>
        </w:tc>
        <w:tc>
          <w:tcPr>
            <w:tcW w:w="134" w:type="dxa"/>
            <w:tcBorders/>
            <w:shd w:fill="CCEEFF" w:val="clear"/>
            <w:vAlign w:val="bottom"/>
          </w:tcPr>
          <w:p>
            <w:pPr>
              <w:pStyle w:val="TableContents"/>
              <w:bidi w:val="0"/>
              <w:spacing w:before="0" w:after="283"/>
              <w:ind w:left="0" w:right="0" w:hanging="0"/>
              <w:jc w:val="right"/>
              <w:rPr/>
            </w:pPr>
            <w:r>
              <w:rPr/>
              <w:t> </w:t>
            </w:r>
          </w:p>
        </w:tc>
        <w:tc>
          <w:tcPr>
            <w:tcW w:w="397" w:type="dxa"/>
            <w:tcBorders/>
            <w:shd w:fill="CCEEFF" w:val="clear"/>
            <w:vAlign w:val="bottom"/>
          </w:tcPr>
          <w:p>
            <w:pPr>
              <w:pStyle w:val="TableContents"/>
              <w:bidi w:val="0"/>
              <w:spacing w:before="0" w:after="0"/>
              <w:ind w:left="0" w:right="0" w:hanging="0"/>
              <w:jc w:val="left"/>
              <w:rPr/>
            </w:pPr>
            <w:r>
              <w:rPr/>
              <w:t>$</w:t>
            </w:r>
          </w:p>
        </w:tc>
        <w:tc>
          <w:tcPr>
            <w:tcW w:w="1945" w:type="dxa"/>
            <w:tcBorders/>
            <w:shd w:fill="CCEEFF" w:val="clear"/>
            <w:vAlign w:val="bottom"/>
          </w:tcPr>
          <w:p>
            <w:pPr>
              <w:pStyle w:val="TableContents"/>
              <w:bidi w:val="0"/>
              <w:spacing w:before="0" w:after="0"/>
              <w:ind w:left="0" w:right="0" w:hanging="0"/>
              <w:jc w:val="right"/>
              <w:rPr/>
            </w:pPr>
            <w:r>
              <w:rPr/>
              <w:t>97,486</w:t>
            </w:r>
          </w:p>
        </w:tc>
        <w:tc>
          <w:tcPr>
            <w:tcW w:w="209" w:type="dxa"/>
            <w:tcBorders/>
            <w:shd w:fill="CCEEFF" w:val="clear"/>
            <w:vAlign w:val="bottom"/>
          </w:tcPr>
          <w:p>
            <w:pPr>
              <w:pStyle w:val="TableContents"/>
              <w:bidi w:val="0"/>
              <w:spacing w:before="0" w:after="0"/>
              <w:jc w:val="left"/>
              <w:rPr/>
            </w:pPr>
            <w:r>
              <w:rPr/>
              <w:t> </w:t>
            </w:r>
          </w:p>
        </w:tc>
        <w:tc>
          <w:tcPr>
            <w:tcW w:w="209" w:type="dxa"/>
            <w:tcBorders/>
            <w:shd w:fill="CCEEFF" w:val="clear"/>
            <w:vAlign w:val="bottom"/>
          </w:tcPr>
          <w:p>
            <w:pPr>
              <w:pStyle w:val="TableContents"/>
              <w:bidi w:val="0"/>
              <w:spacing w:before="0" w:after="283"/>
              <w:ind w:left="0" w:right="0" w:hanging="0"/>
              <w:jc w:val="right"/>
              <w:rPr/>
            </w:pPr>
            <w:r>
              <w:rPr/>
              <w:t> </w:t>
            </w:r>
          </w:p>
        </w:tc>
        <w:tc>
          <w:tcPr>
            <w:tcW w:w="397" w:type="dxa"/>
            <w:tcBorders/>
            <w:shd w:fill="CCEEFF" w:val="clear"/>
            <w:vAlign w:val="bottom"/>
          </w:tcPr>
          <w:p>
            <w:pPr>
              <w:pStyle w:val="TableContents"/>
              <w:bidi w:val="0"/>
              <w:spacing w:before="0" w:after="0"/>
              <w:ind w:left="0" w:right="0" w:hanging="0"/>
              <w:jc w:val="left"/>
              <w:rPr/>
            </w:pPr>
            <w:r>
              <w:rPr/>
              <w:t>$</w:t>
            </w:r>
          </w:p>
        </w:tc>
        <w:tc>
          <w:tcPr>
            <w:tcW w:w="1945" w:type="dxa"/>
            <w:tcBorders/>
            <w:shd w:fill="CCEEFF" w:val="clear"/>
            <w:vAlign w:val="bottom"/>
          </w:tcPr>
          <w:p>
            <w:pPr>
              <w:pStyle w:val="TableContents"/>
              <w:bidi w:val="0"/>
              <w:spacing w:before="0" w:after="0"/>
              <w:jc w:val="right"/>
              <w:rPr/>
            </w:pPr>
            <w:r>
              <w:rPr/>
              <w:t>76,332</w:t>
            </w:r>
          </w:p>
        </w:tc>
        <w:tc>
          <w:tcPr>
            <w:tcW w:w="205" w:type="dxa"/>
            <w:tcBorders/>
            <w:shd w:fill="CCEEFF" w:val="clear"/>
          </w:tcPr>
          <w:p>
            <w:pPr>
              <w:pStyle w:val="TableContents"/>
              <w:bidi w:val="0"/>
              <w:spacing w:before="0" w:after="283"/>
              <w:jc w:val="left"/>
              <w:rPr/>
            </w:pPr>
            <w:r>
              <w:rPr/>
              <w:t> </w:t>
            </w:r>
          </w:p>
        </w:tc>
      </w:tr>
      <w:tr>
        <w:trPr/>
        <w:tc>
          <w:tcPr>
            <w:tcW w:w="3919" w:type="dxa"/>
            <w:tcBorders/>
            <w:vAlign w:val="bottom"/>
          </w:tcPr>
          <w:p>
            <w:pPr>
              <w:pStyle w:val="TableContents"/>
              <w:bidi w:val="0"/>
              <w:spacing w:before="0" w:after="0"/>
              <w:jc w:val="left"/>
              <w:rPr/>
            </w:pPr>
            <w:r>
              <w:rPr/>
              <w:t>BIVIGAM</w:t>
            </w:r>
          </w:p>
        </w:tc>
        <w:tc>
          <w:tcPr>
            <w:tcW w:w="134" w:type="dxa"/>
            <w:tcBorders/>
            <w:vAlign w:val="bottom"/>
          </w:tcPr>
          <w:p>
            <w:pPr>
              <w:pStyle w:val="TableContents"/>
              <w:bidi w:val="0"/>
              <w:spacing w:before="0" w:after="283"/>
              <w:ind w:left="0" w:right="0" w:hanging="0"/>
              <w:jc w:val="right"/>
              <w:rPr/>
            </w:pPr>
            <w:r>
              <w:rPr/>
              <w:t> </w:t>
            </w:r>
          </w:p>
        </w:tc>
        <w:tc>
          <w:tcPr>
            <w:tcW w:w="397" w:type="dxa"/>
            <w:tcBorders/>
            <w:vAlign w:val="bottom"/>
          </w:tcPr>
          <w:p>
            <w:pPr>
              <w:pStyle w:val="TableContents"/>
              <w:bidi w:val="0"/>
              <w:spacing w:before="0" w:after="0"/>
              <w:ind w:left="0" w:right="0" w:hanging="0"/>
              <w:jc w:val="left"/>
              <w:rPr/>
            </w:pPr>
            <w:r>
              <w:rPr/>
              <w:t> </w:t>
            </w:r>
          </w:p>
        </w:tc>
        <w:tc>
          <w:tcPr>
            <w:tcW w:w="1945" w:type="dxa"/>
            <w:tcBorders/>
            <w:vAlign w:val="bottom"/>
          </w:tcPr>
          <w:p>
            <w:pPr>
              <w:pStyle w:val="TableContents"/>
              <w:bidi w:val="0"/>
              <w:spacing w:before="0" w:after="0"/>
              <w:ind w:left="0" w:right="0" w:hanging="0"/>
              <w:jc w:val="right"/>
              <w:rPr/>
            </w:pPr>
            <w:r>
              <w:rPr/>
              <w:t>15,422</w:t>
            </w:r>
          </w:p>
        </w:tc>
        <w:tc>
          <w:tcPr>
            <w:tcW w:w="209" w:type="dxa"/>
            <w:tcBorders/>
            <w:vAlign w:val="bottom"/>
          </w:tcPr>
          <w:p>
            <w:pPr>
              <w:pStyle w:val="TableContents"/>
              <w:bidi w:val="0"/>
              <w:spacing w:before="0" w:after="0"/>
              <w:jc w:val="left"/>
              <w:rPr/>
            </w:pPr>
            <w:r>
              <w:rPr/>
              <w:t> </w:t>
            </w:r>
          </w:p>
        </w:tc>
        <w:tc>
          <w:tcPr>
            <w:tcW w:w="209" w:type="dxa"/>
            <w:tcBorders/>
            <w:vAlign w:val="bottom"/>
          </w:tcPr>
          <w:p>
            <w:pPr>
              <w:pStyle w:val="TableContents"/>
              <w:bidi w:val="0"/>
              <w:spacing w:before="0" w:after="283"/>
              <w:ind w:left="0" w:right="0" w:hanging="0"/>
              <w:jc w:val="right"/>
              <w:rPr/>
            </w:pPr>
            <w:r>
              <w:rPr/>
              <w:t> </w:t>
            </w:r>
          </w:p>
        </w:tc>
        <w:tc>
          <w:tcPr>
            <w:tcW w:w="397" w:type="dxa"/>
            <w:tcBorders/>
            <w:vAlign w:val="bottom"/>
          </w:tcPr>
          <w:p>
            <w:pPr>
              <w:pStyle w:val="TableContents"/>
              <w:bidi w:val="0"/>
              <w:spacing w:before="0" w:after="0"/>
              <w:ind w:left="0" w:right="0" w:hanging="0"/>
              <w:jc w:val="left"/>
              <w:rPr/>
            </w:pPr>
            <w:r>
              <w:rPr/>
              <w:t> </w:t>
            </w:r>
          </w:p>
        </w:tc>
        <w:tc>
          <w:tcPr>
            <w:tcW w:w="1945" w:type="dxa"/>
            <w:tcBorders/>
            <w:vAlign w:val="bottom"/>
          </w:tcPr>
          <w:p>
            <w:pPr>
              <w:pStyle w:val="TableContents"/>
              <w:bidi w:val="0"/>
              <w:spacing w:before="0" w:after="0"/>
              <w:jc w:val="right"/>
              <w:rPr/>
            </w:pPr>
            <w:r>
              <w:rPr/>
              <w:t>33,512</w:t>
            </w:r>
          </w:p>
        </w:tc>
        <w:tc>
          <w:tcPr>
            <w:tcW w:w="205" w:type="dxa"/>
            <w:tcBorders/>
          </w:tcPr>
          <w:p>
            <w:pPr>
              <w:pStyle w:val="TableContents"/>
              <w:bidi w:val="0"/>
              <w:spacing w:before="0" w:after="283"/>
              <w:jc w:val="left"/>
              <w:rPr/>
            </w:pPr>
            <w:r>
              <w:rPr/>
              <w:t> </w:t>
            </w:r>
          </w:p>
        </w:tc>
      </w:tr>
      <w:tr>
        <w:trPr/>
        <w:tc>
          <w:tcPr>
            <w:tcW w:w="3919" w:type="dxa"/>
            <w:tcBorders/>
            <w:shd w:fill="CCEEFF" w:val="clear"/>
            <w:vAlign w:val="bottom"/>
          </w:tcPr>
          <w:p>
            <w:pPr>
              <w:pStyle w:val="TableContents"/>
              <w:bidi w:val="0"/>
              <w:spacing w:before="0" w:after="0"/>
              <w:jc w:val="left"/>
              <w:rPr/>
            </w:pPr>
            <w:r>
              <w:rPr/>
              <w:t>Intermediates and other (1)</w:t>
            </w:r>
          </w:p>
        </w:tc>
        <w:tc>
          <w:tcPr>
            <w:tcW w:w="134" w:type="dxa"/>
            <w:tcBorders/>
            <w:shd w:fill="CCEEFF" w:val="clear"/>
            <w:vAlign w:val="bottom"/>
          </w:tcPr>
          <w:p>
            <w:pPr>
              <w:pStyle w:val="TableContents"/>
              <w:bidi w:val="0"/>
              <w:spacing w:before="0" w:after="283"/>
              <w:ind w:left="0" w:right="0" w:hanging="0"/>
              <w:jc w:val="right"/>
              <w:rPr/>
            </w:pPr>
            <w:r>
              <w:rPr/>
              <w:t> </w:t>
            </w:r>
          </w:p>
        </w:tc>
        <w:tc>
          <w:tcPr>
            <w:tcW w:w="397" w:type="dxa"/>
            <w:tcBorders>
              <w:bottom w:val="single" w:sz="12" w:space="0" w:color="000000"/>
            </w:tcBorders>
            <w:shd w:fill="CCEEFF" w:val="clear"/>
            <w:tcMar>
              <w:bottom w:w="28" w:type="dxa"/>
            </w:tcMar>
            <w:vAlign w:val="bottom"/>
          </w:tcPr>
          <w:p>
            <w:pPr>
              <w:pStyle w:val="TableContents"/>
              <w:bidi w:val="0"/>
              <w:spacing w:before="0" w:after="0"/>
              <w:ind w:left="0" w:right="0" w:hanging="0"/>
              <w:jc w:val="left"/>
              <w:rPr/>
            </w:pPr>
            <w:r>
              <w:rPr/>
              <w:t> </w:t>
            </w:r>
          </w:p>
        </w:tc>
        <w:tc>
          <w:tcPr>
            <w:tcW w:w="1945" w:type="dxa"/>
            <w:tcBorders>
              <w:bottom w:val="single" w:sz="12" w:space="0" w:color="000000"/>
            </w:tcBorders>
            <w:shd w:fill="CCEEFF" w:val="clear"/>
            <w:tcMar>
              <w:bottom w:w="28" w:type="dxa"/>
            </w:tcMar>
            <w:vAlign w:val="bottom"/>
          </w:tcPr>
          <w:p>
            <w:pPr>
              <w:pStyle w:val="TableContents"/>
              <w:bidi w:val="0"/>
              <w:spacing w:before="0" w:after="0"/>
              <w:ind w:left="0" w:right="0" w:hanging="0"/>
              <w:jc w:val="right"/>
              <w:rPr/>
            </w:pPr>
            <w:r>
              <w:rPr/>
              <w:t>833</w:t>
            </w:r>
          </w:p>
        </w:tc>
        <w:tc>
          <w:tcPr>
            <w:tcW w:w="209" w:type="dxa"/>
            <w:tcBorders>
              <w:bottom w:val="single" w:sz="12" w:space="0" w:color="000000"/>
            </w:tcBorders>
            <w:shd w:fill="CCEEFF" w:val="clear"/>
            <w:tcMar>
              <w:bottom w:w="28" w:type="dxa"/>
            </w:tcMar>
            <w:vAlign w:val="bottom"/>
          </w:tcPr>
          <w:p>
            <w:pPr>
              <w:pStyle w:val="TableContents"/>
              <w:bidi w:val="0"/>
              <w:spacing w:before="0" w:after="0"/>
              <w:jc w:val="left"/>
              <w:rPr/>
            </w:pPr>
            <w:r>
              <w:rPr/>
              <w:t> </w:t>
            </w:r>
          </w:p>
        </w:tc>
        <w:tc>
          <w:tcPr>
            <w:tcW w:w="209" w:type="dxa"/>
            <w:tcBorders/>
            <w:shd w:fill="CCEEFF" w:val="clear"/>
            <w:vAlign w:val="bottom"/>
          </w:tcPr>
          <w:p>
            <w:pPr>
              <w:pStyle w:val="TableContents"/>
              <w:bidi w:val="0"/>
              <w:spacing w:before="0" w:after="283"/>
              <w:ind w:left="0" w:right="0" w:hanging="0"/>
              <w:jc w:val="right"/>
              <w:rPr/>
            </w:pPr>
            <w:r>
              <w:rPr/>
              <w:t> </w:t>
            </w:r>
          </w:p>
        </w:tc>
        <w:tc>
          <w:tcPr>
            <w:tcW w:w="397" w:type="dxa"/>
            <w:tcBorders>
              <w:bottom w:val="single" w:sz="12" w:space="0" w:color="000000"/>
            </w:tcBorders>
            <w:shd w:fill="CCEEFF" w:val="clear"/>
            <w:tcMar>
              <w:bottom w:w="28" w:type="dxa"/>
            </w:tcMar>
            <w:vAlign w:val="bottom"/>
          </w:tcPr>
          <w:p>
            <w:pPr>
              <w:pStyle w:val="TableContents"/>
              <w:bidi w:val="0"/>
              <w:spacing w:before="0" w:after="0"/>
              <w:ind w:left="0" w:right="0" w:hanging="0"/>
              <w:jc w:val="left"/>
              <w:rPr/>
            </w:pPr>
            <w:r>
              <w:rPr/>
              <w:t> </w:t>
            </w:r>
          </w:p>
        </w:tc>
        <w:tc>
          <w:tcPr>
            <w:tcW w:w="1945" w:type="dxa"/>
            <w:tcBorders>
              <w:bottom w:val="single" w:sz="12" w:space="0" w:color="000000"/>
            </w:tcBorders>
            <w:shd w:fill="CCEEFF" w:val="clear"/>
            <w:tcMar>
              <w:bottom w:w="28" w:type="dxa"/>
            </w:tcMar>
            <w:vAlign w:val="bottom"/>
          </w:tcPr>
          <w:p>
            <w:pPr>
              <w:pStyle w:val="TableContents"/>
              <w:bidi w:val="0"/>
              <w:spacing w:before="0" w:after="0"/>
              <w:jc w:val="right"/>
              <w:rPr/>
            </w:pPr>
            <w:r>
              <w:rPr/>
              <w:t>3,872</w:t>
            </w:r>
          </w:p>
        </w:tc>
        <w:tc>
          <w:tcPr>
            <w:tcW w:w="205" w:type="dxa"/>
            <w:tcBorders>
              <w:bottom w:val="single" w:sz="12" w:space="0" w:color="000000"/>
            </w:tcBorders>
            <w:shd w:fill="CCEEFF" w:val="clear"/>
            <w:tcMar>
              <w:bottom w:w="28" w:type="dxa"/>
            </w:tcMar>
          </w:tcPr>
          <w:p>
            <w:pPr>
              <w:pStyle w:val="TableContents"/>
              <w:bidi w:val="0"/>
              <w:spacing w:before="0" w:after="283"/>
              <w:jc w:val="left"/>
              <w:rPr/>
            </w:pPr>
            <w:r>
              <w:rPr/>
              <w:t> </w:t>
            </w:r>
          </w:p>
        </w:tc>
      </w:tr>
      <w:tr>
        <w:trPr/>
        <w:tc>
          <w:tcPr>
            <w:tcW w:w="3919" w:type="dxa"/>
            <w:tcBorders/>
            <w:vAlign w:val="bottom"/>
          </w:tcPr>
          <w:p>
            <w:pPr>
              <w:pStyle w:val="TableContents"/>
              <w:bidi w:val="0"/>
              <w:spacing w:before="0" w:after="0"/>
              <w:jc w:val="left"/>
              <w:rPr/>
            </w:pPr>
            <w:r>
              <w:rPr/>
              <w:t>ADMA BioManufacturing</w:t>
            </w:r>
          </w:p>
        </w:tc>
        <w:tc>
          <w:tcPr>
            <w:tcW w:w="134" w:type="dxa"/>
            <w:tcBorders/>
            <w:vAlign w:val="bottom"/>
          </w:tcPr>
          <w:p>
            <w:pPr>
              <w:pStyle w:val="TableContents"/>
              <w:bidi w:val="0"/>
              <w:spacing w:before="0" w:after="283"/>
              <w:ind w:left="0" w:right="0" w:hanging="0"/>
              <w:jc w:val="right"/>
              <w:rPr/>
            </w:pPr>
            <w:r>
              <w:rPr/>
              <w:t> </w:t>
            </w:r>
          </w:p>
        </w:tc>
        <w:tc>
          <w:tcPr>
            <w:tcW w:w="397" w:type="dxa"/>
            <w:tcBorders/>
            <w:vAlign w:val="bottom"/>
          </w:tcPr>
          <w:p>
            <w:pPr>
              <w:pStyle w:val="TableContents"/>
              <w:bidi w:val="0"/>
              <w:spacing w:before="0" w:after="0"/>
              <w:ind w:left="0" w:right="0" w:hanging="0"/>
              <w:jc w:val="left"/>
              <w:rPr/>
            </w:pPr>
            <w:r>
              <w:rPr/>
              <w:t> </w:t>
            </w:r>
          </w:p>
        </w:tc>
        <w:tc>
          <w:tcPr>
            <w:tcW w:w="1945" w:type="dxa"/>
            <w:tcBorders/>
            <w:vAlign w:val="bottom"/>
          </w:tcPr>
          <w:p>
            <w:pPr>
              <w:pStyle w:val="TableContents"/>
              <w:bidi w:val="0"/>
              <w:spacing w:before="0" w:after="0"/>
              <w:ind w:left="0" w:right="0" w:hanging="0"/>
              <w:jc w:val="right"/>
              <w:rPr/>
            </w:pPr>
            <w:r>
              <w:rPr/>
              <w:t>113,741</w:t>
            </w:r>
          </w:p>
        </w:tc>
        <w:tc>
          <w:tcPr>
            <w:tcW w:w="209" w:type="dxa"/>
            <w:tcBorders/>
            <w:vAlign w:val="bottom"/>
          </w:tcPr>
          <w:p>
            <w:pPr>
              <w:pStyle w:val="TableContents"/>
              <w:bidi w:val="0"/>
              <w:spacing w:before="0" w:after="0"/>
              <w:jc w:val="left"/>
              <w:rPr/>
            </w:pPr>
            <w:r>
              <w:rPr/>
              <w:t> </w:t>
            </w:r>
          </w:p>
        </w:tc>
        <w:tc>
          <w:tcPr>
            <w:tcW w:w="209" w:type="dxa"/>
            <w:tcBorders/>
            <w:vAlign w:val="bottom"/>
          </w:tcPr>
          <w:p>
            <w:pPr>
              <w:pStyle w:val="TableContents"/>
              <w:bidi w:val="0"/>
              <w:spacing w:before="0" w:after="283"/>
              <w:ind w:left="0" w:right="0" w:hanging="0"/>
              <w:jc w:val="right"/>
              <w:rPr/>
            </w:pPr>
            <w:r>
              <w:rPr/>
              <w:t> </w:t>
            </w:r>
          </w:p>
        </w:tc>
        <w:tc>
          <w:tcPr>
            <w:tcW w:w="397" w:type="dxa"/>
            <w:tcBorders/>
            <w:vAlign w:val="bottom"/>
          </w:tcPr>
          <w:p>
            <w:pPr>
              <w:pStyle w:val="TableContents"/>
              <w:bidi w:val="0"/>
              <w:spacing w:before="0" w:after="0"/>
              <w:ind w:left="0" w:right="0" w:hanging="0"/>
              <w:jc w:val="left"/>
              <w:rPr/>
            </w:pPr>
            <w:r>
              <w:rPr/>
              <w:t> </w:t>
            </w:r>
          </w:p>
        </w:tc>
        <w:tc>
          <w:tcPr>
            <w:tcW w:w="1945" w:type="dxa"/>
            <w:tcBorders/>
            <w:vAlign w:val="bottom"/>
          </w:tcPr>
          <w:p>
            <w:pPr>
              <w:pStyle w:val="TableContents"/>
              <w:bidi w:val="0"/>
              <w:spacing w:before="0" w:after="0"/>
              <w:jc w:val="right"/>
              <w:rPr/>
            </w:pPr>
            <w:r>
              <w:rPr/>
              <w:t>113,716</w:t>
            </w:r>
          </w:p>
        </w:tc>
        <w:tc>
          <w:tcPr>
            <w:tcW w:w="205" w:type="dxa"/>
            <w:tcBorders/>
          </w:tcPr>
          <w:p>
            <w:pPr>
              <w:pStyle w:val="TableContents"/>
              <w:bidi w:val="0"/>
              <w:spacing w:before="0" w:after="283"/>
              <w:jc w:val="left"/>
              <w:rPr/>
            </w:pPr>
            <w:r>
              <w:rPr/>
              <w:t> </w:t>
            </w:r>
          </w:p>
        </w:tc>
      </w:tr>
      <w:tr>
        <w:trPr/>
        <w:tc>
          <w:tcPr>
            <w:tcW w:w="3919" w:type="dxa"/>
            <w:tcBorders/>
            <w:shd w:fill="CCEEFF" w:val="clear"/>
            <w:vAlign w:val="bottom"/>
          </w:tcPr>
          <w:p>
            <w:pPr>
              <w:pStyle w:val="TableContents"/>
              <w:bidi w:val="0"/>
              <w:spacing w:before="0" w:after="283"/>
              <w:jc w:val="left"/>
              <w:rPr/>
            </w:pPr>
            <w:r>
              <w:rPr/>
              <w:t> </w:t>
            </w:r>
          </w:p>
        </w:tc>
        <w:tc>
          <w:tcPr>
            <w:tcW w:w="134" w:type="dxa"/>
            <w:tcBorders/>
            <w:shd w:fill="CCEEFF" w:val="clear"/>
            <w:vAlign w:val="bottom"/>
          </w:tcPr>
          <w:p>
            <w:pPr>
              <w:pStyle w:val="TableContents"/>
              <w:bidi w:val="0"/>
              <w:spacing w:before="0" w:after="283"/>
              <w:jc w:val="left"/>
              <w:rPr/>
            </w:pPr>
            <w:r>
              <w:rPr/>
              <w:t> </w:t>
            </w:r>
          </w:p>
        </w:tc>
        <w:tc>
          <w:tcPr>
            <w:tcW w:w="397" w:type="dxa"/>
            <w:tcBorders/>
            <w:shd w:fill="CCEEFF" w:val="clear"/>
            <w:vAlign w:val="bottom"/>
          </w:tcPr>
          <w:p>
            <w:pPr>
              <w:pStyle w:val="TableContents"/>
              <w:bidi w:val="0"/>
              <w:spacing w:before="0" w:after="283"/>
              <w:jc w:val="left"/>
              <w:rPr/>
            </w:pPr>
            <w:r>
              <w:rPr/>
              <w:t> </w:t>
            </w:r>
          </w:p>
        </w:tc>
        <w:tc>
          <w:tcPr>
            <w:tcW w:w="1945" w:type="dxa"/>
            <w:tcBorders/>
            <w:shd w:fill="CCEEFF" w:val="clear"/>
            <w:vAlign w:val="bottom"/>
          </w:tcPr>
          <w:p>
            <w:pPr>
              <w:pStyle w:val="TableContents"/>
              <w:bidi w:val="0"/>
              <w:spacing w:before="0" w:after="283"/>
              <w:jc w:val="left"/>
              <w:rPr/>
            </w:pPr>
            <w:r>
              <w:rPr/>
              <w:t> </w:t>
            </w:r>
          </w:p>
        </w:tc>
        <w:tc>
          <w:tcPr>
            <w:tcW w:w="209" w:type="dxa"/>
            <w:tcBorders/>
            <w:shd w:fill="CCEEFF" w:val="clear"/>
            <w:vAlign w:val="bottom"/>
          </w:tcPr>
          <w:p>
            <w:pPr>
              <w:pStyle w:val="TableContents"/>
              <w:bidi w:val="0"/>
              <w:spacing w:before="0" w:after="283"/>
              <w:jc w:val="left"/>
              <w:rPr/>
            </w:pPr>
            <w:r>
              <w:rPr/>
              <w:t> </w:t>
            </w:r>
          </w:p>
        </w:tc>
        <w:tc>
          <w:tcPr>
            <w:tcW w:w="209" w:type="dxa"/>
            <w:tcBorders/>
            <w:shd w:fill="CCEEFF" w:val="clear"/>
            <w:vAlign w:val="bottom"/>
          </w:tcPr>
          <w:p>
            <w:pPr>
              <w:pStyle w:val="TableContents"/>
              <w:bidi w:val="0"/>
              <w:spacing w:before="0" w:after="283"/>
              <w:jc w:val="left"/>
              <w:rPr/>
            </w:pPr>
            <w:r>
              <w:rPr/>
              <w:t> </w:t>
            </w:r>
          </w:p>
        </w:tc>
        <w:tc>
          <w:tcPr>
            <w:tcW w:w="397" w:type="dxa"/>
            <w:tcBorders/>
            <w:shd w:fill="CCEEFF" w:val="clear"/>
            <w:vAlign w:val="bottom"/>
          </w:tcPr>
          <w:p>
            <w:pPr>
              <w:pStyle w:val="TableContents"/>
              <w:bidi w:val="0"/>
              <w:spacing w:before="0" w:after="283"/>
              <w:jc w:val="left"/>
              <w:rPr/>
            </w:pPr>
            <w:r>
              <w:rPr/>
              <w:t> </w:t>
            </w:r>
          </w:p>
        </w:tc>
        <w:tc>
          <w:tcPr>
            <w:tcW w:w="1945" w:type="dxa"/>
            <w:tcBorders/>
            <w:shd w:fill="CCEEFF" w:val="clear"/>
            <w:vAlign w:val="bottom"/>
          </w:tcPr>
          <w:p>
            <w:pPr>
              <w:pStyle w:val="TableContents"/>
              <w:bidi w:val="0"/>
              <w:spacing w:before="0" w:after="283"/>
              <w:jc w:val="left"/>
              <w:rPr/>
            </w:pPr>
            <w:r>
              <w:rPr/>
              <w:t> </w:t>
            </w:r>
          </w:p>
        </w:tc>
        <w:tc>
          <w:tcPr>
            <w:tcW w:w="205" w:type="dxa"/>
            <w:tcBorders/>
            <w:shd w:fill="CCEEFF" w:val="clear"/>
          </w:tcPr>
          <w:p>
            <w:pPr>
              <w:pStyle w:val="TableContents"/>
              <w:bidi w:val="0"/>
              <w:spacing w:before="0" w:after="283"/>
              <w:jc w:val="left"/>
              <w:rPr/>
            </w:pPr>
            <w:r>
              <w:rPr/>
              <w:t> </w:t>
            </w:r>
          </w:p>
        </w:tc>
      </w:tr>
      <w:tr>
        <w:trPr/>
        <w:tc>
          <w:tcPr>
            <w:tcW w:w="3919" w:type="dxa"/>
            <w:tcBorders/>
            <w:vAlign w:val="bottom"/>
          </w:tcPr>
          <w:p>
            <w:pPr>
              <w:pStyle w:val="TableContents"/>
              <w:bidi w:val="0"/>
              <w:spacing w:before="0" w:after="0"/>
              <w:jc w:val="left"/>
              <w:rPr/>
            </w:pPr>
            <w:r>
              <w:rPr/>
              <w:t>Plasma Collection Centers</w:t>
            </w:r>
          </w:p>
        </w:tc>
        <w:tc>
          <w:tcPr>
            <w:tcW w:w="134" w:type="dxa"/>
            <w:tcBorders/>
            <w:vAlign w:val="bottom"/>
          </w:tcPr>
          <w:p>
            <w:pPr>
              <w:pStyle w:val="TableContents"/>
              <w:bidi w:val="0"/>
              <w:spacing w:before="0" w:after="283"/>
              <w:ind w:left="0" w:right="0" w:hanging="0"/>
              <w:jc w:val="right"/>
              <w:rPr/>
            </w:pPr>
            <w:r>
              <w:rPr/>
              <w:t> </w:t>
            </w:r>
          </w:p>
        </w:tc>
        <w:tc>
          <w:tcPr>
            <w:tcW w:w="397" w:type="dxa"/>
            <w:tcBorders/>
            <w:vAlign w:val="bottom"/>
          </w:tcPr>
          <w:p>
            <w:pPr>
              <w:pStyle w:val="TableContents"/>
              <w:bidi w:val="0"/>
              <w:spacing w:before="0" w:after="0"/>
              <w:ind w:left="0" w:right="0" w:hanging="0"/>
              <w:jc w:val="left"/>
              <w:rPr/>
            </w:pPr>
            <w:r>
              <w:rPr/>
              <w:t> </w:t>
            </w:r>
          </w:p>
        </w:tc>
        <w:tc>
          <w:tcPr>
            <w:tcW w:w="1945" w:type="dxa"/>
            <w:tcBorders/>
            <w:vAlign w:val="bottom"/>
          </w:tcPr>
          <w:p>
            <w:pPr>
              <w:pStyle w:val="TableContents"/>
              <w:bidi w:val="0"/>
              <w:spacing w:before="0" w:after="0"/>
              <w:ind w:left="0" w:right="0" w:hanging="0"/>
              <w:jc w:val="right"/>
              <w:rPr/>
            </w:pPr>
            <w:r>
              <w:rPr/>
              <w:t>716</w:t>
            </w:r>
          </w:p>
        </w:tc>
        <w:tc>
          <w:tcPr>
            <w:tcW w:w="209" w:type="dxa"/>
            <w:tcBorders/>
            <w:vAlign w:val="bottom"/>
          </w:tcPr>
          <w:p>
            <w:pPr>
              <w:pStyle w:val="TableContents"/>
              <w:bidi w:val="0"/>
              <w:spacing w:before="0" w:after="0"/>
              <w:jc w:val="left"/>
              <w:rPr/>
            </w:pPr>
            <w:r>
              <w:rPr/>
              <w:t> </w:t>
            </w:r>
          </w:p>
        </w:tc>
        <w:tc>
          <w:tcPr>
            <w:tcW w:w="209" w:type="dxa"/>
            <w:tcBorders/>
            <w:vAlign w:val="bottom"/>
          </w:tcPr>
          <w:p>
            <w:pPr>
              <w:pStyle w:val="TableContents"/>
              <w:bidi w:val="0"/>
              <w:spacing w:before="0" w:after="283"/>
              <w:ind w:left="0" w:right="0" w:hanging="0"/>
              <w:jc w:val="right"/>
              <w:rPr/>
            </w:pPr>
            <w:r>
              <w:rPr/>
              <w:t> </w:t>
            </w:r>
          </w:p>
        </w:tc>
        <w:tc>
          <w:tcPr>
            <w:tcW w:w="397" w:type="dxa"/>
            <w:tcBorders/>
            <w:vAlign w:val="bottom"/>
          </w:tcPr>
          <w:p>
            <w:pPr>
              <w:pStyle w:val="TableContents"/>
              <w:bidi w:val="0"/>
              <w:spacing w:before="0" w:after="0"/>
              <w:ind w:left="0" w:right="0" w:hanging="0"/>
              <w:jc w:val="left"/>
              <w:rPr/>
            </w:pPr>
            <w:r>
              <w:rPr/>
              <w:t> </w:t>
            </w:r>
          </w:p>
        </w:tc>
        <w:tc>
          <w:tcPr>
            <w:tcW w:w="1945" w:type="dxa"/>
            <w:tcBorders/>
            <w:vAlign w:val="bottom"/>
          </w:tcPr>
          <w:p>
            <w:pPr>
              <w:pStyle w:val="TableContents"/>
              <w:bidi w:val="0"/>
              <w:spacing w:before="0" w:after="0"/>
              <w:jc w:val="right"/>
              <w:rPr/>
            </w:pPr>
            <w:r>
              <w:rPr/>
              <w:t>1,050</w:t>
            </w:r>
          </w:p>
        </w:tc>
        <w:tc>
          <w:tcPr>
            <w:tcW w:w="205" w:type="dxa"/>
            <w:tcBorders/>
          </w:tcPr>
          <w:p>
            <w:pPr>
              <w:pStyle w:val="TableContents"/>
              <w:bidi w:val="0"/>
              <w:spacing w:before="0" w:after="283"/>
              <w:jc w:val="left"/>
              <w:rPr/>
            </w:pPr>
            <w:r>
              <w:rPr/>
              <w:t> </w:t>
            </w:r>
          </w:p>
        </w:tc>
      </w:tr>
      <w:tr>
        <w:trPr/>
        <w:tc>
          <w:tcPr>
            <w:tcW w:w="3919" w:type="dxa"/>
            <w:tcBorders/>
            <w:shd w:fill="CCEEFF" w:val="clear"/>
          </w:tcPr>
          <w:p>
            <w:pPr>
              <w:pStyle w:val="TableContents"/>
              <w:bidi w:val="0"/>
              <w:spacing w:before="0" w:after="283"/>
              <w:jc w:val="left"/>
              <w:rPr/>
            </w:pPr>
            <w:r>
              <w:rPr/>
              <w:t>License revenue </w:t>
            </w:r>
          </w:p>
        </w:tc>
        <w:tc>
          <w:tcPr>
            <w:tcW w:w="134" w:type="dxa"/>
            <w:tcBorders/>
            <w:shd w:fill="CCEEFF" w:val="clear"/>
          </w:tcPr>
          <w:p>
            <w:pPr>
              <w:pStyle w:val="TableContents"/>
              <w:bidi w:val="0"/>
              <w:spacing w:before="0" w:after="283"/>
              <w:jc w:val="left"/>
              <w:rPr/>
            </w:pPr>
            <w:r>
              <w:rPr/>
              <w:t> </w:t>
            </w:r>
          </w:p>
        </w:tc>
        <w:tc>
          <w:tcPr>
            <w:tcW w:w="397" w:type="dxa"/>
            <w:tcBorders>
              <w:bottom w:val="single" w:sz="12" w:space="0" w:color="000000"/>
            </w:tcBorders>
            <w:shd w:fill="CCEEFF" w:val="clear"/>
            <w:tcMar>
              <w:bottom w:w="28" w:type="dxa"/>
            </w:tcMar>
          </w:tcPr>
          <w:p>
            <w:pPr>
              <w:pStyle w:val="TableContents"/>
              <w:bidi w:val="0"/>
              <w:spacing w:before="0" w:after="283"/>
              <w:jc w:val="left"/>
              <w:rPr/>
            </w:pPr>
            <w:r>
              <w:rPr/>
              <w:t> </w:t>
            </w:r>
          </w:p>
        </w:tc>
        <w:tc>
          <w:tcPr>
            <w:tcW w:w="1945" w:type="dxa"/>
            <w:tcBorders>
              <w:bottom w:val="single" w:sz="12" w:space="0" w:color="000000"/>
            </w:tcBorders>
            <w:shd w:fill="CCEEFF" w:val="clear"/>
            <w:tcMar>
              <w:bottom w:w="28" w:type="dxa"/>
            </w:tcMar>
          </w:tcPr>
          <w:p>
            <w:pPr>
              <w:pStyle w:val="TableContents"/>
              <w:bidi w:val="0"/>
              <w:spacing w:before="0" w:after="283"/>
              <w:jc w:val="right"/>
              <w:rPr/>
            </w:pPr>
            <w:r>
              <w:rPr/>
              <w:t>36 </w:t>
            </w:r>
          </w:p>
        </w:tc>
        <w:tc>
          <w:tcPr>
            <w:tcW w:w="209" w:type="dxa"/>
            <w:tcBorders/>
            <w:shd w:fill="CCEEFF" w:val="clear"/>
          </w:tcPr>
          <w:p>
            <w:pPr>
              <w:pStyle w:val="TableContents"/>
              <w:bidi w:val="0"/>
              <w:spacing w:before="0" w:after="283"/>
              <w:jc w:val="left"/>
              <w:rPr/>
            </w:pPr>
            <w:r>
              <w:rPr/>
              <w:t> </w:t>
            </w:r>
          </w:p>
        </w:tc>
        <w:tc>
          <w:tcPr>
            <w:tcW w:w="209" w:type="dxa"/>
            <w:tcBorders/>
            <w:shd w:fill="CCEEFF" w:val="clear"/>
          </w:tcPr>
          <w:p>
            <w:pPr>
              <w:pStyle w:val="TableContents"/>
              <w:bidi w:val="0"/>
              <w:spacing w:before="0" w:after="283"/>
              <w:jc w:val="left"/>
              <w:rPr/>
            </w:pPr>
            <w:r>
              <w:rPr/>
              <w:t> </w:t>
            </w:r>
          </w:p>
        </w:tc>
        <w:tc>
          <w:tcPr>
            <w:tcW w:w="397" w:type="dxa"/>
            <w:tcBorders>
              <w:bottom w:val="single" w:sz="12" w:space="0" w:color="000000"/>
            </w:tcBorders>
            <w:shd w:fill="CCEEFF" w:val="clear"/>
            <w:tcMar>
              <w:bottom w:w="28" w:type="dxa"/>
            </w:tcMar>
          </w:tcPr>
          <w:p>
            <w:pPr>
              <w:pStyle w:val="TableContents"/>
              <w:bidi w:val="0"/>
              <w:spacing w:before="0" w:after="283"/>
              <w:jc w:val="left"/>
              <w:rPr/>
            </w:pPr>
            <w:r>
              <w:rPr/>
              <w:t> </w:t>
            </w:r>
          </w:p>
        </w:tc>
        <w:tc>
          <w:tcPr>
            <w:tcW w:w="1945" w:type="dxa"/>
            <w:tcBorders>
              <w:bottom w:val="single" w:sz="12" w:space="0" w:color="000000"/>
            </w:tcBorders>
            <w:shd w:fill="CCEEFF" w:val="clear"/>
            <w:tcMar>
              <w:bottom w:w="28" w:type="dxa"/>
            </w:tcMar>
          </w:tcPr>
          <w:p>
            <w:pPr>
              <w:pStyle w:val="TableContents"/>
              <w:bidi w:val="0"/>
              <w:spacing w:before="0" w:after="283"/>
              <w:jc w:val="right"/>
              <w:rPr/>
            </w:pPr>
            <w:r>
              <w:rPr/>
              <w:t>36 </w:t>
            </w:r>
          </w:p>
        </w:tc>
        <w:tc>
          <w:tcPr>
            <w:tcW w:w="205" w:type="dxa"/>
            <w:tcBorders/>
            <w:shd w:fill="CCEEFF" w:val="clear"/>
          </w:tcPr>
          <w:p>
            <w:pPr>
              <w:pStyle w:val="TableContents"/>
              <w:bidi w:val="0"/>
              <w:spacing w:before="0" w:after="283"/>
              <w:jc w:val="left"/>
              <w:rPr/>
            </w:pPr>
            <w:r>
              <w:rPr/>
              <w:t> </w:t>
            </w:r>
          </w:p>
        </w:tc>
      </w:tr>
      <w:tr>
        <w:trPr/>
        <w:tc>
          <w:tcPr>
            <w:tcW w:w="3919" w:type="dxa"/>
            <w:tcBorders/>
            <w:vAlign w:val="bottom"/>
          </w:tcPr>
          <w:p>
            <w:pPr>
              <w:pStyle w:val="TableContents"/>
              <w:bidi w:val="0"/>
              <w:spacing w:before="0" w:after="0"/>
              <w:jc w:val="left"/>
              <w:rPr>
                <w:b/>
              </w:rPr>
            </w:pPr>
            <w:r>
              <w:rPr>
                <w:b/>
              </w:rPr>
              <w:t>Total</w:t>
            </w:r>
          </w:p>
        </w:tc>
        <w:tc>
          <w:tcPr>
            <w:tcW w:w="134" w:type="dxa"/>
            <w:tcBorders/>
            <w:vAlign w:val="bottom"/>
          </w:tcPr>
          <w:p>
            <w:pPr>
              <w:pStyle w:val="TableContents"/>
              <w:bidi w:val="0"/>
              <w:spacing w:before="0" w:after="283"/>
              <w:ind w:left="0" w:right="0" w:hanging="0"/>
              <w:jc w:val="right"/>
              <w:rPr/>
            </w:pPr>
            <w:r>
              <w:rPr/>
              <w:t> </w:t>
            </w:r>
          </w:p>
        </w:tc>
        <w:tc>
          <w:tcPr>
            <w:tcW w:w="397" w:type="dxa"/>
            <w:tcBorders>
              <w:bottom w:val="double" w:sz="8" w:space="0" w:color="000000"/>
            </w:tcBorders>
            <w:tcMar>
              <w:bottom w:w="28" w:type="dxa"/>
            </w:tcMar>
            <w:vAlign w:val="bottom"/>
          </w:tcPr>
          <w:p>
            <w:pPr>
              <w:pStyle w:val="TableContents"/>
              <w:bidi w:val="0"/>
              <w:spacing w:before="0" w:after="0"/>
              <w:ind w:left="0" w:right="0" w:hanging="0"/>
              <w:jc w:val="left"/>
              <w:rPr>
                <w:b/>
              </w:rPr>
            </w:pPr>
            <w:r>
              <w:rPr>
                <w:b/>
              </w:rPr>
              <w:t>$</w:t>
            </w:r>
          </w:p>
        </w:tc>
        <w:tc>
          <w:tcPr>
            <w:tcW w:w="1945" w:type="dxa"/>
            <w:tcBorders>
              <w:bottom w:val="double" w:sz="8" w:space="0" w:color="000000"/>
            </w:tcBorders>
            <w:tcMar>
              <w:bottom w:w="28" w:type="dxa"/>
            </w:tcMar>
            <w:vAlign w:val="bottom"/>
          </w:tcPr>
          <w:p>
            <w:pPr>
              <w:pStyle w:val="TableContents"/>
              <w:bidi w:val="0"/>
              <w:spacing w:before="0" w:after="0"/>
              <w:ind w:left="0" w:right="0" w:hanging="0"/>
              <w:jc w:val="right"/>
              <w:rPr>
                <w:b/>
              </w:rPr>
            </w:pPr>
            <w:r>
              <w:rPr>
                <w:b/>
              </w:rPr>
              <w:t>114,493</w:t>
            </w:r>
          </w:p>
        </w:tc>
        <w:tc>
          <w:tcPr>
            <w:tcW w:w="209" w:type="dxa"/>
            <w:tcBorders>
              <w:bottom w:val="double" w:sz="8" w:space="0" w:color="000000"/>
            </w:tcBorders>
            <w:tcMar>
              <w:bottom w:w="28" w:type="dxa"/>
            </w:tcMar>
            <w:vAlign w:val="bottom"/>
          </w:tcPr>
          <w:p>
            <w:pPr>
              <w:pStyle w:val="TableContents"/>
              <w:bidi w:val="0"/>
              <w:spacing w:before="0" w:after="0"/>
              <w:jc w:val="left"/>
              <w:rPr/>
            </w:pPr>
            <w:r>
              <w:rPr/>
              <w:t> </w:t>
            </w:r>
          </w:p>
        </w:tc>
        <w:tc>
          <w:tcPr>
            <w:tcW w:w="209" w:type="dxa"/>
            <w:tcBorders/>
            <w:vAlign w:val="bottom"/>
          </w:tcPr>
          <w:p>
            <w:pPr>
              <w:pStyle w:val="TableContents"/>
              <w:bidi w:val="0"/>
              <w:spacing w:before="0" w:after="283"/>
              <w:ind w:left="0" w:right="0" w:hanging="0"/>
              <w:jc w:val="right"/>
              <w:rPr/>
            </w:pPr>
            <w:r>
              <w:rPr/>
              <w:t> </w:t>
            </w:r>
          </w:p>
        </w:tc>
        <w:tc>
          <w:tcPr>
            <w:tcW w:w="397" w:type="dxa"/>
            <w:tcBorders>
              <w:bottom w:val="double" w:sz="8" w:space="0" w:color="000000"/>
            </w:tcBorders>
            <w:tcMar>
              <w:bottom w:w="28" w:type="dxa"/>
            </w:tcMar>
            <w:vAlign w:val="bottom"/>
          </w:tcPr>
          <w:p>
            <w:pPr>
              <w:pStyle w:val="TableContents"/>
              <w:bidi w:val="0"/>
              <w:spacing w:before="0" w:after="0"/>
              <w:ind w:left="0" w:right="0" w:hanging="0"/>
              <w:jc w:val="left"/>
              <w:rPr>
                <w:b/>
              </w:rPr>
            </w:pPr>
            <w:r>
              <w:rPr>
                <w:b/>
              </w:rPr>
              <w:t>$</w:t>
            </w:r>
          </w:p>
        </w:tc>
        <w:tc>
          <w:tcPr>
            <w:tcW w:w="1945" w:type="dxa"/>
            <w:tcBorders>
              <w:bottom w:val="double" w:sz="8" w:space="0" w:color="000000"/>
            </w:tcBorders>
            <w:tcMar>
              <w:bottom w:w="28" w:type="dxa"/>
            </w:tcMar>
            <w:vAlign w:val="bottom"/>
          </w:tcPr>
          <w:p>
            <w:pPr>
              <w:pStyle w:val="TableContents"/>
              <w:bidi w:val="0"/>
              <w:spacing w:before="0" w:after="0"/>
              <w:jc w:val="right"/>
              <w:rPr>
                <w:b/>
              </w:rPr>
            </w:pPr>
            <w:r>
              <w:rPr>
                <w:b/>
              </w:rPr>
              <w:t>114,802</w:t>
            </w:r>
          </w:p>
        </w:tc>
        <w:tc>
          <w:tcPr>
            <w:tcW w:w="205" w:type="dxa"/>
            <w:tcBorders>
              <w:bottom w:val="double" w:sz="8" w:space="0" w:color="000000"/>
            </w:tcBorders>
            <w:tcMar>
              <w:bottom w:w="28" w:type="dxa"/>
            </w:tcMa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position w:val="7"/>
          <w:sz w:val="16"/>
          <w:sz w:val="20"/>
        </w:rPr>
        <w:t>(1)</w:t>
      </w:r>
      <w:r>
        <w:rPr>
          <w:rFonts w:ascii="Times New Roman" w:hAnsi="Times New Roman"/>
          <w:sz w:val="20"/>
        </w:rPr>
        <w:t xml:space="preserve"> Due to Nabi-HB historically representing less than 10% of the Company’s revenue within the ADMA BioManufacturing segment, it has been included under intermediates and other.</w:t>
      </w:r>
    </w:p>
    <w:p>
      <w:pPr>
        <w:pStyle w:val="TextBody"/>
        <w:bidi w:val="0"/>
        <w:spacing w:before="0" w:after="0"/>
        <w:jc w:val="left"/>
        <w:rPr/>
      </w:pPr>
      <w:r>
        <w:rPr/>
        <w:t> </w:t>
      </w:r>
    </w:p>
    <w:p>
      <w:pPr>
        <w:pStyle w:val="TextBody"/>
        <w:bidi w:val="0"/>
        <w:spacing w:before="0" w:after="0"/>
        <w:ind w:left="0" w:right="0" w:hanging="540"/>
        <w:jc w:val="left"/>
        <w:rPr>
          <w:rFonts w:ascii="Times New Roman" w:hAnsi="Times New Roman"/>
          <w:sz w:val="20"/>
        </w:rPr>
      </w:pPr>
      <w:r>
        <w:rPr>
          <w:rFonts w:ascii="Times New Roman" w:hAnsi="Times New Roman"/>
          <w:b/>
          <w:sz w:val="20"/>
          <w:u w:val="single"/>
        </w:rPr>
        <w:t>LEASE OBLIGATIONS</w:t>
      </w:r>
      <w:r>
        <w:rPr>
          <w:rFonts w:ascii="Times New Roman" w:hAnsi="Times New Roman"/>
          <w:sz w:val="20"/>
        </w:rPr>
        <w:t xml:space="preserve"> </w:t>
      </w:r>
      <w:r>
        <mc:AlternateContent>
          <mc:Choice Requires="wps">
            <w:drawing>
              <wp:anchor behindDoc="0" distT="0" distB="0" distL="0" distR="0" simplePos="0" locked="0" layoutInCell="1" allowOverlap="1" relativeHeight="54">
                <wp:simplePos x="0" y="0"/>
                <wp:positionH relativeFrom="column">
                  <wp:align>left</wp:align>
                </wp:positionH>
                <wp:positionV relativeFrom="line">
                  <wp:posOffset>635</wp:posOffset>
                </wp:positionV>
                <wp:extent cx="342900" cy="146685"/>
                <wp:effectExtent l="0" t="0" r="0" b="0"/>
                <wp:wrapSquare wrapText="right"/>
                <wp:docPr id="53" name="Frame53"/>
                <a:graphic xmlns:a="http://schemas.openxmlformats.org/drawingml/2006/main">
                  <a:graphicData uri="http://schemas.microsoft.com/office/word/2010/wordprocessingShape">
                    <wps:wsp>
                      <wps:cNvSpPr txBox="1"/>
                      <wps:spPr>
                        <a:xfrm>
                          <a:off x="0" y="0"/>
                          <a:ext cx="342900" cy="146685"/>
                        </a:xfrm>
                        <a:prstGeom prst="rect"/>
                        <a:solidFill>
                          <a:srgbClr val="FFFFFF"/>
                        </a:solidFill>
                      </wps:spPr>
                      <wps:txbx>
                        <w:txbxContent>
                          <w:p>
                            <w:pPr>
                              <w:pStyle w:val="TextBody"/>
                              <w:bidi w:val="0"/>
                              <w:spacing w:before="0" w:after="283"/>
                              <w:jc w:val="left"/>
                              <w:rPr>
                                <w:sz w:val="20"/>
                              </w:rPr>
                            </w:pPr>
                            <w:r>
                              <w:rPr>
                                <w:b/>
                                <w:sz w:val="20"/>
                              </w:rPr>
                              <w:t>12.</w:t>
                            </w:r>
                            <w:r>
                              <w:rPr>
                                <w:sz w:val="20"/>
                              </w:rPr>
                              <w:t xml:space="preserve"> </w:t>
                            </w:r>
                          </w:p>
                        </w:txbxContent>
                      </wps:txbx>
                      <wps:bodyPr anchor="t" lIns="0" tIns="0" rIns="0" bIns="0">
                        <a:noAutofit/>
                      </wps:bodyPr>
                    </wps:wsp>
                  </a:graphicData>
                </a:graphic>
              </wp:anchor>
            </w:drawing>
          </mc:Choice>
          <mc:Fallback>
            <w:pict>
              <v:rect style="position:absolute;rotation:-0;width:27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20"/>
                        </w:rPr>
                      </w:pPr>
                      <w:r>
                        <w:rPr>
                          <w:b/>
                          <w:sz w:val="20"/>
                        </w:rPr>
                        <w:t>12.</w:t>
                      </w:r>
                      <w:r>
                        <w:rPr>
                          <w:sz w:val="20"/>
                        </w:rPr>
                        <w:t xml:space="preserve"> </w:t>
                      </w:r>
                    </w:p>
                  </w:txbxContent>
                </v:textbox>
                <w10:wrap type="square" side="right"/>
              </v:rect>
            </w:pict>
          </mc:Fallback>
        </mc:AlternateContent>
      </w:r>
    </w:p>
    <w:p>
      <w:pPr>
        <w:pStyle w:val="TextBody"/>
        <w:bidi w:val="0"/>
        <w:spacing w:before="0" w:after="0"/>
        <w:ind w:left="360" w:right="0" w:hanging="0"/>
        <w:jc w:val="left"/>
        <w:rPr/>
      </w:pPr>
      <w:r>
        <w:rPr/>
        <w:t xml:space="preserve">  </w:t>
      </w:r>
    </w:p>
    <w:p>
      <w:pPr>
        <w:pStyle w:val="TextBody"/>
        <w:bidi w:val="0"/>
        <w:spacing w:before="0" w:after="0"/>
        <w:ind w:left="0" w:right="0" w:firstLine="720"/>
        <w:jc w:val="both"/>
        <w:rPr>
          <w:rFonts w:ascii="Times New Roman" w:hAnsi="Times New Roman"/>
          <w:sz w:val="20"/>
        </w:rPr>
      </w:pPr>
      <w:r>
        <w:rPr>
          <w:rFonts w:ascii="Times New Roman" w:hAnsi="Times New Roman"/>
          <w:sz w:val="20"/>
        </w:rPr>
        <w:t xml:space="preserve">The Company leases certain properties and equipment for its ADMA BioCenters and ADMA BioManufacturing subsidiaries, which leases provide the right to use the underlying assets and require lease payments through the respective lease terms which expire at various dates through 2033. The Company’s lease agreements do not contain any material residual value guarantees or material restrictive covenants. Upon adoption of ASU 2016-02, </w:t>
      </w:r>
      <w:r>
        <w:rPr>
          <w:rFonts w:ascii="Times New Roman" w:hAnsi="Times New Roman"/>
          <w:i/>
          <w:sz w:val="20"/>
        </w:rPr>
        <w:t xml:space="preserve">Leases (Topic 842) </w:t>
      </w:r>
      <w:r>
        <w:rPr>
          <w:rFonts w:ascii="Times New Roman" w:hAnsi="Times New Roman"/>
          <w:sz w:val="20"/>
        </w:rPr>
        <w:t xml:space="preserve">effective January 1, 2019, the Company elected the package of practical expedients, which permits the Company to not reassess under the new standard its prior conclusions about lease identification, lease classification and initial direct costs. In addition, the Company elected the short-term lease recognition exemption for qualifying leases. </w:t>
      </w:r>
    </w:p>
    <w:p>
      <w:pPr>
        <w:pStyle w:val="TextBody"/>
        <w:bidi w:val="0"/>
        <w:spacing w:before="0" w:after="0"/>
        <w:ind w:left="360" w:right="0" w:hanging="0"/>
        <w:jc w:val="both"/>
        <w:rPr/>
      </w:pPr>
      <w:r>
        <w:rPr/>
        <w:t xml:space="preserve">  </w:t>
      </w:r>
    </w:p>
    <w:p>
      <w:pPr>
        <w:pStyle w:val="TextBody"/>
        <w:bidi w:val="0"/>
        <w:spacing w:before="0" w:after="0"/>
        <w:ind w:left="0" w:right="0" w:firstLine="720"/>
        <w:jc w:val="both"/>
        <w:rPr>
          <w:rFonts w:ascii="Times New Roman" w:hAnsi="Times New Roman"/>
          <w:sz w:val="20"/>
        </w:rPr>
      </w:pPr>
      <w:r>
        <w:rPr>
          <w:rFonts w:ascii="Times New Roman" w:hAnsi="Times New Roman"/>
          <w:sz w:val="20"/>
        </w:rPr>
        <w:t>The Company determines if an arrangement is an operating lease or a financing lease at inception. Leases with an initial term of 12 months or less are not recorded on the balance sheet and lease expense for such leases are recognized on a straight-line basis over the lease term. All other leases are recorded on the balance sheet with assets representing the right to use the underlying asset for the lease term and lease liabilities representing the obligation to make lease payments arising from the lease. Right-of-use assets and lease liabilities are recognized at the lease commencement date based on the present value of lease payments over the lease term and include options to extend or terminate the lease when they are reasonably certain to be exercised. The present value of the lease payments is determined by using the Company’s estimated incremental borrowing rate as of the lease commencement date. The Company’s lease expense is recognized on a straight-line basis over the lease term and is reflected in Plasma center operating expenses and selling, general and administrative expenses. Aggregate lease expense for the Company’s leases was approximately $0.5 million and $0.6 million for the three months ended March 31, 2026 and 2025, respectively. Cash paid for the Company’s leases was approximately $0.4 million and $0.6 million for the three months ended March 31, 2026 and 2025, respectively.</w:t>
      </w:r>
    </w:p>
    <w:p>
      <w:pPr>
        <w:pStyle w:val="TextBody"/>
        <w:bidi w:val="0"/>
        <w:spacing w:before="0" w:after="0"/>
        <w:ind w:left="0" w:right="0" w:firstLine="720"/>
        <w:jc w:val="both"/>
        <w:rPr/>
      </w:pPr>
      <w:r>
        <w:rPr/>
        <w:t> </w:t>
      </w:r>
    </w:p>
    <w:p>
      <w:pPr>
        <w:pStyle w:val="TextBody"/>
        <w:bidi w:val="0"/>
        <w:spacing w:before="150" w:after="15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t>18</w:t>
      </w:r>
    </w:p>
    <w:p>
      <w:pPr>
        <w:pStyle w:val="HorizontalLine"/>
        <w:bidi w:val="0"/>
        <w:spacing w:before="150" w:after="150"/>
        <w:jc w:val="left"/>
        <w:rPr/>
      </w:pPr>
      <w:r>
        <w:rPr/>
      </w:r>
    </w:p>
    <w:p>
      <w:pPr>
        <w:pStyle w:val="TextBody"/>
        <w:bidi w:val="0"/>
        <w:spacing w:before="150" w:after="150"/>
        <w:jc w:val="left"/>
        <w:rPr/>
      </w:pPr>
      <w:hyperlink w:anchor="index">
        <w:r>
          <w:rPr>
            <w:rStyle w:val="InternetLink"/>
            <w:rFonts w:ascii="TimesNewRoman;Times New Roman;Times;Baskerville;Georgia;serif" w:hAnsi="TimesNewRoman;Times New Roman;Times;Baskerville;Georgia;serif"/>
            <w:b w:val="false"/>
            <w:i/>
            <w:caps w:val="false"/>
            <w:smallCaps w:val="false"/>
            <w:strike w:val="false"/>
            <w:dstrike w:val="false"/>
            <w:sz w:val="16"/>
            <w:u w:val="none"/>
            <w:effect w:val="none"/>
          </w:rPr>
          <w:t>Index</w:t>
        </w:r>
      </w:hyperlink>
    </w:p>
    <w:p>
      <w:pPr>
        <w:pStyle w:val="TextBody"/>
        <w:bidi w:val="0"/>
        <w:spacing w:before="0" w:after="0"/>
        <w:ind w:left="0" w:right="0" w:hanging="0"/>
        <w:jc w:val="center"/>
        <w:rPr>
          <w:rFonts w:ascii="Times New Roman" w:hAnsi="Times New Roman"/>
          <w:b/>
          <w:sz w:val="20"/>
        </w:rPr>
      </w:pPr>
      <w:r>
        <w:rPr>
          <w:rFonts w:ascii="Times New Roman" w:hAnsi="Times New Roman"/>
          <w:b/>
          <w:sz w:val="20"/>
        </w:rPr>
        <w:t>ADMA BIOLOGICS, INC. AND SUBSIDIARIES</w:t>
      </w:r>
    </w:p>
    <w:p>
      <w:pPr>
        <w:pStyle w:val="TextBody"/>
        <w:bidi w:val="0"/>
        <w:spacing w:before="0" w:after="0"/>
        <w:ind w:left="0" w:right="0" w:hanging="0"/>
        <w:jc w:val="center"/>
        <w:rPr>
          <w:rFonts w:ascii="Times New Roman" w:hAnsi="Times New Roman"/>
          <w:b/>
          <w:sz w:val="20"/>
        </w:rPr>
      </w:pPr>
      <w:r>
        <w:rPr>
          <w:rFonts w:ascii="Times New Roman" w:hAnsi="Times New Roman"/>
          <w:b/>
          <w:sz w:val="20"/>
        </w:rPr>
        <w:t>NOTES TO CONDENSED CONSOLIDATED FINANCIAL STATEMENTS (UNAUDITED)</w:t>
      </w:r>
    </w:p>
    <w:p>
      <w:pPr>
        <w:pStyle w:val="TextBody"/>
        <w:bidi w:val="0"/>
        <w:spacing w:before="0" w:after="0"/>
        <w:jc w:val="both"/>
        <w:rPr/>
      </w:pPr>
      <w:r>
        <w:rPr/>
        <w:t> </w:t>
      </w:r>
    </w:p>
    <w:p>
      <w:pPr>
        <w:pStyle w:val="TextBody"/>
        <w:bidi w:val="0"/>
        <w:spacing w:before="0" w:after="0"/>
        <w:ind w:left="0" w:right="0" w:firstLine="720"/>
        <w:jc w:val="both"/>
        <w:rPr>
          <w:rFonts w:ascii="Times New Roman" w:hAnsi="Times New Roman"/>
          <w:sz w:val="20"/>
        </w:rPr>
      </w:pPr>
      <w:r>
        <w:rPr>
          <w:rFonts w:ascii="Times New Roman" w:hAnsi="Times New Roman"/>
          <w:sz w:val="20"/>
        </w:rPr>
        <w:t>The Company has aggregate lease liabilities of $7.5 million and $7.7 million as of March 31, 2026 and December 31, 2025, respectively, which are comprised primarily of the leases for the Company’s plasma collection centers. As of March 31, 2026, the Company’s operating leases have a weighted-average remaining term of 5.53 years. Scheduled payments under the Company’s lease obligations are as follows (</w:t>
      </w:r>
      <w:r>
        <w:rPr>
          <w:rFonts w:ascii="Times New Roman" w:hAnsi="Times New Roman"/>
          <w:i/>
          <w:sz w:val="20"/>
        </w:rPr>
        <w:t>in thousands</w:t>
      </w:r>
      <w:r>
        <w:rPr>
          <w:rFonts w:ascii="Times New Roman" w:hAnsi="Times New Roman"/>
          <w:sz w:val="20"/>
        </w:rPr>
        <w:t xml:space="preserve">): </w:t>
      </w:r>
    </w:p>
    <w:p>
      <w:pPr>
        <w:pStyle w:val="TextBody"/>
        <w:bidi w:val="0"/>
        <w:spacing w:before="0" w:after="0"/>
        <w:ind w:left="360" w:right="0" w:hanging="0"/>
        <w:jc w:val="left"/>
        <w:rPr/>
      </w:pPr>
      <w:r>
        <w:rPr/>
        <w:t xml:space="preserve">  </w:t>
      </w:r>
    </w:p>
    <w:p>
      <w:pPr>
        <w:pStyle w:val="TextBody"/>
        <w:bidi w:val="0"/>
        <w:spacing w:before="0" w:after="0"/>
        <w:jc w:val="center"/>
        <w:rPr/>
      </w:pPr>
      <w:r>
        <w:rPr/>
        <w:t xml:space="preserve">  </w:t>
      </w:r>
    </w:p>
    <w:tbl>
      <w:tblPr>
        <w:tblW w:w="3890" w:type="dxa"/>
        <w:jc w:val="left"/>
        <w:tblInd w:w="0" w:type="dxa"/>
        <w:tblLayout w:type="fixed"/>
        <w:tblCellMar>
          <w:top w:w="0" w:type="dxa"/>
          <w:left w:w="0" w:type="dxa"/>
          <w:bottom w:w="0" w:type="dxa"/>
          <w:right w:w="0" w:type="dxa"/>
        </w:tblCellMar>
      </w:tblPr>
      <w:tblGrid>
        <w:gridCol w:w="2690"/>
        <w:gridCol w:w="90"/>
        <w:gridCol w:w="170"/>
        <w:gridCol w:w="710"/>
        <w:gridCol w:w="230"/>
      </w:tblGrid>
      <w:tr>
        <w:trPr/>
        <w:tc>
          <w:tcPr>
            <w:tcW w:w="2690" w:type="dxa"/>
            <w:tcBorders/>
            <w:shd w:fill="CCEEFF" w:val="clear"/>
            <w:vAlign w:val="center"/>
          </w:tcPr>
          <w:p>
            <w:pPr>
              <w:pStyle w:val="TableContents"/>
              <w:bidi w:val="0"/>
              <w:spacing w:before="0" w:after="0"/>
              <w:ind w:left="0" w:right="0" w:hanging="144"/>
              <w:jc w:val="left"/>
              <w:rPr/>
            </w:pPr>
            <w:r>
              <w:rPr/>
              <w:t xml:space="preserve">2026 </w:t>
            </w:r>
          </w:p>
        </w:tc>
        <w:tc>
          <w:tcPr>
            <w:tcW w:w="90"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w:t>
            </w:r>
          </w:p>
        </w:tc>
        <w:tc>
          <w:tcPr>
            <w:tcW w:w="710" w:type="dxa"/>
            <w:tcBorders/>
            <w:shd w:fill="CCEEFF" w:val="clear"/>
            <w:vAlign w:val="center"/>
          </w:tcPr>
          <w:p>
            <w:pPr>
              <w:pStyle w:val="TableContents"/>
              <w:bidi w:val="0"/>
              <w:spacing w:before="0" w:after="283"/>
              <w:jc w:val="right"/>
              <w:rPr/>
            </w:pPr>
            <w:r>
              <w:rPr/>
              <w:t>1,551</w:t>
            </w:r>
          </w:p>
        </w:tc>
        <w:tc>
          <w:tcPr>
            <w:tcW w:w="230" w:type="dxa"/>
            <w:tcBorders/>
            <w:shd w:fill="CCEEFF" w:val="clear"/>
            <w:vAlign w:val="center"/>
          </w:tcPr>
          <w:p>
            <w:pPr>
              <w:pStyle w:val="TableContents"/>
              <w:bidi w:val="0"/>
              <w:spacing w:before="0" w:after="283"/>
              <w:jc w:val="left"/>
              <w:rPr/>
            </w:pPr>
            <w:r>
              <w:rPr/>
              <w:t> </w:t>
            </w:r>
          </w:p>
        </w:tc>
      </w:tr>
      <w:tr>
        <w:trPr/>
        <w:tc>
          <w:tcPr>
            <w:tcW w:w="2690" w:type="dxa"/>
            <w:tcBorders/>
            <w:vAlign w:val="center"/>
          </w:tcPr>
          <w:p>
            <w:pPr>
              <w:pStyle w:val="TableContents"/>
              <w:bidi w:val="0"/>
              <w:spacing w:before="0" w:after="0"/>
              <w:ind w:left="0" w:right="0" w:hanging="144"/>
              <w:jc w:val="left"/>
              <w:rPr/>
            </w:pPr>
            <w:r>
              <w:rPr/>
              <w:t xml:space="preserve">2027 </w:t>
            </w:r>
          </w:p>
        </w:tc>
        <w:tc>
          <w:tcPr>
            <w:tcW w:w="90"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right"/>
              <w:rPr/>
            </w:pPr>
            <w:r>
              <w:rPr/>
              <w:t>1,947</w:t>
            </w:r>
          </w:p>
        </w:tc>
        <w:tc>
          <w:tcPr>
            <w:tcW w:w="230" w:type="dxa"/>
            <w:tcBorders/>
            <w:vAlign w:val="center"/>
          </w:tcPr>
          <w:p>
            <w:pPr>
              <w:pStyle w:val="TableContents"/>
              <w:bidi w:val="0"/>
              <w:spacing w:before="0" w:after="283"/>
              <w:jc w:val="left"/>
              <w:rPr/>
            </w:pPr>
            <w:r>
              <w:rPr/>
              <w:t> </w:t>
            </w:r>
          </w:p>
        </w:tc>
      </w:tr>
      <w:tr>
        <w:trPr/>
        <w:tc>
          <w:tcPr>
            <w:tcW w:w="2690" w:type="dxa"/>
            <w:tcBorders/>
            <w:shd w:fill="CCEEFF" w:val="clear"/>
            <w:vAlign w:val="center"/>
          </w:tcPr>
          <w:p>
            <w:pPr>
              <w:pStyle w:val="TableContents"/>
              <w:bidi w:val="0"/>
              <w:spacing w:before="0" w:after="0"/>
              <w:ind w:left="0" w:right="0" w:hanging="144"/>
              <w:jc w:val="left"/>
              <w:rPr/>
            </w:pPr>
            <w:r>
              <w:rPr/>
              <w:t xml:space="preserve">2028 </w:t>
            </w:r>
          </w:p>
        </w:tc>
        <w:tc>
          <w:tcPr>
            <w:tcW w:w="90"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 </w:t>
            </w:r>
          </w:p>
        </w:tc>
        <w:tc>
          <w:tcPr>
            <w:tcW w:w="710" w:type="dxa"/>
            <w:tcBorders/>
            <w:shd w:fill="CCEEFF" w:val="clear"/>
            <w:vAlign w:val="center"/>
          </w:tcPr>
          <w:p>
            <w:pPr>
              <w:pStyle w:val="TableContents"/>
              <w:bidi w:val="0"/>
              <w:spacing w:before="0" w:after="283"/>
              <w:jc w:val="right"/>
              <w:rPr/>
            </w:pPr>
            <w:r>
              <w:rPr/>
              <w:t>1,972</w:t>
            </w:r>
          </w:p>
        </w:tc>
        <w:tc>
          <w:tcPr>
            <w:tcW w:w="230" w:type="dxa"/>
            <w:tcBorders/>
            <w:shd w:fill="CCEEFF" w:val="clear"/>
            <w:vAlign w:val="center"/>
          </w:tcPr>
          <w:p>
            <w:pPr>
              <w:pStyle w:val="TableContents"/>
              <w:bidi w:val="0"/>
              <w:spacing w:before="0" w:after="283"/>
              <w:jc w:val="left"/>
              <w:rPr/>
            </w:pPr>
            <w:r>
              <w:rPr/>
              <w:t> </w:t>
            </w:r>
          </w:p>
        </w:tc>
      </w:tr>
      <w:tr>
        <w:trPr/>
        <w:tc>
          <w:tcPr>
            <w:tcW w:w="2690" w:type="dxa"/>
            <w:tcBorders/>
            <w:vAlign w:val="center"/>
          </w:tcPr>
          <w:p>
            <w:pPr>
              <w:pStyle w:val="TableContents"/>
              <w:bidi w:val="0"/>
              <w:spacing w:before="0" w:after="0"/>
              <w:ind w:left="0" w:right="0" w:hanging="144"/>
              <w:jc w:val="left"/>
              <w:rPr/>
            </w:pPr>
            <w:r>
              <w:rPr/>
              <w:t xml:space="preserve">2029 </w:t>
            </w:r>
          </w:p>
        </w:tc>
        <w:tc>
          <w:tcPr>
            <w:tcW w:w="90"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right"/>
              <w:rPr/>
            </w:pPr>
            <w:r>
              <w:rPr/>
              <w:t>1,896</w:t>
            </w:r>
          </w:p>
        </w:tc>
        <w:tc>
          <w:tcPr>
            <w:tcW w:w="230" w:type="dxa"/>
            <w:tcBorders/>
            <w:vAlign w:val="center"/>
          </w:tcPr>
          <w:p>
            <w:pPr>
              <w:pStyle w:val="TableContents"/>
              <w:bidi w:val="0"/>
              <w:spacing w:before="0" w:after="283"/>
              <w:jc w:val="left"/>
              <w:rPr/>
            </w:pPr>
            <w:r>
              <w:rPr/>
              <w:t> </w:t>
            </w:r>
          </w:p>
        </w:tc>
      </w:tr>
      <w:tr>
        <w:trPr/>
        <w:tc>
          <w:tcPr>
            <w:tcW w:w="2690" w:type="dxa"/>
            <w:tcBorders/>
            <w:shd w:fill="CCEEFF" w:val="clear"/>
            <w:vAlign w:val="center"/>
          </w:tcPr>
          <w:p>
            <w:pPr>
              <w:pStyle w:val="TableContents"/>
              <w:bidi w:val="0"/>
              <w:spacing w:before="0" w:after="0"/>
              <w:ind w:left="0" w:right="0" w:hanging="144"/>
              <w:jc w:val="left"/>
              <w:rPr/>
            </w:pPr>
            <w:r>
              <w:rPr/>
              <w:t xml:space="preserve">2030 </w:t>
            </w:r>
          </w:p>
        </w:tc>
        <w:tc>
          <w:tcPr>
            <w:tcW w:w="90"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 </w:t>
            </w:r>
          </w:p>
        </w:tc>
        <w:tc>
          <w:tcPr>
            <w:tcW w:w="710" w:type="dxa"/>
            <w:tcBorders/>
            <w:shd w:fill="CCEEFF" w:val="clear"/>
            <w:vAlign w:val="center"/>
          </w:tcPr>
          <w:p>
            <w:pPr>
              <w:pStyle w:val="TableContents"/>
              <w:bidi w:val="0"/>
              <w:spacing w:before="0" w:after="283"/>
              <w:jc w:val="right"/>
              <w:rPr/>
            </w:pPr>
            <w:r>
              <w:rPr/>
              <w:t>1,561</w:t>
            </w:r>
          </w:p>
        </w:tc>
        <w:tc>
          <w:tcPr>
            <w:tcW w:w="230" w:type="dxa"/>
            <w:tcBorders/>
            <w:shd w:fill="CCEEFF" w:val="clear"/>
            <w:vAlign w:val="center"/>
          </w:tcPr>
          <w:p>
            <w:pPr>
              <w:pStyle w:val="TableContents"/>
              <w:bidi w:val="0"/>
              <w:spacing w:before="0" w:after="283"/>
              <w:jc w:val="left"/>
              <w:rPr/>
            </w:pPr>
            <w:r>
              <w:rPr/>
              <w:t> </w:t>
            </w:r>
          </w:p>
        </w:tc>
      </w:tr>
      <w:tr>
        <w:trPr/>
        <w:tc>
          <w:tcPr>
            <w:tcW w:w="2690" w:type="dxa"/>
            <w:tcBorders/>
            <w:vAlign w:val="center"/>
          </w:tcPr>
          <w:p>
            <w:pPr>
              <w:pStyle w:val="TableContents"/>
              <w:bidi w:val="0"/>
              <w:spacing w:before="0" w:after="0"/>
              <w:jc w:val="left"/>
              <w:rPr/>
            </w:pPr>
            <w:r>
              <w:rPr/>
              <w:t xml:space="preserve">2031 </w:t>
            </w:r>
          </w:p>
        </w:tc>
        <w:tc>
          <w:tcPr>
            <w:tcW w:w="90"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right"/>
              <w:rPr/>
            </w:pPr>
            <w:r>
              <w:rPr/>
              <w:t>1,008</w:t>
            </w:r>
          </w:p>
        </w:tc>
        <w:tc>
          <w:tcPr>
            <w:tcW w:w="230" w:type="dxa"/>
            <w:tcBorders/>
            <w:vAlign w:val="center"/>
          </w:tcPr>
          <w:p>
            <w:pPr>
              <w:pStyle w:val="TableContents"/>
              <w:bidi w:val="0"/>
              <w:spacing w:before="0" w:after="283"/>
              <w:jc w:val="left"/>
              <w:rPr/>
            </w:pPr>
            <w:r>
              <w:rPr/>
              <w:t> </w:t>
            </w:r>
          </w:p>
        </w:tc>
      </w:tr>
      <w:tr>
        <w:trPr/>
        <w:tc>
          <w:tcPr>
            <w:tcW w:w="2690" w:type="dxa"/>
            <w:tcBorders/>
            <w:shd w:fill="CCEEFF" w:val="clear"/>
            <w:vAlign w:val="center"/>
          </w:tcPr>
          <w:p>
            <w:pPr>
              <w:pStyle w:val="TableContents"/>
              <w:bidi w:val="0"/>
              <w:spacing w:before="0" w:after="0"/>
              <w:ind w:left="0" w:right="0" w:hanging="144"/>
              <w:jc w:val="left"/>
              <w:rPr/>
            </w:pPr>
            <w:r>
              <w:rPr/>
              <w:t xml:space="preserve">Thereafter </w:t>
            </w:r>
          </w:p>
        </w:tc>
        <w:tc>
          <w:tcPr>
            <w:tcW w:w="90" w:type="dxa"/>
            <w:tcBorders/>
            <w:shd w:fill="CCEEFF" w:val="clear"/>
            <w:vAlign w:val="center"/>
          </w:tcPr>
          <w:p>
            <w:pPr>
              <w:pStyle w:val="TableContents"/>
              <w:bidi w:val="0"/>
              <w:spacing w:before="0" w:after="283"/>
              <w:jc w:val="righ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10" w:type="dxa"/>
            <w:tcBorders>
              <w:bottom w:val="single" w:sz="12" w:space="0" w:color="000000"/>
            </w:tcBorders>
            <w:shd w:fill="CCEEFF" w:val="clear"/>
            <w:tcMar>
              <w:bottom w:w="28" w:type="dxa"/>
            </w:tcMar>
            <w:vAlign w:val="center"/>
          </w:tcPr>
          <w:p>
            <w:pPr>
              <w:pStyle w:val="TableContents"/>
              <w:bidi w:val="0"/>
              <w:spacing w:before="0" w:after="283"/>
              <w:jc w:val="right"/>
              <w:rPr/>
            </w:pPr>
            <w:r>
              <w:rPr/>
              <w:t>445</w:t>
            </w:r>
          </w:p>
        </w:tc>
        <w:tc>
          <w:tcPr>
            <w:tcW w:w="23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r>
      <w:tr>
        <w:trPr/>
        <w:tc>
          <w:tcPr>
            <w:tcW w:w="2690" w:type="dxa"/>
            <w:tcBorders/>
            <w:vAlign w:val="center"/>
          </w:tcPr>
          <w:p>
            <w:pPr>
              <w:pStyle w:val="TableContents"/>
              <w:bidi w:val="0"/>
              <w:spacing w:before="0" w:after="0"/>
              <w:ind w:left="0" w:right="0" w:hanging="144"/>
              <w:jc w:val="left"/>
              <w:rPr/>
            </w:pPr>
            <w:r>
              <w:rPr/>
              <w:t xml:space="preserve">Total payments </w:t>
            </w:r>
          </w:p>
        </w:tc>
        <w:tc>
          <w:tcPr>
            <w:tcW w:w="90"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right"/>
              <w:rPr/>
            </w:pPr>
            <w:r>
              <w:rPr/>
              <w:t>10,380</w:t>
            </w:r>
          </w:p>
        </w:tc>
        <w:tc>
          <w:tcPr>
            <w:tcW w:w="230" w:type="dxa"/>
            <w:tcBorders/>
            <w:vAlign w:val="center"/>
          </w:tcPr>
          <w:p>
            <w:pPr>
              <w:pStyle w:val="TableContents"/>
              <w:bidi w:val="0"/>
              <w:spacing w:before="0" w:after="283"/>
              <w:jc w:val="left"/>
              <w:rPr/>
            </w:pPr>
            <w:r>
              <w:rPr/>
              <w:t> </w:t>
            </w:r>
          </w:p>
        </w:tc>
      </w:tr>
      <w:tr>
        <w:trPr/>
        <w:tc>
          <w:tcPr>
            <w:tcW w:w="2690" w:type="dxa"/>
            <w:tcBorders/>
            <w:shd w:fill="CCEEFF" w:val="clear"/>
            <w:vAlign w:val="center"/>
          </w:tcPr>
          <w:p>
            <w:pPr>
              <w:pStyle w:val="TableContents"/>
              <w:bidi w:val="0"/>
              <w:spacing w:before="0" w:after="0"/>
              <w:jc w:val="left"/>
              <w:rPr/>
            </w:pPr>
            <w:r>
              <w:rPr/>
              <w:t xml:space="preserve">Less: imputed interest </w:t>
            </w:r>
          </w:p>
        </w:tc>
        <w:tc>
          <w:tcPr>
            <w:tcW w:w="90"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 </w:t>
            </w:r>
          </w:p>
        </w:tc>
        <w:tc>
          <w:tcPr>
            <w:tcW w:w="710" w:type="dxa"/>
            <w:tcBorders/>
            <w:shd w:fill="CCEEFF" w:val="clear"/>
            <w:vAlign w:val="center"/>
          </w:tcPr>
          <w:p>
            <w:pPr>
              <w:pStyle w:val="TableContents"/>
              <w:bidi w:val="0"/>
              <w:spacing w:before="0" w:after="283"/>
              <w:jc w:val="right"/>
              <w:rPr/>
            </w:pPr>
            <w:r>
              <w:rPr/>
              <w:t>(2,839</w:t>
            </w:r>
          </w:p>
        </w:tc>
        <w:tc>
          <w:tcPr>
            <w:tcW w:w="230" w:type="dxa"/>
            <w:tcBorders/>
            <w:shd w:fill="CCEEFF" w:val="clear"/>
            <w:vAlign w:val="center"/>
          </w:tcPr>
          <w:p>
            <w:pPr>
              <w:pStyle w:val="TableContents"/>
              <w:bidi w:val="0"/>
              <w:spacing w:before="0" w:after="283"/>
              <w:jc w:val="left"/>
              <w:rPr/>
            </w:pPr>
            <w:r>
              <w:rPr/>
              <w:t>) </w:t>
            </w:r>
          </w:p>
        </w:tc>
      </w:tr>
      <w:tr>
        <w:trPr/>
        <w:tc>
          <w:tcPr>
            <w:tcW w:w="2690" w:type="dxa"/>
            <w:tcBorders/>
            <w:vAlign w:val="center"/>
          </w:tcPr>
          <w:p>
            <w:pPr>
              <w:pStyle w:val="TableContents"/>
              <w:bidi w:val="0"/>
              <w:spacing w:before="0" w:after="0"/>
              <w:jc w:val="left"/>
              <w:rPr/>
            </w:pPr>
            <w:r>
              <w:rPr/>
              <w:t xml:space="preserve">Current portion </w:t>
            </w:r>
          </w:p>
        </w:tc>
        <w:tc>
          <w:tcPr>
            <w:tcW w:w="90" w:type="dxa"/>
            <w:tcBorders/>
            <w:vAlign w:val="center"/>
          </w:tcPr>
          <w:p>
            <w:pPr>
              <w:pStyle w:val="TableContents"/>
              <w:bidi w:val="0"/>
              <w:spacing w:before="0" w:after="283"/>
              <w:jc w:val="righ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710" w:type="dxa"/>
            <w:tcBorders>
              <w:bottom w:val="single" w:sz="12" w:space="0" w:color="000000"/>
            </w:tcBorders>
            <w:tcMar>
              <w:bottom w:w="28" w:type="dxa"/>
            </w:tcMar>
            <w:vAlign w:val="center"/>
          </w:tcPr>
          <w:p>
            <w:pPr>
              <w:pStyle w:val="TableContents"/>
              <w:bidi w:val="0"/>
              <w:spacing w:before="0" w:after="283"/>
              <w:jc w:val="right"/>
              <w:rPr/>
            </w:pPr>
            <w:r>
              <w:rPr/>
              <w:t>(1,176</w:t>
            </w:r>
          </w:p>
        </w:tc>
        <w:tc>
          <w:tcPr>
            <w:tcW w:w="230" w:type="dxa"/>
            <w:tcBorders/>
            <w:vAlign w:val="center"/>
          </w:tcPr>
          <w:p>
            <w:pPr>
              <w:pStyle w:val="TableContents"/>
              <w:bidi w:val="0"/>
              <w:spacing w:before="0" w:after="283"/>
              <w:jc w:val="left"/>
              <w:rPr/>
            </w:pPr>
            <w:r>
              <w:rPr/>
              <w:t>) </w:t>
            </w:r>
          </w:p>
        </w:tc>
      </w:tr>
      <w:tr>
        <w:trPr/>
        <w:tc>
          <w:tcPr>
            <w:tcW w:w="2690" w:type="dxa"/>
            <w:tcBorders/>
            <w:shd w:fill="CCEEFF" w:val="clear"/>
            <w:vAlign w:val="center"/>
          </w:tcPr>
          <w:p>
            <w:pPr>
              <w:pStyle w:val="TableContents"/>
              <w:bidi w:val="0"/>
              <w:spacing w:before="0" w:after="0"/>
              <w:ind w:left="0" w:right="0" w:hanging="144"/>
              <w:jc w:val="left"/>
              <w:rPr/>
            </w:pPr>
            <w:r>
              <w:rPr/>
              <w:t xml:space="preserve">Balance at March 31, 2026 </w:t>
            </w:r>
          </w:p>
        </w:tc>
        <w:tc>
          <w:tcPr>
            <w:tcW w:w="90" w:type="dxa"/>
            <w:tcBorders/>
            <w:shd w:fill="CCEEFF" w:val="clear"/>
            <w:vAlign w:val="center"/>
          </w:tcPr>
          <w:p>
            <w:pPr>
              <w:pStyle w:val="TableContents"/>
              <w:bidi w:val="0"/>
              <w:spacing w:before="0" w:after="283"/>
              <w:jc w:val="right"/>
              <w:rPr/>
            </w:pPr>
            <w:r>
              <w:rPr/>
              <w:t> </w:t>
            </w:r>
          </w:p>
        </w:tc>
        <w:tc>
          <w:tcPr>
            <w:tcW w:w="170" w:type="dxa"/>
            <w:tcBorders>
              <w:bottom w:val="double" w:sz="8" w:space="0" w:color="000000"/>
            </w:tcBorders>
            <w:shd w:fill="CCEEFF" w:val="clear"/>
            <w:tcMar>
              <w:bottom w:w="28" w:type="dxa"/>
            </w:tcMar>
            <w:vAlign w:val="center"/>
          </w:tcPr>
          <w:p>
            <w:pPr>
              <w:pStyle w:val="TableContents"/>
              <w:bidi w:val="0"/>
              <w:spacing w:before="0" w:after="283"/>
              <w:jc w:val="left"/>
              <w:rPr/>
            </w:pPr>
            <w:r>
              <w:rPr/>
              <w:t>$</w:t>
            </w:r>
          </w:p>
        </w:tc>
        <w:tc>
          <w:tcPr>
            <w:tcW w:w="710" w:type="dxa"/>
            <w:tcBorders>
              <w:bottom w:val="double" w:sz="8" w:space="0" w:color="000000"/>
            </w:tcBorders>
            <w:shd w:fill="CCEEFF" w:val="clear"/>
            <w:tcMar>
              <w:bottom w:w="28" w:type="dxa"/>
            </w:tcMar>
            <w:vAlign w:val="center"/>
          </w:tcPr>
          <w:p>
            <w:pPr>
              <w:pStyle w:val="TableContents"/>
              <w:bidi w:val="0"/>
              <w:spacing w:before="0" w:after="283"/>
              <w:jc w:val="right"/>
              <w:rPr/>
            </w:pPr>
            <w:r>
              <w:rPr/>
              <w:t>6,365</w:t>
            </w:r>
          </w:p>
        </w:tc>
        <w:tc>
          <w:tcPr>
            <w:tcW w:w="230" w:type="dxa"/>
            <w:tcBorders>
              <w:bottom w:val="double" w:sz="8" w:space="0" w:color="000000"/>
            </w:tcBorders>
            <w:shd w:fill="CCEEFF" w:val="clear"/>
            <w:tcMar>
              <w:bottom w:w="28" w:type="dxa"/>
            </w:tcMar>
            <w:vAlign w:val="center"/>
          </w:tcPr>
          <w:p>
            <w:pPr>
              <w:pStyle w:val="TableContents"/>
              <w:bidi w:val="0"/>
              <w:spacing w:before="0" w:after="283"/>
              <w:jc w:val="left"/>
              <w:rPr/>
            </w:pPr>
            <w:r>
              <w:rPr/>
              <w:t> </w:t>
            </w:r>
          </w:p>
        </w:tc>
      </w:tr>
    </w:tbl>
    <w:p>
      <w:pPr>
        <w:pStyle w:val="TextBody"/>
        <w:bidi w:val="0"/>
        <w:spacing w:before="0" w:after="0"/>
        <w:jc w:val="center"/>
        <w:rPr/>
      </w:pPr>
      <w:r>
        <w:rPr/>
        <w:t xml:space="preserve">  </w:t>
      </w:r>
    </w:p>
    <w:p>
      <w:pPr>
        <w:pStyle w:val="TextBody"/>
        <w:bidi w:val="0"/>
        <w:spacing w:before="0" w:after="0"/>
        <w:ind w:left="0" w:right="0" w:hanging="540"/>
        <w:jc w:val="left"/>
        <w:rPr>
          <w:rFonts w:ascii="Times New Roman" w:hAnsi="Times New Roman"/>
          <w:sz w:val="20"/>
        </w:rPr>
      </w:pPr>
      <w:r>
        <w:rPr>
          <w:rFonts w:ascii="Times New Roman" w:hAnsi="Times New Roman"/>
          <w:b/>
          <w:sz w:val="20"/>
          <w:u w:val="single"/>
        </w:rPr>
        <w:t>INCOME TAXES</w:t>
      </w:r>
      <w:r>
        <w:rPr>
          <w:rFonts w:ascii="Times New Roman" w:hAnsi="Times New Roman"/>
          <w:sz w:val="20"/>
        </w:rPr>
        <w:t xml:space="preserve"> </w:t>
      </w:r>
      <w:r>
        <mc:AlternateContent>
          <mc:Choice Requires="wps">
            <w:drawing>
              <wp:anchor behindDoc="0" distT="0" distB="0" distL="0" distR="0" simplePos="0" locked="0" layoutInCell="1" allowOverlap="1" relativeHeight="55">
                <wp:simplePos x="0" y="0"/>
                <wp:positionH relativeFrom="column">
                  <wp:align>left</wp:align>
                </wp:positionH>
                <wp:positionV relativeFrom="line">
                  <wp:posOffset>635</wp:posOffset>
                </wp:positionV>
                <wp:extent cx="342900" cy="146685"/>
                <wp:effectExtent l="0" t="0" r="0" b="0"/>
                <wp:wrapSquare wrapText="right"/>
                <wp:docPr id="54" name="Frame54"/>
                <a:graphic xmlns:a="http://schemas.openxmlformats.org/drawingml/2006/main">
                  <a:graphicData uri="http://schemas.microsoft.com/office/word/2010/wordprocessingShape">
                    <wps:wsp>
                      <wps:cNvSpPr txBox="1"/>
                      <wps:spPr>
                        <a:xfrm>
                          <a:off x="0" y="0"/>
                          <a:ext cx="342900" cy="146685"/>
                        </a:xfrm>
                        <a:prstGeom prst="rect"/>
                        <a:solidFill>
                          <a:srgbClr val="FFFFFF"/>
                        </a:solidFill>
                      </wps:spPr>
                      <wps:txbx>
                        <w:txbxContent>
                          <w:p>
                            <w:pPr>
                              <w:pStyle w:val="TextBody"/>
                              <w:bidi w:val="0"/>
                              <w:spacing w:before="0" w:after="283"/>
                              <w:jc w:val="left"/>
                              <w:rPr>
                                <w:sz w:val="20"/>
                              </w:rPr>
                            </w:pPr>
                            <w:r>
                              <w:rPr>
                                <w:b/>
                                <w:sz w:val="20"/>
                              </w:rPr>
                              <w:t>13.</w:t>
                            </w:r>
                            <w:r>
                              <w:rPr>
                                <w:sz w:val="20"/>
                              </w:rPr>
                              <w:t xml:space="preserve"> </w:t>
                            </w:r>
                          </w:p>
                        </w:txbxContent>
                      </wps:txbx>
                      <wps:bodyPr anchor="t" lIns="0" tIns="0" rIns="0" bIns="0">
                        <a:noAutofit/>
                      </wps:bodyPr>
                    </wps:wsp>
                  </a:graphicData>
                </a:graphic>
              </wp:anchor>
            </w:drawing>
          </mc:Choice>
          <mc:Fallback>
            <w:pict>
              <v:rect style="position:absolute;rotation:-0;width:27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20"/>
                        </w:rPr>
                      </w:pPr>
                      <w:r>
                        <w:rPr>
                          <w:b/>
                          <w:sz w:val="20"/>
                        </w:rPr>
                        <w:t>13.</w:t>
                      </w:r>
                      <w:r>
                        <w:rPr>
                          <w:sz w:val="20"/>
                        </w:rPr>
                        <w:t xml:space="preserve"> </w:t>
                      </w:r>
                    </w:p>
                  </w:txbxContent>
                </v:textbox>
                <w10:wrap type="square" side="right"/>
              </v:rect>
            </w:pict>
          </mc:Fallback>
        </mc:AlternateContent>
      </w:r>
    </w:p>
    <w:p>
      <w:pPr>
        <w:pStyle w:val="TextBody"/>
        <w:bidi w:val="0"/>
        <w:spacing w:before="0" w:after="0"/>
        <w:jc w:val="left"/>
        <w:rPr/>
      </w:pPr>
      <w:r>
        <w:rPr/>
        <w:t xml:space="preserve">  </w:t>
      </w:r>
    </w:p>
    <w:p>
      <w:pPr>
        <w:pStyle w:val="TextBody"/>
        <w:bidi w:val="0"/>
        <w:spacing w:before="0" w:after="0"/>
        <w:ind w:left="0" w:right="0" w:firstLine="720"/>
        <w:jc w:val="both"/>
        <w:rPr>
          <w:rFonts w:ascii="Times New Roman" w:hAnsi="Times New Roman"/>
          <w:sz w:val="20"/>
        </w:rPr>
      </w:pPr>
      <w:r>
        <w:rPr>
          <w:rFonts w:ascii="Times New Roman" w:hAnsi="Times New Roman"/>
          <w:sz w:val="20"/>
        </w:rPr>
        <w:t xml:space="preserve">The Company uses the estimated annual effective tax rate approach as prescribed by ASC 740-270, Interim Reporting, to calculate its interim provision for income taxes. </w:t>
      </w:r>
    </w:p>
    <w:p>
      <w:pPr>
        <w:pStyle w:val="TextBody"/>
        <w:bidi w:val="0"/>
        <w:spacing w:before="0" w:after="0"/>
        <w:jc w:val="center"/>
        <w:rPr/>
      </w:pPr>
      <w:r>
        <w:rPr/>
        <w:t xml:space="preserve">  </w:t>
      </w:r>
    </w:p>
    <w:tbl>
      <w:tblPr>
        <w:tblW w:w="5000" w:type="pct"/>
        <w:jc w:val="left"/>
        <w:tblInd w:w="0" w:type="dxa"/>
        <w:tblLayout w:type="fixed"/>
        <w:tblCellMar>
          <w:top w:w="0" w:type="dxa"/>
          <w:left w:w="0" w:type="dxa"/>
          <w:bottom w:w="0" w:type="dxa"/>
          <w:right w:w="0" w:type="dxa"/>
        </w:tblCellMar>
      </w:tblPr>
      <w:tblGrid>
        <w:gridCol w:w="4666"/>
        <w:gridCol w:w="126"/>
        <w:gridCol w:w="238"/>
        <w:gridCol w:w="1877"/>
        <w:gridCol w:w="646"/>
        <w:gridCol w:w="238"/>
        <w:gridCol w:w="449"/>
        <w:gridCol w:w="1559"/>
        <w:gridCol w:w="406"/>
      </w:tblGrid>
      <w:tr>
        <w:trPr/>
        <w:tc>
          <w:tcPr>
            <w:tcW w:w="4666" w:type="dxa"/>
            <w:tcBorders/>
            <w:vAlign w:val="bottom"/>
          </w:tcPr>
          <w:p>
            <w:pPr>
              <w:pStyle w:val="TableContents"/>
              <w:bidi w:val="0"/>
              <w:spacing w:before="0" w:after="283"/>
              <w:jc w:val="left"/>
              <w:rPr/>
            </w:pPr>
            <w:r>
              <w:rPr/>
              <w:t> </w:t>
            </w:r>
          </w:p>
        </w:tc>
        <w:tc>
          <w:tcPr>
            <w:tcW w:w="126" w:type="dxa"/>
            <w:tcBorders/>
            <w:vAlign w:val="bottom"/>
          </w:tcPr>
          <w:p>
            <w:pPr>
              <w:pStyle w:val="TableContents"/>
              <w:bidi w:val="0"/>
              <w:spacing w:before="0" w:after="0"/>
              <w:ind w:left="0" w:right="0" w:hanging="0"/>
              <w:jc w:val="left"/>
              <w:rPr/>
            </w:pPr>
            <w:r>
              <w:rPr/>
            </w:r>
          </w:p>
        </w:tc>
        <w:tc>
          <w:tcPr>
            <w:tcW w:w="238" w:type="dxa"/>
            <w:tcBorders>
              <w:bottom w:val="single" w:sz="12" w:space="0" w:color="000000"/>
            </w:tcBorders>
            <w:tcMar>
              <w:bottom w:w="28" w:type="dxa"/>
            </w:tcMar>
            <w:vAlign w:val="bottom"/>
          </w:tcPr>
          <w:p>
            <w:pPr>
              <w:pStyle w:val="TableContents"/>
              <w:bidi w:val="0"/>
              <w:spacing w:before="0" w:after="283"/>
              <w:jc w:val="center"/>
              <w:rPr/>
            </w:pPr>
            <w:r>
              <w:rPr/>
              <w:t> </w:t>
            </w:r>
          </w:p>
        </w:tc>
        <w:tc>
          <w:tcPr>
            <w:tcW w:w="4769" w:type="dxa"/>
            <w:gridSpan w:val="5"/>
            <w:tcBorders>
              <w:bottom w:val="single" w:sz="12" w:space="0" w:color="000000"/>
            </w:tcBorders>
            <w:tcMar>
              <w:bottom w:w="28" w:type="dxa"/>
            </w:tcMar>
            <w:vAlign w:val="bottom"/>
          </w:tcPr>
          <w:p>
            <w:pPr>
              <w:pStyle w:val="TableContents"/>
              <w:bidi w:val="0"/>
              <w:spacing w:before="0" w:after="283"/>
              <w:jc w:val="center"/>
              <w:rPr/>
            </w:pPr>
            <w:r>
              <w:rPr>
                <w:b/>
                <w:spacing w:val="0"/>
              </w:rPr>
              <w:t>Three Months Ended March 31,</w:t>
            </w:r>
            <w:r>
              <w:rPr/>
              <w:t xml:space="preserve"> </w:t>
            </w:r>
          </w:p>
        </w:tc>
        <w:tc>
          <w:tcPr>
            <w:tcW w:w="406" w:type="dxa"/>
            <w:tcBorders/>
          </w:tcPr>
          <w:p>
            <w:pPr>
              <w:pStyle w:val="TableContents"/>
              <w:bidi w:val="0"/>
              <w:spacing w:before="0" w:after="283"/>
              <w:jc w:val="center"/>
              <w:rPr/>
            </w:pPr>
            <w:r>
              <w:rPr/>
              <w:t> </w:t>
            </w:r>
          </w:p>
        </w:tc>
      </w:tr>
      <w:tr>
        <w:trPr/>
        <w:tc>
          <w:tcPr>
            <w:tcW w:w="4666" w:type="dxa"/>
            <w:tcBorders/>
            <w:vAlign w:val="bottom"/>
          </w:tcPr>
          <w:p>
            <w:pPr>
              <w:pStyle w:val="TableContents"/>
              <w:bidi w:val="0"/>
              <w:spacing w:before="0" w:after="283"/>
              <w:jc w:val="left"/>
              <w:rPr/>
            </w:pPr>
            <w:r>
              <w:rPr/>
              <w:t> </w:t>
            </w:r>
          </w:p>
        </w:tc>
        <w:tc>
          <w:tcPr>
            <w:tcW w:w="126" w:type="dxa"/>
            <w:tcBorders/>
            <w:vAlign w:val="bottom"/>
          </w:tcPr>
          <w:p>
            <w:pPr>
              <w:pStyle w:val="TableContents"/>
              <w:bidi w:val="0"/>
              <w:spacing w:before="0" w:after="283"/>
              <w:jc w:val="center"/>
              <w:rPr/>
            </w:pPr>
            <w:r>
              <w:rPr/>
              <w:t> </w:t>
            </w:r>
          </w:p>
        </w:tc>
        <w:tc>
          <w:tcPr>
            <w:tcW w:w="238" w:type="dxa"/>
            <w:tcBorders>
              <w:bottom w:val="single" w:sz="12" w:space="0" w:color="000000"/>
            </w:tcBorders>
            <w:tcMar>
              <w:bottom w:w="28" w:type="dxa"/>
            </w:tcMar>
            <w:vAlign w:val="bottom"/>
          </w:tcPr>
          <w:p>
            <w:pPr>
              <w:pStyle w:val="TableContents"/>
              <w:bidi w:val="0"/>
              <w:spacing w:before="0" w:after="283"/>
              <w:jc w:val="center"/>
              <w:rPr/>
            </w:pPr>
            <w:r>
              <w:rPr/>
              <w:t> </w:t>
            </w:r>
          </w:p>
        </w:tc>
        <w:tc>
          <w:tcPr>
            <w:tcW w:w="1877" w:type="dxa"/>
            <w:tcBorders>
              <w:bottom w:val="single" w:sz="12" w:space="0" w:color="000000"/>
            </w:tcBorders>
            <w:tcMar>
              <w:bottom w:w="28" w:type="dxa"/>
            </w:tcMar>
            <w:vAlign w:val="bottom"/>
          </w:tcPr>
          <w:p>
            <w:pPr>
              <w:pStyle w:val="TableContents"/>
              <w:bidi w:val="0"/>
              <w:spacing w:before="0" w:after="0"/>
              <w:ind w:left="0" w:right="0" w:hanging="0"/>
              <w:jc w:val="center"/>
              <w:rPr>
                <w:b/>
              </w:rPr>
            </w:pPr>
            <w:r>
              <w:rPr>
                <w:b/>
              </w:rPr>
              <w:t>2026</w:t>
            </w:r>
          </w:p>
        </w:tc>
        <w:tc>
          <w:tcPr>
            <w:tcW w:w="646" w:type="dxa"/>
            <w:tcBorders/>
            <w:vAlign w:val="bottom"/>
          </w:tcPr>
          <w:p>
            <w:pPr>
              <w:pStyle w:val="TableContents"/>
              <w:bidi w:val="0"/>
              <w:spacing w:before="0" w:after="283"/>
              <w:jc w:val="center"/>
              <w:rPr/>
            </w:pPr>
            <w:r>
              <w:rPr/>
              <w:t> </w:t>
            </w:r>
          </w:p>
        </w:tc>
        <w:tc>
          <w:tcPr>
            <w:tcW w:w="238" w:type="dxa"/>
            <w:tcBorders/>
            <w:vAlign w:val="bottom"/>
          </w:tcPr>
          <w:p>
            <w:pPr>
              <w:pStyle w:val="TableContents"/>
              <w:bidi w:val="0"/>
              <w:spacing w:before="0" w:after="283"/>
              <w:jc w:val="center"/>
              <w:rPr/>
            </w:pPr>
            <w:r>
              <w:rPr/>
              <w:t> </w:t>
            </w:r>
          </w:p>
        </w:tc>
        <w:tc>
          <w:tcPr>
            <w:tcW w:w="449" w:type="dxa"/>
            <w:tcBorders>
              <w:bottom w:val="single" w:sz="12" w:space="0" w:color="000000"/>
            </w:tcBorders>
            <w:tcMar>
              <w:bottom w:w="28" w:type="dxa"/>
            </w:tcMar>
            <w:vAlign w:val="bottom"/>
          </w:tcPr>
          <w:p>
            <w:pPr>
              <w:pStyle w:val="TableContents"/>
              <w:bidi w:val="0"/>
              <w:spacing w:before="0" w:after="283"/>
              <w:jc w:val="center"/>
              <w:rPr/>
            </w:pPr>
            <w:r>
              <w:rPr/>
              <w:t> </w:t>
            </w:r>
          </w:p>
        </w:tc>
        <w:tc>
          <w:tcPr>
            <w:tcW w:w="1559" w:type="dxa"/>
            <w:tcBorders>
              <w:bottom w:val="single" w:sz="12" w:space="0" w:color="000000"/>
            </w:tcBorders>
            <w:tcMar>
              <w:bottom w:w="28" w:type="dxa"/>
            </w:tcMar>
            <w:vAlign w:val="bottom"/>
          </w:tcPr>
          <w:p>
            <w:pPr>
              <w:pStyle w:val="TableContents"/>
              <w:bidi w:val="0"/>
              <w:spacing w:before="0" w:after="0"/>
              <w:ind w:left="0" w:right="0" w:hanging="0"/>
              <w:jc w:val="center"/>
              <w:rPr>
                <w:b/>
              </w:rPr>
            </w:pPr>
            <w:r>
              <w:rPr>
                <w:b/>
              </w:rPr>
              <w:t>2025</w:t>
            </w:r>
          </w:p>
        </w:tc>
        <w:tc>
          <w:tcPr>
            <w:tcW w:w="406" w:type="dxa"/>
            <w:tcBorders/>
          </w:tcPr>
          <w:p>
            <w:pPr>
              <w:pStyle w:val="TableContents"/>
              <w:bidi w:val="0"/>
              <w:spacing w:before="0" w:after="283"/>
              <w:jc w:val="center"/>
              <w:rPr/>
            </w:pPr>
            <w:r>
              <w:rPr/>
              <w:t> </w:t>
            </w:r>
          </w:p>
        </w:tc>
      </w:tr>
      <w:tr>
        <w:trPr/>
        <w:tc>
          <w:tcPr>
            <w:tcW w:w="4666" w:type="dxa"/>
            <w:tcBorders/>
            <w:vAlign w:val="bottom"/>
          </w:tcPr>
          <w:p>
            <w:pPr>
              <w:pStyle w:val="TableContents"/>
              <w:bidi w:val="0"/>
              <w:spacing w:before="0" w:after="0"/>
              <w:jc w:val="left"/>
              <w:rPr>
                <w:i/>
              </w:rPr>
            </w:pPr>
            <w:r>
              <w:rPr>
                <w:i/>
              </w:rPr>
              <w:t>(in thousands, except percentages)</w:t>
            </w:r>
          </w:p>
        </w:tc>
        <w:tc>
          <w:tcPr>
            <w:tcW w:w="126" w:type="dxa"/>
            <w:tcBorders/>
            <w:vAlign w:val="bottom"/>
          </w:tcPr>
          <w:p>
            <w:pPr>
              <w:pStyle w:val="TableContents"/>
              <w:bidi w:val="0"/>
              <w:spacing w:before="0" w:after="283"/>
              <w:jc w:val="left"/>
              <w:rPr/>
            </w:pPr>
            <w:r>
              <w:rPr/>
              <w:t> </w:t>
            </w:r>
          </w:p>
        </w:tc>
        <w:tc>
          <w:tcPr>
            <w:tcW w:w="238" w:type="dxa"/>
            <w:tcBorders/>
            <w:vAlign w:val="bottom"/>
          </w:tcPr>
          <w:p>
            <w:pPr>
              <w:pStyle w:val="TableContents"/>
              <w:bidi w:val="0"/>
              <w:spacing w:before="0" w:after="283"/>
              <w:jc w:val="left"/>
              <w:rPr/>
            </w:pPr>
            <w:r>
              <w:rPr/>
              <w:t> </w:t>
            </w:r>
          </w:p>
        </w:tc>
        <w:tc>
          <w:tcPr>
            <w:tcW w:w="1877" w:type="dxa"/>
            <w:tcBorders/>
            <w:vAlign w:val="bottom"/>
          </w:tcPr>
          <w:p>
            <w:pPr>
              <w:pStyle w:val="TableContents"/>
              <w:bidi w:val="0"/>
              <w:spacing w:before="0" w:after="283"/>
              <w:jc w:val="left"/>
              <w:rPr/>
            </w:pPr>
            <w:r>
              <w:rPr/>
              <w:t> </w:t>
            </w:r>
          </w:p>
        </w:tc>
        <w:tc>
          <w:tcPr>
            <w:tcW w:w="646" w:type="dxa"/>
            <w:tcBorders/>
            <w:vAlign w:val="bottom"/>
          </w:tcPr>
          <w:p>
            <w:pPr>
              <w:pStyle w:val="TableContents"/>
              <w:bidi w:val="0"/>
              <w:spacing w:before="0" w:after="283"/>
              <w:jc w:val="left"/>
              <w:rPr/>
            </w:pPr>
            <w:r>
              <w:rPr/>
              <w:t> </w:t>
            </w:r>
          </w:p>
        </w:tc>
        <w:tc>
          <w:tcPr>
            <w:tcW w:w="238" w:type="dxa"/>
            <w:tcBorders/>
            <w:vAlign w:val="bottom"/>
          </w:tcPr>
          <w:p>
            <w:pPr>
              <w:pStyle w:val="TableContents"/>
              <w:bidi w:val="0"/>
              <w:spacing w:before="0" w:after="283"/>
              <w:jc w:val="left"/>
              <w:rPr/>
            </w:pPr>
            <w:r>
              <w:rPr/>
              <w:t> </w:t>
            </w:r>
          </w:p>
        </w:tc>
        <w:tc>
          <w:tcPr>
            <w:tcW w:w="449" w:type="dxa"/>
            <w:tcBorders/>
            <w:vAlign w:val="bottom"/>
          </w:tcPr>
          <w:p>
            <w:pPr>
              <w:pStyle w:val="TableContents"/>
              <w:bidi w:val="0"/>
              <w:spacing w:before="0" w:after="283"/>
              <w:jc w:val="left"/>
              <w:rPr/>
            </w:pPr>
            <w:r>
              <w:rPr/>
              <w:t> </w:t>
            </w:r>
          </w:p>
        </w:tc>
        <w:tc>
          <w:tcPr>
            <w:tcW w:w="1559" w:type="dxa"/>
            <w:tcBorders/>
            <w:vAlign w:val="bottom"/>
          </w:tcPr>
          <w:p>
            <w:pPr>
              <w:pStyle w:val="TableContents"/>
              <w:bidi w:val="0"/>
              <w:spacing w:before="0" w:after="283"/>
              <w:jc w:val="left"/>
              <w:rPr/>
            </w:pPr>
            <w:r>
              <w:rPr/>
              <w:t> </w:t>
            </w:r>
          </w:p>
        </w:tc>
        <w:tc>
          <w:tcPr>
            <w:tcW w:w="406" w:type="dxa"/>
            <w:tcBorders/>
          </w:tcPr>
          <w:p>
            <w:pPr>
              <w:pStyle w:val="TableContents"/>
              <w:bidi w:val="0"/>
              <w:spacing w:before="0" w:after="283"/>
              <w:jc w:val="left"/>
              <w:rPr/>
            </w:pPr>
            <w:r>
              <w:rPr/>
              <w:t> </w:t>
            </w:r>
          </w:p>
        </w:tc>
      </w:tr>
      <w:tr>
        <w:trPr/>
        <w:tc>
          <w:tcPr>
            <w:tcW w:w="4666" w:type="dxa"/>
            <w:tcBorders/>
            <w:shd w:fill="CCEEFF" w:val="clear"/>
            <w:vAlign w:val="bottom"/>
          </w:tcPr>
          <w:p>
            <w:pPr>
              <w:pStyle w:val="TableContents"/>
              <w:bidi w:val="0"/>
              <w:spacing w:before="0" w:after="0"/>
              <w:ind w:left="0" w:right="0" w:hanging="0"/>
              <w:jc w:val="left"/>
              <w:rPr/>
            </w:pPr>
            <w:r>
              <w:rPr/>
              <w:t>Provision for income taxes</w:t>
            </w:r>
          </w:p>
        </w:tc>
        <w:tc>
          <w:tcPr>
            <w:tcW w:w="126" w:type="dxa"/>
            <w:tcBorders/>
            <w:shd w:fill="CCEEFF" w:val="clear"/>
            <w:vAlign w:val="bottom"/>
          </w:tcPr>
          <w:p>
            <w:pPr>
              <w:pStyle w:val="TableContents"/>
              <w:bidi w:val="0"/>
              <w:spacing w:before="0" w:after="0"/>
              <w:ind w:left="0" w:right="0" w:hanging="0"/>
              <w:jc w:val="right"/>
              <w:rPr/>
            </w:pPr>
            <w:r>
              <w:rPr/>
              <w:t> </w:t>
            </w:r>
          </w:p>
        </w:tc>
        <w:tc>
          <w:tcPr>
            <w:tcW w:w="238" w:type="dxa"/>
            <w:tcBorders/>
            <w:shd w:fill="CCEEFF" w:val="clear"/>
            <w:vAlign w:val="bottom"/>
          </w:tcPr>
          <w:p>
            <w:pPr>
              <w:pStyle w:val="TableContents"/>
              <w:bidi w:val="0"/>
              <w:spacing w:before="0" w:after="0"/>
              <w:ind w:left="0" w:right="0" w:hanging="0"/>
              <w:jc w:val="left"/>
              <w:rPr/>
            </w:pPr>
            <w:r>
              <w:rPr/>
              <w:t>$</w:t>
            </w:r>
          </w:p>
        </w:tc>
        <w:tc>
          <w:tcPr>
            <w:tcW w:w="1877" w:type="dxa"/>
            <w:tcBorders/>
            <w:shd w:fill="CCEEFF" w:val="clear"/>
            <w:vAlign w:val="bottom"/>
          </w:tcPr>
          <w:p>
            <w:pPr>
              <w:pStyle w:val="TableContents"/>
              <w:bidi w:val="0"/>
              <w:spacing w:before="0" w:after="0"/>
              <w:ind w:left="0" w:right="0" w:hanging="0"/>
              <w:jc w:val="right"/>
              <w:rPr/>
            </w:pPr>
            <w:r>
              <w:rPr/>
              <w:t>11,799</w:t>
            </w:r>
          </w:p>
        </w:tc>
        <w:tc>
          <w:tcPr>
            <w:tcW w:w="646" w:type="dxa"/>
            <w:tcBorders/>
            <w:shd w:fill="CCEEFF" w:val="clear"/>
            <w:vAlign w:val="bottom"/>
          </w:tcPr>
          <w:p>
            <w:pPr>
              <w:pStyle w:val="TableContents"/>
              <w:bidi w:val="0"/>
              <w:spacing w:before="0" w:after="0"/>
              <w:ind w:left="0" w:right="0" w:hanging="0"/>
              <w:jc w:val="left"/>
              <w:rPr/>
            </w:pPr>
            <w:r>
              <w:rPr/>
              <w:t> </w:t>
            </w:r>
          </w:p>
        </w:tc>
        <w:tc>
          <w:tcPr>
            <w:tcW w:w="238" w:type="dxa"/>
            <w:tcBorders/>
            <w:shd w:fill="CCEEFF" w:val="clear"/>
            <w:vAlign w:val="bottom"/>
          </w:tcPr>
          <w:p>
            <w:pPr>
              <w:pStyle w:val="TableContents"/>
              <w:bidi w:val="0"/>
              <w:spacing w:before="0" w:after="0"/>
              <w:ind w:left="0" w:right="0" w:hanging="0"/>
              <w:jc w:val="right"/>
              <w:rPr/>
            </w:pPr>
            <w:r>
              <w:rPr/>
              <w:t> </w:t>
            </w:r>
          </w:p>
        </w:tc>
        <w:tc>
          <w:tcPr>
            <w:tcW w:w="449" w:type="dxa"/>
            <w:tcBorders/>
            <w:shd w:fill="CCEEFF" w:val="clear"/>
            <w:vAlign w:val="bottom"/>
          </w:tcPr>
          <w:p>
            <w:pPr>
              <w:pStyle w:val="TableContents"/>
              <w:bidi w:val="0"/>
              <w:spacing w:before="0" w:after="0"/>
              <w:ind w:left="0" w:right="0" w:hanging="0"/>
              <w:jc w:val="left"/>
              <w:rPr/>
            </w:pPr>
            <w:r>
              <w:rPr/>
              <w:t>$</w:t>
            </w:r>
          </w:p>
        </w:tc>
        <w:tc>
          <w:tcPr>
            <w:tcW w:w="1559" w:type="dxa"/>
            <w:tcBorders/>
            <w:shd w:fill="CCEEFF" w:val="clear"/>
            <w:vAlign w:val="bottom"/>
          </w:tcPr>
          <w:p>
            <w:pPr>
              <w:pStyle w:val="TableContents"/>
              <w:bidi w:val="0"/>
              <w:spacing w:before="0" w:after="0"/>
              <w:jc w:val="right"/>
              <w:rPr/>
            </w:pPr>
            <w:r>
              <w:rPr/>
              <w:t>6,546</w:t>
            </w:r>
          </w:p>
        </w:tc>
        <w:tc>
          <w:tcPr>
            <w:tcW w:w="406" w:type="dxa"/>
            <w:tcBorders/>
            <w:shd w:fill="CCEEFF" w:val="clear"/>
          </w:tcPr>
          <w:p>
            <w:pPr>
              <w:pStyle w:val="TableContents"/>
              <w:bidi w:val="0"/>
              <w:spacing w:before="0" w:after="283"/>
              <w:jc w:val="left"/>
              <w:rPr/>
            </w:pPr>
            <w:r>
              <w:rPr/>
              <w:t> </w:t>
            </w:r>
          </w:p>
        </w:tc>
      </w:tr>
      <w:tr>
        <w:trPr/>
        <w:tc>
          <w:tcPr>
            <w:tcW w:w="4666" w:type="dxa"/>
            <w:tcBorders/>
            <w:vAlign w:val="bottom"/>
          </w:tcPr>
          <w:p>
            <w:pPr>
              <w:pStyle w:val="TableContents"/>
              <w:bidi w:val="0"/>
              <w:spacing w:before="0" w:after="0"/>
              <w:ind w:left="0" w:right="0" w:hanging="0"/>
              <w:jc w:val="left"/>
              <w:rPr/>
            </w:pPr>
            <w:r>
              <w:rPr/>
              <w:t>Effective tax rate</w:t>
            </w:r>
          </w:p>
        </w:tc>
        <w:tc>
          <w:tcPr>
            <w:tcW w:w="126" w:type="dxa"/>
            <w:tcBorders/>
            <w:vAlign w:val="bottom"/>
          </w:tcPr>
          <w:p>
            <w:pPr>
              <w:pStyle w:val="TableContents"/>
              <w:bidi w:val="0"/>
              <w:spacing w:before="0" w:after="0"/>
              <w:ind w:left="0" w:right="0" w:hanging="0"/>
              <w:jc w:val="right"/>
              <w:rPr/>
            </w:pPr>
            <w:r>
              <w:rPr/>
              <w:t> </w:t>
            </w:r>
          </w:p>
        </w:tc>
        <w:tc>
          <w:tcPr>
            <w:tcW w:w="238" w:type="dxa"/>
            <w:tcBorders/>
            <w:vAlign w:val="bottom"/>
          </w:tcPr>
          <w:p>
            <w:pPr>
              <w:pStyle w:val="TableContents"/>
              <w:bidi w:val="0"/>
              <w:spacing w:before="0" w:after="0"/>
              <w:ind w:left="0" w:right="0" w:hanging="0"/>
              <w:jc w:val="left"/>
              <w:rPr/>
            </w:pPr>
            <w:r>
              <w:rPr/>
              <w:t> </w:t>
            </w:r>
          </w:p>
        </w:tc>
        <w:tc>
          <w:tcPr>
            <w:tcW w:w="1877" w:type="dxa"/>
            <w:tcBorders/>
            <w:vAlign w:val="bottom"/>
          </w:tcPr>
          <w:p>
            <w:pPr>
              <w:pStyle w:val="TableContents"/>
              <w:bidi w:val="0"/>
              <w:spacing w:before="0" w:after="0"/>
              <w:ind w:left="0" w:right="0" w:hanging="0"/>
              <w:jc w:val="right"/>
              <w:rPr/>
            </w:pPr>
            <w:r>
              <w:rPr/>
              <w:t>20.7</w:t>
            </w:r>
          </w:p>
        </w:tc>
        <w:tc>
          <w:tcPr>
            <w:tcW w:w="646" w:type="dxa"/>
            <w:tcBorders/>
            <w:vAlign w:val="bottom"/>
          </w:tcPr>
          <w:p>
            <w:pPr>
              <w:pStyle w:val="TableContents"/>
              <w:bidi w:val="0"/>
              <w:spacing w:before="0" w:after="0"/>
              <w:ind w:left="0" w:right="0" w:hanging="0"/>
              <w:jc w:val="left"/>
              <w:rPr/>
            </w:pPr>
            <w:r>
              <w:rPr/>
              <w:t>%</w:t>
            </w:r>
          </w:p>
        </w:tc>
        <w:tc>
          <w:tcPr>
            <w:tcW w:w="238" w:type="dxa"/>
            <w:tcBorders/>
            <w:vAlign w:val="bottom"/>
          </w:tcPr>
          <w:p>
            <w:pPr>
              <w:pStyle w:val="TableContents"/>
              <w:bidi w:val="0"/>
              <w:spacing w:before="0" w:after="0"/>
              <w:ind w:left="0" w:right="0" w:hanging="0"/>
              <w:jc w:val="right"/>
              <w:rPr/>
            </w:pPr>
            <w:r>
              <w:rPr/>
              <w:t> </w:t>
            </w:r>
          </w:p>
        </w:tc>
        <w:tc>
          <w:tcPr>
            <w:tcW w:w="449" w:type="dxa"/>
            <w:tcBorders/>
            <w:vAlign w:val="bottom"/>
          </w:tcPr>
          <w:p>
            <w:pPr>
              <w:pStyle w:val="TableContents"/>
              <w:bidi w:val="0"/>
              <w:spacing w:before="0" w:after="0"/>
              <w:ind w:left="0" w:right="0" w:hanging="0"/>
              <w:jc w:val="left"/>
              <w:rPr/>
            </w:pPr>
            <w:r>
              <w:rPr/>
              <w:t> </w:t>
            </w:r>
          </w:p>
        </w:tc>
        <w:tc>
          <w:tcPr>
            <w:tcW w:w="1559" w:type="dxa"/>
            <w:tcBorders/>
            <w:vAlign w:val="bottom"/>
          </w:tcPr>
          <w:p>
            <w:pPr>
              <w:pStyle w:val="TableContents"/>
              <w:bidi w:val="0"/>
              <w:spacing w:before="0" w:after="0"/>
              <w:jc w:val="right"/>
              <w:rPr/>
            </w:pPr>
            <w:r>
              <w:rPr/>
              <w:t>19.6</w:t>
            </w:r>
          </w:p>
        </w:tc>
        <w:tc>
          <w:tcPr>
            <w:tcW w:w="406" w:type="dxa"/>
            <w:tcBorders/>
          </w:tcPr>
          <w:p>
            <w:pPr>
              <w:pStyle w:val="TableContents"/>
              <w:bidi w:val="0"/>
              <w:spacing w:before="0" w:after="283"/>
              <w:jc w:val="left"/>
              <w:rPr/>
            </w:pPr>
            <w:r>
              <w:rPr/>
              <w:t>%</w:t>
            </w:r>
          </w:p>
        </w:tc>
      </w:tr>
    </w:tbl>
    <w:p>
      <w:pPr>
        <w:pStyle w:val="TextBody"/>
        <w:bidi w:val="0"/>
        <w:spacing w:before="0" w:after="0"/>
        <w:jc w:val="both"/>
        <w:rPr/>
      </w:pPr>
      <w:r>
        <w:rPr/>
        <w:t> </w:t>
      </w:r>
    </w:p>
    <w:p>
      <w:pPr>
        <w:pStyle w:val="TextBody"/>
        <w:bidi w:val="0"/>
        <w:spacing w:before="0" w:after="0"/>
        <w:ind w:left="0" w:right="0" w:firstLine="540"/>
        <w:jc w:val="both"/>
        <w:rPr>
          <w:rFonts w:ascii="Times New Roman" w:hAnsi="Times New Roman"/>
          <w:sz w:val="20"/>
        </w:rPr>
      </w:pPr>
      <w:r>
        <w:rPr>
          <w:rFonts w:ascii="Times New Roman" w:hAnsi="Times New Roman"/>
          <w:sz w:val="20"/>
        </w:rPr>
        <w:t xml:space="preserve">The effective tax rate for the three months ended March 31, 2026 and 2025 was 20.7% and 19.6%, respectively, and differed from the federal statutory rate primarily due to the excess tax benefits on stock-based compensation. </w:t>
      </w:r>
    </w:p>
    <w:p>
      <w:pPr>
        <w:pStyle w:val="TextBody"/>
        <w:bidi w:val="0"/>
        <w:spacing w:before="0" w:after="0"/>
        <w:jc w:val="both"/>
        <w:rPr/>
      </w:pPr>
      <w:r>
        <w:rPr/>
        <w:t xml:space="preserve">  </w:t>
      </w:r>
    </w:p>
    <w:p>
      <w:pPr>
        <w:pStyle w:val="TextBody"/>
        <w:bidi w:val="0"/>
        <w:spacing w:before="0" w:after="0"/>
        <w:ind w:left="0" w:right="0" w:hanging="540"/>
        <w:jc w:val="left"/>
        <w:rPr>
          <w:rFonts w:ascii="Times New Roman" w:hAnsi="Times New Roman"/>
          <w:sz w:val="20"/>
        </w:rPr>
      </w:pPr>
      <w:r>
        <w:rPr>
          <w:rFonts w:ascii="Times New Roman" w:hAnsi="Times New Roman"/>
          <w:b/>
          <w:sz w:val="20"/>
          <w:u w:val="single"/>
        </w:rPr>
        <w:t>SUPPLEMENTAL DISCLOSURE OF CASH FLOW INFORMATION</w:t>
      </w:r>
      <w:r>
        <w:rPr>
          <w:rFonts w:ascii="Times New Roman" w:hAnsi="Times New Roman"/>
          <w:sz w:val="20"/>
        </w:rPr>
        <w:t xml:space="preserve"> </w:t>
      </w:r>
      <w:r>
        <mc:AlternateContent>
          <mc:Choice Requires="wps">
            <w:drawing>
              <wp:anchor behindDoc="0" distT="0" distB="0" distL="0" distR="0" simplePos="0" locked="0" layoutInCell="1" allowOverlap="1" relativeHeight="56">
                <wp:simplePos x="0" y="0"/>
                <wp:positionH relativeFrom="column">
                  <wp:align>left</wp:align>
                </wp:positionH>
                <wp:positionV relativeFrom="line">
                  <wp:posOffset>635</wp:posOffset>
                </wp:positionV>
                <wp:extent cx="342900" cy="146685"/>
                <wp:effectExtent l="0" t="0" r="0" b="0"/>
                <wp:wrapSquare wrapText="right"/>
                <wp:docPr id="55" name="Frame55"/>
                <a:graphic xmlns:a="http://schemas.openxmlformats.org/drawingml/2006/main">
                  <a:graphicData uri="http://schemas.microsoft.com/office/word/2010/wordprocessingShape">
                    <wps:wsp>
                      <wps:cNvSpPr txBox="1"/>
                      <wps:spPr>
                        <a:xfrm>
                          <a:off x="0" y="0"/>
                          <a:ext cx="342900" cy="146685"/>
                        </a:xfrm>
                        <a:prstGeom prst="rect"/>
                        <a:solidFill>
                          <a:srgbClr val="FFFFFF"/>
                        </a:solidFill>
                      </wps:spPr>
                      <wps:txbx>
                        <w:txbxContent>
                          <w:p>
                            <w:pPr>
                              <w:pStyle w:val="TextBody"/>
                              <w:bidi w:val="0"/>
                              <w:spacing w:before="0" w:after="283"/>
                              <w:jc w:val="left"/>
                              <w:rPr>
                                <w:sz w:val="20"/>
                              </w:rPr>
                            </w:pPr>
                            <w:r>
                              <w:rPr>
                                <w:b/>
                                <w:sz w:val="20"/>
                              </w:rPr>
                              <w:t>14.</w:t>
                            </w:r>
                            <w:r>
                              <w:rPr>
                                <w:sz w:val="20"/>
                              </w:rPr>
                              <w:t xml:space="preserve"> </w:t>
                            </w:r>
                          </w:p>
                        </w:txbxContent>
                      </wps:txbx>
                      <wps:bodyPr anchor="t" lIns="0" tIns="0" rIns="0" bIns="0">
                        <a:noAutofit/>
                      </wps:bodyPr>
                    </wps:wsp>
                  </a:graphicData>
                </a:graphic>
              </wp:anchor>
            </w:drawing>
          </mc:Choice>
          <mc:Fallback>
            <w:pict>
              <v:rect style="position:absolute;rotation:-0;width:27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20"/>
                        </w:rPr>
                      </w:pPr>
                      <w:r>
                        <w:rPr>
                          <w:b/>
                          <w:sz w:val="20"/>
                        </w:rPr>
                        <w:t>14.</w:t>
                      </w:r>
                      <w:r>
                        <w:rPr>
                          <w:sz w:val="20"/>
                        </w:rPr>
                        <w:t xml:space="preserve"> </w:t>
                      </w:r>
                    </w:p>
                  </w:txbxContent>
                </v:textbox>
                <w10:wrap type="square" side="right"/>
              </v:rect>
            </w:pict>
          </mc:Fallback>
        </mc:AlternateContent>
      </w:r>
    </w:p>
    <w:p>
      <w:pPr>
        <w:pStyle w:val="TextBody"/>
        <w:bidi w:val="0"/>
        <w:spacing w:before="0" w:after="0"/>
        <w:ind w:left="360" w:right="0" w:hanging="0"/>
        <w:jc w:val="left"/>
        <w:rPr/>
      </w:pPr>
      <w:r>
        <w:rPr/>
        <w:t xml:space="preserve">  </w:t>
      </w:r>
    </w:p>
    <w:p>
      <w:pPr>
        <w:pStyle w:val="TextBody"/>
        <w:bidi w:val="0"/>
        <w:spacing w:before="0" w:after="0"/>
        <w:ind w:left="0" w:right="0" w:firstLine="720"/>
        <w:jc w:val="left"/>
        <w:rPr>
          <w:rFonts w:ascii="Times New Roman" w:hAnsi="Times New Roman"/>
          <w:sz w:val="20"/>
        </w:rPr>
      </w:pPr>
      <w:r>
        <w:rPr>
          <w:rFonts w:ascii="Times New Roman" w:hAnsi="Times New Roman"/>
          <w:sz w:val="20"/>
        </w:rPr>
        <w:t xml:space="preserve">Supplemental cash flow information for the three months ended March 31, 2026 and 2025 is as follows: </w:t>
      </w:r>
    </w:p>
    <w:p>
      <w:pPr>
        <w:pStyle w:val="TextBody"/>
        <w:bidi w:val="0"/>
        <w:spacing w:before="0" w:after="0"/>
        <w:ind w:left="0" w:right="0" w:hanging="0"/>
        <w:jc w:val="right"/>
        <w:rPr/>
      </w:pPr>
      <w:r>
        <w:rPr/>
        <w:t xml:space="preserve">  </w:t>
      </w:r>
    </w:p>
    <w:tbl>
      <w:tblPr>
        <w:tblW w:w="8845" w:type="dxa"/>
        <w:jc w:val="left"/>
        <w:tblInd w:w="0" w:type="dxa"/>
        <w:tblLayout w:type="fixed"/>
        <w:tblCellMar>
          <w:top w:w="0" w:type="dxa"/>
          <w:left w:w="0" w:type="dxa"/>
          <w:bottom w:w="0" w:type="dxa"/>
          <w:right w:w="0" w:type="dxa"/>
        </w:tblCellMar>
      </w:tblPr>
      <w:tblGrid>
        <w:gridCol w:w="6920"/>
        <w:gridCol w:w="90"/>
        <w:gridCol w:w="170"/>
        <w:gridCol w:w="590"/>
        <w:gridCol w:w="90"/>
        <w:gridCol w:w="90"/>
        <w:gridCol w:w="170"/>
        <w:gridCol w:w="590"/>
        <w:gridCol w:w="135"/>
      </w:tblGrid>
      <w:tr>
        <w:trPr/>
        <w:tc>
          <w:tcPr>
            <w:tcW w:w="692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center"/>
              <w:rPr/>
            </w:pPr>
            <w:r>
              <w:rPr/>
              <w:t> </w:t>
            </w:r>
          </w:p>
        </w:tc>
        <w:tc>
          <w:tcPr>
            <w:tcW w:w="170" w:type="dxa"/>
            <w:tcBorders>
              <w:bottom w:val="single" w:sz="12" w:space="0" w:color="000000"/>
            </w:tcBorders>
            <w:tcMar>
              <w:bottom w:w="28" w:type="dxa"/>
            </w:tcMar>
            <w:vAlign w:val="center"/>
          </w:tcPr>
          <w:p>
            <w:pPr>
              <w:pStyle w:val="TableContents"/>
              <w:bidi w:val="0"/>
              <w:spacing w:before="0" w:after="283"/>
              <w:jc w:val="center"/>
              <w:rPr/>
            </w:pPr>
            <w:r>
              <w:rPr/>
              <w:t> </w:t>
            </w:r>
          </w:p>
        </w:tc>
        <w:tc>
          <w:tcPr>
            <w:tcW w:w="590" w:type="dxa"/>
            <w:tcBorders>
              <w:bottom w:val="single" w:sz="12" w:space="0" w:color="000000"/>
            </w:tcBorders>
            <w:tcMar>
              <w:bottom w:w="28" w:type="dxa"/>
            </w:tcMar>
            <w:vAlign w:val="center"/>
          </w:tcPr>
          <w:p>
            <w:pPr>
              <w:pStyle w:val="TableContents"/>
              <w:bidi w:val="0"/>
              <w:spacing w:before="0" w:after="283"/>
              <w:jc w:val="center"/>
              <w:rPr/>
            </w:pPr>
            <w:r>
              <w:rPr>
                <w:b/>
              </w:rPr>
              <w:t>2026</w:t>
            </w:r>
            <w:r>
              <w:rPr/>
              <w:t xml:space="preserve"> </w:t>
            </w:r>
          </w:p>
        </w:tc>
        <w:tc>
          <w:tcPr>
            <w:tcW w:w="9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70" w:type="dxa"/>
            <w:tcBorders>
              <w:bottom w:val="single" w:sz="12" w:space="0" w:color="000000"/>
            </w:tcBorders>
            <w:tcMar>
              <w:bottom w:w="28" w:type="dxa"/>
            </w:tcMar>
            <w:vAlign w:val="center"/>
          </w:tcPr>
          <w:p>
            <w:pPr>
              <w:pStyle w:val="TableContents"/>
              <w:bidi w:val="0"/>
              <w:spacing w:before="0" w:after="283"/>
              <w:jc w:val="center"/>
              <w:rPr/>
            </w:pPr>
            <w:r>
              <w:rPr/>
              <w:t> </w:t>
            </w:r>
          </w:p>
        </w:tc>
        <w:tc>
          <w:tcPr>
            <w:tcW w:w="590" w:type="dxa"/>
            <w:tcBorders>
              <w:bottom w:val="single" w:sz="12" w:space="0" w:color="000000"/>
            </w:tcBorders>
            <w:tcMar>
              <w:bottom w:w="28" w:type="dxa"/>
            </w:tcMar>
            <w:vAlign w:val="center"/>
          </w:tcPr>
          <w:p>
            <w:pPr>
              <w:pStyle w:val="TableContents"/>
              <w:bidi w:val="0"/>
              <w:spacing w:before="0" w:after="283"/>
              <w:jc w:val="center"/>
              <w:rPr/>
            </w:pPr>
            <w:r>
              <w:rPr>
                <w:b/>
              </w:rPr>
              <w:t>2025</w:t>
            </w:r>
            <w:r>
              <w:rPr/>
              <w:t xml:space="preserve"> </w:t>
            </w:r>
          </w:p>
        </w:tc>
        <w:tc>
          <w:tcPr>
            <w:tcW w:w="135" w:type="dxa"/>
            <w:tcBorders/>
            <w:vAlign w:val="center"/>
          </w:tcPr>
          <w:p>
            <w:pPr>
              <w:pStyle w:val="TableContents"/>
              <w:bidi w:val="0"/>
              <w:spacing w:before="0" w:after="283"/>
              <w:jc w:val="center"/>
              <w:rPr/>
            </w:pPr>
            <w:r>
              <w:rPr/>
              <w:t> </w:t>
            </w:r>
          </w:p>
        </w:tc>
      </w:tr>
      <w:tr>
        <w:trPr/>
        <w:tc>
          <w:tcPr>
            <w:tcW w:w="6920" w:type="dxa"/>
            <w:tcBorders/>
            <w:vAlign w:val="center"/>
          </w:tcPr>
          <w:p>
            <w:pPr>
              <w:pStyle w:val="TableContents"/>
              <w:bidi w:val="0"/>
              <w:spacing w:before="0" w:after="0"/>
              <w:ind w:left="0" w:right="0" w:hanging="144"/>
              <w:jc w:val="left"/>
              <w:rPr/>
            </w:pPr>
            <w:r>
              <w:rPr>
                <w:i/>
              </w:rPr>
              <w:t>(In thousands)</w:t>
            </w:r>
            <w:r>
              <w:rPr/>
              <w:t xml:space="preserve">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pPr>
            <w:r>
              <w:rPr/>
              <w:t> </w:t>
            </w:r>
          </w:p>
        </w:tc>
        <w:tc>
          <w:tcPr>
            <w:tcW w:w="135" w:type="dxa"/>
            <w:tcBorders/>
            <w:vAlign w:val="center"/>
          </w:tcPr>
          <w:p>
            <w:pPr>
              <w:pStyle w:val="TableContents"/>
              <w:bidi w:val="0"/>
              <w:spacing w:before="0" w:after="283"/>
              <w:jc w:val="left"/>
              <w:rPr/>
            </w:pPr>
            <w:r>
              <w:rPr/>
              <w:t> </w:t>
            </w:r>
          </w:p>
        </w:tc>
      </w:tr>
      <w:tr>
        <w:trPr/>
        <w:tc>
          <w:tcPr>
            <w:tcW w:w="6920" w:type="dxa"/>
            <w:tcBorders/>
            <w:vAlign w:val="center"/>
          </w:tcPr>
          <w:p>
            <w:pPr>
              <w:pStyle w:val="TableContents"/>
              <w:bidi w:val="0"/>
              <w:spacing w:before="0" w:after="0"/>
              <w:ind w:left="0" w:right="0" w:hanging="144"/>
              <w:jc w:val="left"/>
              <w:rPr/>
            </w:pPr>
            <w:r>
              <w:rPr>
                <w:b/>
              </w:rPr>
              <w:t>SUPPLEMENTAL CASH FLOW INFORMATION:</w:t>
            </w:r>
            <w:r>
              <w:rPr/>
              <w:t xml:space="preserve">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pPr>
            <w:r>
              <w:rPr/>
              <w:t> </w:t>
            </w:r>
          </w:p>
        </w:tc>
        <w:tc>
          <w:tcPr>
            <w:tcW w:w="135" w:type="dxa"/>
            <w:tcBorders/>
            <w:vAlign w:val="center"/>
          </w:tcPr>
          <w:p>
            <w:pPr>
              <w:pStyle w:val="TableContents"/>
              <w:bidi w:val="0"/>
              <w:spacing w:before="0" w:after="283"/>
              <w:jc w:val="left"/>
              <w:rPr/>
            </w:pPr>
            <w:r>
              <w:rPr/>
              <w:t> </w:t>
            </w:r>
          </w:p>
        </w:tc>
      </w:tr>
      <w:tr>
        <w:trPr/>
        <w:tc>
          <w:tcPr>
            <w:tcW w:w="6920" w:type="dxa"/>
            <w:tcBorders/>
            <w:shd w:fill="CCEEFF" w:val="clear"/>
            <w:vAlign w:val="center"/>
          </w:tcPr>
          <w:p>
            <w:pPr>
              <w:pStyle w:val="TableContents"/>
              <w:bidi w:val="0"/>
              <w:spacing w:before="0" w:after="0"/>
              <w:jc w:val="left"/>
              <w:rPr/>
            </w:pPr>
            <w:r>
              <w:rPr/>
              <w:t xml:space="preserve">Cash paid for interest </w:t>
            </w:r>
          </w:p>
        </w:tc>
        <w:tc>
          <w:tcPr>
            <w:tcW w:w="90"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w:t>
            </w:r>
          </w:p>
        </w:tc>
        <w:tc>
          <w:tcPr>
            <w:tcW w:w="590" w:type="dxa"/>
            <w:tcBorders/>
            <w:shd w:fill="CCEEFF" w:val="clear"/>
            <w:vAlign w:val="center"/>
          </w:tcPr>
          <w:p>
            <w:pPr>
              <w:pStyle w:val="TableContents"/>
              <w:bidi w:val="0"/>
              <w:spacing w:before="0" w:after="283"/>
              <w:jc w:val="right"/>
              <w:rPr/>
            </w:pPr>
            <w:r>
              <w:rPr/>
              <w:t>1,326</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w:t>
            </w:r>
          </w:p>
        </w:tc>
        <w:tc>
          <w:tcPr>
            <w:tcW w:w="590" w:type="dxa"/>
            <w:tcBorders/>
            <w:shd w:fill="CCEEFF" w:val="clear"/>
            <w:vAlign w:val="center"/>
          </w:tcPr>
          <w:p>
            <w:pPr>
              <w:pStyle w:val="TableContents"/>
              <w:bidi w:val="0"/>
              <w:spacing w:before="0" w:after="283"/>
              <w:jc w:val="right"/>
              <w:rPr/>
            </w:pPr>
            <w:r>
              <w:rPr/>
              <w:t>2,750</w:t>
            </w:r>
          </w:p>
        </w:tc>
        <w:tc>
          <w:tcPr>
            <w:tcW w:w="135" w:type="dxa"/>
            <w:tcBorders/>
            <w:shd w:fill="CCEEFF" w:val="clear"/>
            <w:vAlign w:val="center"/>
          </w:tcPr>
          <w:p>
            <w:pPr>
              <w:pStyle w:val="TableContents"/>
              <w:bidi w:val="0"/>
              <w:spacing w:before="0" w:after="283"/>
              <w:jc w:val="left"/>
              <w:rPr/>
            </w:pPr>
            <w:r>
              <w:rPr/>
              <w:t> </w:t>
            </w:r>
          </w:p>
        </w:tc>
      </w:tr>
      <w:tr>
        <w:trPr/>
        <w:tc>
          <w:tcPr>
            <w:tcW w:w="6920" w:type="dxa"/>
            <w:tcBorders/>
            <w:vAlign w:val="center"/>
          </w:tcPr>
          <w:p>
            <w:pPr>
              <w:pStyle w:val="TableContents"/>
              <w:bidi w:val="0"/>
              <w:spacing w:before="0" w:after="0"/>
              <w:jc w:val="left"/>
              <w:rPr/>
            </w:pPr>
            <w:r>
              <w:rPr/>
              <w:t xml:space="preserve">Cash paid for income taxes </w:t>
            </w:r>
          </w:p>
        </w:tc>
        <w:tc>
          <w:tcPr>
            <w:tcW w:w="90"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pPr>
            <w:r>
              <w:rPr/>
              <w:t>$</w:t>
            </w:r>
          </w:p>
        </w:tc>
        <w:tc>
          <w:tcPr>
            <w:tcW w:w="590" w:type="dxa"/>
            <w:tcBorders/>
            <w:vAlign w:val="center"/>
          </w:tcPr>
          <w:p>
            <w:pPr>
              <w:pStyle w:val="TableContents"/>
              <w:bidi w:val="0"/>
              <w:spacing w:before="0" w:after="283"/>
              <w:jc w:val="right"/>
              <w:rPr/>
            </w:pPr>
            <w:r>
              <w:rPr/>
              <w:t>91</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pPr>
            <w:r>
              <w:rPr/>
              <w:t>$</w:t>
            </w:r>
          </w:p>
        </w:tc>
        <w:tc>
          <w:tcPr>
            <w:tcW w:w="590" w:type="dxa"/>
            <w:tcBorders/>
            <w:vAlign w:val="center"/>
          </w:tcPr>
          <w:p>
            <w:pPr>
              <w:pStyle w:val="TableContents"/>
              <w:bidi w:val="0"/>
              <w:spacing w:before="0" w:after="283"/>
              <w:jc w:val="right"/>
              <w:rPr/>
            </w:pPr>
            <w:r>
              <w:rPr/>
              <w:t xml:space="preserve">- </w:t>
            </w:r>
          </w:p>
        </w:tc>
        <w:tc>
          <w:tcPr>
            <w:tcW w:w="135" w:type="dxa"/>
            <w:tcBorders/>
            <w:vAlign w:val="center"/>
          </w:tcPr>
          <w:p>
            <w:pPr>
              <w:pStyle w:val="TableContents"/>
              <w:bidi w:val="0"/>
              <w:spacing w:before="0" w:after="283"/>
              <w:jc w:val="left"/>
              <w:rPr/>
            </w:pPr>
            <w:r>
              <w:rPr/>
              <w:t> </w:t>
            </w:r>
          </w:p>
        </w:tc>
      </w:tr>
      <w:tr>
        <w:trPr/>
        <w:tc>
          <w:tcPr>
            <w:tcW w:w="6920" w:type="dxa"/>
            <w:tcBorders/>
            <w:shd w:fill="CCEEFF" w:val="clear"/>
            <w:vAlign w:val="center"/>
          </w:tcPr>
          <w:p>
            <w:pPr>
              <w:pStyle w:val="TableContents"/>
              <w:bidi w:val="0"/>
              <w:spacing w:before="0" w:after="0"/>
              <w:ind w:left="0" w:right="0" w:hanging="144"/>
              <w:jc w:val="left"/>
              <w:rPr/>
            </w:pPr>
            <w:r>
              <w:rPr>
                <w:b/>
              </w:rPr>
              <w:t>Noncash Financing and Investing Activities:</w:t>
            </w:r>
            <w:r>
              <w:rPr/>
              <w:t xml:space="preserve">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left"/>
              <w:rPr/>
            </w:pPr>
            <w:r>
              <w:rPr/>
              <w:t> </w:t>
            </w:r>
          </w:p>
        </w:tc>
        <w:tc>
          <w:tcPr>
            <w:tcW w:w="135" w:type="dxa"/>
            <w:tcBorders/>
            <w:shd w:fill="CCEEFF" w:val="clear"/>
            <w:vAlign w:val="center"/>
          </w:tcPr>
          <w:p>
            <w:pPr>
              <w:pStyle w:val="TableContents"/>
              <w:bidi w:val="0"/>
              <w:spacing w:before="0" w:after="283"/>
              <w:jc w:val="left"/>
              <w:rPr/>
            </w:pPr>
            <w:r>
              <w:rPr/>
              <w:t> </w:t>
            </w:r>
          </w:p>
        </w:tc>
      </w:tr>
      <w:tr>
        <w:trPr/>
        <w:tc>
          <w:tcPr>
            <w:tcW w:w="6920" w:type="dxa"/>
            <w:tcBorders/>
            <w:vAlign w:val="center"/>
          </w:tcPr>
          <w:p>
            <w:pPr>
              <w:pStyle w:val="TableContents"/>
              <w:bidi w:val="0"/>
              <w:spacing w:before="0" w:after="0"/>
              <w:jc w:val="left"/>
              <w:rPr/>
            </w:pPr>
            <w:r>
              <w:rPr/>
              <w:t xml:space="preserve">Equipment acquired reflected in accounts payable and accrued liabilities </w:t>
            </w:r>
          </w:p>
        </w:tc>
        <w:tc>
          <w:tcPr>
            <w:tcW w:w="90"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pPr>
            <w:r>
              <w:rPr/>
              <w:t>$</w:t>
            </w:r>
          </w:p>
        </w:tc>
        <w:tc>
          <w:tcPr>
            <w:tcW w:w="590" w:type="dxa"/>
            <w:tcBorders/>
            <w:vAlign w:val="center"/>
          </w:tcPr>
          <w:p>
            <w:pPr>
              <w:pStyle w:val="TableContents"/>
              <w:bidi w:val="0"/>
              <w:spacing w:before="0" w:after="283"/>
              <w:jc w:val="right"/>
              <w:rPr/>
            </w:pPr>
            <w:r>
              <w:rPr/>
              <w:t>162</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pPr>
            <w:r>
              <w:rPr/>
              <w:t>$</w:t>
            </w:r>
          </w:p>
        </w:tc>
        <w:tc>
          <w:tcPr>
            <w:tcW w:w="590" w:type="dxa"/>
            <w:tcBorders/>
            <w:vAlign w:val="center"/>
          </w:tcPr>
          <w:p>
            <w:pPr>
              <w:pStyle w:val="TableContents"/>
              <w:bidi w:val="0"/>
              <w:spacing w:before="0" w:after="283"/>
              <w:jc w:val="right"/>
              <w:rPr/>
            </w:pPr>
            <w:r>
              <w:rPr/>
              <w:t>985</w:t>
            </w:r>
          </w:p>
        </w:tc>
        <w:tc>
          <w:tcPr>
            <w:tcW w:w="135" w:type="dxa"/>
            <w:tcBorders/>
            <w:vAlign w:val="center"/>
          </w:tcPr>
          <w:p>
            <w:pPr>
              <w:pStyle w:val="TableContents"/>
              <w:bidi w:val="0"/>
              <w:spacing w:before="0" w:after="283"/>
              <w:jc w:val="left"/>
              <w:rPr/>
            </w:pPr>
            <w:r>
              <w:rPr/>
              <w:t> </w:t>
            </w:r>
          </w:p>
        </w:tc>
      </w:tr>
      <w:tr>
        <w:trPr/>
        <w:tc>
          <w:tcPr>
            <w:tcW w:w="6920" w:type="dxa"/>
            <w:tcBorders/>
            <w:shd w:fill="CCEEFF" w:val="clear"/>
            <w:vAlign w:val="center"/>
          </w:tcPr>
          <w:p>
            <w:pPr>
              <w:pStyle w:val="TableContents"/>
              <w:bidi w:val="0"/>
              <w:spacing w:before="0" w:after="0"/>
              <w:jc w:val="left"/>
              <w:rPr/>
            </w:pPr>
            <w:r>
              <w:rPr/>
              <w:t xml:space="preserve">Non-cash proceeds from the sale of assets previously held for sale </w:t>
            </w:r>
          </w:p>
        </w:tc>
        <w:tc>
          <w:tcPr>
            <w:tcW w:w="90"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w:t>
            </w:r>
          </w:p>
        </w:tc>
        <w:tc>
          <w:tcPr>
            <w:tcW w:w="590" w:type="dxa"/>
            <w:tcBorders/>
            <w:shd w:fill="CCEEFF" w:val="clear"/>
            <w:vAlign w:val="center"/>
          </w:tcPr>
          <w:p>
            <w:pPr>
              <w:pStyle w:val="TableContents"/>
              <w:bidi w:val="0"/>
              <w:spacing w:before="0" w:after="283"/>
              <w:jc w:val="right"/>
              <w:rPr/>
            </w:pPr>
            <w:r>
              <w:rPr/>
              <w:t>6,000</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w:t>
            </w:r>
          </w:p>
        </w:tc>
        <w:tc>
          <w:tcPr>
            <w:tcW w:w="590" w:type="dxa"/>
            <w:tcBorders/>
            <w:shd w:fill="CCEEFF" w:val="clear"/>
            <w:vAlign w:val="center"/>
          </w:tcPr>
          <w:p>
            <w:pPr>
              <w:pStyle w:val="TableContents"/>
              <w:bidi w:val="0"/>
              <w:spacing w:before="0" w:after="283"/>
              <w:jc w:val="right"/>
              <w:rPr/>
            </w:pPr>
            <w:r>
              <w:rPr/>
              <w:t>-</w:t>
            </w:r>
          </w:p>
        </w:tc>
        <w:tc>
          <w:tcPr>
            <w:tcW w:w="13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xml:space="preserve">  </w:t>
      </w:r>
    </w:p>
    <w:p>
      <w:pPr>
        <w:pStyle w:val="TextBody"/>
        <w:bidi w:val="0"/>
        <w:spacing w:before="0" w:after="0"/>
        <w:ind w:left="0" w:right="0" w:hanging="540"/>
        <w:jc w:val="left"/>
        <w:rPr>
          <w:rFonts w:ascii="Times New Roman" w:hAnsi="Times New Roman"/>
          <w:sz w:val="20"/>
        </w:rPr>
      </w:pPr>
      <w:r>
        <w:rPr>
          <w:rFonts w:ascii="Times New Roman" w:hAnsi="Times New Roman"/>
          <w:b/>
          <w:sz w:val="20"/>
          <w:u w:val="single"/>
        </w:rPr>
        <w:t>SUBSEQUENT EVENTS</w:t>
      </w:r>
      <w:r>
        <w:rPr>
          <w:rFonts w:ascii="Times New Roman" w:hAnsi="Times New Roman"/>
          <w:sz w:val="20"/>
        </w:rPr>
        <w:t xml:space="preserve"> </w:t>
      </w:r>
      <w:r>
        <mc:AlternateContent>
          <mc:Choice Requires="wps">
            <w:drawing>
              <wp:anchor behindDoc="0" distT="0" distB="0" distL="0" distR="0" simplePos="0" locked="0" layoutInCell="1" allowOverlap="1" relativeHeight="57">
                <wp:simplePos x="0" y="0"/>
                <wp:positionH relativeFrom="column">
                  <wp:align>left</wp:align>
                </wp:positionH>
                <wp:positionV relativeFrom="line">
                  <wp:posOffset>635</wp:posOffset>
                </wp:positionV>
                <wp:extent cx="342900" cy="146685"/>
                <wp:effectExtent l="0" t="0" r="0" b="0"/>
                <wp:wrapSquare wrapText="right"/>
                <wp:docPr id="56" name="Frame56"/>
                <a:graphic xmlns:a="http://schemas.openxmlformats.org/drawingml/2006/main">
                  <a:graphicData uri="http://schemas.microsoft.com/office/word/2010/wordprocessingShape">
                    <wps:wsp>
                      <wps:cNvSpPr txBox="1"/>
                      <wps:spPr>
                        <a:xfrm>
                          <a:off x="0" y="0"/>
                          <a:ext cx="342900" cy="146685"/>
                        </a:xfrm>
                        <a:prstGeom prst="rect"/>
                        <a:solidFill>
                          <a:srgbClr val="FFFFFF"/>
                        </a:solidFill>
                      </wps:spPr>
                      <wps:txbx>
                        <w:txbxContent>
                          <w:p>
                            <w:pPr>
                              <w:pStyle w:val="TextBody"/>
                              <w:bidi w:val="0"/>
                              <w:spacing w:before="0" w:after="283"/>
                              <w:jc w:val="left"/>
                              <w:rPr>
                                <w:sz w:val="20"/>
                              </w:rPr>
                            </w:pPr>
                            <w:r>
                              <w:rPr>
                                <w:b/>
                                <w:sz w:val="20"/>
                              </w:rPr>
                              <w:t>15.</w:t>
                            </w:r>
                            <w:r>
                              <w:rPr>
                                <w:sz w:val="20"/>
                              </w:rPr>
                              <w:t xml:space="preserve"> </w:t>
                            </w:r>
                          </w:p>
                        </w:txbxContent>
                      </wps:txbx>
                      <wps:bodyPr anchor="t" lIns="0" tIns="0" rIns="0" bIns="0">
                        <a:noAutofit/>
                      </wps:bodyPr>
                    </wps:wsp>
                  </a:graphicData>
                </a:graphic>
              </wp:anchor>
            </w:drawing>
          </mc:Choice>
          <mc:Fallback>
            <w:pict>
              <v:rect style="position:absolute;rotation:-0;width:27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20"/>
                        </w:rPr>
                      </w:pPr>
                      <w:r>
                        <w:rPr>
                          <w:b/>
                          <w:sz w:val="20"/>
                        </w:rPr>
                        <w:t>15.</w:t>
                      </w:r>
                      <w:r>
                        <w:rPr>
                          <w:sz w:val="20"/>
                        </w:rPr>
                        <w:t xml:space="preserve"> </w:t>
                      </w:r>
                    </w:p>
                  </w:txbxContent>
                </v:textbox>
                <w10:wrap type="square" side="right"/>
              </v:rect>
            </w:pict>
          </mc:Fallback>
        </mc:AlternateContent>
      </w:r>
    </w:p>
    <w:p>
      <w:pPr>
        <w:pStyle w:val="TextBody"/>
        <w:bidi w:val="0"/>
        <w:spacing w:before="0" w:after="0"/>
        <w:jc w:val="left"/>
        <w:rPr/>
      </w:pPr>
      <w:r>
        <w:rPr/>
        <w:t xml:space="preserve">  </w:t>
      </w:r>
    </w:p>
    <w:p>
      <w:pPr>
        <w:pStyle w:val="TextBody"/>
        <w:bidi w:val="0"/>
        <w:spacing w:before="0" w:after="0"/>
        <w:ind w:left="0" w:right="0" w:firstLine="720"/>
        <w:jc w:val="left"/>
        <w:rPr>
          <w:rFonts w:ascii="Times New Roman" w:hAnsi="Times New Roman"/>
          <w:sz w:val="20"/>
        </w:rPr>
      </w:pPr>
      <w:r>
        <w:rPr>
          <w:rFonts w:ascii="Times New Roman" w:hAnsi="Times New Roman"/>
          <w:sz w:val="20"/>
        </w:rPr>
        <w:t xml:space="preserve">In May 2026, the Company announced that the FDA approved the expansion of ASCENIV's label to include the pediatric setting for those two years of age and older. </w:t>
      </w:r>
    </w:p>
    <w:p>
      <w:pPr>
        <w:pStyle w:val="TextBody"/>
        <w:bidi w:val="0"/>
        <w:spacing w:before="0" w:after="0"/>
        <w:ind w:left="0" w:right="0" w:firstLine="720"/>
        <w:jc w:val="both"/>
        <w:rPr/>
      </w:pPr>
      <w:r>
        <w:rPr/>
        <w:t> </w:t>
      </w:r>
    </w:p>
    <w:p>
      <w:pPr>
        <w:pStyle w:val="TextBody"/>
        <w:bidi w:val="0"/>
        <w:spacing w:before="150" w:after="15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t>19</w:t>
      </w:r>
    </w:p>
    <w:p>
      <w:pPr>
        <w:pStyle w:val="HorizontalLine"/>
        <w:bidi w:val="0"/>
        <w:spacing w:before="150" w:after="150"/>
        <w:jc w:val="left"/>
        <w:rPr/>
      </w:pPr>
      <w:r>
        <w:rPr/>
      </w:r>
    </w:p>
    <w:p>
      <w:pPr>
        <w:pStyle w:val="TextBody"/>
        <w:bidi w:val="0"/>
        <w:spacing w:before="150" w:after="150"/>
        <w:jc w:val="left"/>
        <w:rPr/>
      </w:pPr>
      <w:hyperlink w:anchor="index">
        <w:r>
          <w:rPr>
            <w:rStyle w:val="InternetLink"/>
            <w:rFonts w:ascii="TimesNewRoman;Times New Roman;Times;Baskerville;Georgia;serif" w:hAnsi="TimesNewRoman;Times New Roman;Times;Baskerville;Georgia;serif"/>
            <w:b w:val="false"/>
            <w:i/>
            <w:caps w:val="false"/>
            <w:smallCaps w:val="false"/>
            <w:strike w:val="false"/>
            <w:dstrike w:val="false"/>
            <w:sz w:val="16"/>
            <w:u w:val="none"/>
            <w:effect w:val="none"/>
          </w:rPr>
          <w:t>Index</w:t>
        </w:r>
      </w:hyperlink>
    </w:p>
    <w:p>
      <w:pPr>
        <w:pStyle w:val="TextBody"/>
        <w:bidi w:val="0"/>
        <w:spacing w:before="0" w:after="0"/>
        <w:ind w:left="0" w:right="0" w:hanging="1260"/>
        <w:jc w:val="left"/>
        <w:rPr>
          <w:rFonts w:ascii="Times New Roman" w:hAnsi="Times New Roman"/>
          <w:b/>
          <w:sz w:val="20"/>
        </w:rPr>
      </w:pPr>
      <w:bookmarkStart w:id="10" w:name="itm2"/>
      <w:bookmarkEnd w:id="10"/>
      <w:r>
        <w:rPr>
          <w:rFonts w:ascii="Times New Roman" w:hAnsi="Times New Roman"/>
          <w:b/>
          <w:sz w:val="20"/>
        </w:rPr>
        <w:t xml:space="preserve">Management’s Discussion and Analysis of Financial Condition and Results of Operations. </w:t>
      </w:r>
      <w:r>
        <mc:AlternateContent>
          <mc:Choice Requires="wps">
            <w:drawing>
              <wp:anchor behindDoc="0" distT="0" distB="0" distL="0" distR="0" simplePos="0" locked="0" layoutInCell="1" allowOverlap="1" relativeHeight="58">
                <wp:simplePos x="0" y="0"/>
                <wp:positionH relativeFrom="column">
                  <wp:align>left</wp:align>
                </wp:positionH>
                <wp:positionV relativeFrom="line">
                  <wp:posOffset>635</wp:posOffset>
                </wp:positionV>
                <wp:extent cx="800100" cy="146685"/>
                <wp:effectExtent l="0" t="0" r="0" b="0"/>
                <wp:wrapSquare wrapText="right"/>
                <wp:docPr id="57" name="Frame57"/>
                <a:graphic xmlns:a="http://schemas.openxmlformats.org/drawingml/2006/main">
                  <a:graphicData uri="http://schemas.microsoft.com/office/word/2010/wordprocessingShape">
                    <wps:wsp>
                      <wps:cNvSpPr txBox="1"/>
                      <wps:spPr>
                        <a:xfrm>
                          <a:off x="0" y="0"/>
                          <a:ext cx="800100" cy="146685"/>
                        </a:xfrm>
                        <a:prstGeom prst="rect"/>
                        <a:solidFill>
                          <a:srgbClr val="FFFFFF"/>
                        </a:solidFill>
                      </wps:spPr>
                      <wps:txbx>
                        <w:txbxContent>
                          <w:p>
                            <w:pPr>
                              <w:pStyle w:val="TextBody"/>
                              <w:bidi w:val="0"/>
                              <w:spacing w:before="0" w:after="283"/>
                              <w:jc w:val="left"/>
                              <w:rPr>
                                <w:sz w:val="20"/>
                              </w:rPr>
                            </w:pPr>
                            <w:r>
                              <w:rPr>
                                <w:sz w:val="20"/>
                              </w:rPr>
                              <w:t xml:space="preserve">Item 2. </w:t>
                            </w:r>
                          </w:p>
                        </w:txbxContent>
                      </wps:txbx>
                      <wps:bodyPr anchor="t" lIns="0" tIns="0" rIns="0" bIns="0">
                        <a:noAutofit/>
                      </wps:bodyPr>
                    </wps:wsp>
                  </a:graphicData>
                </a:graphic>
              </wp:anchor>
            </w:drawing>
          </mc:Choice>
          <mc:Fallback>
            <w:pict>
              <v:rect style="position:absolute;rotation:-0;width:63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20"/>
                        </w:rPr>
                      </w:pPr>
                      <w:r>
                        <w:rPr>
                          <w:sz w:val="20"/>
                        </w:rPr>
                        <w:t xml:space="preserve">Item 2. </w:t>
                      </w:r>
                    </w:p>
                  </w:txbxContent>
                </v:textbox>
                <w10:wrap type="square" side="right"/>
              </v:rect>
            </w:pict>
          </mc:Fallback>
        </mc:AlternateContent>
      </w:r>
    </w:p>
    <w:p>
      <w:pPr>
        <w:pStyle w:val="TextBody"/>
        <w:bidi w:val="0"/>
        <w:spacing w:before="0" w:after="0"/>
        <w:ind w:left="1440" w:right="0" w:hanging="0"/>
        <w:jc w:val="left"/>
        <w:rPr/>
      </w:pPr>
      <w:r>
        <w:rPr/>
        <w:t xml:space="preserve">  </w:t>
      </w:r>
    </w:p>
    <w:p>
      <w:pPr>
        <w:pStyle w:val="TextBody"/>
        <w:bidi w:val="0"/>
        <w:spacing w:before="0" w:after="0"/>
        <w:ind w:left="0" w:right="0" w:firstLine="720"/>
        <w:jc w:val="both"/>
        <w:rPr>
          <w:rFonts w:ascii="Times New Roman" w:hAnsi="Times New Roman"/>
          <w:sz w:val="20"/>
        </w:rPr>
      </w:pPr>
      <w:r>
        <w:rPr>
          <w:rFonts w:ascii="Times New Roman" w:hAnsi="Times New Roman"/>
          <w:i/>
          <w:sz w:val="20"/>
        </w:rPr>
        <w:t>The following discussion of our financial condition and results of operations, which refers to our historical results, should be read in conjunction with the other sections of this Quarterly Report on Form 10-Q, including “Risk Factors” and our unaudited consolidated financial statements and the notes thereto appearing elsewhere herein, and in conjunction with the Management’s Discussion and Analysis of Financial Condition and Results of Operations set forth in our Annual Report on Form 10-K for the year ended December 31, 2025, filed on February 25, 2026 (the “2025 10-K”). The various sections of this discussion contain a number of forward-looking statements, all of which are based on our current expectations and could be affected by the uncertainties and risk factors described throughout or referenced within this Quarterly Report on Form 10-Q. See “Special Note Regarding Forward-Looking Statements.” Our actual results may differ materially from our current expectations.</w:t>
      </w:r>
      <w:r>
        <w:rPr>
          <w:rFonts w:ascii="Times New Roman" w:hAnsi="Times New Roman"/>
          <w:sz w:val="20"/>
        </w:rPr>
        <w:t xml:space="preserve"> </w:t>
      </w:r>
    </w:p>
    <w:p>
      <w:pPr>
        <w:pStyle w:val="TextBody"/>
        <w:bidi w:val="0"/>
        <w:spacing w:before="0" w:after="0"/>
        <w:jc w:val="both"/>
        <w:rPr/>
      </w:pPr>
      <w:r>
        <w:rPr/>
        <w:t xml:space="preserve">  </w:t>
      </w:r>
    </w:p>
    <w:p>
      <w:pPr>
        <w:pStyle w:val="TextBody"/>
        <w:bidi w:val="0"/>
        <w:spacing w:before="0" w:after="0"/>
        <w:jc w:val="center"/>
        <w:rPr>
          <w:rFonts w:ascii="Times New Roman" w:hAnsi="Times New Roman"/>
          <w:b/>
          <w:sz w:val="20"/>
        </w:rPr>
      </w:pPr>
      <w:r>
        <w:rPr>
          <w:rFonts w:ascii="Times New Roman" w:hAnsi="Times New Roman"/>
          <w:b/>
          <w:sz w:val="20"/>
          <w:u w:val="single"/>
        </w:rPr>
        <w:t>OVERVIEW</w:t>
      </w:r>
      <w:r>
        <w:rPr>
          <w:rFonts w:ascii="Times New Roman" w:hAnsi="Times New Roman"/>
          <w:b/>
          <w:sz w:val="20"/>
        </w:rPr>
        <w:t xml:space="preserve"> </w:t>
      </w:r>
    </w:p>
    <w:p>
      <w:pPr>
        <w:pStyle w:val="TextBody"/>
        <w:bidi w:val="0"/>
        <w:spacing w:before="0" w:after="0"/>
        <w:jc w:val="center"/>
        <w:rPr/>
      </w:pPr>
      <w:r>
        <w:rPr/>
        <w:t xml:space="preserve">  </w:t>
      </w:r>
    </w:p>
    <w:p>
      <w:pPr>
        <w:pStyle w:val="TextBody"/>
        <w:bidi w:val="0"/>
        <w:spacing w:before="0" w:after="0"/>
        <w:jc w:val="left"/>
        <w:rPr>
          <w:rFonts w:ascii="Times New Roman" w:hAnsi="Times New Roman"/>
          <w:sz w:val="20"/>
        </w:rPr>
      </w:pPr>
      <w:r>
        <w:rPr>
          <w:rFonts w:ascii="Times New Roman" w:hAnsi="Times New Roman"/>
          <w:b/>
          <w:sz w:val="20"/>
        </w:rPr>
        <w:t>Our Business</w:t>
      </w:r>
      <w:r>
        <w:rPr>
          <w:rFonts w:ascii="Times New Roman" w:hAnsi="Times New Roman"/>
          <w:sz w:val="20"/>
        </w:rPr>
        <w:t xml:space="preserve"> </w:t>
      </w:r>
    </w:p>
    <w:p>
      <w:pPr>
        <w:pStyle w:val="TextBody"/>
        <w:bidi w:val="0"/>
        <w:spacing w:before="0" w:after="0"/>
        <w:jc w:val="left"/>
        <w:rPr/>
      </w:pPr>
      <w:r>
        <w:rPr/>
        <w:t xml:space="preserve">  </w:t>
      </w:r>
    </w:p>
    <w:p>
      <w:pPr>
        <w:pStyle w:val="TextBody"/>
        <w:bidi w:val="0"/>
        <w:spacing w:before="0" w:after="0"/>
        <w:ind w:left="0" w:right="0" w:firstLine="720"/>
        <w:jc w:val="both"/>
        <w:rPr>
          <w:rFonts w:ascii="Times New Roman" w:hAnsi="Times New Roman"/>
          <w:sz w:val="20"/>
        </w:rPr>
      </w:pPr>
      <w:r>
        <w:rPr>
          <w:rFonts w:ascii="Times New Roman" w:hAnsi="Times New Roman"/>
          <w:sz w:val="20"/>
        </w:rPr>
        <w:t xml:space="preserve">ADMA Biologics, Inc. (the “Company,” “ADMA,” “we,” “us” or “our”) is a U.S. based, end-to-end commercial biopharmaceutical company dedicated to manufacturing, marketing and developing specialty biologics for the treatment of immunodeficient patients at risk for infection and others at risk for certain infectious diseases. Our targeted patient populations include immune-compromised individuals who suffer from an underlying immune deficiency disorder or who may be immune-suppressed for medical reasons. </w:t>
      </w:r>
    </w:p>
    <w:p>
      <w:pPr>
        <w:pStyle w:val="TextBody"/>
        <w:bidi w:val="0"/>
        <w:spacing w:before="0" w:after="0"/>
        <w:jc w:val="both"/>
        <w:rPr/>
      </w:pPr>
      <w:r>
        <w:rPr/>
        <w:t xml:space="preserve">  </w:t>
      </w:r>
    </w:p>
    <w:p>
      <w:pPr>
        <w:pStyle w:val="TextBody"/>
        <w:bidi w:val="0"/>
        <w:spacing w:before="0" w:after="0"/>
        <w:ind w:left="0" w:right="0" w:firstLine="720"/>
        <w:jc w:val="both"/>
        <w:rPr>
          <w:rFonts w:ascii="Times New Roman" w:hAnsi="Times New Roman"/>
          <w:sz w:val="20"/>
        </w:rPr>
      </w:pPr>
      <w:r>
        <w:rPr>
          <w:rFonts w:ascii="Times New Roman" w:hAnsi="Times New Roman"/>
          <w:sz w:val="20"/>
        </w:rPr>
        <w:t xml:space="preserve">Through our ADMA BioManufacturing business segment, we currently have three products with U.S. Food and Drug Administration (the “FDA”) approval, all of which are currently marketed and commercially available: (i) ASCENIV (Immune Globulin Intravenous, Human – slra 10% Liquid), an Intravenous Immune Globulin (“IVIG”) product indicated for the treatment of Primary Humoral Immunodeficiency (“PI”), also known as Primary Immunodeficiency Disease (“PIDD”) or Inborn Errors of Immunity in adults and children ages two and above, for which we received FDA approval in April 2019 and commenced first commercial sales in October 2019; (ii) BIVIGAM (Immune Globulin Intravenous, Human), an IVIG product indicated for the treatment of PI, and for which we received FDA approval in May 2019 and commenced commercial sales in August 2019; and (iii) Nabi-HB (Hepatitis B Immune Globulin, Human), which is indicated for the treatment of acute exposure to blood containing HBsAg and other listed exposures to Hepatitis B. We seek to develop a pipeline of plasma-derived therapeutics, including a product based on our most recently approved patent application under U.S. Patent Nos. 10,259,865 and 11,084,870 related to methods of treatment and prevention of </w:t>
      </w:r>
      <w:r>
        <w:rPr>
          <w:rFonts w:ascii="Times New Roman" w:hAnsi="Times New Roman"/>
          <w:i/>
          <w:sz w:val="20"/>
        </w:rPr>
        <w:t>S. pneumonia</w:t>
      </w:r>
      <w:r>
        <w:rPr>
          <w:rFonts w:ascii="Times New Roman" w:hAnsi="Times New Roman"/>
          <w:sz w:val="20"/>
        </w:rPr>
        <w:t xml:space="preserve"> infection for an immunoglobulin manufactured to contain standardized antibodies to numerous serotypes of </w:t>
      </w:r>
      <w:r>
        <w:rPr>
          <w:rFonts w:ascii="Times New Roman" w:hAnsi="Times New Roman"/>
          <w:i/>
          <w:sz w:val="20"/>
        </w:rPr>
        <w:t>S. pneumoniae</w:t>
      </w:r>
      <w:r>
        <w:rPr>
          <w:rFonts w:ascii="Times New Roman" w:hAnsi="Times New Roman"/>
          <w:sz w:val="20"/>
        </w:rPr>
        <w:t xml:space="preserve">. We have successfully completed production of a pilot-scale batch and are conducting animal studies for our </w:t>
      </w:r>
      <w:r>
        <w:rPr>
          <w:rFonts w:ascii="Times New Roman" w:hAnsi="Times New Roman"/>
          <w:i/>
          <w:sz w:val="20"/>
        </w:rPr>
        <w:t>S. pneumoniae</w:t>
      </w:r>
      <w:r>
        <w:rPr>
          <w:rFonts w:ascii="Times New Roman" w:hAnsi="Times New Roman"/>
          <w:sz w:val="20"/>
        </w:rPr>
        <w:t xml:space="preserve"> hyperimmune globulin program, SG-001. We anticipate submitting a pre-Investigational New Drug (“IND”) package to the FDA in fiscal year 2026, which could enable us to progress development of SG-001 directly into a registrational clinical trial. Our products and product candidates are intended to be used by physician specialists focused on caring for immune-compromised patients with or at risk for certain infectious diseases. </w:t>
      </w:r>
    </w:p>
    <w:p>
      <w:pPr>
        <w:pStyle w:val="TextBody"/>
        <w:bidi w:val="0"/>
        <w:spacing w:before="0" w:after="0"/>
        <w:jc w:val="both"/>
        <w:rPr/>
      </w:pPr>
      <w:r>
        <w:rPr/>
        <w:t xml:space="preserve">  </w:t>
      </w:r>
    </w:p>
    <w:p>
      <w:pPr>
        <w:pStyle w:val="TextBody"/>
        <w:bidi w:val="0"/>
        <w:spacing w:before="0" w:after="0"/>
        <w:ind w:left="0" w:right="0" w:firstLine="720"/>
        <w:jc w:val="both"/>
        <w:rPr>
          <w:rFonts w:ascii="Times New Roman" w:hAnsi="Times New Roman"/>
          <w:sz w:val="20"/>
        </w:rPr>
      </w:pPr>
      <w:r>
        <w:rPr>
          <w:rFonts w:ascii="Times New Roman" w:hAnsi="Times New Roman"/>
          <w:sz w:val="20"/>
        </w:rPr>
        <w:t xml:space="preserve">We manufacture these products at our FDA-licensed, plasma fractionation and purification facility located in Boca Raton, Florida with a peak annual processing capability of up to 600,000 liters (the “Boca Facility”). Based on current production yields, our completed and ongoing supply chain enhancements and capacity expansion initiatives, we believe this facility has the potential to produce sufficient quantities of our immune globulin products. </w:t>
      </w:r>
    </w:p>
    <w:p>
      <w:pPr>
        <w:pStyle w:val="TextBody"/>
        <w:bidi w:val="0"/>
        <w:spacing w:before="0" w:after="0"/>
        <w:jc w:val="left"/>
        <w:rPr/>
      </w:pPr>
      <w:r>
        <w:rPr/>
        <w:t xml:space="preserve">  </w:t>
      </w:r>
    </w:p>
    <w:p>
      <w:pPr>
        <w:pStyle w:val="TextBody"/>
        <w:bidi w:val="0"/>
        <w:spacing w:before="0" w:after="0"/>
        <w:ind w:left="0" w:right="0" w:firstLine="720"/>
        <w:jc w:val="both"/>
        <w:rPr>
          <w:rFonts w:ascii="Times New Roman" w:hAnsi="Times New Roman"/>
          <w:sz w:val="20"/>
        </w:rPr>
      </w:pPr>
      <w:r>
        <w:rPr>
          <w:rFonts w:ascii="Times New Roman" w:hAnsi="Times New Roman"/>
          <w:sz w:val="20"/>
        </w:rPr>
        <w:t>Through our ADMA BioCenters subsidiary, we currently operate seven source plasma collection facilities in the U.S., all of which hold FDA licenses. This business unit, which we refer to as our Plasma Collection Centers business segment, provides us with the blood plasma required for the manufacture of our products, and also allows us to sell certain quantities of source and hyperimmune plasma to third-party customers for further manufacturing. In addition, one of our FDA-approved plasma collection centers also has approval from the Korean Ministry of Food and Drug Safety (“MFDS”), and ADMA BioCenters has FDA approval to operate a Hepatitis B immunization program. A typical plasma collection center, such as those operated by ADMA BioCenters, can collect approximately 30,000 to 50,000 liters of source plasma annually, which may be sold for different prices depending upon the type of plasma, quantity of purchase and market conditions at the time of sale. Plasma collected from ADMA BioCenters’ facilities that is not used to manufacture our products is sold to third-party customers in the U.S. and in other locations outside the U.S. where we are approved under supply agreements or in the open “spot” market.</w:t>
      </w:r>
    </w:p>
    <w:p>
      <w:pPr>
        <w:pStyle w:val="TextBody"/>
        <w:bidi w:val="0"/>
        <w:spacing w:before="0" w:after="0"/>
        <w:ind w:left="0" w:right="0" w:firstLine="720"/>
        <w:jc w:val="both"/>
        <w:rPr/>
      </w:pPr>
      <w:r>
        <w:rPr/>
        <w:t> </w:t>
      </w:r>
    </w:p>
    <w:p>
      <w:pPr>
        <w:pStyle w:val="TextBody"/>
        <w:bidi w:val="0"/>
        <w:spacing w:before="150" w:after="15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t>20</w:t>
      </w:r>
    </w:p>
    <w:p>
      <w:pPr>
        <w:pStyle w:val="HorizontalLine"/>
        <w:bidi w:val="0"/>
        <w:spacing w:before="150" w:after="150"/>
        <w:jc w:val="left"/>
        <w:rPr/>
      </w:pPr>
      <w:r>
        <w:rPr/>
      </w:r>
    </w:p>
    <w:p>
      <w:pPr>
        <w:pStyle w:val="TextBody"/>
        <w:bidi w:val="0"/>
        <w:spacing w:before="150" w:after="150"/>
        <w:jc w:val="left"/>
        <w:rPr/>
      </w:pPr>
      <w:hyperlink w:anchor="index">
        <w:r>
          <w:rPr>
            <w:rStyle w:val="InternetLink"/>
            <w:rFonts w:ascii="TimesNewRoman;Times New Roman;Times;Baskerville;Georgia;serif" w:hAnsi="TimesNewRoman;Times New Roman;Times;Baskerville;Georgia;serif"/>
            <w:b w:val="false"/>
            <w:i/>
            <w:caps w:val="false"/>
            <w:smallCaps w:val="false"/>
            <w:strike w:val="false"/>
            <w:dstrike w:val="false"/>
            <w:sz w:val="16"/>
            <w:u w:val="none"/>
            <w:effect w:val="none"/>
          </w:rPr>
          <w:t>Index</w:t>
        </w:r>
      </w:hyperlink>
    </w:p>
    <w:p>
      <w:pPr>
        <w:pStyle w:val="TextBody"/>
        <w:bidi w:val="0"/>
        <w:spacing w:before="0" w:after="0"/>
        <w:ind w:left="0" w:right="0" w:firstLine="720"/>
        <w:jc w:val="both"/>
        <w:rPr>
          <w:rFonts w:ascii="Times New Roman" w:hAnsi="Times New Roman"/>
          <w:sz w:val="20"/>
        </w:rPr>
      </w:pPr>
      <w:r>
        <w:rPr>
          <w:rFonts w:ascii="Times New Roman" w:hAnsi="Times New Roman"/>
          <w:sz w:val="20"/>
        </w:rPr>
        <w:t xml:space="preserve">From time to time, we may provide contract manufacturing services for certain third-party clients. We also provide laboratory contracting services to certain customers and may provide contract filling, labeling and packing services utilizing our FDA-approved in-house fill-finish capabilities. </w:t>
      </w:r>
    </w:p>
    <w:p>
      <w:pPr>
        <w:pStyle w:val="TextBody"/>
        <w:bidi w:val="0"/>
        <w:spacing w:before="0" w:after="0"/>
        <w:jc w:val="left"/>
        <w:rPr/>
      </w:pPr>
      <w:r>
        <w:rPr/>
        <w:t xml:space="preserve">  </w:t>
      </w:r>
    </w:p>
    <w:p>
      <w:pPr>
        <w:pStyle w:val="TextBody"/>
        <w:bidi w:val="0"/>
        <w:spacing w:before="0" w:after="0"/>
        <w:jc w:val="left"/>
        <w:rPr>
          <w:rFonts w:ascii="Times New Roman" w:hAnsi="Times New Roman"/>
          <w:sz w:val="20"/>
        </w:rPr>
      </w:pPr>
      <w:r>
        <w:rPr>
          <w:rFonts w:ascii="Times New Roman" w:hAnsi="Times New Roman"/>
          <w:b/>
          <w:sz w:val="20"/>
        </w:rPr>
        <w:t>Trends and Developments</w:t>
      </w:r>
      <w:r>
        <w:rPr>
          <w:rFonts w:ascii="Times New Roman" w:hAnsi="Times New Roman"/>
          <w:sz w:val="20"/>
        </w:rPr>
        <w:t xml:space="preserve"> </w:t>
      </w:r>
    </w:p>
    <w:p>
      <w:pPr>
        <w:pStyle w:val="TextBody"/>
        <w:bidi w:val="0"/>
        <w:spacing w:before="0" w:after="0"/>
        <w:jc w:val="both"/>
        <w:rPr/>
      </w:pPr>
      <w:r>
        <w:rPr/>
        <w:t xml:space="preserve">  </w:t>
      </w:r>
    </w:p>
    <w:p>
      <w:pPr>
        <w:pStyle w:val="TextBody"/>
        <w:bidi w:val="0"/>
        <w:spacing w:before="0" w:after="0"/>
        <w:ind w:left="0" w:right="0" w:firstLine="720"/>
        <w:jc w:val="both"/>
        <w:rPr>
          <w:rFonts w:ascii="Times New Roman" w:hAnsi="Times New Roman"/>
          <w:sz w:val="20"/>
        </w:rPr>
      </w:pPr>
      <w:r>
        <w:rPr>
          <w:rFonts w:ascii="Times New Roman" w:hAnsi="Times New Roman"/>
          <w:sz w:val="20"/>
        </w:rPr>
        <w:t xml:space="preserve">For the year ended December 31, 2024, we achieved net income of $197.7 million, the first time in our history that we achieved net income on a GAAP basis and generated positive cash flows from operations of $118.7 million. Positive cash flows from operations continued throughout fiscal year 2025. Our improved operating results were primarily the result of the substantial revenue growth and continued physician, patient and payer acceptance of ASCENIV. </w:t>
      </w:r>
    </w:p>
    <w:p>
      <w:pPr>
        <w:pStyle w:val="TextBody"/>
        <w:bidi w:val="0"/>
        <w:spacing w:before="0" w:after="0"/>
        <w:jc w:val="left"/>
        <w:rPr/>
      </w:pPr>
      <w:r>
        <w:rPr/>
        <w:t xml:space="preserve">  </w:t>
      </w:r>
    </w:p>
    <w:p>
      <w:pPr>
        <w:pStyle w:val="TextBody"/>
        <w:bidi w:val="0"/>
        <w:spacing w:before="0" w:after="0"/>
        <w:ind w:left="0" w:right="0" w:firstLine="720"/>
        <w:jc w:val="both"/>
        <w:rPr>
          <w:rFonts w:ascii="Times New Roman" w:hAnsi="Times New Roman"/>
          <w:sz w:val="20"/>
        </w:rPr>
      </w:pPr>
      <w:r>
        <w:rPr>
          <w:rFonts w:ascii="Times New Roman" w:hAnsi="Times New Roman"/>
          <w:sz w:val="20"/>
        </w:rPr>
        <w:t xml:space="preserve">In April 2025, the FDA approved our Prior Approval Supplement (the “PAS”) for our innovative yield enhancement production process (the “Yield Enhancement”) benefiting both ASCENIV and BIVIGAM. This PAS approval amends the Biologics License Application (“BLA”) approvals for ASCENIV and BIVIGAM and will continue to be the process by which we will manufacture these products on a go-forward basis. The production methods approved in this PAS have started to result in additional bulk drug yield from the same starting raw material source plasma volumes and the Company believes it should experience meaningful revenue and earnings accretion accelerating further into 2026 and beyond. This innovative process has demonstrated an ability to increase ASCENIV and BIVIGAM production yields by 20% or more from the same starting source plasma volume. Fiscal year 2026 will be our first full year of yield-enhanced production, supporting anticipated sustained margin expansion. </w:t>
      </w:r>
    </w:p>
    <w:p>
      <w:pPr>
        <w:pStyle w:val="TextBody"/>
        <w:bidi w:val="0"/>
        <w:spacing w:before="0" w:after="0"/>
        <w:jc w:val="left"/>
        <w:rPr/>
      </w:pPr>
      <w:r>
        <w:rPr/>
        <w:t xml:space="preserve">  </w:t>
      </w:r>
    </w:p>
    <w:p>
      <w:pPr>
        <w:pStyle w:val="TextBody"/>
        <w:bidi w:val="0"/>
        <w:spacing w:before="0" w:after="0"/>
        <w:ind w:left="0" w:right="0" w:firstLine="720"/>
        <w:jc w:val="both"/>
        <w:rPr>
          <w:rFonts w:ascii="Times New Roman" w:hAnsi="Times New Roman"/>
          <w:sz w:val="20"/>
        </w:rPr>
      </w:pPr>
      <w:r>
        <w:rPr>
          <w:rFonts w:ascii="Times New Roman" w:hAnsi="Times New Roman"/>
          <w:sz w:val="20"/>
        </w:rPr>
        <w:t xml:space="preserve">In July 2025, the One Big Beautiful Bill Act ("OBBBA") was enacted, which includes numerous changes to existing tax law including extending or making permanent certain business provisions initially established under the 2017 Tax Cuts and Jobs Act, which were set to expire. The OBBBA permanently eliminates the requirement to capitalize and amortize U.S.-based research and experimental expenditures, making these expenditures fully deductible in the period incurred. The OBBBA also permanently extends recognition of the accelerated bonus depreciation on qualifying assets in the period acquired. In 2025, these provisions resulted in a reduction of current income tax liabilities and a corresponding reduction to income tax expense. </w:t>
      </w:r>
    </w:p>
    <w:p>
      <w:pPr>
        <w:pStyle w:val="TextBody"/>
        <w:bidi w:val="0"/>
        <w:spacing w:before="0" w:after="0"/>
        <w:jc w:val="left"/>
        <w:rPr/>
      </w:pPr>
      <w:r>
        <w:rPr/>
        <w:t xml:space="preserve">  </w:t>
      </w:r>
    </w:p>
    <w:p>
      <w:pPr>
        <w:pStyle w:val="TextBody"/>
        <w:bidi w:val="0"/>
        <w:spacing w:before="0" w:after="0"/>
        <w:ind w:left="0" w:right="0" w:firstLine="720"/>
        <w:jc w:val="both"/>
        <w:rPr>
          <w:rFonts w:ascii="Times New Roman" w:hAnsi="Times New Roman"/>
          <w:sz w:val="20"/>
        </w:rPr>
      </w:pPr>
      <w:r>
        <w:rPr>
          <w:rFonts w:ascii="Times New Roman" w:hAnsi="Times New Roman"/>
          <w:sz w:val="20"/>
        </w:rPr>
        <w:t xml:space="preserve">In July 2025, we completed the acquisition of real estate in Boca Raton, Florida for a total purchase price of $12.6 million. This real estate purchase is intended to allow us to expand our production operations and related activities as well as provide for certain redundancies for ambient and cold-chain storage of raw materials, work in process and finished goods inventory. </w:t>
      </w:r>
    </w:p>
    <w:p>
      <w:pPr>
        <w:pStyle w:val="TextBody"/>
        <w:bidi w:val="0"/>
        <w:spacing w:before="0" w:after="0"/>
        <w:jc w:val="both"/>
        <w:rPr/>
      </w:pPr>
      <w:r>
        <w:rPr/>
        <w:t xml:space="preserve">  </w:t>
      </w:r>
    </w:p>
    <w:p>
      <w:pPr>
        <w:pStyle w:val="TextBody"/>
        <w:bidi w:val="0"/>
        <w:spacing w:before="0" w:after="0"/>
        <w:ind w:left="0" w:right="0" w:firstLine="720"/>
        <w:jc w:val="both"/>
        <w:rPr>
          <w:rFonts w:ascii="Times New Roman" w:hAnsi="Times New Roman"/>
          <w:sz w:val="20"/>
        </w:rPr>
      </w:pPr>
      <w:r>
        <w:rPr>
          <w:rFonts w:ascii="Times New Roman" w:hAnsi="Times New Roman"/>
          <w:sz w:val="20"/>
        </w:rPr>
        <w:t xml:space="preserve">In December 2025, we entered into an agreement for the divestiture of three of our plasma collection centers for an aggregate purchase price of $12.0 million. The sale of these plasma centers was completed during the first quarter of 2026. We continue to own and operate seven plasma collection centers. In conjunction with the divestiture agreement, we entered into long-term plasma supply agreements with the purchaser of the three plasma collection centers, further diversifying our third-party high-titer plasma supply base. Collectively, these actions reflect a deliberate focus on a more flexible, capital-efficient supply model and are expected to deliver accretive cost savings in fiscal year 2026, improve capital efficiency, support increased ASCENIV production capacity, and provide durable plasma supply confidence through the late 2030s. </w:t>
      </w:r>
    </w:p>
    <w:p>
      <w:pPr>
        <w:pStyle w:val="TextBody"/>
        <w:bidi w:val="0"/>
        <w:spacing w:before="0" w:after="0"/>
        <w:jc w:val="left"/>
        <w:rPr/>
      </w:pPr>
      <w:r>
        <w:rPr/>
        <w:t> </w:t>
      </w:r>
    </w:p>
    <w:p>
      <w:pPr>
        <w:pStyle w:val="TextBody"/>
        <w:bidi w:val="0"/>
        <w:spacing w:before="0" w:after="0"/>
        <w:ind w:left="0" w:right="0" w:firstLine="720"/>
        <w:jc w:val="both"/>
        <w:rPr>
          <w:rFonts w:ascii="Times New Roman" w:hAnsi="Times New Roman"/>
          <w:sz w:val="20"/>
        </w:rPr>
      </w:pPr>
      <w:r>
        <w:rPr>
          <w:rFonts w:ascii="Times New Roman" w:hAnsi="Times New Roman"/>
          <w:sz w:val="20"/>
        </w:rPr>
        <w:t>Beginning in the second half of 2025 and continuing into the first quarter of 2026, new FDA-approved IVIG products, and other pharmaceutical products which compete with certain IVIG product uses, entered the market with aggressive pricing tactics, including extended payment terms, rebates and discounts. This has led to increases in raw material plasma supply and finished goods inventory across the distribution network. This created competitive intensity and distribution recalibration across the industry which impacted our first quarter of 2026 results, mainly as it relates to BIVIGAM, but broadly across the IVIG complex. If this trend of competitive pricing tactics continues, future results and penetration for our products may be adversely impacted.</w:t>
      </w:r>
    </w:p>
    <w:p>
      <w:pPr>
        <w:pStyle w:val="TextBody"/>
        <w:bidi w:val="0"/>
        <w:spacing w:before="0" w:after="0"/>
        <w:jc w:val="left"/>
        <w:rPr/>
      </w:pPr>
      <w:r>
        <w:rPr/>
        <w:t> </w:t>
      </w:r>
    </w:p>
    <w:p>
      <w:pPr>
        <w:pStyle w:val="TextBody"/>
        <w:bidi w:val="0"/>
        <w:spacing w:before="150" w:after="15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t>21</w:t>
      </w:r>
    </w:p>
    <w:p>
      <w:pPr>
        <w:pStyle w:val="HorizontalLine"/>
        <w:bidi w:val="0"/>
        <w:spacing w:before="150" w:after="150"/>
        <w:jc w:val="left"/>
        <w:rPr/>
      </w:pPr>
      <w:r>
        <w:rPr/>
      </w:r>
    </w:p>
    <w:p>
      <w:pPr>
        <w:pStyle w:val="TextBody"/>
        <w:bidi w:val="0"/>
        <w:spacing w:before="150" w:after="150"/>
        <w:jc w:val="left"/>
        <w:rPr/>
      </w:pPr>
      <w:hyperlink w:anchor="index">
        <w:r>
          <w:rPr>
            <w:rStyle w:val="InternetLink"/>
            <w:rFonts w:ascii="TimesNewRoman;Times New Roman;Times;Baskerville;Georgia;serif" w:hAnsi="TimesNewRoman;Times New Roman;Times;Baskerville;Georgia;serif"/>
            <w:b w:val="false"/>
            <w:i/>
            <w:caps w:val="false"/>
            <w:smallCaps w:val="false"/>
            <w:strike w:val="false"/>
            <w:dstrike w:val="false"/>
            <w:sz w:val="16"/>
            <w:u w:val="none"/>
            <w:effect w:val="none"/>
          </w:rPr>
          <w:t>Index</w:t>
        </w:r>
      </w:hyperlink>
    </w:p>
    <w:p>
      <w:pPr>
        <w:pStyle w:val="TextBody"/>
        <w:bidi w:val="0"/>
        <w:spacing w:before="0" w:after="0"/>
        <w:jc w:val="left"/>
        <w:rPr>
          <w:rFonts w:ascii="Times New Roman" w:hAnsi="Times New Roman"/>
          <w:sz w:val="20"/>
        </w:rPr>
      </w:pPr>
      <w:r>
        <w:rPr>
          <w:rFonts w:ascii="Times New Roman" w:hAnsi="Times New Roman"/>
          <w:b/>
          <w:sz w:val="20"/>
        </w:rPr>
        <w:t>Our Products</w:t>
      </w:r>
      <w:r>
        <w:rPr>
          <w:rFonts w:ascii="Times New Roman" w:hAnsi="Times New Roman"/>
          <w:sz w:val="20"/>
        </w:rPr>
        <w:t xml:space="preserve"> </w:t>
      </w:r>
    </w:p>
    <w:p>
      <w:pPr>
        <w:pStyle w:val="TextBody"/>
        <w:bidi w:val="0"/>
        <w:spacing w:before="0" w:after="0"/>
        <w:jc w:val="left"/>
        <w:rPr/>
      </w:pPr>
      <w:r>
        <w:rPr/>
        <w:t xml:space="preserve">  </w:t>
      </w:r>
    </w:p>
    <w:p>
      <w:pPr>
        <w:pStyle w:val="TextBody"/>
        <w:bidi w:val="0"/>
        <w:spacing w:before="0" w:after="0"/>
        <w:jc w:val="left"/>
        <w:rPr>
          <w:rFonts w:ascii="Times New Roman" w:hAnsi="Times New Roman"/>
          <w:sz w:val="20"/>
        </w:rPr>
      </w:pPr>
      <w:r>
        <w:rPr>
          <w:rFonts w:ascii="Times New Roman" w:hAnsi="Times New Roman"/>
          <w:b/>
          <w:i/>
          <w:sz w:val="20"/>
        </w:rPr>
        <w:t>ASCENIV</w:t>
      </w:r>
      <w:r>
        <w:rPr>
          <w:rFonts w:ascii="Times New Roman" w:hAnsi="Times New Roman"/>
          <w:sz w:val="20"/>
        </w:rPr>
        <w:t xml:space="preserve"> </w:t>
      </w:r>
    </w:p>
    <w:p>
      <w:pPr>
        <w:pStyle w:val="TextBody"/>
        <w:bidi w:val="0"/>
        <w:spacing w:before="0" w:after="0"/>
        <w:jc w:val="left"/>
        <w:rPr/>
      </w:pPr>
      <w:r>
        <w:rPr/>
        <w:t xml:space="preserve">  </w:t>
      </w:r>
    </w:p>
    <w:p>
      <w:pPr>
        <w:pStyle w:val="TextBody"/>
        <w:bidi w:val="0"/>
        <w:spacing w:before="0" w:after="0"/>
        <w:ind w:left="0" w:right="0" w:firstLine="720"/>
        <w:jc w:val="both"/>
        <w:rPr>
          <w:rFonts w:ascii="Times New Roman" w:hAnsi="Times New Roman"/>
          <w:sz w:val="20"/>
        </w:rPr>
      </w:pPr>
      <w:r>
        <w:rPr>
          <w:rFonts w:ascii="Times New Roman" w:hAnsi="Times New Roman"/>
          <w:sz w:val="20"/>
        </w:rPr>
        <w:t xml:space="preserve">ASCENIV is a plasma-derived IVIG product that contains naturally occurring polyclonal antibodies, which are proteins that are used by the body’s immune system to neutralize microbes, such as bacteria and viruses, and prevent against infection and disease. We manufacture ASCENIV under HHS License No. 2019 using a process known as fractionation. The Centers for Medicare and Medicaid Services (“CMS”) has issued a permanent, product-specific-J-code for ASCENIV. Under the Healthcare Common Procedure Coding System (“HCPCS”), the J-code (J1554) became effective in April 2021. As part of our proprietary manufacturing process for ASCENIV, we leverage our unique, patented plasma donor screening methodology and tailored plasma pooling design, which blends normal source plasma and plasma from donors tested to have high levels of neutralizing antibody titers to respiratory syncytial virus (“RSV”) using our proprietary microneutralization testing assay. With our patented testing methods and assay, we are able to identify the high-titer or “hyperimmune” plasma that meets our internal and required specifications for ASCENIV. This type of high-titer plasma is typically found in less than 10% of the total donor collection samples we test. </w:t>
      </w:r>
    </w:p>
    <w:p>
      <w:pPr>
        <w:pStyle w:val="TextBody"/>
        <w:bidi w:val="0"/>
        <w:spacing w:before="0" w:after="0"/>
        <w:jc w:val="both"/>
        <w:rPr/>
      </w:pPr>
      <w:r>
        <w:rPr/>
        <w:t xml:space="preserve">  </w:t>
      </w:r>
    </w:p>
    <w:p>
      <w:pPr>
        <w:pStyle w:val="TextBody"/>
        <w:bidi w:val="0"/>
        <w:spacing w:before="0" w:after="0"/>
        <w:ind w:left="0" w:right="0" w:firstLine="720"/>
        <w:jc w:val="both"/>
        <w:rPr>
          <w:rFonts w:ascii="Times New Roman" w:hAnsi="Times New Roman"/>
          <w:sz w:val="20"/>
        </w:rPr>
      </w:pPr>
      <w:r>
        <w:rPr>
          <w:rFonts w:ascii="Times New Roman" w:hAnsi="Times New Roman"/>
          <w:sz w:val="20"/>
        </w:rPr>
        <w:t xml:space="preserve">ASCENIV is approved for the treatment of PIDD or PI, a class of inherited genetic disorders that causes a deficient or absent immune system in adults and children ages two and above. Our pivotal Phase III clinical trial in 59 PIDD patients met the primary endpoint of no Serious Bacterial Infections (“SBI”) reported during 12 months of treatment. Secondary efficacy endpoints further demonstrated the benefits of ASCENIV in the low incidence of infection, therapeutic antibiotic use, days missed from work, school and daycare and unscheduled medical visits and hospitalizations. We believe this clinical data together with the FDA approval for the treatment of PIDD better positions ADMA to potentially further evaluate ASCENIV in immune-compromised patients infected with or at-risk for RSV infection or potentially other respiratory viral pathogens at an appropriate time. In the future, we may elect to work with the FDA and the immunology and infectious disease community to design an appropriate clinical trial to evaluate the use of ASCENIV in this patient population. Following FDA approval in April 2019, commercial sales of ASCENIV commenced in October 2019 and in 2023 we commenced manufacturing ASCENIV at the 4,400 Liter production scale. This expansion has improved the product’s margin profile and increased plant production capacity as fewer batches are needed to support our revenue goals. ASCENIV’s prescriber and patient base continued to expand during 2024 and 2025, which drove record utilization and pull-through for this product. These elevated demand trends have sustained into 2026, and we currently expect that this product’s rapid growth will continue throughout 2026 and beyond. </w:t>
      </w:r>
    </w:p>
    <w:p>
      <w:pPr>
        <w:pStyle w:val="TextBody"/>
        <w:bidi w:val="0"/>
        <w:spacing w:before="0" w:after="0"/>
        <w:jc w:val="both"/>
        <w:rPr/>
      </w:pPr>
      <w:r>
        <w:rPr/>
        <w:t xml:space="preserve">  </w:t>
      </w:r>
    </w:p>
    <w:p>
      <w:pPr>
        <w:pStyle w:val="TextBody"/>
        <w:bidi w:val="0"/>
        <w:spacing w:before="0" w:after="0"/>
        <w:ind w:left="0" w:right="0" w:firstLine="720"/>
        <w:jc w:val="both"/>
        <w:rPr>
          <w:rFonts w:ascii="Times New Roman" w:hAnsi="Times New Roman"/>
          <w:sz w:val="20"/>
        </w:rPr>
      </w:pPr>
      <w:r>
        <w:rPr>
          <w:rFonts w:ascii="Times New Roman" w:hAnsi="Times New Roman"/>
          <w:sz w:val="20"/>
        </w:rPr>
        <w:t>In May 2026, we announced that the FDA approved the expansion of ASCENIV’s label to include the pediatric setting </w:t>
      </w:r>
      <w:r>
        <w:rPr>
          <w:rFonts w:ascii="Times New Roman" w:hAnsi="Times New Roman"/>
          <w:spacing w:val="0"/>
          <w:sz w:val="20"/>
        </w:rPr>
        <w:t>for those two years of age and older.</w:t>
      </w:r>
    </w:p>
    <w:p>
      <w:pPr>
        <w:pStyle w:val="TextBody"/>
        <w:bidi w:val="0"/>
        <w:spacing w:before="0" w:after="0"/>
        <w:ind w:left="0" w:right="0" w:firstLine="720"/>
        <w:jc w:val="both"/>
        <w:rPr>
          <w:sz w:val="22"/>
        </w:rPr>
      </w:pPr>
      <w:r>
        <w:rPr>
          <w:sz w:val="22"/>
        </w:rPr>
      </w:r>
    </w:p>
    <w:p>
      <w:pPr>
        <w:pStyle w:val="TextBody"/>
        <w:bidi w:val="0"/>
        <w:spacing w:before="0" w:after="0"/>
        <w:jc w:val="left"/>
        <w:rPr>
          <w:rFonts w:ascii="Times New Roman" w:hAnsi="Times New Roman"/>
          <w:sz w:val="20"/>
        </w:rPr>
      </w:pPr>
      <w:r>
        <w:rPr>
          <w:rFonts w:ascii="Times New Roman" w:hAnsi="Times New Roman"/>
          <w:b/>
          <w:i/>
          <w:sz w:val="20"/>
        </w:rPr>
        <w:t>BIVIGAM</w:t>
      </w:r>
      <w:r>
        <w:rPr>
          <w:rFonts w:ascii="Times New Roman" w:hAnsi="Times New Roman"/>
          <w:sz w:val="20"/>
        </w:rPr>
        <w:t xml:space="preserve"> </w:t>
      </w:r>
    </w:p>
    <w:p>
      <w:pPr>
        <w:pStyle w:val="TextBody"/>
        <w:bidi w:val="0"/>
        <w:spacing w:before="0" w:after="0"/>
        <w:jc w:val="left"/>
        <w:rPr/>
      </w:pPr>
      <w:r>
        <w:rPr/>
        <w:t xml:space="preserve">  </w:t>
      </w:r>
    </w:p>
    <w:p>
      <w:pPr>
        <w:pStyle w:val="TextBody"/>
        <w:bidi w:val="0"/>
        <w:spacing w:before="0" w:after="0"/>
        <w:ind w:left="0" w:right="0" w:firstLine="720"/>
        <w:jc w:val="both"/>
        <w:rPr>
          <w:rFonts w:ascii="Times New Roman" w:hAnsi="Times New Roman"/>
          <w:sz w:val="20"/>
        </w:rPr>
      </w:pPr>
      <w:r>
        <w:rPr>
          <w:rFonts w:ascii="Times New Roman" w:hAnsi="Times New Roman"/>
          <w:sz w:val="20"/>
        </w:rPr>
        <w:t xml:space="preserve">BIVIGAM is a plasma-derived IVIG product that contains a broad range of antibodies similar to those found in normal human plasma. These antibodies are directed against bacteria and viruses and help to protect PI patients against serious infections. BIVIGAM is a purified, sterile, ready-to-use preparation of concentrated human Immunoglobulin G antibodies indicated for the treatment of PI, a group of genetic disorders. This includes, but is not limited to, the humoral immune defect in common variable immunodeficiency, X-linked agammaglobulinemia, congenital agammaglobulinemia, Wiskott-Aldrich syndrome and severe combined immunodeficiency. These PIs are a group of genetic disorders. Based on recent estimates, these disorders are no longer considered to be very rare, with as many as one in every 2,000 people in the United States having some form of PI. </w:t>
      </w:r>
    </w:p>
    <w:p>
      <w:pPr>
        <w:pStyle w:val="TextBody"/>
        <w:bidi w:val="0"/>
        <w:spacing w:before="0" w:after="0"/>
        <w:jc w:val="both"/>
        <w:rPr/>
      </w:pPr>
      <w:r>
        <w:rPr/>
        <w:t xml:space="preserve">  </w:t>
      </w:r>
    </w:p>
    <w:p>
      <w:pPr>
        <w:pStyle w:val="TextBody"/>
        <w:bidi w:val="0"/>
        <w:spacing w:before="0" w:after="0"/>
        <w:ind w:left="0" w:right="0" w:firstLine="720"/>
        <w:jc w:val="both"/>
        <w:rPr>
          <w:rFonts w:ascii="Times New Roman" w:hAnsi="Times New Roman"/>
          <w:sz w:val="20"/>
        </w:rPr>
      </w:pPr>
      <w:r>
        <w:rPr>
          <w:rFonts w:ascii="Times New Roman" w:hAnsi="Times New Roman"/>
          <w:sz w:val="20"/>
        </w:rPr>
        <w:t xml:space="preserve">In May 2019, the FDA approved the PAS for the use of our IVIG manufacturing process (known as fractionation), thereby enabling us to re-launch and commercialize this product in the United States. We resumed production of BIVIGAM during the fourth quarter of 2017 and commercial production is ongoing, using our FDA-approved IVIG manufacturing process under U.S. Department of Health and Human Services (“HHS”) License No. 2019. The commercial re-launch and first commercial sales for this product commenced in August 2019. </w:t>
      </w:r>
    </w:p>
    <w:p>
      <w:pPr>
        <w:pStyle w:val="TextBody"/>
        <w:bidi w:val="0"/>
        <w:spacing w:before="0" w:after="0"/>
        <w:jc w:val="both"/>
        <w:rPr/>
      </w:pPr>
      <w:r>
        <w:rPr/>
        <w:t xml:space="preserve">  </w:t>
      </w:r>
    </w:p>
    <w:p>
      <w:pPr>
        <w:pStyle w:val="TextBody"/>
        <w:bidi w:val="0"/>
        <w:spacing w:before="0" w:after="0"/>
        <w:ind w:left="0" w:right="0" w:firstLine="720"/>
        <w:jc w:val="both"/>
        <w:rPr>
          <w:rFonts w:ascii="Times New Roman" w:hAnsi="Times New Roman"/>
          <w:sz w:val="20"/>
        </w:rPr>
      </w:pPr>
      <w:r>
        <w:rPr>
          <w:rFonts w:ascii="Times New Roman" w:hAnsi="Times New Roman"/>
          <w:sz w:val="20"/>
        </w:rPr>
        <w:t>In April 2021, we announced that the FDA granted approval for our expanded plasma pool production scale process, allowing for a 4,400-liter plasma pool for the manufacture of our BIVIGAM IVIG product. This increased IVIG plasma pool scale, which allows us to produce BIVIGAM at an expanded capacity utilizing the same equipment, release testing assays and labor force, has had a favorable impact on our gross margins, manufacturing efficiencies and operating results.</w:t>
      </w:r>
    </w:p>
    <w:p>
      <w:pPr>
        <w:pStyle w:val="TextBody"/>
        <w:bidi w:val="0"/>
        <w:spacing w:before="0" w:after="0"/>
        <w:ind w:left="0" w:right="0" w:firstLine="720"/>
        <w:jc w:val="both"/>
        <w:rPr/>
      </w:pPr>
      <w:r>
        <w:rPr/>
        <w:t> </w:t>
      </w:r>
    </w:p>
    <w:p>
      <w:pPr>
        <w:pStyle w:val="TextBody"/>
        <w:bidi w:val="0"/>
        <w:spacing w:before="150" w:after="15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t>22</w:t>
      </w:r>
    </w:p>
    <w:p>
      <w:pPr>
        <w:pStyle w:val="HorizontalLine"/>
        <w:bidi w:val="0"/>
        <w:spacing w:before="150" w:after="150"/>
        <w:jc w:val="left"/>
        <w:rPr/>
      </w:pPr>
      <w:r>
        <w:rPr/>
      </w:r>
    </w:p>
    <w:p>
      <w:pPr>
        <w:pStyle w:val="TextBody"/>
        <w:bidi w:val="0"/>
        <w:spacing w:before="150" w:after="150"/>
        <w:jc w:val="left"/>
        <w:rPr/>
      </w:pPr>
      <w:hyperlink w:anchor="index">
        <w:r>
          <w:rPr>
            <w:rStyle w:val="InternetLink"/>
            <w:rFonts w:ascii="TimesNewRoman;Times New Roman;Times;Baskerville;Georgia;serif" w:hAnsi="TimesNewRoman;Times New Roman;Times;Baskerville;Georgia;serif"/>
            <w:b w:val="false"/>
            <w:i/>
            <w:caps w:val="false"/>
            <w:smallCaps w:val="false"/>
            <w:strike w:val="false"/>
            <w:dstrike w:val="false"/>
            <w:sz w:val="16"/>
            <w:u w:val="none"/>
            <w:effect w:val="none"/>
          </w:rPr>
          <w:t>Index</w:t>
        </w:r>
      </w:hyperlink>
    </w:p>
    <w:p>
      <w:pPr>
        <w:pStyle w:val="TextBody"/>
        <w:bidi w:val="0"/>
        <w:spacing w:before="0" w:after="0"/>
        <w:jc w:val="both"/>
        <w:rPr/>
      </w:pPr>
      <w:r>
        <w:rPr/>
        <w:t xml:space="preserve">  </w:t>
      </w:r>
    </w:p>
    <w:p>
      <w:pPr>
        <w:pStyle w:val="TextBody"/>
        <w:bidi w:val="0"/>
        <w:spacing w:before="0" w:after="0"/>
        <w:ind w:left="0" w:right="0" w:firstLine="720"/>
        <w:jc w:val="both"/>
        <w:rPr>
          <w:rFonts w:ascii="Times New Roman" w:hAnsi="Times New Roman"/>
          <w:sz w:val="20"/>
        </w:rPr>
      </w:pPr>
      <w:r>
        <w:rPr>
          <w:rFonts w:ascii="Times New Roman" w:hAnsi="Times New Roman"/>
          <w:sz w:val="20"/>
        </w:rPr>
        <w:t xml:space="preserve">In December 2023, we announced that the FDA approved the expansion of BIVIGAM’s label in the United States to now include the pediatric setting for those two years of age and older. </w:t>
      </w:r>
    </w:p>
    <w:p>
      <w:pPr>
        <w:pStyle w:val="TextBody"/>
        <w:bidi w:val="0"/>
        <w:spacing w:before="0" w:after="0"/>
        <w:jc w:val="left"/>
        <w:rPr/>
      </w:pPr>
      <w:r>
        <w:rPr/>
        <w:t xml:space="preserve">  </w:t>
      </w:r>
    </w:p>
    <w:p>
      <w:pPr>
        <w:pStyle w:val="TextBody"/>
        <w:bidi w:val="0"/>
        <w:spacing w:before="0" w:after="0"/>
        <w:jc w:val="left"/>
        <w:rPr>
          <w:rFonts w:ascii="Times New Roman" w:hAnsi="Times New Roman"/>
          <w:sz w:val="20"/>
        </w:rPr>
      </w:pPr>
      <w:r>
        <w:rPr>
          <w:rFonts w:ascii="Times New Roman" w:hAnsi="Times New Roman"/>
          <w:b/>
          <w:i/>
          <w:sz w:val="20"/>
        </w:rPr>
        <w:t>Nabi-HB</w:t>
      </w:r>
      <w:r>
        <w:rPr>
          <w:rFonts w:ascii="Times New Roman" w:hAnsi="Times New Roman"/>
          <w:sz w:val="20"/>
        </w:rPr>
        <w:t xml:space="preserve"> </w:t>
      </w:r>
    </w:p>
    <w:p>
      <w:pPr>
        <w:pStyle w:val="TextBody"/>
        <w:bidi w:val="0"/>
        <w:spacing w:before="0" w:after="0"/>
        <w:jc w:val="left"/>
        <w:rPr/>
      </w:pPr>
      <w:r>
        <w:rPr/>
        <w:t xml:space="preserve">  </w:t>
      </w:r>
    </w:p>
    <w:p>
      <w:pPr>
        <w:pStyle w:val="TextBody"/>
        <w:bidi w:val="0"/>
        <w:spacing w:before="0" w:after="0"/>
        <w:ind w:left="0" w:right="0" w:firstLine="720"/>
        <w:jc w:val="both"/>
        <w:rPr>
          <w:rFonts w:ascii="Times New Roman" w:hAnsi="Times New Roman"/>
          <w:sz w:val="20"/>
        </w:rPr>
      </w:pPr>
      <w:r>
        <w:rPr>
          <w:rFonts w:ascii="Times New Roman" w:hAnsi="Times New Roman"/>
          <w:sz w:val="20"/>
        </w:rPr>
        <w:t xml:space="preserve">Nabi-HB is a hyperimmune globulin that is rich in antibodies to the Hepatitis B virus. Nabi-HB is a purified human polyclonal antibody product collected from plasma donors who have been previously vaccinated with a Hepatitis B vaccine. Nabi-HB is indicated for the treatment of acute exposure to blood containing HBsAg, prenatal exposure of infants born to HBsAg-positive mothers, sexual exposure to HBsAg-positive persons and household exposure to persons with acute Hepatitis B virus infection in specific, listed settings. Hepatitis B is a potentially life-threatening liver infection caused by the Hepatitis B virus, which is a major global health problem. The Hepatitis B virus can cause chronic infection and places people at high risk of death from cirrhosis and liver cancer. Nabi-HB has a well-documented record of long-term safety and effectiveness since its initial market introduction. The FDA approved Nabi-HB in March 1999. Production of Nabi-HB at the Boca Facility has continued under our leadership since the third quarter of 2017. In early 2018, we received authorization from the FDA for the release of our first commercial batch of Nabi-HB for commercial distribution in the United States and we continue to manufacture Nabi-HB under HHS License No. 2019. </w:t>
      </w:r>
    </w:p>
    <w:p>
      <w:pPr>
        <w:pStyle w:val="TextBody"/>
        <w:bidi w:val="0"/>
        <w:spacing w:before="0" w:after="0"/>
        <w:jc w:val="center"/>
        <w:rPr/>
      </w:pPr>
      <w:r>
        <w:rPr/>
        <w:t xml:space="preserve">  </w:t>
      </w:r>
    </w:p>
    <w:p>
      <w:pPr>
        <w:pStyle w:val="TextBody"/>
        <w:bidi w:val="0"/>
        <w:spacing w:before="0" w:after="0"/>
        <w:jc w:val="center"/>
        <w:rPr>
          <w:rFonts w:ascii="Times New Roman" w:hAnsi="Times New Roman"/>
          <w:sz w:val="20"/>
        </w:rPr>
      </w:pPr>
      <w:r>
        <w:rPr>
          <w:rFonts w:ascii="Times New Roman" w:hAnsi="Times New Roman"/>
          <w:b/>
          <w:sz w:val="20"/>
          <w:u w:val="single"/>
        </w:rPr>
        <w:t>RESULTS OF OPERATIONS</w:t>
      </w:r>
      <w:r>
        <w:rPr>
          <w:rFonts w:ascii="Times New Roman" w:hAnsi="Times New Roman"/>
          <w:sz w:val="20"/>
        </w:rPr>
        <w:t xml:space="preserve"> </w:t>
      </w:r>
    </w:p>
    <w:p>
      <w:pPr>
        <w:pStyle w:val="TextBody"/>
        <w:bidi w:val="0"/>
        <w:spacing w:before="0" w:after="0"/>
        <w:jc w:val="left"/>
        <w:rPr/>
      </w:pPr>
      <w:r>
        <w:rPr/>
        <w:t xml:space="preserve">  </w:t>
      </w:r>
    </w:p>
    <w:p>
      <w:pPr>
        <w:pStyle w:val="TextBody"/>
        <w:bidi w:val="0"/>
        <w:spacing w:before="0" w:after="0"/>
        <w:jc w:val="left"/>
        <w:rPr>
          <w:rFonts w:ascii="Calibri" w:hAnsi="Calibri"/>
          <w:sz w:val="20"/>
        </w:rPr>
      </w:pPr>
      <w:r>
        <w:rPr>
          <w:rFonts w:ascii="Times New Roman" w:hAnsi="Times New Roman"/>
          <w:b/>
          <w:sz w:val="20"/>
        </w:rPr>
        <w:t>Critical Accounting Policies and Estimates</w:t>
      </w:r>
      <w:r>
        <w:rPr>
          <w:rFonts w:ascii="Calibri" w:hAnsi="Calibri"/>
          <w:sz w:val="20"/>
        </w:rPr>
        <w:t xml:space="preserve"> </w:t>
      </w:r>
    </w:p>
    <w:p>
      <w:pPr>
        <w:pStyle w:val="TextBody"/>
        <w:bidi w:val="0"/>
        <w:spacing w:before="0" w:after="0"/>
        <w:jc w:val="left"/>
        <w:rPr/>
      </w:pPr>
      <w:r>
        <w:rPr/>
        <w:t xml:space="preserve">  </w:t>
      </w:r>
    </w:p>
    <w:p>
      <w:pPr>
        <w:pStyle w:val="TextBody"/>
        <w:bidi w:val="0"/>
        <w:spacing w:before="0" w:after="0"/>
        <w:ind w:left="0" w:right="0" w:firstLine="720"/>
        <w:jc w:val="both"/>
        <w:rPr>
          <w:rFonts w:ascii="Times New Roman" w:hAnsi="Times New Roman"/>
          <w:sz w:val="20"/>
        </w:rPr>
      </w:pPr>
      <w:r>
        <w:rPr>
          <w:rFonts w:ascii="Times New Roman" w:hAnsi="Times New Roman"/>
          <w:sz w:val="20"/>
        </w:rPr>
        <w:t xml:space="preserve">This Management’s Discussion and Analysis of Financial Condition and Results of Operations is based on our condensed consolidated financial statements, which have been prepared in accordance with Accounting Principles Generally Accepted in the United States of America (“U.S. GAAP”). The preparation of these condensed consolidated financial statements requires us to make estimates and assumptions that affect the reported amounts of assets, liabilities, revenues and expenses. On an ongoing basis, we evaluate these estimates and assumptions, including those described below. We base our estimates on our historical experience and on various other assumptions that we believe to be reasonable under the circumstances. These estimates and assumptions form the basis for making judgments about the carrying values of assets and liabilities that are not readily apparent from other sources. Actual results and experiences may differ materially from these estimates. Significant estimates include estimates related to the Company’s effective tax rate. </w:t>
      </w:r>
    </w:p>
    <w:p>
      <w:pPr>
        <w:pStyle w:val="TextBody"/>
        <w:bidi w:val="0"/>
        <w:spacing w:before="0" w:after="0"/>
        <w:jc w:val="both"/>
        <w:rPr/>
      </w:pPr>
      <w:r>
        <w:rPr/>
        <w:t xml:space="preserve">  </w:t>
      </w:r>
    </w:p>
    <w:p>
      <w:pPr>
        <w:pStyle w:val="TextBody"/>
        <w:bidi w:val="0"/>
        <w:spacing w:before="0" w:after="0"/>
        <w:ind w:left="0" w:right="0" w:firstLine="720"/>
        <w:jc w:val="both"/>
        <w:rPr>
          <w:rFonts w:ascii="Times New Roman" w:hAnsi="Times New Roman"/>
          <w:sz w:val="20"/>
        </w:rPr>
      </w:pPr>
      <w:r>
        <w:rPr>
          <w:rFonts w:ascii="Times New Roman" w:hAnsi="Times New Roman"/>
          <w:sz w:val="20"/>
        </w:rPr>
        <w:t xml:space="preserve">Some of the estimates and assumptions we are required to make under U.S. GAAP require difficult, subjective and/or complex judgments about matters that are inherently uncertain and, as a result, actual results could differ from those estimates. Due to the estimation processes involved, the following summary of accounting estimates and their application are considered to be critical to understanding our business operations, financial condition and results of operations. For a description of our significant accounting policies, see Note 2 to the consolidated financial statements included in our 2025 10-K. </w:t>
      </w:r>
    </w:p>
    <w:p>
      <w:pPr>
        <w:pStyle w:val="TextBody"/>
        <w:bidi w:val="0"/>
        <w:spacing w:before="0" w:after="0"/>
        <w:jc w:val="left"/>
        <w:rPr/>
      </w:pPr>
      <w:r>
        <w:rPr/>
        <w:t xml:space="preserve">  </w:t>
      </w:r>
    </w:p>
    <w:p>
      <w:pPr>
        <w:pStyle w:val="TextBody"/>
        <w:bidi w:val="0"/>
        <w:spacing w:before="0" w:after="0"/>
        <w:jc w:val="left"/>
        <w:rPr>
          <w:rFonts w:ascii="Calibri" w:hAnsi="Calibri"/>
          <w:sz w:val="20"/>
        </w:rPr>
      </w:pPr>
      <w:r>
        <w:rPr>
          <w:rFonts w:ascii="Times New Roman" w:hAnsi="Times New Roman"/>
          <w:b/>
          <w:i/>
          <w:sz w:val="20"/>
        </w:rPr>
        <w:t>Revenue Deductions for Rebates and Chargebacks</w:t>
      </w:r>
      <w:r>
        <w:rPr>
          <w:rFonts w:ascii="Calibri" w:hAnsi="Calibri"/>
          <w:sz w:val="20"/>
        </w:rPr>
        <w:t xml:space="preserve"> </w:t>
      </w:r>
    </w:p>
    <w:p>
      <w:pPr>
        <w:pStyle w:val="TextBody"/>
        <w:bidi w:val="0"/>
        <w:spacing w:before="0" w:after="0"/>
        <w:jc w:val="left"/>
        <w:rPr/>
      </w:pPr>
      <w:r>
        <w:rPr/>
        <w:t xml:space="preserve">  </w:t>
      </w:r>
    </w:p>
    <w:p>
      <w:pPr>
        <w:pStyle w:val="TextBody"/>
        <w:bidi w:val="0"/>
        <w:spacing w:before="0" w:after="0"/>
        <w:ind w:left="0" w:right="0" w:firstLine="720"/>
        <w:jc w:val="both"/>
        <w:rPr>
          <w:rFonts w:ascii="Calibri" w:hAnsi="Calibri"/>
          <w:sz w:val="20"/>
        </w:rPr>
      </w:pPr>
      <w:r>
        <w:rPr>
          <w:rFonts w:ascii="Times New Roman" w:hAnsi="Times New Roman"/>
          <w:sz w:val="20"/>
        </w:rPr>
        <w:t>Our gross product revenues are subject to a variety of deductions which are estimated and recorded in the same period that the revenues are recognized. These deductions primarily consist of rebates, distribution fees, chargebacks and sales allowances. These deductions represent estimates of the related obligations, some of which are contractual in nature and do not require extensive judgment to be exercised by management, while other estimates require complex or subjective matters of knowledge and judgment when estimating the impact of these revenue deductions on net revenues for a reporting period.</w:t>
      </w:r>
      <w:r>
        <w:rPr>
          <w:rFonts w:ascii="Calibri" w:hAnsi="Calibri"/>
          <w:sz w:val="20"/>
        </w:rPr>
        <w:t xml:space="preserve"> </w:t>
      </w:r>
    </w:p>
    <w:p>
      <w:pPr>
        <w:pStyle w:val="TextBody"/>
        <w:bidi w:val="0"/>
        <w:spacing w:before="0" w:after="0"/>
        <w:jc w:val="both"/>
        <w:rPr/>
      </w:pPr>
      <w:r>
        <w:rPr/>
        <w:t xml:space="preserve">  </w:t>
      </w:r>
    </w:p>
    <w:p>
      <w:pPr>
        <w:pStyle w:val="TextBody"/>
        <w:bidi w:val="0"/>
        <w:spacing w:before="0" w:after="0"/>
        <w:jc w:val="left"/>
        <w:rPr>
          <w:rFonts w:ascii="Calibri" w:hAnsi="Calibri"/>
          <w:sz w:val="20"/>
        </w:rPr>
      </w:pPr>
      <w:r>
        <w:rPr>
          <w:rFonts w:ascii="Times New Roman" w:hAnsi="Times New Roman"/>
          <w:b/>
          <w:i/>
          <w:sz w:val="20"/>
        </w:rPr>
        <w:t>Effective Tax Rate</w:t>
      </w:r>
      <w:r>
        <w:rPr>
          <w:rFonts w:ascii="Calibri" w:hAnsi="Calibri"/>
          <w:sz w:val="20"/>
        </w:rPr>
        <w:t xml:space="preserve"> </w:t>
      </w:r>
    </w:p>
    <w:p>
      <w:pPr>
        <w:pStyle w:val="TextBody"/>
        <w:bidi w:val="0"/>
        <w:spacing w:before="0" w:after="0"/>
        <w:jc w:val="left"/>
        <w:rPr/>
      </w:pPr>
      <w:r>
        <w:rPr/>
        <w:t xml:space="preserve">  </w:t>
      </w:r>
    </w:p>
    <w:p>
      <w:pPr>
        <w:pStyle w:val="TextBody"/>
        <w:bidi w:val="0"/>
        <w:spacing w:before="0" w:after="0"/>
        <w:ind w:left="0" w:right="0" w:firstLine="720"/>
        <w:jc w:val="both"/>
        <w:rPr>
          <w:rFonts w:ascii="Times New Roman" w:hAnsi="Times New Roman"/>
          <w:sz w:val="20"/>
        </w:rPr>
      </w:pPr>
      <w:r>
        <w:rPr>
          <w:rFonts w:ascii="Times New Roman" w:hAnsi="Times New Roman"/>
          <w:sz w:val="20"/>
        </w:rPr>
        <w:t>Our provision for income taxes and the determination of our effective tax rate are subject to significant judgment and complexity. We estimate our income tax expense based on enacted tax laws and statutory tax rates in the jurisdictions in which we operate, as well as our interpretation of relevant tax regulations. The effective tax rate includes the impact of various estimates and judgments. Changes in these estimates or in tax laws could significantly affect our effective tax rate and results of operations. Due to the complexity of tax regulations and the potential for differing interpretations, it is reasonably possible that the ultimate resolution of these matters could result in material adjustments to our effective tax rate in future periods.</w:t>
      </w:r>
    </w:p>
    <w:p>
      <w:pPr>
        <w:pStyle w:val="TextBody"/>
        <w:bidi w:val="0"/>
        <w:spacing w:before="0" w:after="0"/>
        <w:ind w:left="0" w:right="0" w:firstLine="720"/>
        <w:jc w:val="both"/>
        <w:rPr/>
      </w:pPr>
      <w:r>
        <w:rPr/>
        <w:t> </w:t>
      </w:r>
    </w:p>
    <w:p>
      <w:pPr>
        <w:pStyle w:val="TextBody"/>
        <w:bidi w:val="0"/>
        <w:spacing w:before="150" w:after="15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t>23</w:t>
      </w:r>
    </w:p>
    <w:p>
      <w:pPr>
        <w:pStyle w:val="HorizontalLine"/>
        <w:bidi w:val="0"/>
        <w:spacing w:before="150" w:after="150"/>
        <w:jc w:val="left"/>
        <w:rPr/>
      </w:pPr>
      <w:r>
        <w:rPr/>
      </w:r>
    </w:p>
    <w:p>
      <w:pPr>
        <w:pStyle w:val="TextBody"/>
        <w:bidi w:val="0"/>
        <w:spacing w:before="150" w:after="150"/>
        <w:jc w:val="left"/>
        <w:rPr/>
      </w:pPr>
      <w:hyperlink w:anchor="index">
        <w:r>
          <w:rPr>
            <w:rStyle w:val="InternetLink"/>
            <w:rFonts w:ascii="TimesNewRoman;Times New Roman;Times;Baskerville;Georgia;serif" w:hAnsi="TimesNewRoman;Times New Roman;Times;Baskerville;Georgia;serif"/>
            <w:b w:val="false"/>
            <w:i/>
            <w:caps w:val="false"/>
            <w:smallCaps w:val="false"/>
            <w:strike w:val="false"/>
            <w:dstrike w:val="false"/>
            <w:sz w:val="16"/>
            <w:u w:val="none"/>
            <w:effect w:val="none"/>
          </w:rPr>
          <w:t>Index</w:t>
        </w:r>
      </w:hyperlink>
    </w:p>
    <w:p>
      <w:pPr>
        <w:pStyle w:val="TextBody"/>
        <w:bidi w:val="0"/>
        <w:spacing w:before="0" w:after="0"/>
        <w:ind w:left="0" w:right="0" w:hanging="0"/>
        <w:jc w:val="both"/>
        <w:rPr>
          <w:rFonts w:ascii="Times New Roman" w:hAnsi="Times New Roman"/>
          <w:b/>
          <w:i w:val="false"/>
          <w:caps w:val="false"/>
          <w:smallCaps w:val="false"/>
          <w:sz w:val="20"/>
        </w:rPr>
      </w:pPr>
      <w:r>
        <w:rPr>
          <w:rFonts w:ascii="Times New Roman" w:hAnsi="Times New Roman"/>
          <w:b/>
          <w:i w:val="false"/>
          <w:caps w:val="false"/>
          <w:smallCaps w:val="false"/>
          <w:sz w:val="20"/>
        </w:rPr>
        <w:t>Three Months Ended March 31, 2026 Compared to Three Months Ended March 31,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sz w:val="20"/>
        </w:rPr>
      </w:pPr>
      <w:r>
        <w:rPr>
          <w:rFonts w:ascii="Times New Roman" w:hAnsi="Times New Roman"/>
          <w:sz w:val="20"/>
        </w:rPr>
        <w:t>The following table presents a summary of the changes in our results of operations for the three months ended March 31, 2026, our first fiscal quarter, compared to the three months ended March 31, 2025:</w:t>
      </w:r>
    </w:p>
    <w:p>
      <w:pPr>
        <w:pStyle w:val="TextBody"/>
        <w:bidi w:val="0"/>
        <w:spacing w:before="0" w:after="0"/>
        <w:ind w:left="0" w:right="0" w:hanging="360"/>
        <w:jc w:val="both"/>
        <w:rPr/>
      </w:pPr>
      <w:r>
        <w:rPr/>
        <w:t> </w:t>
      </w:r>
    </w:p>
    <w:tbl>
      <w:tblPr>
        <w:tblW w:w="8745" w:type="dxa"/>
        <w:jc w:val="left"/>
        <w:tblInd w:w="0" w:type="dxa"/>
        <w:tblLayout w:type="fixed"/>
        <w:tblCellMar>
          <w:top w:w="0" w:type="dxa"/>
          <w:left w:w="0" w:type="dxa"/>
          <w:bottom w:w="0" w:type="dxa"/>
          <w:right w:w="0" w:type="dxa"/>
        </w:tblCellMar>
      </w:tblPr>
      <w:tblGrid>
        <w:gridCol w:w="3182"/>
        <w:gridCol w:w="90"/>
        <w:gridCol w:w="170"/>
        <w:gridCol w:w="830"/>
        <w:gridCol w:w="185"/>
        <w:gridCol w:w="90"/>
        <w:gridCol w:w="170"/>
        <w:gridCol w:w="1688"/>
        <w:gridCol w:w="185"/>
        <w:gridCol w:w="90"/>
        <w:gridCol w:w="170"/>
        <w:gridCol w:w="1664"/>
        <w:gridCol w:w="231"/>
      </w:tblGrid>
      <w:tr>
        <w:trPr/>
        <w:tc>
          <w:tcPr>
            <w:tcW w:w="3182"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688"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664" w:type="dxa"/>
            <w:tcBorders/>
            <w:vAlign w:val="center"/>
          </w:tcPr>
          <w:p>
            <w:pPr>
              <w:pStyle w:val="TableContents"/>
              <w:bidi w:val="0"/>
              <w:spacing w:before="0" w:after="283"/>
              <w:jc w:val="left"/>
              <w:rPr/>
            </w:pPr>
            <w:r>
              <w:rPr/>
              <w:t> </w:t>
            </w:r>
          </w:p>
        </w:tc>
        <w:tc>
          <w:tcPr>
            <w:tcW w:w="231" w:type="dxa"/>
            <w:tcBorders/>
            <w:vAlign w:val="center"/>
          </w:tcPr>
          <w:p>
            <w:pPr>
              <w:pStyle w:val="TableContents"/>
              <w:bidi w:val="0"/>
              <w:spacing w:before="0" w:after="283"/>
              <w:jc w:val="left"/>
              <w:rPr/>
            </w:pPr>
            <w:r>
              <w:rPr/>
              <w:t> </w:t>
            </w:r>
          </w:p>
        </w:tc>
      </w:tr>
      <w:tr>
        <w:trPr/>
        <w:tc>
          <w:tcPr>
            <w:tcW w:w="3182" w:type="dxa"/>
            <w:vMerge w:val="restart"/>
            <w:tcBorders/>
            <w:vAlign w:val="bottom"/>
          </w:tcPr>
          <w:p>
            <w:pPr>
              <w:pStyle w:val="TableContents"/>
              <w:bidi w:val="0"/>
              <w:spacing w:before="0" w:after="0"/>
              <w:ind w:left="144" w:right="0" w:hanging="144"/>
              <w:jc w:val="left"/>
              <w:rPr>
                <w:i/>
              </w:rPr>
            </w:pPr>
            <w:r>
              <w:rPr>
                <w:i/>
              </w:rPr>
              <w:t>(in thousands)</w:t>
            </w:r>
          </w:p>
        </w:tc>
        <w:tc>
          <w:tcPr>
            <w:tcW w:w="5563" w:type="dxa"/>
            <w:gridSpan w:val="12"/>
            <w:tcBorders>
              <w:bottom w:val="single" w:sz="12" w:space="0" w:color="000000"/>
            </w:tcBorders>
            <w:tcMar>
              <w:bottom w:w="28" w:type="dxa"/>
            </w:tcMar>
            <w:vAlign w:val="bottom"/>
          </w:tcPr>
          <w:p>
            <w:pPr>
              <w:pStyle w:val="TableContents"/>
              <w:bidi w:val="0"/>
              <w:spacing w:before="0" w:after="0"/>
              <w:ind w:left="0" w:right="0" w:hanging="0"/>
              <w:jc w:val="center"/>
              <w:rPr>
                <w:b/>
              </w:rPr>
            </w:pPr>
            <w:r>
              <w:rPr>
                <w:b/>
              </w:rPr>
              <w:t>Three Months Ended March 31,</w:t>
            </w:r>
          </w:p>
        </w:tc>
      </w:tr>
      <w:tr>
        <w:trPr/>
        <w:tc>
          <w:tcPr>
            <w:tcW w:w="3182" w:type="dxa"/>
            <w:vMerge w:val="continue"/>
            <w:tcBorders/>
            <w:vAlign w:val="bottom"/>
          </w:tcPr>
          <w:p>
            <w:pPr>
              <w:pStyle w:val="Normal"/>
              <w:bidi w:val="0"/>
              <w:jc w:val="left"/>
              <w:rPr/>
            </w:pPr>
            <w:r>
              <w:rPr/>
            </w:r>
          </w:p>
        </w:tc>
        <w:tc>
          <w:tcPr>
            <w:tcW w:w="90" w:type="dxa"/>
            <w:tcBorders/>
            <w:vAlign w:val="bottom"/>
          </w:tcPr>
          <w:p>
            <w:pPr>
              <w:pStyle w:val="TableContents"/>
              <w:bidi w:val="0"/>
              <w:spacing w:before="0" w:after="283"/>
              <w:jc w:val="center"/>
              <w:rPr/>
            </w:pPr>
            <w:r>
              <w:rPr/>
              <w:t> </w:t>
            </w:r>
          </w:p>
        </w:tc>
        <w:tc>
          <w:tcPr>
            <w:tcW w:w="170" w:type="dxa"/>
            <w:tcBorders>
              <w:bottom w:val="single" w:sz="12" w:space="0" w:color="000000"/>
            </w:tcBorders>
            <w:tcMar>
              <w:bottom w:w="28" w:type="dxa"/>
            </w:tcMar>
            <w:vAlign w:val="bottom"/>
          </w:tcPr>
          <w:p>
            <w:pPr>
              <w:pStyle w:val="TableContents"/>
              <w:bidi w:val="0"/>
              <w:spacing w:before="0" w:after="283"/>
              <w:jc w:val="center"/>
              <w:rPr/>
            </w:pPr>
            <w:r>
              <w:rPr/>
              <w:t> </w:t>
            </w:r>
          </w:p>
        </w:tc>
        <w:tc>
          <w:tcPr>
            <w:tcW w:w="830" w:type="dxa"/>
            <w:tcBorders>
              <w:bottom w:val="single" w:sz="12" w:space="0" w:color="000000"/>
            </w:tcBorders>
            <w:tcMar>
              <w:bottom w:w="28" w:type="dxa"/>
            </w:tcMar>
            <w:vAlign w:val="bottom"/>
          </w:tcPr>
          <w:p>
            <w:pPr>
              <w:pStyle w:val="TableContents"/>
              <w:bidi w:val="0"/>
              <w:spacing w:before="0" w:after="0"/>
              <w:ind w:left="0" w:right="0" w:hanging="0"/>
              <w:jc w:val="center"/>
              <w:rPr>
                <w:b/>
              </w:rPr>
            </w:pPr>
            <w:r>
              <w:rPr>
                <w:b/>
              </w:rPr>
              <w:t>2026</w:t>
            </w:r>
          </w:p>
        </w:tc>
        <w:tc>
          <w:tcPr>
            <w:tcW w:w="185" w:type="dxa"/>
            <w:tcBorders/>
            <w:vAlign w:val="bottom"/>
          </w:tcPr>
          <w:p>
            <w:pPr>
              <w:pStyle w:val="TableContents"/>
              <w:bidi w:val="0"/>
              <w:spacing w:before="0" w:after="283"/>
              <w:jc w:val="center"/>
              <w:rPr/>
            </w:pPr>
            <w:r>
              <w:rPr/>
              <w:t> </w:t>
            </w:r>
          </w:p>
        </w:tc>
        <w:tc>
          <w:tcPr>
            <w:tcW w:w="90" w:type="dxa"/>
            <w:tcBorders/>
            <w:vAlign w:val="bottom"/>
          </w:tcPr>
          <w:p>
            <w:pPr>
              <w:pStyle w:val="TableContents"/>
              <w:bidi w:val="0"/>
              <w:spacing w:before="0" w:after="283"/>
              <w:jc w:val="center"/>
              <w:rPr/>
            </w:pPr>
            <w:r>
              <w:rPr/>
              <w:t> </w:t>
            </w:r>
          </w:p>
        </w:tc>
        <w:tc>
          <w:tcPr>
            <w:tcW w:w="170" w:type="dxa"/>
            <w:tcBorders>
              <w:bottom w:val="single" w:sz="12" w:space="0" w:color="000000"/>
            </w:tcBorders>
            <w:tcMar>
              <w:bottom w:w="28" w:type="dxa"/>
            </w:tcMar>
            <w:vAlign w:val="bottom"/>
          </w:tcPr>
          <w:p>
            <w:pPr>
              <w:pStyle w:val="TableContents"/>
              <w:bidi w:val="0"/>
              <w:spacing w:before="0" w:after="283"/>
              <w:jc w:val="center"/>
              <w:rPr/>
            </w:pPr>
            <w:r>
              <w:rPr/>
              <w:t> </w:t>
            </w:r>
          </w:p>
        </w:tc>
        <w:tc>
          <w:tcPr>
            <w:tcW w:w="1688" w:type="dxa"/>
            <w:tcBorders>
              <w:bottom w:val="single" w:sz="12" w:space="0" w:color="000000"/>
            </w:tcBorders>
            <w:tcMar>
              <w:bottom w:w="28" w:type="dxa"/>
            </w:tcMar>
            <w:vAlign w:val="bottom"/>
          </w:tcPr>
          <w:p>
            <w:pPr>
              <w:pStyle w:val="TableContents"/>
              <w:bidi w:val="0"/>
              <w:spacing w:before="0" w:after="0"/>
              <w:ind w:left="0" w:right="0" w:hanging="0"/>
              <w:jc w:val="center"/>
              <w:rPr>
                <w:b/>
              </w:rPr>
            </w:pPr>
            <w:r>
              <w:rPr>
                <w:b/>
              </w:rPr>
              <w:t>2025</w:t>
            </w:r>
          </w:p>
        </w:tc>
        <w:tc>
          <w:tcPr>
            <w:tcW w:w="185" w:type="dxa"/>
            <w:tcBorders/>
            <w:vAlign w:val="bottom"/>
          </w:tcPr>
          <w:p>
            <w:pPr>
              <w:pStyle w:val="TableContents"/>
              <w:bidi w:val="0"/>
              <w:spacing w:before="0" w:after="283"/>
              <w:jc w:val="center"/>
              <w:rPr/>
            </w:pPr>
            <w:r>
              <w:rPr/>
              <w:t> </w:t>
            </w:r>
          </w:p>
        </w:tc>
        <w:tc>
          <w:tcPr>
            <w:tcW w:w="90" w:type="dxa"/>
            <w:tcBorders/>
            <w:vAlign w:val="bottom"/>
          </w:tcPr>
          <w:p>
            <w:pPr>
              <w:pStyle w:val="TableContents"/>
              <w:bidi w:val="0"/>
              <w:spacing w:before="0" w:after="283"/>
              <w:jc w:val="center"/>
              <w:rPr/>
            </w:pPr>
            <w:r>
              <w:rPr/>
              <w:t> </w:t>
            </w:r>
          </w:p>
        </w:tc>
        <w:tc>
          <w:tcPr>
            <w:tcW w:w="170" w:type="dxa"/>
            <w:tcBorders>
              <w:bottom w:val="single" w:sz="12" w:space="0" w:color="000000"/>
            </w:tcBorders>
            <w:tcMar>
              <w:bottom w:w="28" w:type="dxa"/>
            </w:tcMar>
            <w:vAlign w:val="bottom"/>
          </w:tcPr>
          <w:p>
            <w:pPr>
              <w:pStyle w:val="TableContents"/>
              <w:bidi w:val="0"/>
              <w:spacing w:before="0" w:after="283"/>
              <w:jc w:val="center"/>
              <w:rPr/>
            </w:pPr>
            <w:r>
              <w:rPr/>
              <w:t> </w:t>
            </w:r>
          </w:p>
        </w:tc>
        <w:tc>
          <w:tcPr>
            <w:tcW w:w="1664" w:type="dxa"/>
            <w:tcBorders>
              <w:bottom w:val="single" w:sz="12" w:space="0" w:color="000000"/>
            </w:tcBorders>
            <w:tcMar>
              <w:bottom w:w="28" w:type="dxa"/>
            </w:tcMar>
            <w:vAlign w:val="bottom"/>
          </w:tcPr>
          <w:p>
            <w:pPr>
              <w:pStyle w:val="TableContents"/>
              <w:bidi w:val="0"/>
              <w:spacing w:before="0" w:after="0"/>
              <w:ind w:left="0" w:right="0" w:hanging="0"/>
              <w:jc w:val="center"/>
              <w:rPr>
                <w:b/>
              </w:rPr>
            </w:pPr>
            <w:r>
              <w:rPr>
                <w:b/>
              </w:rPr>
              <w:t>Increase (Decrease)</w:t>
            </w:r>
          </w:p>
        </w:tc>
        <w:tc>
          <w:tcPr>
            <w:tcW w:w="231" w:type="dxa"/>
            <w:tcBorders/>
            <w:vAlign w:val="bottom"/>
          </w:tcPr>
          <w:p>
            <w:pPr>
              <w:pStyle w:val="TableContents"/>
              <w:bidi w:val="0"/>
              <w:spacing w:before="0" w:after="283"/>
              <w:jc w:val="center"/>
              <w:rPr/>
            </w:pPr>
            <w:r>
              <w:rPr/>
              <w:t> </w:t>
            </w:r>
          </w:p>
        </w:tc>
      </w:tr>
      <w:tr>
        <w:trPr/>
        <w:tc>
          <w:tcPr>
            <w:tcW w:w="3182" w:type="dxa"/>
            <w:tcBorders/>
            <w:shd w:fill="CCEEFF" w:val="clear"/>
            <w:vAlign w:val="bottom"/>
          </w:tcPr>
          <w:p>
            <w:pPr>
              <w:pStyle w:val="TableContents"/>
              <w:bidi w:val="0"/>
              <w:spacing w:before="0" w:after="0"/>
              <w:ind w:left="0" w:right="0" w:hanging="0"/>
              <w:jc w:val="left"/>
              <w:rPr/>
            </w:pPr>
            <w:r>
              <w:rPr/>
              <w:t>Revenues</w:t>
            </w:r>
          </w:p>
        </w:tc>
        <w:tc>
          <w:tcPr>
            <w:tcW w:w="90" w:type="dxa"/>
            <w:tcBorders/>
            <w:shd w:fill="CCEEFF" w:val="clear"/>
            <w:vAlign w:val="bottom"/>
          </w:tcPr>
          <w:p>
            <w:pPr>
              <w:pStyle w:val="TableContents"/>
              <w:bidi w:val="0"/>
              <w:spacing w:before="0" w:after="0"/>
              <w:ind w:left="0" w:right="0" w:hanging="0"/>
              <w:jc w:val="left"/>
              <w:rPr/>
            </w:pPr>
            <w:r>
              <w:rPr/>
              <w:t> </w:t>
            </w:r>
          </w:p>
        </w:tc>
        <w:tc>
          <w:tcPr>
            <w:tcW w:w="170" w:type="dxa"/>
            <w:tcBorders/>
            <w:shd w:fill="CCEEFF" w:val="clear"/>
            <w:vAlign w:val="bottom"/>
          </w:tcPr>
          <w:p>
            <w:pPr>
              <w:pStyle w:val="TableContents"/>
              <w:bidi w:val="0"/>
              <w:spacing w:before="0" w:after="0"/>
              <w:ind w:left="0" w:right="0" w:hanging="0"/>
              <w:jc w:val="left"/>
              <w:rPr/>
            </w:pPr>
            <w:r>
              <w:rPr/>
              <w:t>$</w:t>
            </w:r>
          </w:p>
        </w:tc>
        <w:tc>
          <w:tcPr>
            <w:tcW w:w="830" w:type="dxa"/>
            <w:tcBorders/>
            <w:shd w:fill="CCEEFF" w:val="clear"/>
            <w:vAlign w:val="bottom"/>
          </w:tcPr>
          <w:p>
            <w:pPr>
              <w:pStyle w:val="TableContents"/>
              <w:bidi w:val="0"/>
              <w:spacing w:before="0" w:after="0"/>
              <w:ind w:left="0" w:right="0" w:hanging="0"/>
              <w:jc w:val="right"/>
              <w:rPr/>
            </w:pPr>
            <w:r>
              <w:rPr/>
              <w:t>114,493</w:t>
            </w:r>
          </w:p>
        </w:tc>
        <w:tc>
          <w:tcPr>
            <w:tcW w:w="185" w:type="dxa"/>
            <w:tcBorders/>
            <w:shd w:fill="CCEEFF" w:val="clear"/>
            <w:vAlign w:val="bottom"/>
          </w:tcPr>
          <w:p>
            <w:pPr>
              <w:pStyle w:val="TableContents"/>
              <w:bidi w:val="0"/>
              <w:spacing w:before="0" w:after="0"/>
              <w:ind w:left="0" w:right="0" w:hanging="0"/>
              <w:jc w:val="left"/>
              <w:rPr/>
            </w:pPr>
            <w:r>
              <w:rPr/>
              <w:t> </w:t>
            </w:r>
          </w:p>
        </w:tc>
        <w:tc>
          <w:tcPr>
            <w:tcW w:w="90" w:type="dxa"/>
            <w:tcBorders/>
            <w:shd w:fill="CCEEFF" w:val="clear"/>
            <w:vAlign w:val="bottom"/>
          </w:tcPr>
          <w:p>
            <w:pPr>
              <w:pStyle w:val="TableContents"/>
              <w:bidi w:val="0"/>
              <w:spacing w:before="0" w:after="0"/>
              <w:ind w:left="0" w:right="0" w:hanging="0"/>
              <w:jc w:val="left"/>
              <w:rPr/>
            </w:pPr>
            <w:r>
              <w:rPr/>
              <w:t> </w:t>
            </w:r>
          </w:p>
        </w:tc>
        <w:tc>
          <w:tcPr>
            <w:tcW w:w="170" w:type="dxa"/>
            <w:tcBorders/>
            <w:shd w:fill="CCEEFF" w:val="clear"/>
            <w:vAlign w:val="bottom"/>
          </w:tcPr>
          <w:p>
            <w:pPr>
              <w:pStyle w:val="TableContents"/>
              <w:bidi w:val="0"/>
              <w:spacing w:before="0" w:after="0"/>
              <w:ind w:left="0" w:right="0" w:hanging="0"/>
              <w:jc w:val="left"/>
              <w:rPr/>
            </w:pPr>
            <w:r>
              <w:rPr/>
              <w:t>$</w:t>
            </w:r>
          </w:p>
        </w:tc>
        <w:tc>
          <w:tcPr>
            <w:tcW w:w="1688" w:type="dxa"/>
            <w:tcBorders/>
            <w:shd w:fill="CCEEFF" w:val="clear"/>
            <w:vAlign w:val="bottom"/>
          </w:tcPr>
          <w:p>
            <w:pPr>
              <w:pStyle w:val="TableContents"/>
              <w:bidi w:val="0"/>
              <w:spacing w:before="0" w:after="0"/>
              <w:ind w:left="0" w:right="0" w:hanging="0"/>
              <w:jc w:val="right"/>
              <w:rPr/>
            </w:pPr>
            <w:r>
              <w:rPr/>
              <w:t>114,802</w:t>
            </w:r>
          </w:p>
        </w:tc>
        <w:tc>
          <w:tcPr>
            <w:tcW w:w="185" w:type="dxa"/>
            <w:tcBorders/>
            <w:shd w:fill="CCEEFF" w:val="clear"/>
            <w:vAlign w:val="bottom"/>
          </w:tcPr>
          <w:p>
            <w:pPr>
              <w:pStyle w:val="TableContents"/>
              <w:bidi w:val="0"/>
              <w:spacing w:before="0" w:after="0"/>
              <w:ind w:left="0" w:right="0" w:hanging="0"/>
              <w:jc w:val="left"/>
              <w:rPr/>
            </w:pPr>
            <w:r>
              <w:rPr/>
              <w:t> </w:t>
            </w:r>
          </w:p>
        </w:tc>
        <w:tc>
          <w:tcPr>
            <w:tcW w:w="90" w:type="dxa"/>
            <w:tcBorders/>
            <w:shd w:fill="CCEEFF" w:val="clear"/>
            <w:vAlign w:val="bottom"/>
          </w:tcPr>
          <w:p>
            <w:pPr>
              <w:pStyle w:val="TableContents"/>
              <w:bidi w:val="0"/>
              <w:spacing w:before="0" w:after="0"/>
              <w:ind w:left="0" w:right="0" w:hanging="0"/>
              <w:jc w:val="left"/>
              <w:rPr/>
            </w:pPr>
            <w:r>
              <w:rPr/>
              <w:t> </w:t>
            </w:r>
          </w:p>
        </w:tc>
        <w:tc>
          <w:tcPr>
            <w:tcW w:w="170" w:type="dxa"/>
            <w:tcBorders/>
            <w:shd w:fill="CCEEFF" w:val="clear"/>
            <w:vAlign w:val="bottom"/>
          </w:tcPr>
          <w:p>
            <w:pPr>
              <w:pStyle w:val="TableContents"/>
              <w:bidi w:val="0"/>
              <w:spacing w:before="0" w:after="0"/>
              <w:ind w:left="0" w:right="0" w:hanging="0"/>
              <w:jc w:val="left"/>
              <w:rPr/>
            </w:pPr>
            <w:r>
              <w:rPr/>
              <w:t>$</w:t>
            </w:r>
          </w:p>
        </w:tc>
        <w:tc>
          <w:tcPr>
            <w:tcW w:w="1664" w:type="dxa"/>
            <w:tcBorders/>
            <w:shd w:fill="CCEEFF" w:val="clear"/>
            <w:vAlign w:val="bottom"/>
          </w:tcPr>
          <w:p>
            <w:pPr>
              <w:pStyle w:val="TableContents"/>
              <w:bidi w:val="0"/>
              <w:spacing w:before="0" w:after="0"/>
              <w:ind w:left="0" w:right="0" w:hanging="0"/>
              <w:jc w:val="right"/>
              <w:rPr/>
            </w:pPr>
            <w:r>
              <w:rPr/>
              <w:t>(309</w:t>
            </w:r>
          </w:p>
        </w:tc>
        <w:tc>
          <w:tcPr>
            <w:tcW w:w="231" w:type="dxa"/>
            <w:tcBorders/>
            <w:shd w:fill="CCEEFF" w:val="clear"/>
            <w:vAlign w:val="bottom"/>
          </w:tcPr>
          <w:p>
            <w:pPr>
              <w:pStyle w:val="TableContents"/>
              <w:bidi w:val="0"/>
              <w:spacing w:before="0" w:after="0"/>
              <w:jc w:val="left"/>
              <w:rPr/>
            </w:pPr>
            <w:r>
              <w:rPr/>
              <w:t>) </w:t>
            </w:r>
          </w:p>
        </w:tc>
      </w:tr>
      <w:tr>
        <w:trPr/>
        <w:tc>
          <w:tcPr>
            <w:tcW w:w="3182" w:type="dxa"/>
            <w:tcBorders/>
            <w:vAlign w:val="bottom"/>
          </w:tcPr>
          <w:p>
            <w:pPr>
              <w:pStyle w:val="TableContents"/>
              <w:bidi w:val="0"/>
              <w:spacing w:before="0" w:after="0"/>
              <w:ind w:left="0" w:right="0" w:hanging="0"/>
              <w:jc w:val="left"/>
              <w:rPr/>
            </w:pPr>
            <w:r>
              <w:rPr/>
              <w:t>Cost of product revenue</w:t>
            </w:r>
          </w:p>
        </w:tc>
        <w:tc>
          <w:tcPr>
            <w:tcW w:w="90" w:type="dxa"/>
            <w:tcBorders/>
            <w:vAlign w:val="bottom"/>
          </w:tcPr>
          <w:p>
            <w:pPr>
              <w:pStyle w:val="TableContents"/>
              <w:bidi w:val="0"/>
              <w:spacing w:before="0" w:after="0"/>
              <w:ind w:left="0" w:right="0" w:hanging="0"/>
              <w:jc w:val="left"/>
              <w:rPr/>
            </w:pPr>
            <w:r>
              <w:rPr/>
              <w:t> </w:t>
            </w:r>
          </w:p>
        </w:tc>
        <w:tc>
          <w:tcPr>
            <w:tcW w:w="170" w:type="dxa"/>
            <w:tcBorders>
              <w:bottom w:val="single" w:sz="12" w:space="0" w:color="000000"/>
            </w:tcBorders>
            <w:tcMar>
              <w:bottom w:w="28" w:type="dxa"/>
            </w:tcMar>
            <w:vAlign w:val="bottom"/>
          </w:tcPr>
          <w:p>
            <w:pPr>
              <w:pStyle w:val="TableContents"/>
              <w:bidi w:val="0"/>
              <w:spacing w:before="0" w:after="0"/>
              <w:ind w:left="0" w:right="0" w:hanging="0"/>
              <w:jc w:val="left"/>
              <w:rPr/>
            </w:pPr>
            <w:r>
              <w:rPr/>
              <w:t> </w:t>
            </w:r>
          </w:p>
        </w:tc>
        <w:tc>
          <w:tcPr>
            <w:tcW w:w="830" w:type="dxa"/>
            <w:tcBorders>
              <w:bottom w:val="single" w:sz="12" w:space="0" w:color="000000"/>
            </w:tcBorders>
            <w:tcMar>
              <w:bottom w:w="28" w:type="dxa"/>
            </w:tcMar>
            <w:vAlign w:val="bottom"/>
          </w:tcPr>
          <w:p>
            <w:pPr>
              <w:pStyle w:val="TableContents"/>
              <w:bidi w:val="0"/>
              <w:spacing w:before="0" w:after="0"/>
              <w:ind w:left="0" w:right="0" w:hanging="0"/>
              <w:jc w:val="right"/>
              <w:rPr/>
            </w:pPr>
            <w:r>
              <w:rPr/>
              <w:t>33,743</w:t>
            </w:r>
          </w:p>
        </w:tc>
        <w:tc>
          <w:tcPr>
            <w:tcW w:w="185" w:type="dxa"/>
            <w:tcBorders>
              <w:bottom w:val="single" w:sz="12" w:space="0" w:color="000000"/>
            </w:tcBorders>
            <w:tcMar>
              <w:bottom w:w="28" w:type="dxa"/>
            </w:tcMar>
            <w:vAlign w:val="bottom"/>
          </w:tcPr>
          <w:p>
            <w:pPr>
              <w:pStyle w:val="TableContents"/>
              <w:bidi w:val="0"/>
              <w:spacing w:before="0" w:after="0"/>
              <w:ind w:left="0" w:right="0" w:hanging="0"/>
              <w:jc w:val="left"/>
              <w:rPr/>
            </w:pPr>
            <w:r>
              <w:rPr/>
              <w:t> </w:t>
            </w:r>
          </w:p>
        </w:tc>
        <w:tc>
          <w:tcPr>
            <w:tcW w:w="90" w:type="dxa"/>
            <w:tcBorders/>
            <w:vAlign w:val="bottom"/>
          </w:tcPr>
          <w:p>
            <w:pPr>
              <w:pStyle w:val="TableContents"/>
              <w:bidi w:val="0"/>
              <w:spacing w:before="0" w:after="0"/>
              <w:ind w:left="0" w:right="0" w:hanging="0"/>
              <w:jc w:val="left"/>
              <w:rPr/>
            </w:pPr>
            <w:r>
              <w:rPr/>
              <w:t> </w:t>
            </w:r>
          </w:p>
        </w:tc>
        <w:tc>
          <w:tcPr>
            <w:tcW w:w="170" w:type="dxa"/>
            <w:tcBorders>
              <w:bottom w:val="single" w:sz="12" w:space="0" w:color="000000"/>
            </w:tcBorders>
            <w:tcMar>
              <w:bottom w:w="28" w:type="dxa"/>
            </w:tcMar>
            <w:vAlign w:val="bottom"/>
          </w:tcPr>
          <w:p>
            <w:pPr>
              <w:pStyle w:val="TableContents"/>
              <w:bidi w:val="0"/>
              <w:spacing w:before="0" w:after="0"/>
              <w:ind w:left="0" w:right="0" w:hanging="0"/>
              <w:jc w:val="left"/>
              <w:rPr/>
            </w:pPr>
            <w:r>
              <w:rPr/>
              <w:t> </w:t>
            </w:r>
          </w:p>
        </w:tc>
        <w:tc>
          <w:tcPr>
            <w:tcW w:w="1688" w:type="dxa"/>
            <w:tcBorders>
              <w:bottom w:val="single" w:sz="12" w:space="0" w:color="000000"/>
            </w:tcBorders>
            <w:tcMar>
              <w:bottom w:w="28" w:type="dxa"/>
            </w:tcMar>
            <w:vAlign w:val="bottom"/>
          </w:tcPr>
          <w:p>
            <w:pPr>
              <w:pStyle w:val="TableContents"/>
              <w:bidi w:val="0"/>
              <w:spacing w:before="0" w:after="0"/>
              <w:ind w:left="0" w:right="0" w:hanging="0"/>
              <w:jc w:val="right"/>
              <w:rPr/>
            </w:pPr>
            <w:r>
              <w:rPr/>
              <w:t>53,705</w:t>
            </w:r>
          </w:p>
        </w:tc>
        <w:tc>
          <w:tcPr>
            <w:tcW w:w="185" w:type="dxa"/>
            <w:tcBorders>
              <w:bottom w:val="single" w:sz="12" w:space="0" w:color="000000"/>
            </w:tcBorders>
            <w:tcMar>
              <w:bottom w:w="28" w:type="dxa"/>
            </w:tcMar>
            <w:vAlign w:val="bottom"/>
          </w:tcPr>
          <w:p>
            <w:pPr>
              <w:pStyle w:val="TableContents"/>
              <w:bidi w:val="0"/>
              <w:spacing w:before="0" w:after="0"/>
              <w:ind w:left="0" w:right="0" w:hanging="0"/>
              <w:jc w:val="left"/>
              <w:rPr/>
            </w:pPr>
            <w:r>
              <w:rPr/>
              <w:t> </w:t>
            </w:r>
          </w:p>
        </w:tc>
        <w:tc>
          <w:tcPr>
            <w:tcW w:w="90" w:type="dxa"/>
            <w:tcBorders/>
            <w:vAlign w:val="bottom"/>
          </w:tcPr>
          <w:p>
            <w:pPr>
              <w:pStyle w:val="TableContents"/>
              <w:bidi w:val="0"/>
              <w:spacing w:before="0" w:after="0"/>
              <w:ind w:left="0" w:right="0" w:hanging="0"/>
              <w:jc w:val="left"/>
              <w:rPr/>
            </w:pPr>
            <w:r>
              <w:rPr/>
              <w:t> </w:t>
            </w:r>
          </w:p>
        </w:tc>
        <w:tc>
          <w:tcPr>
            <w:tcW w:w="170" w:type="dxa"/>
            <w:tcBorders>
              <w:bottom w:val="single" w:sz="12" w:space="0" w:color="000000"/>
            </w:tcBorders>
            <w:tcMar>
              <w:bottom w:w="28" w:type="dxa"/>
            </w:tcMar>
            <w:vAlign w:val="bottom"/>
          </w:tcPr>
          <w:p>
            <w:pPr>
              <w:pStyle w:val="TableContents"/>
              <w:bidi w:val="0"/>
              <w:spacing w:before="0" w:after="0"/>
              <w:ind w:left="0" w:right="0" w:hanging="0"/>
              <w:jc w:val="left"/>
              <w:rPr/>
            </w:pPr>
            <w:r>
              <w:rPr/>
              <w:t> </w:t>
            </w:r>
          </w:p>
        </w:tc>
        <w:tc>
          <w:tcPr>
            <w:tcW w:w="1664" w:type="dxa"/>
            <w:tcBorders>
              <w:bottom w:val="single" w:sz="12" w:space="0" w:color="000000"/>
            </w:tcBorders>
            <w:tcMar>
              <w:bottom w:w="28" w:type="dxa"/>
            </w:tcMar>
            <w:vAlign w:val="bottom"/>
          </w:tcPr>
          <w:p>
            <w:pPr>
              <w:pStyle w:val="TableContents"/>
              <w:bidi w:val="0"/>
              <w:spacing w:before="0" w:after="0"/>
              <w:ind w:left="0" w:right="0" w:hanging="0"/>
              <w:jc w:val="right"/>
              <w:rPr/>
            </w:pPr>
            <w:r>
              <w:rPr/>
              <w:t>(19,962</w:t>
            </w:r>
          </w:p>
        </w:tc>
        <w:tc>
          <w:tcPr>
            <w:tcW w:w="231" w:type="dxa"/>
            <w:tcBorders>
              <w:bottom w:val="single" w:sz="12" w:space="0" w:color="000000"/>
            </w:tcBorders>
            <w:tcMar>
              <w:bottom w:w="28" w:type="dxa"/>
            </w:tcMar>
            <w:vAlign w:val="bottom"/>
          </w:tcPr>
          <w:p>
            <w:pPr>
              <w:pStyle w:val="TableContents"/>
              <w:bidi w:val="0"/>
              <w:spacing w:before="0" w:after="0"/>
              <w:jc w:val="left"/>
              <w:rPr/>
            </w:pPr>
            <w:r>
              <w:rPr/>
              <w:t>) </w:t>
            </w:r>
          </w:p>
        </w:tc>
      </w:tr>
      <w:tr>
        <w:trPr/>
        <w:tc>
          <w:tcPr>
            <w:tcW w:w="3182" w:type="dxa"/>
            <w:tcBorders/>
            <w:shd w:fill="CCEEFF" w:val="clear"/>
            <w:vAlign w:val="bottom"/>
          </w:tcPr>
          <w:p>
            <w:pPr>
              <w:pStyle w:val="TableContents"/>
              <w:bidi w:val="0"/>
              <w:spacing w:before="0" w:after="0"/>
              <w:ind w:left="0" w:right="0" w:hanging="0"/>
              <w:jc w:val="left"/>
              <w:rPr/>
            </w:pPr>
            <w:r>
              <w:rPr/>
              <w:t>Gross profit</w:t>
            </w:r>
          </w:p>
        </w:tc>
        <w:tc>
          <w:tcPr>
            <w:tcW w:w="90" w:type="dxa"/>
            <w:tcBorders/>
            <w:shd w:fill="CCEEFF" w:val="clear"/>
            <w:vAlign w:val="bottom"/>
          </w:tcPr>
          <w:p>
            <w:pPr>
              <w:pStyle w:val="TableContents"/>
              <w:bidi w:val="0"/>
              <w:spacing w:before="0" w:after="0"/>
              <w:ind w:left="0" w:right="0" w:hanging="0"/>
              <w:jc w:val="left"/>
              <w:rPr/>
            </w:pPr>
            <w:r>
              <w:rPr/>
              <w:t> </w:t>
            </w:r>
          </w:p>
        </w:tc>
        <w:tc>
          <w:tcPr>
            <w:tcW w:w="170" w:type="dxa"/>
            <w:tcBorders/>
            <w:shd w:fill="CCEEFF" w:val="clear"/>
            <w:vAlign w:val="bottom"/>
          </w:tcPr>
          <w:p>
            <w:pPr>
              <w:pStyle w:val="TableContents"/>
              <w:bidi w:val="0"/>
              <w:spacing w:before="0" w:after="0"/>
              <w:ind w:left="0" w:right="0" w:hanging="0"/>
              <w:jc w:val="left"/>
              <w:rPr/>
            </w:pPr>
            <w:r>
              <w:rPr/>
              <w:t> </w:t>
            </w:r>
          </w:p>
        </w:tc>
        <w:tc>
          <w:tcPr>
            <w:tcW w:w="830" w:type="dxa"/>
            <w:tcBorders/>
            <w:shd w:fill="CCEEFF" w:val="clear"/>
            <w:vAlign w:val="bottom"/>
          </w:tcPr>
          <w:p>
            <w:pPr>
              <w:pStyle w:val="TableContents"/>
              <w:bidi w:val="0"/>
              <w:spacing w:before="0" w:after="0"/>
              <w:ind w:left="0" w:right="0" w:hanging="0"/>
              <w:jc w:val="right"/>
              <w:rPr/>
            </w:pPr>
            <w:r>
              <w:rPr/>
              <w:t>80,750</w:t>
            </w:r>
          </w:p>
        </w:tc>
        <w:tc>
          <w:tcPr>
            <w:tcW w:w="185" w:type="dxa"/>
            <w:tcBorders/>
            <w:shd w:fill="CCEEFF" w:val="clear"/>
            <w:vAlign w:val="bottom"/>
          </w:tcPr>
          <w:p>
            <w:pPr>
              <w:pStyle w:val="TableContents"/>
              <w:bidi w:val="0"/>
              <w:spacing w:before="0" w:after="0"/>
              <w:ind w:left="0" w:right="0" w:hanging="0"/>
              <w:jc w:val="left"/>
              <w:rPr/>
            </w:pPr>
            <w:r>
              <w:rPr/>
              <w:t> </w:t>
            </w:r>
          </w:p>
        </w:tc>
        <w:tc>
          <w:tcPr>
            <w:tcW w:w="90" w:type="dxa"/>
            <w:tcBorders/>
            <w:shd w:fill="CCEEFF" w:val="clear"/>
            <w:vAlign w:val="bottom"/>
          </w:tcPr>
          <w:p>
            <w:pPr>
              <w:pStyle w:val="TableContents"/>
              <w:bidi w:val="0"/>
              <w:spacing w:before="0" w:after="0"/>
              <w:ind w:left="0" w:right="0" w:hanging="0"/>
              <w:jc w:val="left"/>
              <w:rPr/>
            </w:pPr>
            <w:r>
              <w:rPr/>
              <w:t> </w:t>
            </w:r>
          </w:p>
        </w:tc>
        <w:tc>
          <w:tcPr>
            <w:tcW w:w="170" w:type="dxa"/>
            <w:tcBorders/>
            <w:shd w:fill="CCEEFF" w:val="clear"/>
            <w:vAlign w:val="bottom"/>
          </w:tcPr>
          <w:p>
            <w:pPr>
              <w:pStyle w:val="TableContents"/>
              <w:bidi w:val="0"/>
              <w:spacing w:before="0" w:after="0"/>
              <w:ind w:left="0" w:right="0" w:hanging="0"/>
              <w:jc w:val="left"/>
              <w:rPr/>
            </w:pPr>
            <w:r>
              <w:rPr/>
              <w:t> </w:t>
            </w:r>
          </w:p>
        </w:tc>
        <w:tc>
          <w:tcPr>
            <w:tcW w:w="1688" w:type="dxa"/>
            <w:tcBorders/>
            <w:shd w:fill="CCEEFF" w:val="clear"/>
            <w:vAlign w:val="bottom"/>
          </w:tcPr>
          <w:p>
            <w:pPr>
              <w:pStyle w:val="TableContents"/>
              <w:bidi w:val="0"/>
              <w:spacing w:before="0" w:after="0"/>
              <w:ind w:left="0" w:right="0" w:hanging="0"/>
              <w:jc w:val="right"/>
              <w:rPr/>
            </w:pPr>
            <w:r>
              <w:rPr/>
              <w:t>61,097</w:t>
            </w:r>
          </w:p>
        </w:tc>
        <w:tc>
          <w:tcPr>
            <w:tcW w:w="185" w:type="dxa"/>
            <w:tcBorders/>
            <w:shd w:fill="CCEEFF" w:val="clear"/>
            <w:vAlign w:val="bottom"/>
          </w:tcPr>
          <w:p>
            <w:pPr>
              <w:pStyle w:val="TableContents"/>
              <w:bidi w:val="0"/>
              <w:spacing w:before="0" w:after="0"/>
              <w:ind w:left="0" w:right="0" w:hanging="0"/>
              <w:jc w:val="left"/>
              <w:rPr/>
            </w:pPr>
            <w:r>
              <w:rPr/>
              <w:t> </w:t>
            </w:r>
          </w:p>
        </w:tc>
        <w:tc>
          <w:tcPr>
            <w:tcW w:w="90" w:type="dxa"/>
            <w:tcBorders/>
            <w:shd w:fill="CCEEFF" w:val="clear"/>
            <w:vAlign w:val="bottom"/>
          </w:tcPr>
          <w:p>
            <w:pPr>
              <w:pStyle w:val="TableContents"/>
              <w:bidi w:val="0"/>
              <w:spacing w:before="0" w:after="0"/>
              <w:ind w:left="0" w:right="0" w:hanging="0"/>
              <w:jc w:val="left"/>
              <w:rPr/>
            </w:pPr>
            <w:r>
              <w:rPr/>
              <w:t> </w:t>
            </w:r>
          </w:p>
        </w:tc>
        <w:tc>
          <w:tcPr>
            <w:tcW w:w="170" w:type="dxa"/>
            <w:tcBorders/>
            <w:shd w:fill="CCEEFF" w:val="clear"/>
            <w:vAlign w:val="bottom"/>
          </w:tcPr>
          <w:p>
            <w:pPr>
              <w:pStyle w:val="TableContents"/>
              <w:bidi w:val="0"/>
              <w:spacing w:before="0" w:after="0"/>
              <w:ind w:left="0" w:right="0" w:hanging="0"/>
              <w:jc w:val="left"/>
              <w:rPr/>
            </w:pPr>
            <w:r>
              <w:rPr/>
              <w:t> </w:t>
            </w:r>
          </w:p>
        </w:tc>
        <w:tc>
          <w:tcPr>
            <w:tcW w:w="1664" w:type="dxa"/>
            <w:tcBorders/>
            <w:shd w:fill="CCEEFF" w:val="clear"/>
            <w:vAlign w:val="bottom"/>
          </w:tcPr>
          <w:p>
            <w:pPr>
              <w:pStyle w:val="TableContents"/>
              <w:bidi w:val="0"/>
              <w:spacing w:before="0" w:after="0"/>
              <w:ind w:left="0" w:right="0" w:hanging="0"/>
              <w:jc w:val="right"/>
              <w:rPr/>
            </w:pPr>
            <w:r>
              <w:rPr/>
              <w:t>19,653</w:t>
            </w:r>
          </w:p>
        </w:tc>
        <w:tc>
          <w:tcPr>
            <w:tcW w:w="231" w:type="dxa"/>
            <w:tcBorders/>
            <w:shd w:fill="CCEEFF" w:val="clear"/>
            <w:vAlign w:val="bottom"/>
          </w:tcPr>
          <w:p>
            <w:pPr>
              <w:pStyle w:val="TableContents"/>
              <w:bidi w:val="0"/>
              <w:spacing w:before="0" w:after="0"/>
              <w:jc w:val="left"/>
              <w:rPr/>
            </w:pPr>
            <w:r>
              <w:rPr/>
              <w:t> </w:t>
            </w:r>
          </w:p>
        </w:tc>
      </w:tr>
      <w:tr>
        <w:trPr/>
        <w:tc>
          <w:tcPr>
            <w:tcW w:w="3182" w:type="dxa"/>
            <w:tcBorders/>
            <w:vAlign w:val="bottom"/>
          </w:tcPr>
          <w:p>
            <w:pPr>
              <w:pStyle w:val="TableContents"/>
              <w:bidi w:val="0"/>
              <w:spacing w:before="0" w:after="0"/>
              <w:ind w:left="0" w:right="0" w:hanging="0"/>
              <w:jc w:val="left"/>
              <w:rPr/>
            </w:pPr>
            <w:r>
              <w:rPr/>
              <w:t>Research and development expenses</w:t>
            </w:r>
          </w:p>
        </w:tc>
        <w:tc>
          <w:tcPr>
            <w:tcW w:w="90" w:type="dxa"/>
            <w:tcBorders/>
            <w:vAlign w:val="bottom"/>
          </w:tcPr>
          <w:p>
            <w:pPr>
              <w:pStyle w:val="TableContents"/>
              <w:bidi w:val="0"/>
              <w:spacing w:before="0" w:after="0"/>
              <w:ind w:left="0" w:right="0" w:hanging="0"/>
              <w:jc w:val="left"/>
              <w:rPr/>
            </w:pPr>
            <w:r>
              <w:rPr/>
              <w:t> </w:t>
            </w:r>
          </w:p>
        </w:tc>
        <w:tc>
          <w:tcPr>
            <w:tcW w:w="170" w:type="dxa"/>
            <w:tcBorders/>
            <w:vAlign w:val="bottom"/>
          </w:tcPr>
          <w:p>
            <w:pPr>
              <w:pStyle w:val="TableContents"/>
              <w:bidi w:val="0"/>
              <w:spacing w:before="0" w:after="0"/>
              <w:ind w:left="0" w:right="0" w:hanging="0"/>
              <w:jc w:val="left"/>
              <w:rPr/>
            </w:pPr>
            <w:r>
              <w:rPr/>
              <w:t> </w:t>
            </w:r>
          </w:p>
        </w:tc>
        <w:tc>
          <w:tcPr>
            <w:tcW w:w="830" w:type="dxa"/>
            <w:tcBorders/>
            <w:vAlign w:val="bottom"/>
          </w:tcPr>
          <w:p>
            <w:pPr>
              <w:pStyle w:val="TableContents"/>
              <w:bidi w:val="0"/>
              <w:spacing w:before="0" w:after="0"/>
              <w:ind w:left="0" w:right="0" w:hanging="0"/>
              <w:jc w:val="right"/>
              <w:rPr/>
            </w:pPr>
            <w:r>
              <w:rPr/>
              <w:t>2,597</w:t>
            </w:r>
          </w:p>
        </w:tc>
        <w:tc>
          <w:tcPr>
            <w:tcW w:w="185" w:type="dxa"/>
            <w:tcBorders/>
            <w:vAlign w:val="bottom"/>
          </w:tcPr>
          <w:p>
            <w:pPr>
              <w:pStyle w:val="TableContents"/>
              <w:bidi w:val="0"/>
              <w:spacing w:before="0" w:after="0"/>
              <w:ind w:left="0" w:right="0" w:hanging="0"/>
              <w:jc w:val="left"/>
              <w:rPr/>
            </w:pPr>
            <w:r>
              <w:rPr/>
              <w:t> </w:t>
            </w:r>
          </w:p>
        </w:tc>
        <w:tc>
          <w:tcPr>
            <w:tcW w:w="90" w:type="dxa"/>
            <w:tcBorders/>
            <w:vAlign w:val="bottom"/>
          </w:tcPr>
          <w:p>
            <w:pPr>
              <w:pStyle w:val="TableContents"/>
              <w:bidi w:val="0"/>
              <w:spacing w:before="0" w:after="0"/>
              <w:ind w:left="0" w:right="0" w:hanging="0"/>
              <w:jc w:val="left"/>
              <w:rPr/>
            </w:pPr>
            <w:r>
              <w:rPr/>
              <w:t> </w:t>
            </w:r>
          </w:p>
        </w:tc>
        <w:tc>
          <w:tcPr>
            <w:tcW w:w="170" w:type="dxa"/>
            <w:tcBorders/>
            <w:vAlign w:val="bottom"/>
          </w:tcPr>
          <w:p>
            <w:pPr>
              <w:pStyle w:val="TableContents"/>
              <w:bidi w:val="0"/>
              <w:spacing w:before="0" w:after="0"/>
              <w:ind w:left="0" w:right="0" w:hanging="0"/>
              <w:jc w:val="left"/>
              <w:rPr/>
            </w:pPr>
            <w:r>
              <w:rPr/>
              <w:t> </w:t>
            </w:r>
          </w:p>
        </w:tc>
        <w:tc>
          <w:tcPr>
            <w:tcW w:w="1688" w:type="dxa"/>
            <w:tcBorders/>
            <w:vAlign w:val="bottom"/>
          </w:tcPr>
          <w:p>
            <w:pPr>
              <w:pStyle w:val="TableContents"/>
              <w:bidi w:val="0"/>
              <w:spacing w:before="0" w:after="0"/>
              <w:ind w:left="0" w:right="0" w:hanging="0"/>
              <w:jc w:val="right"/>
              <w:rPr/>
            </w:pPr>
            <w:r>
              <w:rPr/>
              <w:t>826</w:t>
            </w:r>
          </w:p>
        </w:tc>
        <w:tc>
          <w:tcPr>
            <w:tcW w:w="185" w:type="dxa"/>
            <w:tcBorders/>
            <w:vAlign w:val="bottom"/>
          </w:tcPr>
          <w:p>
            <w:pPr>
              <w:pStyle w:val="TableContents"/>
              <w:bidi w:val="0"/>
              <w:spacing w:before="0" w:after="0"/>
              <w:ind w:left="0" w:right="0" w:hanging="0"/>
              <w:jc w:val="left"/>
              <w:rPr/>
            </w:pPr>
            <w:r>
              <w:rPr/>
              <w:t> </w:t>
            </w:r>
          </w:p>
        </w:tc>
        <w:tc>
          <w:tcPr>
            <w:tcW w:w="90" w:type="dxa"/>
            <w:tcBorders/>
            <w:vAlign w:val="bottom"/>
          </w:tcPr>
          <w:p>
            <w:pPr>
              <w:pStyle w:val="TableContents"/>
              <w:bidi w:val="0"/>
              <w:spacing w:before="0" w:after="0"/>
              <w:ind w:left="0" w:right="0" w:hanging="0"/>
              <w:jc w:val="left"/>
              <w:rPr/>
            </w:pPr>
            <w:r>
              <w:rPr/>
              <w:t> </w:t>
            </w:r>
          </w:p>
        </w:tc>
        <w:tc>
          <w:tcPr>
            <w:tcW w:w="170" w:type="dxa"/>
            <w:tcBorders/>
            <w:vAlign w:val="bottom"/>
          </w:tcPr>
          <w:p>
            <w:pPr>
              <w:pStyle w:val="TableContents"/>
              <w:bidi w:val="0"/>
              <w:spacing w:before="0" w:after="0"/>
              <w:ind w:left="0" w:right="0" w:hanging="0"/>
              <w:jc w:val="left"/>
              <w:rPr/>
            </w:pPr>
            <w:r>
              <w:rPr/>
              <w:t> </w:t>
            </w:r>
          </w:p>
        </w:tc>
        <w:tc>
          <w:tcPr>
            <w:tcW w:w="1664" w:type="dxa"/>
            <w:tcBorders/>
            <w:vAlign w:val="bottom"/>
          </w:tcPr>
          <w:p>
            <w:pPr>
              <w:pStyle w:val="TableContents"/>
              <w:bidi w:val="0"/>
              <w:spacing w:before="0" w:after="0"/>
              <w:ind w:left="0" w:right="0" w:hanging="0"/>
              <w:jc w:val="right"/>
              <w:rPr/>
            </w:pPr>
            <w:r>
              <w:rPr/>
              <w:t>1,771</w:t>
            </w:r>
          </w:p>
        </w:tc>
        <w:tc>
          <w:tcPr>
            <w:tcW w:w="231" w:type="dxa"/>
            <w:tcBorders/>
            <w:vAlign w:val="bottom"/>
          </w:tcPr>
          <w:p>
            <w:pPr>
              <w:pStyle w:val="TableContents"/>
              <w:bidi w:val="0"/>
              <w:spacing w:before="0" w:after="0"/>
              <w:jc w:val="left"/>
              <w:rPr/>
            </w:pPr>
            <w:r>
              <w:rPr/>
              <w:t> </w:t>
            </w:r>
          </w:p>
        </w:tc>
      </w:tr>
      <w:tr>
        <w:trPr/>
        <w:tc>
          <w:tcPr>
            <w:tcW w:w="3182" w:type="dxa"/>
            <w:tcBorders/>
            <w:shd w:fill="CCEEFF" w:val="clear"/>
            <w:vAlign w:val="bottom"/>
          </w:tcPr>
          <w:p>
            <w:pPr>
              <w:pStyle w:val="TableContents"/>
              <w:bidi w:val="0"/>
              <w:spacing w:before="0" w:after="0"/>
              <w:ind w:left="0" w:right="0" w:hanging="0"/>
              <w:jc w:val="left"/>
              <w:rPr/>
            </w:pPr>
            <w:r>
              <w:rPr/>
              <w:t>Plasma center operating expenses</w:t>
            </w:r>
          </w:p>
        </w:tc>
        <w:tc>
          <w:tcPr>
            <w:tcW w:w="90" w:type="dxa"/>
            <w:tcBorders/>
            <w:shd w:fill="CCEEFF" w:val="clear"/>
            <w:vAlign w:val="bottom"/>
          </w:tcPr>
          <w:p>
            <w:pPr>
              <w:pStyle w:val="TableContents"/>
              <w:bidi w:val="0"/>
              <w:spacing w:before="0" w:after="0"/>
              <w:ind w:left="0" w:right="0" w:hanging="0"/>
              <w:jc w:val="left"/>
              <w:rPr/>
            </w:pPr>
            <w:r>
              <w:rPr/>
              <w:t> </w:t>
            </w:r>
          </w:p>
        </w:tc>
        <w:tc>
          <w:tcPr>
            <w:tcW w:w="170" w:type="dxa"/>
            <w:tcBorders/>
            <w:shd w:fill="CCEEFF" w:val="clear"/>
            <w:vAlign w:val="bottom"/>
          </w:tcPr>
          <w:p>
            <w:pPr>
              <w:pStyle w:val="TableContents"/>
              <w:bidi w:val="0"/>
              <w:spacing w:before="0" w:after="0"/>
              <w:ind w:left="0" w:right="0" w:hanging="0"/>
              <w:jc w:val="left"/>
              <w:rPr/>
            </w:pPr>
            <w:r>
              <w:rPr/>
              <w:t> </w:t>
            </w:r>
          </w:p>
        </w:tc>
        <w:tc>
          <w:tcPr>
            <w:tcW w:w="830" w:type="dxa"/>
            <w:tcBorders/>
            <w:shd w:fill="CCEEFF" w:val="clear"/>
            <w:vAlign w:val="bottom"/>
          </w:tcPr>
          <w:p>
            <w:pPr>
              <w:pStyle w:val="TableContents"/>
              <w:bidi w:val="0"/>
              <w:spacing w:before="0" w:after="0"/>
              <w:ind w:left="0" w:right="0" w:hanging="0"/>
              <w:jc w:val="right"/>
              <w:rPr/>
            </w:pPr>
            <w:r>
              <w:rPr/>
              <w:t>1,062</w:t>
            </w:r>
          </w:p>
        </w:tc>
        <w:tc>
          <w:tcPr>
            <w:tcW w:w="185" w:type="dxa"/>
            <w:tcBorders/>
            <w:shd w:fill="CCEEFF" w:val="clear"/>
            <w:vAlign w:val="bottom"/>
          </w:tcPr>
          <w:p>
            <w:pPr>
              <w:pStyle w:val="TableContents"/>
              <w:bidi w:val="0"/>
              <w:spacing w:before="0" w:after="0"/>
              <w:ind w:left="0" w:right="0" w:hanging="0"/>
              <w:jc w:val="left"/>
              <w:rPr/>
            </w:pPr>
            <w:r>
              <w:rPr/>
              <w:t> </w:t>
            </w:r>
          </w:p>
        </w:tc>
        <w:tc>
          <w:tcPr>
            <w:tcW w:w="90" w:type="dxa"/>
            <w:tcBorders/>
            <w:shd w:fill="CCEEFF" w:val="clear"/>
            <w:vAlign w:val="bottom"/>
          </w:tcPr>
          <w:p>
            <w:pPr>
              <w:pStyle w:val="TableContents"/>
              <w:bidi w:val="0"/>
              <w:spacing w:before="0" w:after="0"/>
              <w:ind w:left="0" w:right="0" w:hanging="0"/>
              <w:jc w:val="left"/>
              <w:rPr/>
            </w:pPr>
            <w:r>
              <w:rPr/>
              <w:t> </w:t>
            </w:r>
          </w:p>
        </w:tc>
        <w:tc>
          <w:tcPr>
            <w:tcW w:w="170" w:type="dxa"/>
            <w:tcBorders/>
            <w:shd w:fill="CCEEFF" w:val="clear"/>
            <w:vAlign w:val="bottom"/>
          </w:tcPr>
          <w:p>
            <w:pPr>
              <w:pStyle w:val="TableContents"/>
              <w:bidi w:val="0"/>
              <w:spacing w:before="0" w:after="0"/>
              <w:ind w:left="0" w:right="0" w:hanging="0"/>
              <w:jc w:val="left"/>
              <w:rPr/>
            </w:pPr>
            <w:r>
              <w:rPr/>
              <w:t> </w:t>
            </w:r>
          </w:p>
        </w:tc>
        <w:tc>
          <w:tcPr>
            <w:tcW w:w="1688" w:type="dxa"/>
            <w:tcBorders/>
            <w:shd w:fill="CCEEFF" w:val="clear"/>
            <w:vAlign w:val="bottom"/>
          </w:tcPr>
          <w:p>
            <w:pPr>
              <w:pStyle w:val="TableContents"/>
              <w:bidi w:val="0"/>
              <w:spacing w:before="0" w:after="0"/>
              <w:ind w:left="0" w:right="0" w:hanging="0"/>
              <w:jc w:val="right"/>
              <w:rPr/>
            </w:pPr>
            <w:r>
              <w:rPr/>
              <w:t>1,286</w:t>
            </w:r>
          </w:p>
        </w:tc>
        <w:tc>
          <w:tcPr>
            <w:tcW w:w="185" w:type="dxa"/>
            <w:tcBorders/>
            <w:shd w:fill="CCEEFF" w:val="clear"/>
            <w:vAlign w:val="bottom"/>
          </w:tcPr>
          <w:p>
            <w:pPr>
              <w:pStyle w:val="TableContents"/>
              <w:bidi w:val="0"/>
              <w:spacing w:before="0" w:after="0"/>
              <w:ind w:left="0" w:right="0" w:hanging="0"/>
              <w:jc w:val="left"/>
              <w:rPr/>
            </w:pPr>
            <w:r>
              <w:rPr/>
              <w:t> </w:t>
            </w:r>
          </w:p>
        </w:tc>
        <w:tc>
          <w:tcPr>
            <w:tcW w:w="90" w:type="dxa"/>
            <w:tcBorders/>
            <w:shd w:fill="CCEEFF" w:val="clear"/>
            <w:vAlign w:val="bottom"/>
          </w:tcPr>
          <w:p>
            <w:pPr>
              <w:pStyle w:val="TableContents"/>
              <w:bidi w:val="0"/>
              <w:spacing w:before="0" w:after="0"/>
              <w:ind w:left="0" w:right="0" w:hanging="0"/>
              <w:jc w:val="left"/>
              <w:rPr/>
            </w:pPr>
            <w:r>
              <w:rPr/>
              <w:t> </w:t>
            </w:r>
          </w:p>
        </w:tc>
        <w:tc>
          <w:tcPr>
            <w:tcW w:w="170" w:type="dxa"/>
            <w:tcBorders/>
            <w:shd w:fill="CCEEFF" w:val="clear"/>
            <w:vAlign w:val="bottom"/>
          </w:tcPr>
          <w:p>
            <w:pPr>
              <w:pStyle w:val="TableContents"/>
              <w:bidi w:val="0"/>
              <w:spacing w:before="0" w:after="0"/>
              <w:ind w:left="0" w:right="0" w:hanging="0"/>
              <w:jc w:val="left"/>
              <w:rPr/>
            </w:pPr>
            <w:r>
              <w:rPr/>
              <w:t> </w:t>
            </w:r>
          </w:p>
        </w:tc>
        <w:tc>
          <w:tcPr>
            <w:tcW w:w="1664" w:type="dxa"/>
            <w:tcBorders/>
            <w:shd w:fill="CCEEFF" w:val="clear"/>
            <w:vAlign w:val="bottom"/>
          </w:tcPr>
          <w:p>
            <w:pPr>
              <w:pStyle w:val="TableContents"/>
              <w:bidi w:val="0"/>
              <w:spacing w:before="0" w:after="0"/>
              <w:ind w:left="0" w:right="0" w:hanging="0"/>
              <w:jc w:val="right"/>
              <w:rPr/>
            </w:pPr>
            <w:r>
              <w:rPr/>
              <w:t>(224</w:t>
            </w:r>
          </w:p>
        </w:tc>
        <w:tc>
          <w:tcPr>
            <w:tcW w:w="231" w:type="dxa"/>
            <w:tcBorders/>
            <w:shd w:fill="CCEEFF" w:val="clear"/>
            <w:vAlign w:val="bottom"/>
          </w:tcPr>
          <w:p>
            <w:pPr>
              <w:pStyle w:val="TableContents"/>
              <w:bidi w:val="0"/>
              <w:spacing w:before="0" w:after="0"/>
              <w:jc w:val="left"/>
              <w:rPr/>
            </w:pPr>
            <w:r>
              <w:rPr/>
              <w:t>) </w:t>
            </w:r>
          </w:p>
        </w:tc>
      </w:tr>
      <w:tr>
        <w:trPr/>
        <w:tc>
          <w:tcPr>
            <w:tcW w:w="3182" w:type="dxa"/>
            <w:tcBorders/>
            <w:vAlign w:val="bottom"/>
          </w:tcPr>
          <w:p>
            <w:pPr>
              <w:pStyle w:val="TableContents"/>
              <w:bidi w:val="0"/>
              <w:spacing w:before="0" w:after="0"/>
              <w:ind w:left="0" w:right="0" w:hanging="0"/>
              <w:jc w:val="left"/>
              <w:rPr/>
            </w:pPr>
            <w:r>
              <w:rPr/>
              <w:t>Amortization of intangibles</w:t>
            </w:r>
          </w:p>
        </w:tc>
        <w:tc>
          <w:tcPr>
            <w:tcW w:w="90" w:type="dxa"/>
            <w:tcBorders/>
            <w:vAlign w:val="bottom"/>
          </w:tcPr>
          <w:p>
            <w:pPr>
              <w:pStyle w:val="TableContents"/>
              <w:bidi w:val="0"/>
              <w:spacing w:before="0" w:after="0"/>
              <w:ind w:left="0" w:right="0" w:hanging="0"/>
              <w:jc w:val="left"/>
              <w:rPr/>
            </w:pPr>
            <w:r>
              <w:rPr/>
              <w:t> </w:t>
            </w:r>
          </w:p>
        </w:tc>
        <w:tc>
          <w:tcPr>
            <w:tcW w:w="170" w:type="dxa"/>
            <w:tcBorders/>
            <w:vAlign w:val="bottom"/>
          </w:tcPr>
          <w:p>
            <w:pPr>
              <w:pStyle w:val="TableContents"/>
              <w:bidi w:val="0"/>
              <w:spacing w:before="0" w:after="0"/>
              <w:ind w:left="0" w:right="0" w:hanging="0"/>
              <w:jc w:val="left"/>
              <w:rPr/>
            </w:pPr>
            <w:r>
              <w:rPr/>
              <w:t> </w:t>
            </w:r>
          </w:p>
        </w:tc>
        <w:tc>
          <w:tcPr>
            <w:tcW w:w="830" w:type="dxa"/>
            <w:tcBorders/>
            <w:vAlign w:val="bottom"/>
          </w:tcPr>
          <w:p>
            <w:pPr>
              <w:pStyle w:val="TableContents"/>
              <w:bidi w:val="0"/>
              <w:spacing w:before="0" w:after="0"/>
              <w:ind w:left="0" w:right="0" w:hanging="0"/>
              <w:jc w:val="right"/>
              <w:rPr/>
            </w:pPr>
            <w:r>
              <w:rPr/>
              <w:t>55</w:t>
            </w:r>
          </w:p>
        </w:tc>
        <w:tc>
          <w:tcPr>
            <w:tcW w:w="185" w:type="dxa"/>
            <w:tcBorders/>
            <w:vAlign w:val="bottom"/>
          </w:tcPr>
          <w:p>
            <w:pPr>
              <w:pStyle w:val="TableContents"/>
              <w:bidi w:val="0"/>
              <w:spacing w:before="0" w:after="0"/>
              <w:ind w:left="0" w:right="0" w:hanging="0"/>
              <w:jc w:val="left"/>
              <w:rPr/>
            </w:pPr>
            <w:r>
              <w:rPr/>
              <w:t> </w:t>
            </w:r>
          </w:p>
        </w:tc>
        <w:tc>
          <w:tcPr>
            <w:tcW w:w="90" w:type="dxa"/>
            <w:tcBorders/>
            <w:vAlign w:val="bottom"/>
          </w:tcPr>
          <w:p>
            <w:pPr>
              <w:pStyle w:val="TableContents"/>
              <w:bidi w:val="0"/>
              <w:spacing w:before="0" w:after="0"/>
              <w:ind w:left="0" w:right="0" w:hanging="0"/>
              <w:jc w:val="left"/>
              <w:rPr/>
            </w:pPr>
            <w:r>
              <w:rPr/>
              <w:t> </w:t>
            </w:r>
          </w:p>
        </w:tc>
        <w:tc>
          <w:tcPr>
            <w:tcW w:w="170" w:type="dxa"/>
            <w:tcBorders/>
            <w:vAlign w:val="bottom"/>
          </w:tcPr>
          <w:p>
            <w:pPr>
              <w:pStyle w:val="TableContents"/>
              <w:bidi w:val="0"/>
              <w:spacing w:before="0" w:after="0"/>
              <w:ind w:left="0" w:right="0" w:hanging="0"/>
              <w:jc w:val="left"/>
              <w:rPr/>
            </w:pPr>
            <w:r>
              <w:rPr/>
              <w:t> </w:t>
            </w:r>
          </w:p>
        </w:tc>
        <w:tc>
          <w:tcPr>
            <w:tcW w:w="1688" w:type="dxa"/>
            <w:tcBorders/>
            <w:vAlign w:val="bottom"/>
          </w:tcPr>
          <w:p>
            <w:pPr>
              <w:pStyle w:val="TableContents"/>
              <w:bidi w:val="0"/>
              <w:spacing w:before="0" w:after="0"/>
              <w:ind w:left="0" w:right="0" w:hanging="0"/>
              <w:jc w:val="right"/>
              <w:rPr/>
            </w:pPr>
            <w:r>
              <w:rPr/>
              <w:t>25</w:t>
            </w:r>
          </w:p>
        </w:tc>
        <w:tc>
          <w:tcPr>
            <w:tcW w:w="185" w:type="dxa"/>
            <w:tcBorders/>
            <w:vAlign w:val="bottom"/>
          </w:tcPr>
          <w:p>
            <w:pPr>
              <w:pStyle w:val="TableContents"/>
              <w:bidi w:val="0"/>
              <w:spacing w:before="0" w:after="0"/>
              <w:ind w:left="0" w:right="0" w:hanging="0"/>
              <w:jc w:val="left"/>
              <w:rPr/>
            </w:pPr>
            <w:r>
              <w:rPr/>
              <w:t> </w:t>
            </w:r>
          </w:p>
        </w:tc>
        <w:tc>
          <w:tcPr>
            <w:tcW w:w="90" w:type="dxa"/>
            <w:tcBorders/>
            <w:vAlign w:val="bottom"/>
          </w:tcPr>
          <w:p>
            <w:pPr>
              <w:pStyle w:val="TableContents"/>
              <w:bidi w:val="0"/>
              <w:spacing w:before="0" w:after="0"/>
              <w:ind w:left="0" w:right="0" w:hanging="0"/>
              <w:jc w:val="left"/>
              <w:rPr/>
            </w:pPr>
            <w:r>
              <w:rPr/>
              <w:t> </w:t>
            </w:r>
          </w:p>
        </w:tc>
        <w:tc>
          <w:tcPr>
            <w:tcW w:w="170" w:type="dxa"/>
            <w:tcBorders/>
            <w:vAlign w:val="bottom"/>
          </w:tcPr>
          <w:p>
            <w:pPr>
              <w:pStyle w:val="TableContents"/>
              <w:bidi w:val="0"/>
              <w:spacing w:before="0" w:after="0"/>
              <w:ind w:left="0" w:right="0" w:hanging="0"/>
              <w:jc w:val="left"/>
              <w:rPr/>
            </w:pPr>
            <w:r>
              <w:rPr/>
              <w:t> </w:t>
            </w:r>
          </w:p>
        </w:tc>
        <w:tc>
          <w:tcPr>
            <w:tcW w:w="1664" w:type="dxa"/>
            <w:tcBorders/>
            <w:vAlign w:val="bottom"/>
          </w:tcPr>
          <w:p>
            <w:pPr>
              <w:pStyle w:val="TableContents"/>
              <w:bidi w:val="0"/>
              <w:spacing w:before="0" w:after="0"/>
              <w:ind w:left="0" w:right="0" w:hanging="0"/>
              <w:jc w:val="right"/>
              <w:rPr/>
            </w:pPr>
            <w:r>
              <w:rPr/>
              <w:t>30</w:t>
            </w:r>
          </w:p>
        </w:tc>
        <w:tc>
          <w:tcPr>
            <w:tcW w:w="231" w:type="dxa"/>
            <w:tcBorders/>
            <w:vAlign w:val="bottom"/>
          </w:tcPr>
          <w:p>
            <w:pPr>
              <w:pStyle w:val="TableContents"/>
              <w:bidi w:val="0"/>
              <w:spacing w:before="0" w:after="0"/>
              <w:jc w:val="left"/>
              <w:rPr/>
            </w:pPr>
            <w:r>
              <w:rPr/>
              <w:t> </w:t>
            </w:r>
          </w:p>
        </w:tc>
      </w:tr>
      <w:tr>
        <w:trPr/>
        <w:tc>
          <w:tcPr>
            <w:tcW w:w="3182" w:type="dxa"/>
            <w:tcBorders/>
            <w:shd w:fill="CCEEFF" w:val="clear"/>
            <w:vAlign w:val="bottom"/>
          </w:tcPr>
          <w:p>
            <w:pPr>
              <w:pStyle w:val="TableContents"/>
              <w:bidi w:val="0"/>
              <w:spacing w:before="0" w:after="0"/>
              <w:ind w:left="0" w:right="0" w:hanging="0"/>
              <w:jc w:val="left"/>
              <w:rPr/>
            </w:pPr>
            <w:r>
              <w:rPr/>
              <w:t>Gain on sale of plasma centers</w:t>
            </w:r>
          </w:p>
        </w:tc>
        <w:tc>
          <w:tcPr>
            <w:tcW w:w="90" w:type="dxa"/>
            <w:tcBorders/>
            <w:shd w:fill="CCEEFF" w:val="clear"/>
            <w:vAlign w:val="bottom"/>
          </w:tcPr>
          <w:p>
            <w:pPr>
              <w:pStyle w:val="TableContents"/>
              <w:bidi w:val="0"/>
              <w:spacing w:before="0" w:after="0"/>
              <w:ind w:left="0" w:right="0" w:hanging="0"/>
              <w:jc w:val="left"/>
              <w:rPr/>
            </w:pPr>
            <w:r>
              <w:rPr/>
              <w:t> </w:t>
            </w:r>
          </w:p>
        </w:tc>
        <w:tc>
          <w:tcPr>
            <w:tcW w:w="170" w:type="dxa"/>
            <w:tcBorders/>
            <w:shd w:fill="CCEEFF" w:val="clear"/>
            <w:vAlign w:val="bottom"/>
          </w:tcPr>
          <w:p>
            <w:pPr>
              <w:pStyle w:val="TableContents"/>
              <w:bidi w:val="0"/>
              <w:spacing w:before="0" w:after="0"/>
              <w:ind w:left="0" w:right="0" w:hanging="0"/>
              <w:jc w:val="left"/>
              <w:rPr/>
            </w:pPr>
            <w:r>
              <w:rPr/>
              <w:t> </w:t>
            </w:r>
          </w:p>
        </w:tc>
        <w:tc>
          <w:tcPr>
            <w:tcW w:w="830" w:type="dxa"/>
            <w:tcBorders/>
            <w:shd w:fill="CCEEFF" w:val="clear"/>
            <w:vAlign w:val="bottom"/>
          </w:tcPr>
          <w:p>
            <w:pPr>
              <w:pStyle w:val="TableContents"/>
              <w:bidi w:val="0"/>
              <w:spacing w:before="0" w:after="0"/>
              <w:ind w:left="0" w:right="0" w:hanging="0"/>
              <w:jc w:val="right"/>
              <w:rPr/>
            </w:pPr>
            <w:r>
              <w:rPr/>
              <w:t>(7,980</w:t>
            </w:r>
          </w:p>
        </w:tc>
        <w:tc>
          <w:tcPr>
            <w:tcW w:w="185" w:type="dxa"/>
            <w:tcBorders/>
            <w:shd w:fill="CCEEFF" w:val="clear"/>
            <w:vAlign w:val="bottom"/>
          </w:tcPr>
          <w:p>
            <w:pPr>
              <w:pStyle w:val="TableContents"/>
              <w:bidi w:val="0"/>
              <w:spacing w:before="0" w:after="0"/>
              <w:ind w:left="0" w:right="0" w:hanging="0"/>
              <w:jc w:val="left"/>
              <w:rPr/>
            </w:pPr>
            <w:r>
              <w:rPr/>
              <w:t>) </w:t>
            </w:r>
          </w:p>
        </w:tc>
        <w:tc>
          <w:tcPr>
            <w:tcW w:w="90" w:type="dxa"/>
            <w:tcBorders/>
            <w:shd w:fill="CCEEFF" w:val="clear"/>
            <w:vAlign w:val="bottom"/>
          </w:tcPr>
          <w:p>
            <w:pPr>
              <w:pStyle w:val="TableContents"/>
              <w:bidi w:val="0"/>
              <w:spacing w:before="0" w:after="0"/>
              <w:ind w:left="0" w:right="0" w:hanging="0"/>
              <w:jc w:val="left"/>
              <w:rPr/>
            </w:pPr>
            <w:r>
              <w:rPr/>
              <w:t> </w:t>
            </w:r>
          </w:p>
        </w:tc>
        <w:tc>
          <w:tcPr>
            <w:tcW w:w="170" w:type="dxa"/>
            <w:tcBorders/>
            <w:shd w:fill="CCEEFF" w:val="clear"/>
            <w:vAlign w:val="bottom"/>
          </w:tcPr>
          <w:p>
            <w:pPr>
              <w:pStyle w:val="TableContents"/>
              <w:bidi w:val="0"/>
              <w:spacing w:before="0" w:after="0"/>
              <w:ind w:left="0" w:right="0" w:hanging="0"/>
              <w:jc w:val="left"/>
              <w:rPr/>
            </w:pPr>
            <w:r>
              <w:rPr/>
              <w:t> </w:t>
            </w:r>
          </w:p>
        </w:tc>
        <w:tc>
          <w:tcPr>
            <w:tcW w:w="1688" w:type="dxa"/>
            <w:tcBorders/>
            <w:shd w:fill="CCEEFF" w:val="clear"/>
            <w:vAlign w:val="bottom"/>
          </w:tcPr>
          <w:p>
            <w:pPr>
              <w:pStyle w:val="TableContents"/>
              <w:bidi w:val="0"/>
              <w:spacing w:before="0" w:after="0"/>
              <w:ind w:left="0" w:right="0" w:hanging="0"/>
              <w:jc w:val="right"/>
              <w:rPr/>
            </w:pPr>
            <w:r>
              <w:rPr/>
              <w:t xml:space="preserve">                         </w:t>
            </w:r>
            <w:r>
              <w:rPr/>
              <w:t xml:space="preserve">-   </w:t>
            </w:r>
          </w:p>
        </w:tc>
        <w:tc>
          <w:tcPr>
            <w:tcW w:w="185" w:type="dxa"/>
            <w:tcBorders/>
            <w:shd w:fill="CCEEFF" w:val="clear"/>
            <w:vAlign w:val="bottom"/>
          </w:tcPr>
          <w:p>
            <w:pPr>
              <w:pStyle w:val="TableContents"/>
              <w:bidi w:val="0"/>
              <w:spacing w:before="0" w:after="0"/>
              <w:ind w:left="0" w:right="0" w:hanging="0"/>
              <w:jc w:val="left"/>
              <w:rPr/>
            </w:pPr>
            <w:r>
              <w:rPr/>
              <w:t> </w:t>
            </w:r>
          </w:p>
        </w:tc>
        <w:tc>
          <w:tcPr>
            <w:tcW w:w="90" w:type="dxa"/>
            <w:tcBorders/>
            <w:shd w:fill="CCEEFF" w:val="clear"/>
            <w:vAlign w:val="bottom"/>
          </w:tcPr>
          <w:p>
            <w:pPr>
              <w:pStyle w:val="TableContents"/>
              <w:bidi w:val="0"/>
              <w:spacing w:before="0" w:after="0"/>
              <w:ind w:left="0" w:right="0" w:hanging="0"/>
              <w:jc w:val="left"/>
              <w:rPr/>
            </w:pPr>
            <w:r>
              <w:rPr/>
              <w:t> </w:t>
            </w:r>
          </w:p>
        </w:tc>
        <w:tc>
          <w:tcPr>
            <w:tcW w:w="170" w:type="dxa"/>
            <w:tcBorders/>
            <w:shd w:fill="CCEEFF" w:val="clear"/>
            <w:vAlign w:val="bottom"/>
          </w:tcPr>
          <w:p>
            <w:pPr>
              <w:pStyle w:val="TableContents"/>
              <w:bidi w:val="0"/>
              <w:spacing w:before="0" w:after="0"/>
              <w:ind w:left="0" w:right="0" w:hanging="0"/>
              <w:jc w:val="left"/>
              <w:rPr/>
            </w:pPr>
            <w:r>
              <w:rPr/>
              <w:t> </w:t>
            </w:r>
          </w:p>
        </w:tc>
        <w:tc>
          <w:tcPr>
            <w:tcW w:w="1664" w:type="dxa"/>
            <w:tcBorders/>
            <w:shd w:fill="CCEEFF" w:val="clear"/>
            <w:vAlign w:val="bottom"/>
          </w:tcPr>
          <w:p>
            <w:pPr>
              <w:pStyle w:val="TableContents"/>
              <w:bidi w:val="0"/>
              <w:spacing w:before="0" w:after="0"/>
              <w:ind w:left="0" w:right="0" w:hanging="0"/>
              <w:jc w:val="right"/>
              <w:rPr/>
            </w:pPr>
            <w:r>
              <w:rPr/>
              <w:t>(7,980</w:t>
            </w:r>
          </w:p>
        </w:tc>
        <w:tc>
          <w:tcPr>
            <w:tcW w:w="231" w:type="dxa"/>
            <w:tcBorders/>
            <w:shd w:fill="CCEEFF" w:val="clear"/>
            <w:vAlign w:val="bottom"/>
          </w:tcPr>
          <w:p>
            <w:pPr>
              <w:pStyle w:val="TableContents"/>
              <w:bidi w:val="0"/>
              <w:spacing w:before="0" w:after="0"/>
              <w:jc w:val="left"/>
              <w:rPr/>
            </w:pPr>
            <w:r>
              <w:rPr/>
              <w:t>) </w:t>
            </w:r>
          </w:p>
        </w:tc>
      </w:tr>
      <w:tr>
        <w:trPr/>
        <w:tc>
          <w:tcPr>
            <w:tcW w:w="3182" w:type="dxa"/>
            <w:tcBorders/>
            <w:vAlign w:val="bottom"/>
          </w:tcPr>
          <w:p>
            <w:pPr>
              <w:pStyle w:val="TableContents"/>
              <w:bidi w:val="0"/>
              <w:spacing w:before="0" w:after="0"/>
              <w:ind w:left="0" w:right="0" w:hanging="0"/>
              <w:jc w:val="left"/>
              <w:rPr/>
            </w:pPr>
            <w:r>
              <w:rPr/>
              <w:t>Selling, general and administrative expenses</w:t>
            </w:r>
          </w:p>
        </w:tc>
        <w:tc>
          <w:tcPr>
            <w:tcW w:w="90" w:type="dxa"/>
            <w:tcBorders/>
            <w:vAlign w:val="bottom"/>
          </w:tcPr>
          <w:p>
            <w:pPr>
              <w:pStyle w:val="TableContents"/>
              <w:bidi w:val="0"/>
              <w:spacing w:before="0" w:after="0"/>
              <w:ind w:left="0" w:right="0" w:hanging="0"/>
              <w:jc w:val="left"/>
              <w:rPr/>
            </w:pPr>
            <w:r>
              <w:rPr/>
              <w:t> </w:t>
            </w:r>
          </w:p>
        </w:tc>
        <w:tc>
          <w:tcPr>
            <w:tcW w:w="170" w:type="dxa"/>
            <w:tcBorders>
              <w:bottom w:val="single" w:sz="12" w:space="0" w:color="000000"/>
            </w:tcBorders>
            <w:tcMar>
              <w:bottom w:w="28" w:type="dxa"/>
            </w:tcMar>
            <w:vAlign w:val="bottom"/>
          </w:tcPr>
          <w:p>
            <w:pPr>
              <w:pStyle w:val="TableContents"/>
              <w:bidi w:val="0"/>
              <w:spacing w:before="0" w:after="0"/>
              <w:ind w:left="0" w:right="0" w:hanging="0"/>
              <w:jc w:val="left"/>
              <w:rPr/>
            </w:pPr>
            <w:r>
              <w:rPr/>
              <w:t> </w:t>
            </w:r>
          </w:p>
        </w:tc>
        <w:tc>
          <w:tcPr>
            <w:tcW w:w="830" w:type="dxa"/>
            <w:tcBorders>
              <w:bottom w:val="single" w:sz="12" w:space="0" w:color="000000"/>
            </w:tcBorders>
            <w:tcMar>
              <w:bottom w:w="28" w:type="dxa"/>
            </w:tcMar>
            <w:vAlign w:val="bottom"/>
          </w:tcPr>
          <w:p>
            <w:pPr>
              <w:pStyle w:val="TableContents"/>
              <w:bidi w:val="0"/>
              <w:spacing w:before="0" w:after="0"/>
              <w:ind w:left="0" w:right="0" w:hanging="0"/>
              <w:jc w:val="right"/>
              <w:rPr/>
            </w:pPr>
            <w:r>
              <w:rPr/>
              <w:t>26,742</w:t>
            </w:r>
          </w:p>
        </w:tc>
        <w:tc>
          <w:tcPr>
            <w:tcW w:w="185" w:type="dxa"/>
            <w:tcBorders>
              <w:bottom w:val="single" w:sz="12" w:space="0" w:color="000000"/>
            </w:tcBorders>
            <w:tcMar>
              <w:bottom w:w="28" w:type="dxa"/>
            </w:tcMar>
            <w:vAlign w:val="bottom"/>
          </w:tcPr>
          <w:p>
            <w:pPr>
              <w:pStyle w:val="TableContents"/>
              <w:bidi w:val="0"/>
              <w:spacing w:before="0" w:after="0"/>
              <w:ind w:left="0" w:right="0" w:hanging="0"/>
              <w:jc w:val="left"/>
              <w:rPr/>
            </w:pPr>
            <w:r>
              <w:rPr/>
              <w:t> </w:t>
            </w:r>
          </w:p>
        </w:tc>
        <w:tc>
          <w:tcPr>
            <w:tcW w:w="90" w:type="dxa"/>
            <w:tcBorders/>
            <w:vAlign w:val="bottom"/>
          </w:tcPr>
          <w:p>
            <w:pPr>
              <w:pStyle w:val="TableContents"/>
              <w:bidi w:val="0"/>
              <w:spacing w:before="0" w:after="0"/>
              <w:ind w:left="0" w:right="0" w:hanging="0"/>
              <w:jc w:val="left"/>
              <w:rPr/>
            </w:pPr>
            <w:r>
              <w:rPr/>
              <w:t> </w:t>
            </w:r>
          </w:p>
        </w:tc>
        <w:tc>
          <w:tcPr>
            <w:tcW w:w="170" w:type="dxa"/>
            <w:tcBorders>
              <w:bottom w:val="single" w:sz="12" w:space="0" w:color="000000"/>
            </w:tcBorders>
            <w:tcMar>
              <w:bottom w:w="28" w:type="dxa"/>
            </w:tcMar>
            <w:vAlign w:val="bottom"/>
          </w:tcPr>
          <w:p>
            <w:pPr>
              <w:pStyle w:val="TableContents"/>
              <w:bidi w:val="0"/>
              <w:spacing w:before="0" w:after="0"/>
              <w:ind w:left="0" w:right="0" w:hanging="0"/>
              <w:jc w:val="left"/>
              <w:rPr/>
            </w:pPr>
            <w:r>
              <w:rPr/>
              <w:t> </w:t>
            </w:r>
          </w:p>
        </w:tc>
        <w:tc>
          <w:tcPr>
            <w:tcW w:w="1688" w:type="dxa"/>
            <w:tcBorders>
              <w:bottom w:val="single" w:sz="12" w:space="0" w:color="000000"/>
            </w:tcBorders>
            <w:tcMar>
              <w:bottom w:w="28" w:type="dxa"/>
            </w:tcMar>
            <w:vAlign w:val="bottom"/>
          </w:tcPr>
          <w:p>
            <w:pPr>
              <w:pStyle w:val="TableContents"/>
              <w:bidi w:val="0"/>
              <w:spacing w:before="0" w:after="0"/>
              <w:ind w:left="0" w:right="0" w:hanging="0"/>
              <w:jc w:val="right"/>
              <w:rPr/>
            </w:pPr>
            <w:r>
              <w:rPr/>
              <w:t>24,079</w:t>
            </w:r>
          </w:p>
        </w:tc>
        <w:tc>
          <w:tcPr>
            <w:tcW w:w="185" w:type="dxa"/>
            <w:tcBorders>
              <w:bottom w:val="single" w:sz="12" w:space="0" w:color="000000"/>
            </w:tcBorders>
            <w:tcMar>
              <w:bottom w:w="28" w:type="dxa"/>
            </w:tcMar>
            <w:vAlign w:val="bottom"/>
          </w:tcPr>
          <w:p>
            <w:pPr>
              <w:pStyle w:val="TableContents"/>
              <w:bidi w:val="0"/>
              <w:spacing w:before="0" w:after="0"/>
              <w:ind w:left="0" w:right="0" w:hanging="0"/>
              <w:jc w:val="left"/>
              <w:rPr/>
            </w:pPr>
            <w:r>
              <w:rPr/>
              <w:t> </w:t>
            </w:r>
          </w:p>
        </w:tc>
        <w:tc>
          <w:tcPr>
            <w:tcW w:w="90" w:type="dxa"/>
            <w:tcBorders/>
            <w:vAlign w:val="bottom"/>
          </w:tcPr>
          <w:p>
            <w:pPr>
              <w:pStyle w:val="TableContents"/>
              <w:bidi w:val="0"/>
              <w:spacing w:before="0" w:after="0"/>
              <w:ind w:left="0" w:right="0" w:hanging="0"/>
              <w:jc w:val="left"/>
              <w:rPr/>
            </w:pPr>
            <w:r>
              <w:rPr/>
              <w:t> </w:t>
            </w:r>
          </w:p>
        </w:tc>
        <w:tc>
          <w:tcPr>
            <w:tcW w:w="170" w:type="dxa"/>
            <w:tcBorders>
              <w:bottom w:val="single" w:sz="12" w:space="0" w:color="000000"/>
            </w:tcBorders>
            <w:tcMar>
              <w:bottom w:w="28" w:type="dxa"/>
            </w:tcMar>
            <w:vAlign w:val="bottom"/>
          </w:tcPr>
          <w:p>
            <w:pPr>
              <w:pStyle w:val="TableContents"/>
              <w:bidi w:val="0"/>
              <w:spacing w:before="0" w:after="0"/>
              <w:ind w:left="0" w:right="0" w:hanging="0"/>
              <w:jc w:val="left"/>
              <w:rPr/>
            </w:pPr>
            <w:r>
              <w:rPr/>
              <w:t> </w:t>
            </w:r>
          </w:p>
        </w:tc>
        <w:tc>
          <w:tcPr>
            <w:tcW w:w="1664" w:type="dxa"/>
            <w:tcBorders>
              <w:bottom w:val="single" w:sz="12" w:space="0" w:color="000000"/>
            </w:tcBorders>
            <w:tcMar>
              <w:bottom w:w="28" w:type="dxa"/>
            </w:tcMar>
            <w:vAlign w:val="bottom"/>
          </w:tcPr>
          <w:p>
            <w:pPr>
              <w:pStyle w:val="TableContents"/>
              <w:bidi w:val="0"/>
              <w:spacing w:before="0" w:after="0"/>
              <w:ind w:left="0" w:right="0" w:hanging="0"/>
              <w:jc w:val="right"/>
              <w:rPr/>
            </w:pPr>
            <w:r>
              <w:rPr/>
              <w:t>2,663</w:t>
            </w:r>
          </w:p>
        </w:tc>
        <w:tc>
          <w:tcPr>
            <w:tcW w:w="231" w:type="dxa"/>
            <w:tcBorders>
              <w:bottom w:val="single" w:sz="12" w:space="0" w:color="000000"/>
            </w:tcBorders>
            <w:tcMar>
              <w:bottom w:w="28" w:type="dxa"/>
            </w:tcMar>
            <w:vAlign w:val="bottom"/>
          </w:tcPr>
          <w:p>
            <w:pPr>
              <w:pStyle w:val="TableContents"/>
              <w:bidi w:val="0"/>
              <w:spacing w:before="0" w:after="0"/>
              <w:jc w:val="left"/>
              <w:rPr/>
            </w:pPr>
            <w:r>
              <w:rPr/>
              <w:t> </w:t>
            </w:r>
          </w:p>
        </w:tc>
      </w:tr>
      <w:tr>
        <w:trPr/>
        <w:tc>
          <w:tcPr>
            <w:tcW w:w="3182" w:type="dxa"/>
            <w:tcBorders/>
            <w:shd w:fill="CCEEFF" w:val="clear"/>
            <w:vAlign w:val="bottom"/>
          </w:tcPr>
          <w:p>
            <w:pPr>
              <w:pStyle w:val="TableContents"/>
              <w:bidi w:val="0"/>
              <w:spacing w:before="0" w:after="0"/>
              <w:ind w:left="0" w:right="0" w:hanging="0"/>
              <w:jc w:val="left"/>
              <w:rPr/>
            </w:pPr>
            <w:r>
              <w:rPr/>
              <w:t>Income from operations</w:t>
            </w:r>
          </w:p>
        </w:tc>
        <w:tc>
          <w:tcPr>
            <w:tcW w:w="90" w:type="dxa"/>
            <w:tcBorders/>
            <w:shd w:fill="CCEEFF" w:val="clear"/>
            <w:vAlign w:val="bottom"/>
          </w:tcPr>
          <w:p>
            <w:pPr>
              <w:pStyle w:val="TableContents"/>
              <w:bidi w:val="0"/>
              <w:spacing w:before="0" w:after="0"/>
              <w:ind w:left="0" w:right="0" w:hanging="0"/>
              <w:jc w:val="left"/>
              <w:rPr/>
            </w:pPr>
            <w:r>
              <w:rPr/>
              <w:t> </w:t>
            </w:r>
          </w:p>
        </w:tc>
        <w:tc>
          <w:tcPr>
            <w:tcW w:w="170" w:type="dxa"/>
            <w:tcBorders/>
            <w:shd w:fill="CCEEFF" w:val="clear"/>
            <w:vAlign w:val="bottom"/>
          </w:tcPr>
          <w:p>
            <w:pPr>
              <w:pStyle w:val="TableContents"/>
              <w:bidi w:val="0"/>
              <w:spacing w:before="0" w:after="0"/>
              <w:ind w:left="0" w:right="0" w:hanging="0"/>
              <w:jc w:val="left"/>
              <w:rPr/>
            </w:pPr>
            <w:r>
              <w:rPr/>
              <w:t> </w:t>
            </w:r>
          </w:p>
        </w:tc>
        <w:tc>
          <w:tcPr>
            <w:tcW w:w="830" w:type="dxa"/>
            <w:tcBorders/>
            <w:shd w:fill="CCEEFF" w:val="clear"/>
            <w:vAlign w:val="bottom"/>
          </w:tcPr>
          <w:p>
            <w:pPr>
              <w:pStyle w:val="TableContents"/>
              <w:bidi w:val="0"/>
              <w:spacing w:before="0" w:after="0"/>
              <w:ind w:left="0" w:right="0" w:hanging="0"/>
              <w:jc w:val="right"/>
              <w:rPr/>
            </w:pPr>
            <w:r>
              <w:rPr/>
              <w:t>58,274</w:t>
            </w:r>
          </w:p>
        </w:tc>
        <w:tc>
          <w:tcPr>
            <w:tcW w:w="185" w:type="dxa"/>
            <w:tcBorders/>
            <w:shd w:fill="CCEEFF" w:val="clear"/>
            <w:vAlign w:val="bottom"/>
          </w:tcPr>
          <w:p>
            <w:pPr>
              <w:pStyle w:val="TableContents"/>
              <w:bidi w:val="0"/>
              <w:spacing w:before="0" w:after="0"/>
              <w:ind w:left="0" w:right="0" w:hanging="0"/>
              <w:jc w:val="left"/>
              <w:rPr/>
            </w:pPr>
            <w:r>
              <w:rPr/>
              <w:t> </w:t>
            </w:r>
          </w:p>
        </w:tc>
        <w:tc>
          <w:tcPr>
            <w:tcW w:w="90" w:type="dxa"/>
            <w:tcBorders/>
            <w:shd w:fill="CCEEFF" w:val="clear"/>
            <w:vAlign w:val="bottom"/>
          </w:tcPr>
          <w:p>
            <w:pPr>
              <w:pStyle w:val="TableContents"/>
              <w:bidi w:val="0"/>
              <w:spacing w:before="0" w:after="0"/>
              <w:ind w:left="0" w:right="0" w:hanging="0"/>
              <w:jc w:val="left"/>
              <w:rPr/>
            </w:pPr>
            <w:r>
              <w:rPr/>
              <w:t> </w:t>
            </w:r>
          </w:p>
        </w:tc>
        <w:tc>
          <w:tcPr>
            <w:tcW w:w="170" w:type="dxa"/>
            <w:tcBorders/>
            <w:shd w:fill="CCEEFF" w:val="clear"/>
            <w:vAlign w:val="bottom"/>
          </w:tcPr>
          <w:p>
            <w:pPr>
              <w:pStyle w:val="TableContents"/>
              <w:bidi w:val="0"/>
              <w:spacing w:before="0" w:after="0"/>
              <w:ind w:left="0" w:right="0" w:hanging="0"/>
              <w:jc w:val="left"/>
              <w:rPr/>
            </w:pPr>
            <w:r>
              <w:rPr/>
              <w:t> </w:t>
            </w:r>
          </w:p>
        </w:tc>
        <w:tc>
          <w:tcPr>
            <w:tcW w:w="1688" w:type="dxa"/>
            <w:tcBorders/>
            <w:shd w:fill="CCEEFF" w:val="clear"/>
            <w:vAlign w:val="bottom"/>
          </w:tcPr>
          <w:p>
            <w:pPr>
              <w:pStyle w:val="TableContents"/>
              <w:bidi w:val="0"/>
              <w:spacing w:before="0" w:after="0"/>
              <w:ind w:left="0" w:right="0" w:hanging="0"/>
              <w:jc w:val="right"/>
              <w:rPr/>
            </w:pPr>
            <w:r>
              <w:rPr/>
              <w:t>34,881</w:t>
            </w:r>
          </w:p>
        </w:tc>
        <w:tc>
          <w:tcPr>
            <w:tcW w:w="185" w:type="dxa"/>
            <w:tcBorders/>
            <w:shd w:fill="CCEEFF" w:val="clear"/>
            <w:vAlign w:val="bottom"/>
          </w:tcPr>
          <w:p>
            <w:pPr>
              <w:pStyle w:val="TableContents"/>
              <w:bidi w:val="0"/>
              <w:spacing w:before="0" w:after="0"/>
              <w:ind w:left="0" w:right="0" w:hanging="0"/>
              <w:jc w:val="left"/>
              <w:rPr/>
            </w:pPr>
            <w:r>
              <w:rPr/>
              <w:t> </w:t>
            </w:r>
          </w:p>
        </w:tc>
        <w:tc>
          <w:tcPr>
            <w:tcW w:w="90" w:type="dxa"/>
            <w:tcBorders/>
            <w:shd w:fill="CCEEFF" w:val="clear"/>
            <w:vAlign w:val="bottom"/>
          </w:tcPr>
          <w:p>
            <w:pPr>
              <w:pStyle w:val="TableContents"/>
              <w:bidi w:val="0"/>
              <w:spacing w:before="0" w:after="0"/>
              <w:ind w:left="0" w:right="0" w:hanging="0"/>
              <w:jc w:val="left"/>
              <w:rPr/>
            </w:pPr>
            <w:r>
              <w:rPr/>
              <w:t> </w:t>
            </w:r>
          </w:p>
        </w:tc>
        <w:tc>
          <w:tcPr>
            <w:tcW w:w="170" w:type="dxa"/>
            <w:tcBorders/>
            <w:shd w:fill="CCEEFF" w:val="clear"/>
            <w:vAlign w:val="bottom"/>
          </w:tcPr>
          <w:p>
            <w:pPr>
              <w:pStyle w:val="TableContents"/>
              <w:bidi w:val="0"/>
              <w:spacing w:before="0" w:after="0"/>
              <w:ind w:left="0" w:right="0" w:hanging="0"/>
              <w:jc w:val="left"/>
              <w:rPr/>
            </w:pPr>
            <w:r>
              <w:rPr/>
              <w:t> </w:t>
            </w:r>
          </w:p>
        </w:tc>
        <w:tc>
          <w:tcPr>
            <w:tcW w:w="1664" w:type="dxa"/>
            <w:tcBorders/>
            <w:shd w:fill="CCEEFF" w:val="clear"/>
            <w:vAlign w:val="bottom"/>
          </w:tcPr>
          <w:p>
            <w:pPr>
              <w:pStyle w:val="TableContents"/>
              <w:bidi w:val="0"/>
              <w:spacing w:before="0" w:after="0"/>
              <w:ind w:left="0" w:right="0" w:hanging="0"/>
              <w:jc w:val="right"/>
              <w:rPr/>
            </w:pPr>
            <w:r>
              <w:rPr/>
              <w:t>23,393</w:t>
            </w:r>
          </w:p>
        </w:tc>
        <w:tc>
          <w:tcPr>
            <w:tcW w:w="231" w:type="dxa"/>
            <w:tcBorders/>
            <w:shd w:fill="CCEEFF" w:val="clear"/>
            <w:vAlign w:val="bottom"/>
          </w:tcPr>
          <w:p>
            <w:pPr>
              <w:pStyle w:val="TableContents"/>
              <w:bidi w:val="0"/>
              <w:spacing w:before="0" w:after="0"/>
              <w:jc w:val="left"/>
              <w:rPr/>
            </w:pPr>
            <w:r>
              <w:rPr/>
              <w:t> </w:t>
            </w:r>
          </w:p>
        </w:tc>
      </w:tr>
      <w:tr>
        <w:trPr/>
        <w:tc>
          <w:tcPr>
            <w:tcW w:w="3182" w:type="dxa"/>
            <w:tcBorders/>
            <w:vAlign w:val="bottom"/>
          </w:tcPr>
          <w:p>
            <w:pPr>
              <w:pStyle w:val="TableContents"/>
              <w:bidi w:val="0"/>
              <w:spacing w:before="0" w:after="0"/>
              <w:ind w:left="0" w:right="0" w:hanging="0"/>
              <w:jc w:val="left"/>
              <w:rPr/>
            </w:pPr>
            <w:r>
              <w:rPr/>
              <w:t>Interest and other income</w:t>
            </w:r>
          </w:p>
        </w:tc>
        <w:tc>
          <w:tcPr>
            <w:tcW w:w="90" w:type="dxa"/>
            <w:tcBorders/>
            <w:vAlign w:val="bottom"/>
          </w:tcPr>
          <w:p>
            <w:pPr>
              <w:pStyle w:val="TableContents"/>
              <w:bidi w:val="0"/>
              <w:spacing w:before="0" w:after="0"/>
              <w:ind w:left="0" w:right="0" w:hanging="0"/>
              <w:jc w:val="left"/>
              <w:rPr/>
            </w:pPr>
            <w:r>
              <w:rPr/>
              <w:t> </w:t>
            </w:r>
          </w:p>
        </w:tc>
        <w:tc>
          <w:tcPr>
            <w:tcW w:w="170" w:type="dxa"/>
            <w:tcBorders/>
            <w:vAlign w:val="bottom"/>
          </w:tcPr>
          <w:p>
            <w:pPr>
              <w:pStyle w:val="TableContents"/>
              <w:bidi w:val="0"/>
              <w:spacing w:before="0" w:after="0"/>
              <w:ind w:left="0" w:right="0" w:hanging="0"/>
              <w:jc w:val="left"/>
              <w:rPr/>
            </w:pPr>
            <w:r>
              <w:rPr/>
              <w:t> </w:t>
            </w:r>
          </w:p>
        </w:tc>
        <w:tc>
          <w:tcPr>
            <w:tcW w:w="830" w:type="dxa"/>
            <w:tcBorders/>
            <w:vAlign w:val="bottom"/>
          </w:tcPr>
          <w:p>
            <w:pPr>
              <w:pStyle w:val="TableContents"/>
              <w:bidi w:val="0"/>
              <w:spacing w:before="0" w:after="0"/>
              <w:ind w:left="0" w:right="0" w:hanging="0"/>
              <w:jc w:val="right"/>
              <w:rPr/>
            </w:pPr>
            <w:r>
              <w:rPr/>
              <w:t>1,093</w:t>
            </w:r>
          </w:p>
        </w:tc>
        <w:tc>
          <w:tcPr>
            <w:tcW w:w="185" w:type="dxa"/>
            <w:tcBorders/>
            <w:vAlign w:val="bottom"/>
          </w:tcPr>
          <w:p>
            <w:pPr>
              <w:pStyle w:val="TableContents"/>
              <w:bidi w:val="0"/>
              <w:spacing w:before="0" w:after="0"/>
              <w:ind w:left="0" w:right="0" w:hanging="0"/>
              <w:jc w:val="left"/>
              <w:rPr/>
            </w:pPr>
            <w:r>
              <w:rPr/>
              <w:t> </w:t>
            </w:r>
          </w:p>
        </w:tc>
        <w:tc>
          <w:tcPr>
            <w:tcW w:w="90" w:type="dxa"/>
            <w:tcBorders/>
            <w:vAlign w:val="bottom"/>
          </w:tcPr>
          <w:p>
            <w:pPr>
              <w:pStyle w:val="TableContents"/>
              <w:bidi w:val="0"/>
              <w:spacing w:before="0" w:after="0"/>
              <w:ind w:left="0" w:right="0" w:hanging="0"/>
              <w:jc w:val="left"/>
              <w:rPr/>
            </w:pPr>
            <w:r>
              <w:rPr/>
              <w:t> </w:t>
            </w:r>
          </w:p>
        </w:tc>
        <w:tc>
          <w:tcPr>
            <w:tcW w:w="170" w:type="dxa"/>
            <w:tcBorders/>
            <w:vAlign w:val="bottom"/>
          </w:tcPr>
          <w:p>
            <w:pPr>
              <w:pStyle w:val="TableContents"/>
              <w:bidi w:val="0"/>
              <w:spacing w:before="0" w:after="0"/>
              <w:ind w:left="0" w:right="0" w:hanging="0"/>
              <w:jc w:val="left"/>
              <w:rPr/>
            </w:pPr>
            <w:r>
              <w:rPr/>
              <w:t> </w:t>
            </w:r>
          </w:p>
        </w:tc>
        <w:tc>
          <w:tcPr>
            <w:tcW w:w="1688" w:type="dxa"/>
            <w:tcBorders/>
            <w:vAlign w:val="bottom"/>
          </w:tcPr>
          <w:p>
            <w:pPr>
              <w:pStyle w:val="TableContents"/>
              <w:bidi w:val="0"/>
              <w:spacing w:before="0" w:after="0"/>
              <w:ind w:left="0" w:right="0" w:hanging="0"/>
              <w:jc w:val="right"/>
              <w:rPr/>
            </w:pPr>
            <w:r>
              <w:rPr/>
              <w:t>608</w:t>
            </w:r>
          </w:p>
        </w:tc>
        <w:tc>
          <w:tcPr>
            <w:tcW w:w="185" w:type="dxa"/>
            <w:tcBorders/>
            <w:vAlign w:val="bottom"/>
          </w:tcPr>
          <w:p>
            <w:pPr>
              <w:pStyle w:val="TableContents"/>
              <w:bidi w:val="0"/>
              <w:spacing w:before="0" w:after="0"/>
              <w:ind w:left="0" w:right="0" w:hanging="0"/>
              <w:jc w:val="left"/>
              <w:rPr/>
            </w:pPr>
            <w:r>
              <w:rPr/>
              <w:t> </w:t>
            </w:r>
          </w:p>
        </w:tc>
        <w:tc>
          <w:tcPr>
            <w:tcW w:w="90" w:type="dxa"/>
            <w:tcBorders/>
            <w:vAlign w:val="bottom"/>
          </w:tcPr>
          <w:p>
            <w:pPr>
              <w:pStyle w:val="TableContents"/>
              <w:bidi w:val="0"/>
              <w:spacing w:before="0" w:after="0"/>
              <w:ind w:left="0" w:right="0" w:hanging="0"/>
              <w:jc w:val="left"/>
              <w:rPr/>
            </w:pPr>
            <w:r>
              <w:rPr/>
              <w:t> </w:t>
            </w:r>
          </w:p>
        </w:tc>
        <w:tc>
          <w:tcPr>
            <w:tcW w:w="170" w:type="dxa"/>
            <w:tcBorders/>
            <w:vAlign w:val="bottom"/>
          </w:tcPr>
          <w:p>
            <w:pPr>
              <w:pStyle w:val="TableContents"/>
              <w:bidi w:val="0"/>
              <w:spacing w:before="0" w:after="0"/>
              <w:ind w:left="0" w:right="0" w:hanging="0"/>
              <w:jc w:val="left"/>
              <w:rPr/>
            </w:pPr>
            <w:r>
              <w:rPr/>
              <w:t> </w:t>
            </w:r>
          </w:p>
        </w:tc>
        <w:tc>
          <w:tcPr>
            <w:tcW w:w="1664" w:type="dxa"/>
            <w:tcBorders/>
            <w:vAlign w:val="bottom"/>
          </w:tcPr>
          <w:p>
            <w:pPr>
              <w:pStyle w:val="TableContents"/>
              <w:bidi w:val="0"/>
              <w:spacing w:before="0" w:after="0"/>
              <w:ind w:left="0" w:right="0" w:hanging="0"/>
              <w:jc w:val="right"/>
              <w:rPr/>
            </w:pPr>
            <w:r>
              <w:rPr/>
              <w:t>485</w:t>
            </w:r>
          </w:p>
        </w:tc>
        <w:tc>
          <w:tcPr>
            <w:tcW w:w="231" w:type="dxa"/>
            <w:tcBorders/>
            <w:vAlign w:val="bottom"/>
          </w:tcPr>
          <w:p>
            <w:pPr>
              <w:pStyle w:val="TableContents"/>
              <w:bidi w:val="0"/>
              <w:spacing w:before="0" w:after="0"/>
              <w:jc w:val="left"/>
              <w:rPr/>
            </w:pPr>
            <w:r>
              <w:rPr/>
              <w:t> </w:t>
            </w:r>
          </w:p>
        </w:tc>
      </w:tr>
      <w:tr>
        <w:trPr/>
        <w:tc>
          <w:tcPr>
            <w:tcW w:w="3182" w:type="dxa"/>
            <w:tcBorders/>
            <w:shd w:fill="CCEEFF" w:val="clear"/>
            <w:vAlign w:val="bottom"/>
          </w:tcPr>
          <w:p>
            <w:pPr>
              <w:pStyle w:val="TableContents"/>
              <w:bidi w:val="0"/>
              <w:spacing w:before="0" w:after="0"/>
              <w:ind w:left="0" w:right="0" w:hanging="0"/>
              <w:jc w:val="left"/>
              <w:rPr/>
            </w:pPr>
            <w:r>
              <w:rPr/>
              <w:t>Interest expense</w:t>
            </w:r>
          </w:p>
        </w:tc>
        <w:tc>
          <w:tcPr>
            <w:tcW w:w="90" w:type="dxa"/>
            <w:tcBorders/>
            <w:shd w:fill="CCEEFF" w:val="clear"/>
            <w:vAlign w:val="bottom"/>
          </w:tcPr>
          <w:p>
            <w:pPr>
              <w:pStyle w:val="TableContents"/>
              <w:bidi w:val="0"/>
              <w:spacing w:before="0" w:after="0"/>
              <w:ind w:left="0" w:right="0" w:hanging="0"/>
              <w:jc w:val="left"/>
              <w:rPr/>
            </w:pPr>
            <w:r>
              <w:rPr/>
              <w:t> </w:t>
            </w:r>
          </w:p>
        </w:tc>
        <w:tc>
          <w:tcPr>
            <w:tcW w:w="170" w:type="dxa"/>
            <w:tcBorders/>
            <w:shd w:fill="CCEEFF" w:val="clear"/>
            <w:vAlign w:val="bottom"/>
          </w:tcPr>
          <w:p>
            <w:pPr>
              <w:pStyle w:val="TableContents"/>
              <w:bidi w:val="0"/>
              <w:spacing w:before="0" w:after="0"/>
              <w:ind w:left="0" w:right="0" w:hanging="0"/>
              <w:jc w:val="left"/>
              <w:rPr/>
            </w:pPr>
            <w:r>
              <w:rPr/>
              <w:t> </w:t>
            </w:r>
          </w:p>
        </w:tc>
        <w:tc>
          <w:tcPr>
            <w:tcW w:w="830" w:type="dxa"/>
            <w:tcBorders/>
            <w:shd w:fill="CCEEFF" w:val="clear"/>
            <w:vAlign w:val="bottom"/>
          </w:tcPr>
          <w:p>
            <w:pPr>
              <w:pStyle w:val="TableContents"/>
              <w:bidi w:val="0"/>
              <w:spacing w:before="0" w:after="0"/>
              <w:ind w:left="0" w:right="0" w:hanging="0"/>
              <w:jc w:val="right"/>
              <w:rPr/>
            </w:pPr>
            <w:r>
              <w:rPr/>
              <w:t>(2,100</w:t>
            </w:r>
          </w:p>
        </w:tc>
        <w:tc>
          <w:tcPr>
            <w:tcW w:w="185" w:type="dxa"/>
            <w:tcBorders/>
            <w:shd w:fill="CCEEFF" w:val="clear"/>
            <w:vAlign w:val="bottom"/>
          </w:tcPr>
          <w:p>
            <w:pPr>
              <w:pStyle w:val="TableContents"/>
              <w:bidi w:val="0"/>
              <w:spacing w:before="0" w:after="0"/>
              <w:ind w:left="0" w:right="0" w:hanging="0"/>
              <w:jc w:val="left"/>
              <w:rPr/>
            </w:pPr>
            <w:r>
              <w:rPr/>
              <w:t>) </w:t>
            </w:r>
          </w:p>
        </w:tc>
        <w:tc>
          <w:tcPr>
            <w:tcW w:w="90" w:type="dxa"/>
            <w:tcBorders/>
            <w:shd w:fill="CCEEFF" w:val="clear"/>
            <w:vAlign w:val="bottom"/>
          </w:tcPr>
          <w:p>
            <w:pPr>
              <w:pStyle w:val="TableContents"/>
              <w:bidi w:val="0"/>
              <w:spacing w:before="0" w:after="0"/>
              <w:ind w:left="0" w:right="0" w:hanging="0"/>
              <w:jc w:val="left"/>
              <w:rPr/>
            </w:pPr>
            <w:r>
              <w:rPr/>
              <w:t> </w:t>
            </w:r>
          </w:p>
        </w:tc>
        <w:tc>
          <w:tcPr>
            <w:tcW w:w="170" w:type="dxa"/>
            <w:tcBorders/>
            <w:shd w:fill="CCEEFF" w:val="clear"/>
            <w:vAlign w:val="bottom"/>
          </w:tcPr>
          <w:p>
            <w:pPr>
              <w:pStyle w:val="TableContents"/>
              <w:bidi w:val="0"/>
              <w:spacing w:before="0" w:after="0"/>
              <w:ind w:left="0" w:right="0" w:hanging="0"/>
              <w:jc w:val="left"/>
              <w:rPr/>
            </w:pPr>
            <w:r>
              <w:rPr/>
              <w:t> </w:t>
            </w:r>
          </w:p>
        </w:tc>
        <w:tc>
          <w:tcPr>
            <w:tcW w:w="1688" w:type="dxa"/>
            <w:tcBorders/>
            <w:shd w:fill="CCEEFF" w:val="clear"/>
            <w:vAlign w:val="bottom"/>
          </w:tcPr>
          <w:p>
            <w:pPr>
              <w:pStyle w:val="TableContents"/>
              <w:bidi w:val="0"/>
              <w:spacing w:before="0" w:after="0"/>
              <w:ind w:left="0" w:right="0" w:hanging="0"/>
              <w:jc w:val="right"/>
              <w:rPr/>
            </w:pPr>
            <w:r>
              <w:rPr/>
              <w:t>(1,975</w:t>
            </w:r>
          </w:p>
        </w:tc>
        <w:tc>
          <w:tcPr>
            <w:tcW w:w="185" w:type="dxa"/>
            <w:tcBorders/>
            <w:shd w:fill="CCEEFF" w:val="clear"/>
            <w:vAlign w:val="bottom"/>
          </w:tcPr>
          <w:p>
            <w:pPr>
              <w:pStyle w:val="TableContents"/>
              <w:bidi w:val="0"/>
              <w:spacing w:before="0" w:after="0"/>
              <w:ind w:left="0" w:right="0" w:hanging="0"/>
              <w:jc w:val="left"/>
              <w:rPr/>
            </w:pPr>
            <w:r>
              <w:rPr/>
              <w:t>) </w:t>
            </w:r>
          </w:p>
        </w:tc>
        <w:tc>
          <w:tcPr>
            <w:tcW w:w="90" w:type="dxa"/>
            <w:tcBorders/>
            <w:shd w:fill="CCEEFF" w:val="clear"/>
            <w:vAlign w:val="bottom"/>
          </w:tcPr>
          <w:p>
            <w:pPr>
              <w:pStyle w:val="TableContents"/>
              <w:bidi w:val="0"/>
              <w:spacing w:before="0" w:after="0"/>
              <w:ind w:left="0" w:right="0" w:hanging="0"/>
              <w:jc w:val="left"/>
              <w:rPr/>
            </w:pPr>
            <w:r>
              <w:rPr/>
              <w:t> </w:t>
            </w:r>
          </w:p>
        </w:tc>
        <w:tc>
          <w:tcPr>
            <w:tcW w:w="170" w:type="dxa"/>
            <w:tcBorders/>
            <w:shd w:fill="CCEEFF" w:val="clear"/>
            <w:vAlign w:val="bottom"/>
          </w:tcPr>
          <w:p>
            <w:pPr>
              <w:pStyle w:val="TableContents"/>
              <w:bidi w:val="0"/>
              <w:spacing w:before="0" w:after="0"/>
              <w:ind w:left="0" w:right="0" w:hanging="0"/>
              <w:jc w:val="left"/>
              <w:rPr/>
            </w:pPr>
            <w:r>
              <w:rPr/>
              <w:t> </w:t>
            </w:r>
          </w:p>
        </w:tc>
        <w:tc>
          <w:tcPr>
            <w:tcW w:w="1664" w:type="dxa"/>
            <w:tcBorders/>
            <w:shd w:fill="CCEEFF" w:val="clear"/>
            <w:vAlign w:val="bottom"/>
          </w:tcPr>
          <w:p>
            <w:pPr>
              <w:pStyle w:val="TableContents"/>
              <w:bidi w:val="0"/>
              <w:spacing w:before="0" w:after="0"/>
              <w:ind w:left="0" w:right="0" w:hanging="0"/>
              <w:jc w:val="right"/>
              <w:rPr/>
            </w:pPr>
            <w:r>
              <w:rPr/>
              <w:t>(125</w:t>
            </w:r>
          </w:p>
        </w:tc>
        <w:tc>
          <w:tcPr>
            <w:tcW w:w="231" w:type="dxa"/>
            <w:tcBorders/>
            <w:shd w:fill="CCEEFF" w:val="clear"/>
            <w:vAlign w:val="bottom"/>
          </w:tcPr>
          <w:p>
            <w:pPr>
              <w:pStyle w:val="TableContents"/>
              <w:bidi w:val="0"/>
              <w:spacing w:before="0" w:after="0"/>
              <w:jc w:val="left"/>
              <w:rPr/>
            </w:pPr>
            <w:r>
              <w:rPr/>
              <w:t>) </w:t>
            </w:r>
          </w:p>
        </w:tc>
      </w:tr>
      <w:tr>
        <w:trPr/>
        <w:tc>
          <w:tcPr>
            <w:tcW w:w="3182" w:type="dxa"/>
            <w:tcBorders/>
            <w:vAlign w:val="bottom"/>
          </w:tcPr>
          <w:p>
            <w:pPr>
              <w:pStyle w:val="TableContents"/>
              <w:bidi w:val="0"/>
              <w:spacing w:before="0" w:after="0"/>
              <w:ind w:left="0" w:right="0" w:hanging="0"/>
              <w:jc w:val="left"/>
              <w:rPr/>
            </w:pPr>
            <w:r>
              <w:rPr/>
              <w:t>Other expense, net</w:t>
            </w:r>
          </w:p>
        </w:tc>
        <w:tc>
          <w:tcPr>
            <w:tcW w:w="90" w:type="dxa"/>
            <w:tcBorders/>
            <w:vAlign w:val="bottom"/>
          </w:tcPr>
          <w:p>
            <w:pPr>
              <w:pStyle w:val="TableContents"/>
              <w:bidi w:val="0"/>
              <w:spacing w:before="0" w:after="0"/>
              <w:ind w:left="0" w:right="0" w:hanging="0"/>
              <w:jc w:val="left"/>
              <w:rPr/>
            </w:pPr>
            <w:r>
              <w:rPr/>
              <w:t> </w:t>
            </w:r>
          </w:p>
        </w:tc>
        <w:tc>
          <w:tcPr>
            <w:tcW w:w="170" w:type="dxa"/>
            <w:tcBorders>
              <w:bottom w:val="single" w:sz="12" w:space="0" w:color="000000"/>
            </w:tcBorders>
            <w:tcMar>
              <w:bottom w:w="28" w:type="dxa"/>
            </w:tcMar>
            <w:vAlign w:val="bottom"/>
          </w:tcPr>
          <w:p>
            <w:pPr>
              <w:pStyle w:val="TableContents"/>
              <w:bidi w:val="0"/>
              <w:spacing w:before="0" w:after="0"/>
              <w:ind w:left="0" w:right="0" w:hanging="0"/>
              <w:jc w:val="left"/>
              <w:rPr/>
            </w:pPr>
            <w:r>
              <w:rPr/>
              <w:t> </w:t>
            </w:r>
          </w:p>
        </w:tc>
        <w:tc>
          <w:tcPr>
            <w:tcW w:w="830" w:type="dxa"/>
            <w:tcBorders>
              <w:bottom w:val="single" w:sz="12" w:space="0" w:color="000000"/>
            </w:tcBorders>
            <w:tcMar>
              <w:bottom w:w="28" w:type="dxa"/>
            </w:tcMar>
            <w:vAlign w:val="bottom"/>
          </w:tcPr>
          <w:p>
            <w:pPr>
              <w:pStyle w:val="TableContents"/>
              <w:bidi w:val="0"/>
              <w:spacing w:before="0" w:after="0"/>
              <w:ind w:left="0" w:right="0" w:hanging="0"/>
              <w:jc w:val="right"/>
              <w:rPr/>
            </w:pPr>
            <w:r>
              <w:rPr/>
              <w:t>(140</w:t>
            </w:r>
          </w:p>
        </w:tc>
        <w:tc>
          <w:tcPr>
            <w:tcW w:w="185" w:type="dxa"/>
            <w:tcBorders>
              <w:bottom w:val="single" w:sz="12" w:space="0" w:color="000000"/>
            </w:tcBorders>
            <w:tcMar>
              <w:bottom w:w="28" w:type="dxa"/>
            </w:tcMar>
            <w:vAlign w:val="bottom"/>
          </w:tcPr>
          <w:p>
            <w:pPr>
              <w:pStyle w:val="TableContents"/>
              <w:bidi w:val="0"/>
              <w:spacing w:before="0" w:after="0"/>
              <w:ind w:left="0" w:right="0" w:hanging="0"/>
              <w:jc w:val="left"/>
              <w:rPr/>
            </w:pPr>
            <w:r>
              <w:rPr/>
              <w:t>) </w:t>
            </w:r>
          </w:p>
        </w:tc>
        <w:tc>
          <w:tcPr>
            <w:tcW w:w="90" w:type="dxa"/>
            <w:tcBorders/>
            <w:vAlign w:val="bottom"/>
          </w:tcPr>
          <w:p>
            <w:pPr>
              <w:pStyle w:val="TableContents"/>
              <w:bidi w:val="0"/>
              <w:spacing w:before="0" w:after="0"/>
              <w:ind w:left="0" w:right="0" w:hanging="0"/>
              <w:jc w:val="left"/>
              <w:rPr/>
            </w:pPr>
            <w:r>
              <w:rPr/>
              <w:t> </w:t>
            </w:r>
          </w:p>
        </w:tc>
        <w:tc>
          <w:tcPr>
            <w:tcW w:w="170" w:type="dxa"/>
            <w:tcBorders>
              <w:bottom w:val="single" w:sz="12" w:space="0" w:color="000000"/>
            </w:tcBorders>
            <w:tcMar>
              <w:bottom w:w="28" w:type="dxa"/>
            </w:tcMar>
            <w:vAlign w:val="bottom"/>
          </w:tcPr>
          <w:p>
            <w:pPr>
              <w:pStyle w:val="TableContents"/>
              <w:bidi w:val="0"/>
              <w:spacing w:before="0" w:after="0"/>
              <w:ind w:left="0" w:right="0" w:hanging="0"/>
              <w:jc w:val="left"/>
              <w:rPr/>
            </w:pPr>
            <w:r>
              <w:rPr/>
              <w:t> </w:t>
            </w:r>
          </w:p>
        </w:tc>
        <w:tc>
          <w:tcPr>
            <w:tcW w:w="1688" w:type="dxa"/>
            <w:tcBorders>
              <w:bottom w:val="single" w:sz="12" w:space="0" w:color="000000"/>
            </w:tcBorders>
            <w:tcMar>
              <w:bottom w:w="28" w:type="dxa"/>
            </w:tcMar>
            <w:vAlign w:val="bottom"/>
          </w:tcPr>
          <w:p>
            <w:pPr>
              <w:pStyle w:val="TableContents"/>
              <w:bidi w:val="0"/>
              <w:spacing w:before="0" w:after="0"/>
              <w:ind w:left="0" w:right="0" w:hanging="0"/>
              <w:jc w:val="right"/>
              <w:rPr/>
            </w:pPr>
            <w:r>
              <w:rPr/>
              <w:t>(64</w:t>
            </w:r>
          </w:p>
        </w:tc>
        <w:tc>
          <w:tcPr>
            <w:tcW w:w="185" w:type="dxa"/>
            <w:tcBorders>
              <w:bottom w:val="single" w:sz="12" w:space="0" w:color="000000"/>
            </w:tcBorders>
            <w:tcMar>
              <w:bottom w:w="28" w:type="dxa"/>
            </w:tcMar>
            <w:vAlign w:val="bottom"/>
          </w:tcPr>
          <w:p>
            <w:pPr>
              <w:pStyle w:val="TableContents"/>
              <w:bidi w:val="0"/>
              <w:spacing w:before="0" w:after="0"/>
              <w:ind w:left="0" w:right="0" w:hanging="0"/>
              <w:jc w:val="left"/>
              <w:rPr/>
            </w:pPr>
            <w:r>
              <w:rPr/>
              <w:t>) </w:t>
            </w:r>
          </w:p>
        </w:tc>
        <w:tc>
          <w:tcPr>
            <w:tcW w:w="90" w:type="dxa"/>
            <w:tcBorders/>
            <w:vAlign w:val="bottom"/>
          </w:tcPr>
          <w:p>
            <w:pPr>
              <w:pStyle w:val="TableContents"/>
              <w:bidi w:val="0"/>
              <w:spacing w:before="0" w:after="0"/>
              <w:ind w:left="0" w:right="0" w:hanging="0"/>
              <w:jc w:val="left"/>
              <w:rPr/>
            </w:pPr>
            <w:r>
              <w:rPr/>
              <w:t> </w:t>
            </w:r>
          </w:p>
        </w:tc>
        <w:tc>
          <w:tcPr>
            <w:tcW w:w="170" w:type="dxa"/>
            <w:tcBorders>
              <w:bottom w:val="single" w:sz="12" w:space="0" w:color="000000"/>
            </w:tcBorders>
            <w:tcMar>
              <w:bottom w:w="28" w:type="dxa"/>
            </w:tcMar>
            <w:vAlign w:val="bottom"/>
          </w:tcPr>
          <w:p>
            <w:pPr>
              <w:pStyle w:val="TableContents"/>
              <w:bidi w:val="0"/>
              <w:spacing w:before="0" w:after="0"/>
              <w:ind w:left="0" w:right="0" w:hanging="0"/>
              <w:jc w:val="left"/>
              <w:rPr/>
            </w:pPr>
            <w:r>
              <w:rPr/>
              <w:t> </w:t>
            </w:r>
          </w:p>
        </w:tc>
        <w:tc>
          <w:tcPr>
            <w:tcW w:w="1664" w:type="dxa"/>
            <w:tcBorders>
              <w:bottom w:val="single" w:sz="12" w:space="0" w:color="000000"/>
            </w:tcBorders>
            <w:tcMar>
              <w:bottom w:w="28" w:type="dxa"/>
            </w:tcMar>
            <w:vAlign w:val="bottom"/>
          </w:tcPr>
          <w:p>
            <w:pPr>
              <w:pStyle w:val="TableContents"/>
              <w:bidi w:val="0"/>
              <w:spacing w:before="0" w:after="0"/>
              <w:ind w:left="0" w:right="0" w:hanging="0"/>
              <w:jc w:val="right"/>
              <w:rPr/>
            </w:pPr>
            <w:r>
              <w:rPr/>
              <w:t>(76</w:t>
            </w:r>
          </w:p>
        </w:tc>
        <w:tc>
          <w:tcPr>
            <w:tcW w:w="231" w:type="dxa"/>
            <w:tcBorders>
              <w:bottom w:val="single" w:sz="12" w:space="0" w:color="000000"/>
            </w:tcBorders>
            <w:tcMar>
              <w:bottom w:w="28" w:type="dxa"/>
            </w:tcMar>
            <w:vAlign w:val="bottom"/>
          </w:tcPr>
          <w:p>
            <w:pPr>
              <w:pStyle w:val="TableContents"/>
              <w:bidi w:val="0"/>
              <w:spacing w:before="0" w:after="0"/>
              <w:jc w:val="left"/>
              <w:rPr/>
            </w:pPr>
            <w:r>
              <w:rPr/>
              <w:t>) </w:t>
            </w:r>
          </w:p>
        </w:tc>
      </w:tr>
      <w:tr>
        <w:trPr/>
        <w:tc>
          <w:tcPr>
            <w:tcW w:w="3182" w:type="dxa"/>
            <w:tcBorders/>
            <w:shd w:fill="CCEEFF" w:val="clear"/>
            <w:vAlign w:val="bottom"/>
          </w:tcPr>
          <w:p>
            <w:pPr>
              <w:pStyle w:val="TableContents"/>
              <w:bidi w:val="0"/>
              <w:spacing w:before="0" w:after="0"/>
              <w:ind w:left="0" w:right="0" w:hanging="0"/>
              <w:jc w:val="left"/>
              <w:rPr/>
            </w:pPr>
            <w:r>
              <w:rPr/>
              <w:t>Income before taxes</w:t>
            </w:r>
          </w:p>
        </w:tc>
        <w:tc>
          <w:tcPr>
            <w:tcW w:w="90" w:type="dxa"/>
            <w:tcBorders/>
            <w:shd w:fill="CCEEFF" w:val="clear"/>
            <w:vAlign w:val="bottom"/>
          </w:tcPr>
          <w:p>
            <w:pPr>
              <w:pStyle w:val="TableContents"/>
              <w:bidi w:val="0"/>
              <w:spacing w:before="0" w:after="0"/>
              <w:ind w:left="0" w:right="0" w:hanging="0"/>
              <w:jc w:val="left"/>
              <w:rPr/>
            </w:pPr>
            <w:r>
              <w:rPr/>
              <w:t> </w:t>
            </w:r>
          </w:p>
        </w:tc>
        <w:tc>
          <w:tcPr>
            <w:tcW w:w="170" w:type="dxa"/>
            <w:tcBorders/>
            <w:shd w:fill="CCEEFF" w:val="clear"/>
            <w:vAlign w:val="bottom"/>
          </w:tcPr>
          <w:p>
            <w:pPr>
              <w:pStyle w:val="TableContents"/>
              <w:bidi w:val="0"/>
              <w:spacing w:before="0" w:after="0"/>
              <w:ind w:left="0" w:right="0" w:hanging="0"/>
              <w:jc w:val="left"/>
              <w:rPr/>
            </w:pPr>
            <w:r>
              <w:rPr/>
              <w:t> </w:t>
            </w:r>
          </w:p>
        </w:tc>
        <w:tc>
          <w:tcPr>
            <w:tcW w:w="830" w:type="dxa"/>
            <w:tcBorders/>
            <w:shd w:fill="CCEEFF" w:val="clear"/>
            <w:vAlign w:val="bottom"/>
          </w:tcPr>
          <w:p>
            <w:pPr>
              <w:pStyle w:val="TableContents"/>
              <w:bidi w:val="0"/>
              <w:spacing w:before="0" w:after="0"/>
              <w:ind w:left="0" w:right="0" w:hanging="0"/>
              <w:jc w:val="right"/>
              <w:rPr/>
            </w:pPr>
            <w:r>
              <w:rPr/>
              <w:t>57,127</w:t>
            </w:r>
          </w:p>
        </w:tc>
        <w:tc>
          <w:tcPr>
            <w:tcW w:w="185" w:type="dxa"/>
            <w:tcBorders/>
            <w:shd w:fill="CCEEFF" w:val="clear"/>
            <w:vAlign w:val="bottom"/>
          </w:tcPr>
          <w:p>
            <w:pPr>
              <w:pStyle w:val="TableContents"/>
              <w:bidi w:val="0"/>
              <w:spacing w:before="0" w:after="0"/>
              <w:ind w:left="0" w:right="0" w:hanging="0"/>
              <w:jc w:val="left"/>
              <w:rPr/>
            </w:pPr>
            <w:r>
              <w:rPr/>
              <w:t> </w:t>
            </w:r>
          </w:p>
        </w:tc>
        <w:tc>
          <w:tcPr>
            <w:tcW w:w="90" w:type="dxa"/>
            <w:tcBorders/>
            <w:shd w:fill="CCEEFF" w:val="clear"/>
            <w:vAlign w:val="bottom"/>
          </w:tcPr>
          <w:p>
            <w:pPr>
              <w:pStyle w:val="TableContents"/>
              <w:bidi w:val="0"/>
              <w:spacing w:before="0" w:after="0"/>
              <w:ind w:left="0" w:right="0" w:hanging="0"/>
              <w:jc w:val="left"/>
              <w:rPr/>
            </w:pPr>
            <w:r>
              <w:rPr/>
              <w:t> </w:t>
            </w:r>
          </w:p>
        </w:tc>
        <w:tc>
          <w:tcPr>
            <w:tcW w:w="170" w:type="dxa"/>
            <w:tcBorders/>
            <w:shd w:fill="CCEEFF" w:val="clear"/>
            <w:vAlign w:val="bottom"/>
          </w:tcPr>
          <w:p>
            <w:pPr>
              <w:pStyle w:val="TableContents"/>
              <w:bidi w:val="0"/>
              <w:spacing w:before="0" w:after="0"/>
              <w:ind w:left="0" w:right="0" w:hanging="0"/>
              <w:jc w:val="left"/>
              <w:rPr/>
            </w:pPr>
            <w:r>
              <w:rPr/>
              <w:t> </w:t>
            </w:r>
          </w:p>
        </w:tc>
        <w:tc>
          <w:tcPr>
            <w:tcW w:w="1688" w:type="dxa"/>
            <w:tcBorders/>
            <w:shd w:fill="CCEEFF" w:val="clear"/>
            <w:vAlign w:val="bottom"/>
          </w:tcPr>
          <w:p>
            <w:pPr>
              <w:pStyle w:val="TableContents"/>
              <w:bidi w:val="0"/>
              <w:spacing w:before="0" w:after="0"/>
              <w:ind w:left="0" w:right="0" w:hanging="0"/>
              <w:jc w:val="right"/>
              <w:rPr/>
            </w:pPr>
            <w:r>
              <w:rPr/>
              <w:t>33,450</w:t>
            </w:r>
          </w:p>
        </w:tc>
        <w:tc>
          <w:tcPr>
            <w:tcW w:w="185" w:type="dxa"/>
            <w:tcBorders/>
            <w:shd w:fill="CCEEFF" w:val="clear"/>
            <w:vAlign w:val="bottom"/>
          </w:tcPr>
          <w:p>
            <w:pPr>
              <w:pStyle w:val="TableContents"/>
              <w:bidi w:val="0"/>
              <w:spacing w:before="0" w:after="0"/>
              <w:ind w:left="0" w:right="0" w:hanging="0"/>
              <w:jc w:val="left"/>
              <w:rPr/>
            </w:pPr>
            <w:r>
              <w:rPr/>
              <w:t> </w:t>
            </w:r>
          </w:p>
        </w:tc>
        <w:tc>
          <w:tcPr>
            <w:tcW w:w="90" w:type="dxa"/>
            <w:tcBorders/>
            <w:shd w:fill="CCEEFF" w:val="clear"/>
            <w:vAlign w:val="bottom"/>
          </w:tcPr>
          <w:p>
            <w:pPr>
              <w:pStyle w:val="TableContents"/>
              <w:bidi w:val="0"/>
              <w:spacing w:before="0" w:after="0"/>
              <w:ind w:left="0" w:right="0" w:hanging="0"/>
              <w:jc w:val="left"/>
              <w:rPr/>
            </w:pPr>
            <w:r>
              <w:rPr/>
              <w:t> </w:t>
            </w:r>
          </w:p>
        </w:tc>
        <w:tc>
          <w:tcPr>
            <w:tcW w:w="170" w:type="dxa"/>
            <w:tcBorders/>
            <w:shd w:fill="CCEEFF" w:val="clear"/>
            <w:vAlign w:val="bottom"/>
          </w:tcPr>
          <w:p>
            <w:pPr>
              <w:pStyle w:val="TableContents"/>
              <w:bidi w:val="0"/>
              <w:spacing w:before="0" w:after="0"/>
              <w:ind w:left="0" w:right="0" w:hanging="0"/>
              <w:jc w:val="left"/>
              <w:rPr/>
            </w:pPr>
            <w:r>
              <w:rPr/>
              <w:t> </w:t>
            </w:r>
          </w:p>
        </w:tc>
        <w:tc>
          <w:tcPr>
            <w:tcW w:w="1664" w:type="dxa"/>
            <w:tcBorders/>
            <w:shd w:fill="CCEEFF" w:val="clear"/>
            <w:vAlign w:val="bottom"/>
          </w:tcPr>
          <w:p>
            <w:pPr>
              <w:pStyle w:val="TableContents"/>
              <w:bidi w:val="0"/>
              <w:spacing w:before="0" w:after="0"/>
              <w:ind w:left="0" w:right="0" w:hanging="0"/>
              <w:jc w:val="right"/>
              <w:rPr/>
            </w:pPr>
            <w:r>
              <w:rPr/>
              <w:t>23,677</w:t>
            </w:r>
          </w:p>
        </w:tc>
        <w:tc>
          <w:tcPr>
            <w:tcW w:w="231" w:type="dxa"/>
            <w:tcBorders/>
            <w:shd w:fill="CCEEFF" w:val="clear"/>
            <w:vAlign w:val="bottom"/>
          </w:tcPr>
          <w:p>
            <w:pPr>
              <w:pStyle w:val="TableContents"/>
              <w:bidi w:val="0"/>
              <w:spacing w:before="0" w:after="0"/>
              <w:jc w:val="left"/>
              <w:rPr/>
            </w:pPr>
            <w:r>
              <w:rPr/>
              <w:t> </w:t>
            </w:r>
          </w:p>
        </w:tc>
      </w:tr>
      <w:tr>
        <w:trPr/>
        <w:tc>
          <w:tcPr>
            <w:tcW w:w="3182" w:type="dxa"/>
            <w:tcBorders/>
            <w:vAlign w:val="bottom"/>
          </w:tcPr>
          <w:p>
            <w:pPr>
              <w:pStyle w:val="TableContents"/>
              <w:bidi w:val="0"/>
              <w:spacing w:before="0" w:after="0"/>
              <w:ind w:left="0" w:right="0" w:hanging="0"/>
              <w:jc w:val="left"/>
              <w:rPr/>
            </w:pPr>
            <w:r>
              <w:rPr/>
              <w:t>Provision for income taxes</w:t>
            </w:r>
          </w:p>
        </w:tc>
        <w:tc>
          <w:tcPr>
            <w:tcW w:w="90" w:type="dxa"/>
            <w:tcBorders/>
            <w:vAlign w:val="bottom"/>
          </w:tcPr>
          <w:p>
            <w:pPr>
              <w:pStyle w:val="TableContents"/>
              <w:bidi w:val="0"/>
              <w:spacing w:before="0" w:after="0"/>
              <w:ind w:left="0" w:right="0" w:hanging="0"/>
              <w:jc w:val="left"/>
              <w:rPr/>
            </w:pPr>
            <w:r>
              <w:rPr/>
              <w:t> </w:t>
            </w:r>
          </w:p>
        </w:tc>
        <w:tc>
          <w:tcPr>
            <w:tcW w:w="170" w:type="dxa"/>
            <w:tcBorders>
              <w:bottom w:val="single" w:sz="12" w:space="0" w:color="000000"/>
            </w:tcBorders>
            <w:tcMar>
              <w:bottom w:w="28" w:type="dxa"/>
            </w:tcMar>
            <w:vAlign w:val="bottom"/>
          </w:tcPr>
          <w:p>
            <w:pPr>
              <w:pStyle w:val="TableContents"/>
              <w:bidi w:val="0"/>
              <w:spacing w:before="0" w:after="0"/>
              <w:ind w:left="0" w:right="0" w:hanging="0"/>
              <w:jc w:val="left"/>
              <w:rPr/>
            </w:pPr>
            <w:r>
              <w:rPr/>
              <w:t> </w:t>
            </w:r>
          </w:p>
        </w:tc>
        <w:tc>
          <w:tcPr>
            <w:tcW w:w="830" w:type="dxa"/>
            <w:tcBorders>
              <w:bottom w:val="single" w:sz="12" w:space="0" w:color="000000"/>
            </w:tcBorders>
            <w:tcMar>
              <w:bottom w:w="28" w:type="dxa"/>
            </w:tcMar>
            <w:vAlign w:val="bottom"/>
          </w:tcPr>
          <w:p>
            <w:pPr>
              <w:pStyle w:val="TableContents"/>
              <w:bidi w:val="0"/>
              <w:spacing w:before="0" w:after="0"/>
              <w:ind w:left="0" w:right="0" w:hanging="0"/>
              <w:jc w:val="right"/>
              <w:rPr/>
            </w:pPr>
            <w:r>
              <w:rPr/>
              <w:t>11,799</w:t>
            </w:r>
          </w:p>
        </w:tc>
        <w:tc>
          <w:tcPr>
            <w:tcW w:w="185" w:type="dxa"/>
            <w:tcBorders>
              <w:bottom w:val="single" w:sz="12" w:space="0" w:color="000000"/>
            </w:tcBorders>
            <w:tcMar>
              <w:bottom w:w="28" w:type="dxa"/>
            </w:tcMar>
            <w:vAlign w:val="bottom"/>
          </w:tcPr>
          <w:p>
            <w:pPr>
              <w:pStyle w:val="TableContents"/>
              <w:bidi w:val="0"/>
              <w:spacing w:before="0" w:after="0"/>
              <w:ind w:left="0" w:right="0" w:hanging="0"/>
              <w:jc w:val="left"/>
              <w:rPr/>
            </w:pPr>
            <w:r>
              <w:rPr/>
              <w:t> </w:t>
            </w:r>
          </w:p>
        </w:tc>
        <w:tc>
          <w:tcPr>
            <w:tcW w:w="90" w:type="dxa"/>
            <w:tcBorders/>
            <w:vAlign w:val="bottom"/>
          </w:tcPr>
          <w:p>
            <w:pPr>
              <w:pStyle w:val="TableContents"/>
              <w:bidi w:val="0"/>
              <w:spacing w:before="0" w:after="0"/>
              <w:ind w:left="0" w:right="0" w:hanging="0"/>
              <w:jc w:val="left"/>
              <w:rPr/>
            </w:pPr>
            <w:r>
              <w:rPr/>
              <w:t> </w:t>
            </w:r>
          </w:p>
        </w:tc>
        <w:tc>
          <w:tcPr>
            <w:tcW w:w="170" w:type="dxa"/>
            <w:tcBorders>
              <w:bottom w:val="single" w:sz="12" w:space="0" w:color="000000"/>
            </w:tcBorders>
            <w:tcMar>
              <w:bottom w:w="28" w:type="dxa"/>
            </w:tcMar>
            <w:vAlign w:val="bottom"/>
          </w:tcPr>
          <w:p>
            <w:pPr>
              <w:pStyle w:val="TableContents"/>
              <w:bidi w:val="0"/>
              <w:spacing w:before="0" w:after="0"/>
              <w:ind w:left="0" w:right="0" w:hanging="0"/>
              <w:jc w:val="left"/>
              <w:rPr/>
            </w:pPr>
            <w:r>
              <w:rPr/>
              <w:t> </w:t>
            </w:r>
          </w:p>
        </w:tc>
        <w:tc>
          <w:tcPr>
            <w:tcW w:w="1688" w:type="dxa"/>
            <w:tcBorders>
              <w:bottom w:val="single" w:sz="12" w:space="0" w:color="000000"/>
            </w:tcBorders>
            <w:tcMar>
              <w:bottom w:w="28" w:type="dxa"/>
            </w:tcMar>
            <w:vAlign w:val="bottom"/>
          </w:tcPr>
          <w:p>
            <w:pPr>
              <w:pStyle w:val="TableContents"/>
              <w:bidi w:val="0"/>
              <w:spacing w:before="0" w:after="0"/>
              <w:ind w:left="0" w:right="0" w:hanging="0"/>
              <w:jc w:val="right"/>
              <w:rPr/>
            </w:pPr>
            <w:r>
              <w:rPr/>
              <w:t>6,546</w:t>
            </w:r>
          </w:p>
        </w:tc>
        <w:tc>
          <w:tcPr>
            <w:tcW w:w="185" w:type="dxa"/>
            <w:tcBorders>
              <w:bottom w:val="single" w:sz="12" w:space="0" w:color="000000"/>
            </w:tcBorders>
            <w:tcMar>
              <w:bottom w:w="28" w:type="dxa"/>
            </w:tcMar>
            <w:vAlign w:val="bottom"/>
          </w:tcPr>
          <w:p>
            <w:pPr>
              <w:pStyle w:val="TableContents"/>
              <w:bidi w:val="0"/>
              <w:spacing w:before="0" w:after="0"/>
              <w:ind w:left="0" w:right="0" w:hanging="0"/>
              <w:jc w:val="left"/>
              <w:rPr/>
            </w:pPr>
            <w:r>
              <w:rPr/>
              <w:t> </w:t>
            </w:r>
          </w:p>
        </w:tc>
        <w:tc>
          <w:tcPr>
            <w:tcW w:w="90" w:type="dxa"/>
            <w:tcBorders/>
            <w:vAlign w:val="bottom"/>
          </w:tcPr>
          <w:p>
            <w:pPr>
              <w:pStyle w:val="TableContents"/>
              <w:bidi w:val="0"/>
              <w:spacing w:before="0" w:after="0"/>
              <w:ind w:left="0" w:right="0" w:hanging="0"/>
              <w:jc w:val="left"/>
              <w:rPr/>
            </w:pPr>
            <w:r>
              <w:rPr/>
              <w:t> </w:t>
            </w:r>
          </w:p>
        </w:tc>
        <w:tc>
          <w:tcPr>
            <w:tcW w:w="170" w:type="dxa"/>
            <w:tcBorders>
              <w:bottom w:val="single" w:sz="12" w:space="0" w:color="000000"/>
            </w:tcBorders>
            <w:tcMar>
              <w:bottom w:w="28" w:type="dxa"/>
            </w:tcMar>
            <w:vAlign w:val="bottom"/>
          </w:tcPr>
          <w:p>
            <w:pPr>
              <w:pStyle w:val="TableContents"/>
              <w:bidi w:val="0"/>
              <w:spacing w:before="0" w:after="0"/>
              <w:ind w:left="0" w:right="0" w:hanging="0"/>
              <w:jc w:val="left"/>
              <w:rPr/>
            </w:pPr>
            <w:r>
              <w:rPr/>
              <w:t> </w:t>
            </w:r>
          </w:p>
        </w:tc>
        <w:tc>
          <w:tcPr>
            <w:tcW w:w="1664" w:type="dxa"/>
            <w:tcBorders>
              <w:bottom w:val="single" w:sz="12" w:space="0" w:color="000000"/>
            </w:tcBorders>
            <w:tcMar>
              <w:bottom w:w="28" w:type="dxa"/>
            </w:tcMar>
            <w:vAlign w:val="bottom"/>
          </w:tcPr>
          <w:p>
            <w:pPr>
              <w:pStyle w:val="TableContents"/>
              <w:bidi w:val="0"/>
              <w:spacing w:before="0" w:after="0"/>
              <w:ind w:left="0" w:right="0" w:hanging="0"/>
              <w:jc w:val="right"/>
              <w:rPr/>
            </w:pPr>
            <w:r>
              <w:rPr/>
              <w:t>5,253</w:t>
            </w:r>
          </w:p>
        </w:tc>
        <w:tc>
          <w:tcPr>
            <w:tcW w:w="231" w:type="dxa"/>
            <w:tcBorders>
              <w:bottom w:val="single" w:sz="12" w:space="0" w:color="000000"/>
            </w:tcBorders>
            <w:tcMar>
              <w:bottom w:w="28" w:type="dxa"/>
            </w:tcMar>
            <w:vAlign w:val="bottom"/>
          </w:tcPr>
          <w:p>
            <w:pPr>
              <w:pStyle w:val="TableContents"/>
              <w:bidi w:val="0"/>
              <w:spacing w:before="0" w:after="0"/>
              <w:jc w:val="left"/>
              <w:rPr/>
            </w:pPr>
            <w:r>
              <w:rPr/>
              <w:t> </w:t>
            </w:r>
          </w:p>
        </w:tc>
      </w:tr>
      <w:tr>
        <w:trPr/>
        <w:tc>
          <w:tcPr>
            <w:tcW w:w="3182" w:type="dxa"/>
            <w:tcBorders/>
            <w:shd w:fill="CCEEFF" w:val="clear"/>
            <w:vAlign w:val="bottom"/>
          </w:tcPr>
          <w:p>
            <w:pPr>
              <w:pStyle w:val="TableContents"/>
              <w:bidi w:val="0"/>
              <w:spacing w:before="0" w:after="0"/>
              <w:ind w:left="0" w:right="0" w:hanging="0"/>
              <w:jc w:val="left"/>
              <w:rPr/>
            </w:pPr>
            <w:r>
              <w:rPr/>
              <w:t>Net income</w:t>
            </w:r>
          </w:p>
        </w:tc>
        <w:tc>
          <w:tcPr>
            <w:tcW w:w="90" w:type="dxa"/>
            <w:tcBorders/>
            <w:shd w:fill="CCEEFF" w:val="clear"/>
            <w:vAlign w:val="bottom"/>
          </w:tcPr>
          <w:p>
            <w:pPr>
              <w:pStyle w:val="TableContents"/>
              <w:bidi w:val="0"/>
              <w:spacing w:before="0" w:after="0"/>
              <w:ind w:left="0" w:right="0" w:hanging="0"/>
              <w:jc w:val="left"/>
              <w:rPr/>
            </w:pPr>
            <w:r>
              <w:rPr/>
              <w:t> </w:t>
            </w:r>
          </w:p>
        </w:tc>
        <w:tc>
          <w:tcPr>
            <w:tcW w:w="170" w:type="dxa"/>
            <w:tcBorders>
              <w:bottom w:val="double" w:sz="8" w:space="0" w:color="000000"/>
            </w:tcBorders>
            <w:shd w:fill="CCEEFF" w:val="clear"/>
            <w:tcMar>
              <w:bottom w:w="28" w:type="dxa"/>
            </w:tcMar>
            <w:vAlign w:val="bottom"/>
          </w:tcPr>
          <w:p>
            <w:pPr>
              <w:pStyle w:val="TableContents"/>
              <w:bidi w:val="0"/>
              <w:spacing w:before="0" w:after="0"/>
              <w:ind w:left="0" w:right="0" w:hanging="0"/>
              <w:jc w:val="left"/>
              <w:rPr/>
            </w:pPr>
            <w:r>
              <w:rPr/>
              <w:t>$</w:t>
            </w:r>
          </w:p>
        </w:tc>
        <w:tc>
          <w:tcPr>
            <w:tcW w:w="830" w:type="dxa"/>
            <w:tcBorders>
              <w:bottom w:val="double" w:sz="8" w:space="0" w:color="000000"/>
            </w:tcBorders>
            <w:shd w:fill="CCEEFF" w:val="clear"/>
            <w:tcMar>
              <w:bottom w:w="28" w:type="dxa"/>
            </w:tcMar>
            <w:vAlign w:val="bottom"/>
          </w:tcPr>
          <w:p>
            <w:pPr>
              <w:pStyle w:val="TableContents"/>
              <w:bidi w:val="0"/>
              <w:spacing w:before="0" w:after="0"/>
              <w:ind w:left="0" w:right="0" w:hanging="0"/>
              <w:jc w:val="right"/>
              <w:rPr/>
            </w:pPr>
            <w:r>
              <w:rPr/>
              <w:t>45,328</w:t>
            </w:r>
          </w:p>
        </w:tc>
        <w:tc>
          <w:tcPr>
            <w:tcW w:w="185" w:type="dxa"/>
            <w:tcBorders>
              <w:bottom w:val="double" w:sz="8" w:space="0" w:color="000000"/>
            </w:tcBorders>
            <w:shd w:fill="CCEEFF" w:val="clear"/>
            <w:tcMar>
              <w:bottom w:w="28" w:type="dxa"/>
            </w:tcMar>
            <w:vAlign w:val="bottom"/>
          </w:tcPr>
          <w:p>
            <w:pPr>
              <w:pStyle w:val="TableContents"/>
              <w:bidi w:val="0"/>
              <w:spacing w:before="0" w:after="0"/>
              <w:ind w:left="0" w:right="0" w:hanging="0"/>
              <w:jc w:val="left"/>
              <w:rPr/>
            </w:pPr>
            <w:r>
              <w:rPr/>
              <w:t> </w:t>
            </w:r>
          </w:p>
        </w:tc>
        <w:tc>
          <w:tcPr>
            <w:tcW w:w="90" w:type="dxa"/>
            <w:tcBorders/>
            <w:shd w:fill="CCEEFF" w:val="clear"/>
            <w:vAlign w:val="bottom"/>
          </w:tcPr>
          <w:p>
            <w:pPr>
              <w:pStyle w:val="TableContents"/>
              <w:bidi w:val="0"/>
              <w:spacing w:before="0" w:after="0"/>
              <w:ind w:left="0" w:right="0" w:hanging="0"/>
              <w:jc w:val="left"/>
              <w:rPr/>
            </w:pPr>
            <w:r>
              <w:rPr/>
              <w:t> </w:t>
            </w:r>
          </w:p>
        </w:tc>
        <w:tc>
          <w:tcPr>
            <w:tcW w:w="170" w:type="dxa"/>
            <w:tcBorders>
              <w:bottom w:val="double" w:sz="8" w:space="0" w:color="000000"/>
            </w:tcBorders>
            <w:shd w:fill="CCEEFF" w:val="clear"/>
            <w:tcMar>
              <w:bottom w:w="28" w:type="dxa"/>
            </w:tcMar>
            <w:vAlign w:val="bottom"/>
          </w:tcPr>
          <w:p>
            <w:pPr>
              <w:pStyle w:val="TableContents"/>
              <w:bidi w:val="0"/>
              <w:spacing w:before="0" w:after="0"/>
              <w:ind w:left="0" w:right="0" w:hanging="0"/>
              <w:jc w:val="left"/>
              <w:rPr/>
            </w:pPr>
            <w:r>
              <w:rPr/>
              <w:t>$</w:t>
            </w:r>
          </w:p>
        </w:tc>
        <w:tc>
          <w:tcPr>
            <w:tcW w:w="1688" w:type="dxa"/>
            <w:tcBorders>
              <w:bottom w:val="double" w:sz="8" w:space="0" w:color="000000"/>
            </w:tcBorders>
            <w:shd w:fill="CCEEFF" w:val="clear"/>
            <w:tcMar>
              <w:bottom w:w="28" w:type="dxa"/>
            </w:tcMar>
            <w:vAlign w:val="bottom"/>
          </w:tcPr>
          <w:p>
            <w:pPr>
              <w:pStyle w:val="TableContents"/>
              <w:bidi w:val="0"/>
              <w:spacing w:before="0" w:after="0"/>
              <w:ind w:left="0" w:right="0" w:hanging="0"/>
              <w:jc w:val="right"/>
              <w:rPr/>
            </w:pPr>
            <w:r>
              <w:rPr/>
              <w:t>26,904</w:t>
            </w:r>
          </w:p>
        </w:tc>
        <w:tc>
          <w:tcPr>
            <w:tcW w:w="185" w:type="dxa"/>
            <w:tcBorders>
              <w:bottom w:val="double" w:sz="8" w:space="0" w:color="000000"/>
            </w:tcBorders>
            <w:shd w:fill="CCEEFF" w:val="clear"/>
            <w:tcMar>
              <w:bottom w:w="28" w:type="dxa"/>
            </w:tcMar>
            <w:vAlign w:val="bottom"/>
          </w:tcPr>
          <w:p>
            <w:pPr>
              <w:pStyle w:val="TableContents"/>
              <w:bidi w:val="0"/>
              <w:spacing w:before="0" w:after="0"/>
              <w:ind w:left="0" w:right="0" w:hanging="0"/>
              <w:jc w:val="left"/>
              <w:rPr/>
            </w:pPr>
            <w:r>
              <w:rPr/>
              <w:t> </w:t>
            </w:r>
          </w:p>
        </w:tc>
        <w:tc>
          <w:tcPr>
            <w:tcW w:w="90" w:type="dxa"/>
            <w:tcBorders/>
            <w:shd w:fill="CCEEFF" w:val="clear"/>
            <w:vAlign w:val="bottom"/>
          </w:tcPr>
          <w:p>
            <w:pPr>
              <w:pStyle w:val="TableContents"/>
              <w:bidi w:val="0"/>
              <w:spacing w:before="0" w:after="0"/>
              <w:ind w:left="0" w:right="0" w:hanging="0"/>
              <w:jc w:val="left"/>
              <w:rPr/>
            </w:pPr>
            <w:r>
              <w:rPr/>
              <w:t> </w:t>
            </w:r>
          </w:p>
        </w:tc>
        <w:tc>
          <w:tcPr>
            <w:tcW w:w="170" w:type="dxa"/>
            <w:tcBorders>
              <w:bottom w:val="double" w:sz="8" w:space="0" w:color="000000"/>
            </w:tcBorders>
            <w:shd w:fill="CCEEFF" w:val="clear"/>
            <w:tcMar>
              <w:bottom w:w="28" w:type="dxa"/>
            </w:tcMar>
            <w:vAlign w:val="bottom"/>
          </w:tcPr>
          <w:p>
            <w:pPr>
              <w:pStyle w:val="TableContents"/>
              <w:bidi w:val="0"/>
              <w:spacing w:before="0" w:after="0"/>
              <w:ind w:left="0" w:right="0" w:hanging="0"/>
              <w:jc w:val="left"/>
              <w:rPr/>
            </w:pPr>
            <w:r>
              <w:rPr/>
              <w:t>$</w:t>
            </w:r>
          </w:p>
        </w:tc>
        <w:tc>
          <w:tcPr>
            <w:tcW w:w="1664" w:type="dxa"/>
            <w:tcBorders>
              <w:bottom w:val="double" w:sz="8" w:space="0" w:color="000000"/>
            </w:tcBorders>
            <w:shd w:fill="CCEEFF" w:val="clear"/>
            <w:tcMar>
              <w:bottom w:w="28" w:type="dxa"/>
            </w:tcMar>
            <w:vAlign w:val="bottom"/>
          </w:tcPr>
          <w:p>
            <w:pPr>
              <w:pStyle w:val="TableContents"/>
              <w:bidi w:val="0"/>
              <w:spacing w:before="0" w:after="0"/>
              <w:ind w:left="0" w:right="0" w:hanging="0"/>
              <w:jc w:val="right"/>
              <w:rPr/>
            </w:pPr>
            <w:r>
              <w:rPr/>
              <w:t>18,424</w:t>
            </w:r>
          </w:p>
        </w:tc>
        <w:tc>
          <w:tcPr>
            <w:tcW w:w="231" w:type="dxa"/>
            <w:tcBorders>
              <w:bottom w:val="double" w:sz="8" w:space="0" w:color="000000"/>
            </w:tcBorders>
            <w:shd w:fill="CCEEFF" w:val="clear"/>
            <w:tcMar>
              <w:bottom w:w="28" w:type="dxa"/>
            </w:tcMar>
            <w:vAlign w:val="bottom"/>
          </w:tcPr>
          <w:p>
            <w:pPr>
              <w:pStyle w:val="TableContents"/>
              <w:bidi w:val="0"/>
              <w:spacing w:before="0" w:after="0"/>
              <w:jc w:val="left"/>
              <w:rPr/>
            </w:pPr>
            <w:r>
              <w:rPr/>
              <w:t> </w:t>
            </w:r>
          </w:p>
        </w:tc>
      </w:tr>
      <w:tr>
        <w:trPr/>
        <w:tc>
          <w:tcPr>
            <w:tcW w:w="3182"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830" w:type="dxa"/>
            <w:tcBorders/>
            <w:vAlign w:val="bottom"/>
          </w:tcPr>
          <w:p>
            <w:pPr>
              <w:pStyle w:val="TableContents"/>
              <w:bidi w:val="0"/>
              <w:spacing w:before="0" w:after="283"/>
              <w:jc w:val="left"/>
              <w:rPr/>
            </w:pPr>
            <w:r>
              <w:rPr/>
              <w:t> </w:t>
            </w:r>
          </w:p>
        </w:tc>
        <w:tc>
          <w:tcPr>
            <w:tcW w:w="18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1688" w:type="dxa"/>
            <w:tcBorders/>
            <w:vAlign w:val="bottom"/>
          </w:tcPr>
          <w:p>
            <w:pPr>
              <w:pStyle w:val="TableContents"/>
              <w:bidi w:val="0"/>
              <w:spacing w:before="0" w:after="283"/>
              <w:jc w:val="left"/>
              <w:rPr/>
            </w:pPr>
            <w:r>
              <w:rPr/>
              <w:t> </w:t>
            </w:r>
          </w:p>
        </w:tc>
        <w:tc>
          <w:tcPr>
            <w:tcW w:w="18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1664" w:type="dxa"/>
            <w:tcBorders/>
            <w:vAlign w:val="bottom"/>
          </w:tcPr>
          <w:p>
            <w:pPr>
              <w:pStyle w:val="TableContents"/>
              <w:bidi w:val="0"/>
              <w:spacing w:before="0" w:after="283"/>
              <w:jc w:val="left"/>
              <w:rPr/>
            </w:pPr>
            <w:r>
              <w:rPr/>
              <w:t> </w:t>
            </w:r>
          </w:p>
        </w:tc>
        <w:tc>
          <w:tcPr>
            <w:tcW w:w="231" w:type="dxa"/>
            <w:tcBorders/>
            <w:vAlign w:val="bottom"/>
          </w:tcPr>
          <w:p>
            <w:pPr>
              <w:pStyle w:val="TableContents"/>
              <w:bidi w:val="0"/>
              <w:spacing w:before="0" w:after="283"/>
              <w:jc w:val="left"/>
              <w:rPr/>
            </w:pPr>
            <w:r>
              <w:rPr/>
              <w:t> </w:t>
            </w:r>
          </w:p>
        </w:tc>
      </w:tr>
      <w:tr>
        <w:trPr/>
        <w:tc>
          <w:tcPr>
            <w:tcW w:w="3182" w:type="dxa"/>
            <w:tcBorders/>
            <w:shd w:fill="CCEEFF" w:val="clear"/>
            <w:vAlign w:val="bottom"/>
          </w:tcPr>
          <w:p>
            <w:pPr>
              <w:pStyle w:val="TableContents"/>
              <w:bidi w:val="0"/>
              <w:spacing w:before="0" w:after="0"/>
              <w:ind w:left="0" w:right="0" w:hanging="0"/>
              <w:jc w:val="left"/>
              <w:rPr/>
            </w:pPr>
            <w:r>
              <w:rPr/>
              <w:t>Adjusted EBITDA*</w:t>
            </w:r>
          </w:p>
        </w:tc>
        <w:tc>
          <w:tcPr>
            <w:tcW w:w="90" w:type="dxa"/>
            <w:tcBorders/>
            <w:shd w:fill="CCEEFF" w:val="clear"/>
            <w:vAlign w:val="bottom"/>
          </w:tcPr>
          <w:p>
            <w:pPr>
              <w:pStyle w:val="TableContents"/>
              <w:bidi w:val="0"/>
              <w:spacing w:before="0" w:after="0"/>
              <w:ind w:left="0" w:right="0" w:hanging="0"/>
              <w:jc w:val="left"/>
              <w:rPr/>
            </w:pPr>
            <w:r>
              <w:rPr/>
              <w:t> </w:t>
            </w:r>
          </w:p>
        </w:tc>
        <w:tc>
          <w:tcPr>
            <w:tcW w:w="170" w:type="dxa"/>
            <w:tcBorders>
              <w:bottom w:val="double" w:sz="8" w:space="0" w:color="000000"/>
            </w:tcBorders>
            <w:shd w:fill="CCEEFF" w:val="clear"/>
            <w:tcMar>
              <w:bottom w:w="28" w:type="dxa"/>
            </w:tcMar>
            <w:vAlign w:val="bottom"/>
          </w:tcPr>
          <w:p>
            <w:pPr>
              <w:pStyle w:val="TableContents"/>
              <w:bidi w:val="0"/>
              <w:spacing w:before="0" w:after="0"/>
              <w:ind w:left="0" w:right="0" w:hanging="0"/>
              <w:jc w:val="left"/>
              <w:rPr/>
            </w:pPr>
            <w:r>
              <w:rPr/>
              <w:t>$</w:t>
            </w:r>
          </w:p>
        </w:tc>
        <w:tc>
          <w:tcPr>
            <w:tcW w:w="830" w:type="dxa"/>
            <w:tcBorders>
              <w:bottom w:val="double" w:sz="8" w:space="0" w:color="000000"/>
            </w:tcBorders>
            <w:shd w:fill="CCEEFF" w:val="clear"/>
            <w:tcMar>
              <w:bottom w:w="28" w:type="dxa"/>
            </w:tcMar>
            <w:vAlign w:val="bottom"/>
          </w:tcPr>
          <w:p>
            <w:pPr>
              <w:pStyle w:val="TableContents"/>
              <w:bidi w:val="0"/>
              <w:spacing w:before="0" w:after="0"/>
              <w:ind w:left="0" w:right="0" w:hanging="0"/>
              <w:jc w:val="right"/>
              <w:rPr/>
            </w:pPr>
            <w:r>
              <w:rPr/>
              <w:t>59,652</w:t>
            </w:r>
          </w:p>
        </w:tc>
        <w:tc>
          <w:tcPr>
            <w:tcW w:w="185" w:type="dxa"/>
            <w:tcBorders>
              <w:bottom w:val="double" w:sz="8" w:space="0" w:color="000000"/>
            </w:tcBorders>
            <w:shd w:fill="CCEEFF" w:val="clear"/>
            <w:tcMar>
              <w:bottom w:w="28" w:type="dxa"/>
            </w:tcMar>
            <w:vAlign w:val="bottom"/>
          </w:tcPr>
          <w:p>
            <w:pPr>
              <w:pStyle w:val="TableContents"/>
              <w:bidi w:val="0"/>
              <w:spacing w:before="0" w:after="0"/>
              <w:ind w:left="0" w:right="0" w:hanging="0"/>
              <w:jc w:val="left"/>
              <w:rPr/>
            </w:pPr>
            <w:r>
              <w:rPr/>
              <w:t> </w:t>
            </w:r>
          </w:p>
        </w:tc>
        <w:tc>
          <w:tcPr>
            <w:tcW w:w="90" w:type="dxa"/>
            <w:tcBorders/>
            <w:shd w:fill="CCEEFF" w:val="clear"/>
            <w:vAlign w:val="bottom"/>
          </w:tcPr>
          <w:p>
            <w:pPr>
              <w:pStyle w:val="TableContents"/>
              <w:bidi w:val="0"/>
              <w:spacing w:before="0" w:after="0"/>
              <w:ind w:left="0" w:right="0" w:hanging="0"/>
              <w:jc w:val="left"/>
              <w:rPr/>
            </w:pPr>
            <w:r>
              <w:rPr/>
              <w:t> </w:t>
            </w:r>
          </w:p>
        </w:tc>
        <w:tc>
          <w:tcPr>
            <w:tcW w:w="170" w:type="dxa"/>
            <w:tcBorders>
              <w:bottom w:val="double" w:sz="8" w:space="0" w:color="000000"/>
            </w:tcBorders>
            <w:shd w:fill="CCEEFF" w:val="clear"/>
            <w:tcMar>
              <w:bottom w:w="28" w:type="dxa"/>
            </w:tcMar>
            <w:vAlign w:val="bottom"/>
          </w:tcPr>
          <w:p>
            <w:pPr>
              <w:pStyle w:val="TableContents"/>
              <w:bidi w:val="0"/>
              <w:spacing w:before="0" w:after="0"/>
              <w:ind w:left="0" w:right="0" w:hanging="0"/>
              <w:jc w:val="left"/>
              <w:rPr/>
            </w:pPr>
            <w:r>
              <w:rPr/>
              <w:t>$</w:t>
            </w:r>
          </w:p>
        </w:tc>
        <w:tc>
          <w:tcPr>
            <w:tcW w:w="1688" w:type="dxa"/>
            <w:tcBorders>
              <w:bottom w:val="double" w:sz="8" w:space="0" w:color="000000"/>
            </w:tcBorders>
            <w:shd w:fill="CCEEFF" w:val="clear"/>
            <w:tcMar>
              <w:bottom w:w="28" w:type="dxa"/>
            </w:tcMar>
            <w:vAlign w:val="bottom"/>
          </w:tcPr>
          <w:p>
            <w:pPr>
              <w:pStyle w:val="TableContents"/>
              <w:bidi w:val="0"/>
              <w:spacing w:before="0" w:after="0"/>
              <w:ind w:left="0" w:right="0" w:hanging="0"/>
              <w:jc w:val="right"/>
              <w:rPr/>
            </w:pPr>
            <w:r>
              <w:rPr/>
              <w:t>47,939</w:t>
            </w:r>
          </w:p>
        </w:tc>
        <w:tc>
          <w:tcPr>
            <w:tcW w:w="185" w:type="dxa"/>
            <w:tcBorders>
              <w:bottom w:val="double" w:sz="8" w:space="0" w:color="000000"/>
            </w:tcBorders>
            <w:shd w:fill="CCEEFF" w:val="clear"/>
            <w:tcMar>
              <w:bottom w:w="28" w:type="dxa"/>
            </w:tcMar>
            <w:vAlign w:val="bottom"/>
          </w:tcPr>
          <w:p>
            <w:pPr>
              <w:pStyle w:val="TableContents"/>
              <w:bidi w:val="0"/>
              <w:spacing w:before="0" w:after="0"/>
              <w:ind w:left="0" w:right="0" w:hanging="0"/>
              <w:jc w:val="left"/>
              <w:rPr/>
            </w:pPr>
            <w:r>
              <w:rPr/>
              <w:t> </w:t>
            </w:r>
          </w:p>
        </w:tc>
        <w:tc>
          <w:tcPr>
            <w:tcW w:w="90" w:type="dxa"/>
            <w:tcBorders/>
            <w:shd w:fill="CCEEFF" w:val="clear"/>
            <w:vAlign w:val="bottom"/>
          </w:tcPr>
          <w:p>
            <w:pPr>
              <w:pStyle w:val="TableContents"/>
              <w:bidi w:val="0"/>
              <w:spacing w:before="0" w:after="0"/>
              <w:ind w:left="0" w:right="0" w:hanging="0"/>
              <w:jc w:val="left"/>
              <w:rPr/>
            </w:pPr>
            <w:r>
              <w:rPr/>
              <w:t> </w:t>
            </w:r>
          </w:p>
        </w:tc>
        <w:tc>
          <w:tcPr>
            <w:tcW w:w="170" w:type="dxa"/>
            <w:tcBorders>
              <w:bottom w:val="double" w:sz="8" w:space="0" w:color="000000"/>
            </w:tcBorders>
            <w:shd w:fill="CCEEFF" w:val="clear"/>
            <w:tcMar>
              <w:bottom w:w="28" w:type="dxa"/>
            </w:tcMar>
            <w:vAlign w:val="bottom"/>
          </w:tcPr>
          <w:p>
            <w:pPr>
              <w:pStyle w:val="TableContents"/>
              <w:bidi w:val="0"/>
              <w:spacing w:before="0" w:after="0"/>
              <w:ind w:left="0" w:right="0" w:hanging="0"/>
              <w:jc w:val="left"/>
              <w:rPr/>
            </w:pPr>
            <w:r>
              <w:rPr/>
              <w:t>$</w:t>
            </w:r>
          </w:p>
        </w:tc>
        <w:tc>
          <w:tcPr>
            <w:tcW w:w="1664" w:type="dxa"/>
            <w:tcBorders>
              <w:bottom w:val="double" w:sz="8" w:space="0" w:color="000000"/>
            </w:tcBorders>
            <w:shd w:fill="CCEEFF" w:val="clear"/>
            <w:tcMar>
              <w:bottom w:w="28" w:type="dxa"/>
            </w:tcMar>
            <w:vAlign w:val="bottom"/>
          </w:tcPr>
          <w:p>
            <w:pPr>
              <w:pStyle w:val="TableContents"/>
              <w:bidi w:val="0"/>
              <w:spacing w:before="0" w:after="0"/>
              <w:ind w:left="0" w:right="0" w:hanging="0"/>
              <w:jc w:val="right"/>
              <w:rPr/>
            </w:pPr>
            <w:r>
              <w:rPr/>
              <w:t>11,713</w:t>
            </w:r>
          </w:p>
        </w:tc>
        <w:tc>
          <w:tcPr>
            <w:tcW w:w="231" w:type="dxa"/>
            <w:tcBorders>
              <w:bottom w:val="double" w:sz="8" w:space="0" w:color="000000"/>
            </w:tcBorders>
            <w:shd w:fill="CCEEFF" w:val="clear"/>
            <w:tcMar>
              <w:bottom w:w="28" w:type="dxa"/>
            </w:tcMar>
            <w:vAlign w:val="bottom"/>
          </w:tcPr>
          <w:p>
            <w:pPr>
              <w:pStyle w:val="TableContents"/>
              <w:bidi w:val="0"/>
              <w:spacing w:before="0" w:after="0"/>
              <w:jc w:val="left"/>
              <w:rPr/>
            </w:pPr>
            <w:r>
              <w:rPr/>
              <w:t> </w:t>
            </w:r>
          </w:p>
        </w:tc>
      </w:tr>
      <w:tr>
        <w:trPr/>
        <w:tc>
          <w:tcPr>
            <w:tcW w:w="3182" w:type="dxa"/>
            <w:tcBorders/>
            <w:vAlign w:val="bottom"/>
          </w:tcPr>
          <w:p>
            <w:pPr>
              <w:pStyle w:val="TableContents"/>
              <w:bidi w:val="0"/>
              <w:spacing w:before="0" w:after="0"/>
              <w:ind w:left="0" w:right="0" w:hanging="0"/>
              <w:jc w:val="left"/>
              <w:rPr/>
            </w:pPr>
            <w:r>
              <w:rPr/>
              <w:t>Adjusted Net Income*</w:t>
            </w:r>
          </w:p>
        </w:tc>
        <w:tc>
          <w:tcPr>
            <w:tcW w:w="90" w:type="dxa"/>
            <w:tcBorders/>
            <w:vAlign w:val="bottom"/>
          </w:tcPr>
          <w:p>
            <w:pPr>
              <w:pStyle w:val="TableContents"/>
              <w:bidi w:val="0"/>
              <w:spacing w:before="0" w:after="0"/>
              <w:ind w:left="0" w:right="0" w:hanging="0"/>
              <w:jc w:val="left"/>
              <w:rPr/>
            </w:pPr>
            <w:r>
              <w:rPr/>
              <w:t> </w:t>
            </w:r>
          </w:p>
        </w:tc>
        <w:tc>
          <w:tcPr>
            <w:tcW w:w="170" w:type="dxa"/>
            <w:tcBorders>
              <w:bottom w:val="double" w:sz="8" w:space="0" w:color="000000"/>
            </w:tcBorders>
            <w:tcMar>
              <w:bottom w:w="28" w:type="dxa"/>
            </w:tcMar>
            <w:vAlign w:val="bottom"/>
          </w:tcPr>
          <w:p>
            <w:pPr>
              <w:pStyle w:val="TableContents"/>
              <w:bidi w:val="0"/>
              <w:spacing w:before="0" w:after="0"/>
              <w:ind w:left="0" w:right="0" w:hanging="0"/>
              <w:jc w:val="left"/>
              <w:rPr/>
            </w:pPr>
            <w:r>
              <w:rPr/>
              <w:t>$</w:t>
            </w:r>
          </w:p>
        </w:tc>
        <w:tc>
          <w:tcPr>
            <w:tcW w:w="830" w:type="dxa"/>
            <w:tcBorders>
              <w:bottom w:val="double" w:sz="8" w:space="0" w:color="000000"/>
            </w:tcBorders>
            <w:tcMar>
              <w:bottom w:w="28" w:type="dxa"/>
            </w:tcMar>
            <w:vAlign w:val="bottom"/>
          </w:tcPr>
          <w:p>
            <w:pPr>
              <w:pStyle w:val="TableContents"/>
              <w:bidi w:val="0"/>
              <w:spacing w:before="0" w:after="0"/>
              <w:ind w:left="0" w:right="0" w:hanging="0"/>
              <w:jc w:val="right"/>
              <w:rPr/>
            </w:pPr>
            <w:r>
              <w:rPr/>
              <w:t>40,679</w:t>
            </w:r>
          </w:p>
        </w:tc>
        <w:tc>
          <w:tcPr>
            <w:tcW w:w="185" w:type="dxa"/>
            <w:tcBorders>
              <w:bottom w:val="double" w:sz="8" w:space="0" w:color="000000"/>
            </w:tcBorders>
            <w:tcMar>
              <w:bottom w:w="28" w:type="dxa"/>
            </w:tcMar>
            <w:vAlign w:val="bottom"/>
          </w:tcPr>
          <w:p>
            <w:pPr>
              <w:pStyle w:val="TableContents"/>
              <w:bidi w:val="0"/>
              <w:spacing w:before="0" w:after="0"/>
              <w:ind w:left="0" w:right="0" w:hanging="0"/>
              <w:jc w:val="left"/>
              <w:rPr/>
            </w:pPr>
            <w:r>
              <w:rPr/>
              <w:t> </w:t>
            </w:r>
          </w:p>
        </w:tc>
        <w:tc>
          <w:tcPr>
            <w:tcW w:w="90" w:type="dxa"/>
            <w:tcBorders/>
            <w:vAlign w:val="bottom"/>
          </w:tcPr>
          <w:p>
            <w:pPr>
              <w:pStyle w:val="TableContents"/>
              <w:bidi w:val="0"/>
              <w:spacing w:before="0" w:after="0"/>
              <w:ind w:left="0" w:right="0" w:hanging="0"/>
              <w:jc w:val="left"/>
              <w:rPr/>
            </w:pPr>
            <w:r>
              <w:rPr/>
              <w:t> </w:t>
            </w:r>
          </w:p>
        </w:tc>
        <w:tc>
          <w:tcPr>
            <w:tcW w:w="170" w:type="dxa"/>
            <w:tcBorders>
              <w:bottom w:val="double" w:sz="8" w:space="0" w:color="000000"/>
            </w:tcBorders>
            <w:tcMar>
              <w:bottom w:w="28" w:type="dxa"/>
            </w:tcMar>
            <w:vAlign w:val="bottom"/>
          </w:tcPr>
          <w:p>
            <w:pPr>
              <w:pStyle w:val="TableContents"/>
              <w:bidi w:val="0"/>
              <w:spacing w:before="0" w:after="0"/>
              <w:ind w:left="0" w:right="0" w:hanging="0"/>
              <w:jc w:val="left"/>
              <w:rPr/>
            </w:pPr>
            <w:r>
              <w:rPr/>
              <w:t>$</w:t>
            </w:r>
          </w:p>
        </w:tc>
        <w:tc>
          <w:tcPr>
            <w:tcW w:w="1688" w:type="dxa"/>
            <w:tcBorders>
              <w:bottom w:val="double" w:sz="8" w:space="0" w:color="000000"/>
            </w:tcBorders>
            <w:tcMar>
              <w:bottom w:w="28" w:type="dxa"/>
            </w:tcMar>
            <w:vAlign w:val="bottom"/>
          </w:tcPr>
          <w:p>
            <w:pPr>
              <w:pStyle w:val="TableContents"/>
              <w:bidi w:val="0"/>
              <w:spacing w:before="0" w:after="0"/>
              <w:ind w:left="0" w:right="0" w:hanging="0"/>
              <w:jc w:val="right"/>
              <w:rPr/>
            </w:pPr>
            <w:r>
              <w:rPr/>
              <w:t>33,299</w:t>
            </w:r>
          </w:p>
        </w:tc>
        <w:tc>
          <w:tcPr>
            <w:tcW w:w="185" w:type="dxa"/>
            <w:tcBorders>
              <w:bottom w:val="double" w:sz="8" w:space="0" w:color="000000"/>
            </w:tcBorders>
            <w:tcMar>
              <w:bottom w:w="28" w:type="dxa"/>
            </w:tcMar>
            <w:vAlign w:val="bottom"/>
          </w:tcPr>
          <w:p>
            <w:pPr>
              <w:pStyle w:val="TableContents"/>
              <w:bidi w:val="0"/>
              <w:spacing w:before="0" w:after="0"/>
              <w:ind w:left="0" w:right="0" w:hanging="0"/>
              <w:jc w:val="left"/>
              <w:rPr/>
            </w:pPr>
            <w:r>
              <w:rPr/>
              <w:t> </w:t>
            </w:r>
          </w:p>
        </w:tc>
        <w:tc>
          <w:tcPr>
            <w:tcW w:w="90" w:type="dxa"/>
            <w:tcBorders/>
            <w:vAlign w:val="bottom"/>
          </w:tcPr>
          <w:p>
            <w:pPr>
              <w:pStyle w:val="TableContents"/>
              <w:bidi w:val="0"/>
              <w:spacing w:before="0" w:after="0"/>
              <w:ind w:left="0" w:right="0" w:hanging="0"/>
              <w:jc w:val="left"/>
              <w:rPr/>
            </w:pPr>
            <w:r>
              <w:rPr/>
              <w:t> </w:t>
            </w:r>
          </w:p>
        </w:tc>
        <w:tc>
          <w:tcPr>
            <w:tcW w:w="170" w:type="dxa"/>
            <w:tcBorders>
              <w:bottom w:val="double" w:sz="8" w:space="0" w:color="000000"/>
            </w:tcBorders>
            <w:tcMar>
              <w:bottom w:w="28" w:type="dxa"/>
            </w:tcMar>
            <w:vAlign w:val="bottom"/>
          </w:tcPr>
          <w:p>
            <w:pPr>
              <w:pStyle w:val="TableContents"/>
              <w:bidi w:val="0"/>
              <w:spacing w:before="0" w:after="0"/>
              <w:ind w:left="0" w:right="0" w:hanging="0"/>
              <w:jc w:val="left"/>
              <w:rPr/>
            </w:pPr>
            <w:r>
              <w:rPr/>
              <w:t>$</w:t>
            </w:r>
          </w:p>
        </w:tc>
        <w:tc>
          <w:tcPr>
            <w:tcW w:w="1664" w:type="dxa"/>
            <w:tcBorders>
              <w:bottom w:val="double" w:sz="8" w:space="0" w:color="000000"/>
            </w:tcBorders>
            <w:tcMar>
              <w:bottom w:w="28" w:type="dxa"/>
            </w:tcMar>
            <w:vAlign w:val="bottom"/>
          </w:tcPr>
          <w:p>
            <w:pPr>
              <w:pStyle w:val="TableContents"/>
              <w:bidi w:val="0"/>
              <w:spacing w:before="0" w:after="0"/>
              <w:ind w:left="0" w:right="0" w:hanging="0"/>
              <w:jc w:val="right"/>
              <w:rPr/>
            </w:pPr>
            <w:r>
              <w:rPr/>
              <w:t>7,380</w:t>
            </w:r>
          </w:p>
        </w:tc>
        <w:tc>
          <w:tcPr>
            <w:tcW w:w="231" w:type="dxa"/>
            <w:tcBorders>
              <w:bottom w:val="double" w:sz="8" w:space="0" w:color="000000"/>
            </w:tcBorders>
            <w:tcMar>
              <w:bottom w:w="28" w:type="dxa"/>
            </w:tcMar>
            <w:vAlign w:val="bottom"/>
          </w:tcPr>
          <w:p>
            <w:pPr>
              <w:pStyle w:val="TableContents"/>
              <w:bidi w:val="0"/>
              <w:spacing w:before="0" w:after="0"/>
              <w:jc w:val="left"/>
              <w:rPr/>
            </w:pPr>
            <w:r>
              <w:rPr/>
              <w:t> </w:t>
            </w:r>
          </w:p>
        </w:tc>
      </w:tr>
    </w:tbl>
    <w:p>
      <w:pPr>
        <w:pStyle w:val="TextBody"/>
        <w:bidi w:val="0"/>
        <w:spacing w:before="0" w:after="0"/>
        <w:ind w:left="0" w:right="0" w:hanging="360"/>
        <w:jc w:val="both"/>
        <w:rPr/>
      </w:pPr>
      <w:r>
        <w:rPr/>
        <w:t> </w:t>
      </w:r>
    </w:p>
    <w:p>
      <w:pPr>
        <w:pStyle w:val="TextBody"/>
        <w:bidi w:val="0"/>
        <w:spacing w:before="0" w:after="0"/>
        <w:jc w:val="left"/>
        <w:rPr>
          <w:rFonts w:ascii="Times New Roman" w:hAnsi="Times New Roman"/>
          <w:i/>
          <w:sz w:val="20"/>
        </w:rPr>
      </w:pPr>
      <w:r>
        <w:rPr>
          <w:rFonts w:ascii="Times New Roman" w:hAnsi="Times New Roman"/>
          <w:i/>
          <w:sz w:val="20"/>
        </w:rPr>
        <w:t>* - See Non-GAAP Financial Measures appearing at the end of this discussion</w:t>
      </w:r>
    </w:p>
    <w:p>
      <w:pPr>
        <w:pStyle w:val="TextBody"/>
        <w:bidi w:val="0"/>
        <w:spacing w:before="0" w:after="0"/>
        <w:ind w:left="0" w:right="0" w:hanging="360"/>
        <w:jc w:val="both"/>
        <w:rPr/>
      </w:pPr>
      <w:r>
        <w:rPr/>
        <w:t> </w:t>
      </w:r>
    </w:p>
    <w:p>
      <w:pPr>
        <w:pStyle w:val="TextBody"/>
        <w:bidi w:val="0"/>
        <w:spacing w:before="0" w:after="0"/>
        <w:ind w:left="0" w:right="0" w:hanging="0"/>
        <w:jc w:val="left"/>
        <w:rPr>
          <w:rFonts w:ascii="Times New Roman" w:hAnsi="Times New Roman"/>
          <w:b/>
          <w:i/>
          <w:sz w:val="20"/>
        </w:rPr>
      </w:pPr>
      <w:r>
        <w:rPr>
          <w:rFonts w:ascii="Times New Roman" w:hAnsi="Times New Roman"/>
          <w:b/>
          <w:i/>
          <w:sz w:val="20"/>
        </w:rPr>
        <w:t>Revenues</w:t>
      </w:r>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 w:hAnsi="Times New Roman"/>
          <w:sz w:val="20"/>
        </w:rPr>
      </w:pPr>
      <w:r>
        <w:rPr>
          <w:rFonts w:ascii="Times New Roman" w:hAnsi="Times New Roman"/>
          <w:sz w:val="20"/>
        </w:rPr>
        <w:t>We recorded total revenues of $114.5 million for the three months ended March 31, 2026, as compared to $114.8 million for the three months ended March 31, 2025, a decrease of $0.3 million, or approximately 0.3%. Revenues by product for the three months ended March 31, 2026 and 2025 were as follows:</w:t>
      </w:r>
    </w:p>
    <w:p>
      <w:pPr>
        <w:pStyle w:val="TextBody"/>
        <w:bidi w:val="0"/>
        <w:spacing w:before="0" w:after="0"/>
        <w:ind w:left="0" w:right="0" w:hanging="360"/>
        <w:jc w:val="both"/>
        <w:rPr/>
      </w:pPr>
      <w:r>
        <w:rPr/>
        <w:t> </w:t>
      </w:r>
    </w:p>
    <w:tbl>
      <w:tblPr>
        <w:tblW w:w="9360" w:type="dxa"/>
        <w:jc w:val="left"/>
        <w:tblInd w:w="0" w:type="dxa"/>
        <w:tblLayout w:type="fixed"/>
        <w:tblCellMar>
          <w:top w:w="0" w:type="dxa"/>
          <w:left w:w="0" w:type="dxa"/>
          <w:bottom w:w="0" w:type="dxa"/>
          <w:right w:w="0" w:type="dxa"/>
        </w:tblCellMar>
      </w:tblPr>
      <w:tblGrid>
        <w:gridCol w:w="3421"/>
        <w:gridCol w:w="90"/>
        <w:gridCol w:w="170"/>
        <w:gridCol w:w="832"/>
        <w:gridCol w:w="90"/>
        <w:gridCol w:w="90"/>
        <w:gridCol w:w="170"/>
        <w:gridCol w:w="832"/>
        <w:gridCol w:w="90"/>
        <w:gridCol w:w="90"/>
        <w:gridCol w:w="170"/>
        <w:gridCol w:w="1117"/>
        <w:gridCol w:w="185"/>
        <w:gridCol w:w="90"/>
        <w:gridCol w:w="90"/>
        <w:gridCol w:w="1418"/>
        <w:gridCol w:w="415"/>
      </w:tblGrid>
      <w:tr>
        <w:trPr/>
        <w:tc>
          <w:tcPr>
            <w:tcW w:w="3421"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32"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32"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117"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18" w:type="dxa"/>
            <w:tcBorders/>
            <w:vAlign w:val="center"/>
          </w:tcPr>
          <w:p>
            <w:pPr>
              <w:pStyle w:val="TableContents"/>
              <w:bidi w:val="0"/>
              <w:spacing w:before="0" w:after="283"/>
              <w:jc w:val="left"/>
              <w:rPr/>
            </w:pPr>
            <w:r>
              <w:rPr/>
              <w:t> </w:t>
            </w:r>
          </w:p>
        </w:tc>
        <w:tc>
          <w:tcPr>
            <w:tcW w:w="415" w:type="dxa"/>
            <w:tcBorders/>
            <w:vAlign w:val="center"/>
          </w:tcPr>
          <w:p>
            <w:pPr>
              <w:pStyle w:val="TableContents"/>
              <w:bidi w:val="0"/>
              <w:spacing w:before="0" w:after="283"/>
              <w:jc w:val="left"/>
              <w:rPr/>
            </w:pPr>
            <w:r>
              <w:rPr/>
              <w:t> </w:t>
            </w:r>
          </w:p>
        </w:tc>
      </w:tr>
      <w:tr>
        <w:trPr/>
        <w:tc>
          <w:tcPr>
            <w:tcW w:w="3421" w:type="dxa"/>
            <w:tcBorders/>
            <w:vAlign w:val="bottom"/>
          </w:tcPr>
          <w:p>
            <w:pPr>
              <w:pStyle w:val="TableContents"/>
              <w:bidi w:val="0"/>
              <w:spacing w:before="0" w:after="283"/>
              <w:jc w:val="left"/>
              <w:rPr/>
            </w:pPr>
            <w:r>
              <w:rPr/>
              <w:t> </w:t>
            </w:r>
          </w:p>
        </w:tc>
        <w:tc>
          <w:tcPr>
            <w:tcW w:w="90" w:type="dxa"/>
            <w:tcBorders/>
          </w:tcPr>
          <w:p>
            <w:pPr>
              <w:pStyle w:val="TableContents"/>
              <w:bidi w:val="0"/>
              <w:spacing w:before="0" w:after="283"/>
              <w:jc w:val="center"/>
              <w:rPr/>
            </w:pPr>
            <w:r>
              <w:rPr/>
              <w:t> </w:t>
            </w:r>
          </w:p>
        </w:tc>
        <w:tc>
          <w:tcPr>
            <w:tcW w:w="170" w:type="dxa"/>
            <w:tcBorders>
              <w:bottom w:val="single" w:sz="12" w:space="0" w:color="000000"/>
            </w:tcBorders>
            <w:tcMar>
              <w:bottom w:w="28" w:type="dxa"/>
            </w:tcMar>
          </w:tcPr>
          <w:p>
            <w:pPr>
              <w:pStyle w:val="TableContents"/>
              <w:bidi w:val="0"/>
              <w:spacing w:before="0" w:after="283"/>
              <w:jc w:val="center"/>
              <w:rPr/>
            </w:pPr>
            <w:r>
              <w:rPr/>
              <w:t> </w:t>
            </w:r>
          </w:p>
        </w:tc>
        <w:tc>
          <w:tcPr>
            <w:tcW w:w="5264" w:type="dxa"/>
            <w:gridSpan w:val="13"/>
            <w:tcBorders>
              <w:bottom w:val="single" w:sz="12" w:space="0" w:color="000000"/>
            </w:tcBorders>
            <w:tcMar>
              <w:bottom w:w="28" w:type="dxa"/>
            </w:tcMar>
            <w:vAlign w:val="bottom"/>
          </w:tcPr>
          <w:p>
            <w:pPr>
              <w:pStyle w:val="TableContents"/>
              <w:bidi w:val="0"/>
              <w:spacing w:before="0" w:after="0"/>
              <w:ind w:left="0" w:right="0" w:hanging="0"/>
              <w:jc w:val="center"/>
              <w:rPr>
                <w:b/>
              </w:rPr>
            </w:pPr>
            <w:r>
              <w:rPr>
                <w:b/>
              </w:rPr>
              <w:t>Three Months Ended March 31,</w:t>
            </w:r>
          </w:p>
        </w:tc>
        <w:tc>
          <w:tcPr>
            <w:tcW w:w="415" w:type="dxa"/>
            <w:tcBorders/>
          </w:tcPr>
          <w:p>
            <w:pPr>
              <w:pStyle w:val="TableContents"/>
              <w:bidi w:val="0"/>
              <w:spacing w:before="0" w:after="283"/>
              <w:jc w:val="center"/>
              <w:rPr/>
            </w:pPr>
            <w:r>
              <w:rPr/>
              <w:t> </w:t>
            </w:r>
          </w:p>
        </w:tc>
      </w:tr>
      <w:tr>
        <w:trPr/>
        <w:tc>
          <w:tcPr>
            <w:tcW w:w="3421" w:type="dxa"/>
            <w:tcBorders/>
            <w:vAlign w:val="bottom"/>
          </w:tcPr>
          <w:p>
            <w:pPr>
              <w:pStyle w:val="TableContents"/>
              <w:bidi w:val="0"/>
              <w:spacing w:before="0" w:after="283"/>
              <w:jc w:val="left"/>
              <w:rPr/>
            </w:pPr>
            <w:r>
              <w:rPr/>
              <w:t> </w:t>
            </w:r>
          </w:p>
        </w:tc>
        <w:tc>
          <w:tcPr>
            <w:tcW w:w="90" w:type="dxa"/>
            <w:tcBorders/>
          </w:tcPr>
          <w:p>
            <w:pPr>
              <w:pStyle w:val="TableContents"/>
              <w:bidi w:val="0"/>
              <w:spacing w:before="0" w:after="283"/>
              <w:jc w:val="center"/>
              <w:rPr/>
            </w:pPr>
            <w:r>
              <w:rPr/>
              <w:t> </w:t>
            </w:r>
          </w:p>
        </w:tc>
        <w:tc>
          <w:tcPr>
            <w:tcW w:w="170" w:type="dxa"/>
            <w:tcBorders>
              <w:bottom w:val="single" w:sz="12" w:space="0" w:color="000000"/>
            </w:tcBorders>
            <w:tcMar>
              <w:bottom w:w="28" w:type="dxa"/>
            </w:tcMar>
          </w:tcPr>
          <w:p>
            <w:pPr>
              <w:pStyle w:val="TableContents"/>
              <w:bidi w:val="0"/>
              <w:spacing w:before="0" w:after="283"/>
              <w:jc w:val="center"/>
              <w:rPr/>
            </w:pPr>
            <w:r>
              <w:rPr/>
              <w:t> </w:t>
            </w:r>
          </w:p>
        </w:tc>
        <w:tc>
          <w:tcPr>
            <w:tcW w:w="832" w:type="dxa"/>
            <w:tcBorders>
              <w:bottom w:val="single" w:sz="12" w:space="0" w:color="000000"/>
            </w:tcBorders>
            <w:tcMar>
              <w:bottom w:w="28" w:type="dxa"/>
            </w:tcMar>
            <w:vAlign w:val="bottom"/>
          </w:tcPr>
          <w:p>
            <w:pPr>
              <w:pStyle w:val="TableContents"/>
              <w:bidi w:val="0"/>
              <w:spacing w:before="0" w:after="0"/>
              <w:ind w:left="0" w:right="0" w:hanging="0"/>
              <w:jc w:val="center"/>
              <w:rPr>
                <w:b/>
              </w:rPr>
            </w:pPr>
            <w:r>
              <w:rPr>
                <w:b/>
              </w:rPr>
              <w:t>2026</w:t>
            </w:r>
          </w:p>
        </w:tc>
        <w:tc>
          <w:tcPr>
            <w:tcW w:w="90" w:type="dxa"/>
            <w:tcBorders/>
            <w:vAlign w:val="bottom"/>
          </w:tcPr>
          <w:p>
            <w:pPr>
              <w:pStyle w:val="TableContents"/>
              <w:bidi w:val="0"/>
              <w:spacing w:before="0" w:after="283"/>
              <w:jc w:val="center"/>
              <w:rPr/>
            </w:pPr>
            <w:r>
              <w:rPr/>
              <w:t> </w:t>
            </w:r>
          </w:p>
        </w:tc>
        <w:tc>
          <w:tcPr>
            <w:tcW w:w="90" w:type="dxa"/>
            <w:tcBorders/>
            <w:vAlign w:val="bottom"/>
          </w:tcPr>
          <w:p>
            <w:pPr>
              <w:pStyle w:val="TableContents"/>
              <w:bidi w:val="0"/>
              <w:spacing w:before="0" w:after="283"/>
              <w:jc w:val="center"/>
              <w:rPr/>
            </w:pPr>
            <w:r>
              <w:rPr/>
              <w:t> </w:t>
            </w:r>
          </w:p>
        </w:tc>
        <w:tc>
          <w:tcPr>
            <w:tcW w:w="170" w:type="dxa"/>
            <w:tcBorders>
              <w:bottom w:val="single" w:sz="12" w:space="0" w:color="000000"/>
            </w:tcBorders>
            <w:tcMar>
              <w:bottom w:w="28" w:type="dxa"/>
            </w:tcMar>
            <w:vAlign w:val="bottom"/>
          </w:tcPr>
          <w:p>
            <w:pPr>
              <w:pStyle w:val="TableContents"/>
              <w:bidi w:val="0"/>
              <w:spacing w:before="0" w:after="283"/>
              <w:jc w:val="center"/>
              <w:rPr/>
            </w:pPr>
            <w:r>
              <w:rPr/>
              <w:t> </w:t>
            </w:r>
          </w:p>
        </w:tc>
        <w:tc>
          <w:tcPr>
            <w:tcW w:w="832" w:type="dxa"/>
            <w:tcBorders>
              <w:bottom w:val="single" w:sz="12" w:space="0" w:color="000000"/>
            </w:tcBorders>
            <w:tcMar>
              <w:bottom w:w="28" w:type="dxa"/>
            </w:tcMar>
            <w:vAlign w:val="bottom"/>
          </w:tcPr>
          <w:p>
            <w:pPr>
              <w:pStyle w:val="TableContents"/>
              <w:bidi w:val="0"/>
              <w:spacing w:before="0" w:after="0"/>
              <w:ind w:left="0" w:right="0" w:hanging="0"/>
              <w:jc w:val="center"/>
              <w:rPr>
                <w:b/>
              </w:rPr>
            </w:pPr>
            <w:r>
              <w:rPr>
                <w:b/>
              </w:rPr>
              <w:t>2025</w:t>
            </w:r>
          </w:p>
        </w:tc>
        <w:tc>
          <w:tcPr>
            <w:tcW w:w="90" w:type="dxa"/>
            <w:tcBorders/>
            <w:vAlign w:val="bottom"/>
          </w:tcPr>
          <w:p>
            <w:pPr>
              <w:pStyle w:val="TableContents"/>
              <w:bidi w:val="0"/>
              <w:spacing w:before="0" w:after="283"/>
              <w:jc w:val="center"/>
              <w:rPr/>
            </w:pPr>
            <w:r>
              <w:rPr/>
              <w:t> </w:t>
            </w:r>
          </w:p>
        </w:tc>
        <w:tc>
          <w:tcPr>
            <w:tcW w:w="90" w:type="dxa"/>
            <w:tcBorders/>
            <w:vAlign w:val="bottom"/>
          </w:tcPr>
          <w:p>
            <w:pPr>
              <w:pStyle w:val="TableContents"/>
              <w:bidi w:val="0"/>
              <w:spacing w:before="0" w:after="283"/>
              <w:jc w:val="center"/>
              <w:rPr/>
            </w:pPr>
            <w:r>
              <w:rPr/>
              <w:t> </w:t>
            </w:r>
          </w:p>
        </w:tc>
        <w:tc>
          <w:tcPr>
            <w:tcW w:w="170" w:type="dxa"/>
            <w:tcBorders>
              <w:bottom w:val="single" w:sz="12" w:space="0" w:color="000000"/>
            </w:tcBorders>
            <w:tcMar>
              <w:bottom w:w="28" w:type="dxa"/>
            </w:tcMar>
            <w:vAlign w:val="bottom"/>
          </w:tcPr>
          <w:p>
            <w:pPr>
              <w:pStyle w:val="TableContents"/>
              <w:bidi w:val="0"/>
              <w:spacing w:before="0" w:after="283"/>
              <w:jc w:val="center"/>
              <w:rPr/>
            </w:pPr>
            <w:r>
              <w:rPr/>
              <w:t> </w:t>
            </w:r>
          </w:p>
        </w:tc>
        <w:tc>
          <w:tcPr>
            <w:tcW w:w="1117" w:type="dxa"/>
            <w:tcBorders>
              <w:bottom w:val="single" w:sz="12" w:space="0" w:color="000000"/>
            </w:tcBorders>
            <w:tcMar>
              <w:bottom w:w="28" w:type="dxa"/>
            </w:tcMar>
            <w:vAlign w:val="bottom"/>
          </w:tcPr>
          <w:p>
            <w:pPr>
              <w:pStyle w:val="TableContents"/>
              <w:bidi w:val="0"/>
              <w:spacing w:before="0" w:after="0"/>
              <w:ind w:left="0" w:right="0" w:hanging="0"/>
              <w:jc w:val="center"/>
              <w:rPr>
                <w:b/>
              </w:rPr>
            </w:pPr>
            <w:r>
              <w:rPr>
                <w:b/>
              </w:rPr>
              <w:t>Increase/</w:t>
              <w:br/>
              <w:t>(Decrease)</w:t>
            </w:r>
          </w:p>
        </w:tc>
        <w:tc>
          <w:tcPr>
            <w:tcW w:w="185" w:type="dxa"/>
            <w:tcBorders/>
            <w:vAlign w:val="bottom"/>
          </w:tcPr>
          <w:p>
            <w:pPr>
              <w:pStyle w:val="TableContents"/>
              <w:bidi w:val="0"/>
              <w:spacing w:before="0" w:after="283"/>
              <w:jc w:val="center"/>
              <w:rPr/>
            </w:pPr>
            <w:r>
              <w:rPr/>
              <w:t> </w:t>
            </w:r>
          </w:p>
        </w:tc>
        <w:tc>
          <w:tcPr>
            <w:tcW w:w="90" w:type="dxa"/>
            <w:tcBorders/>
            <w:vAlign w:val="bottom"/>
          </w:tcPr>
          <w:p>
            <w:pPr>
              <w:pStyle w:val="TableContents"/>
              <w:bidi w:val="0"/>
              <w:spacing w:before="0" w:after="283"/>
              <w:jc w:val="center"/>
              <w:rPr/>
            </w:pPr>
            <w:r>
              <w:rPr/>
              <w:t> </w:t>
            </w:r>
          </w:p>
        </w:tc>
        <w:tc>
          <w:tcPr>
            <w:tcW w:w="90" w:type="dxa"/>
            <w:tcBorders>
              <w:bottom w:val="single" w:sz="12" w:space="0" w:color="000000"/>
            </w:tcBorders>
            <w:tcMar>
              <w:bottom w:w="28" w:type="dxa"/>
            </w:tcMar>
            <w:vAlign w:val="bottom"/>
          </w:tcPr>
          <w:p>
            <w:pPr>
              <w:pStyle w:val="TableContents"/>
              <w:bidi w:val="0"/>
              <w:spacing w:before="0" w:after="283"/>
              <w:jc w:val="center"/>
              <w:rPr/>
            </w:pPr>
            <w:r>
              <w:rPr/>
              <w:t> </w:t>
            </w:r>
          </w:p>
        </w:tc>
        <w:tc>
          <w:tcPr>
            <w:tcW w:w="1418" w:type="dxa"/>
            <w:tcBorders>
              <w:bottom w:val="single" w:sz="12" w:space="0" w:color="000000"/>
            </w:tcBorders>
            <w:tcMar>
              <w:bottom w:w="28" w:type="dxa"/>
            </w:tcMar>
            <w:vAlign w:val="bottom"/>
          </w:tcPr>
          <w:p>
            <w:pPr>
              <w:pStyle w:val="TableContents"/>
              <w:bidi w:val="0"/>
              <w:spacing w:before="0" w:after="0"/>
              <w:ind w:left="0" w:right="0" w:hanging="0"/>
              <w:jc w:val="center"/>
              <w:rPr>
                <w:b/>
              </w:rPr>
            </w:pPr>
            <w:r>
              <w:rPr>
                <w:b/>
              </w:rPr>
              <w:t>Increase/</w:t>
              <w:br/>
              <w:t>(Decrease) %</w:t>
            </w:r>
          </w:p>
        </w:tc>
        <w:tc>
          <w:tcPr>
            <w:tcW w:w="415" w:type="dxa"/>
            <w:tcBorders/>
          </w:tcPr>
          <w:p>
            <w:pPr>
              <w:pStyle w:val="TableContents"/>
              <w:bidi w:val="0"/>
              <w:spacing w:before="0" w:after="283"/>
              <w:jc w:val="center"/>
              <w:rPr/>
            </w:pPr>
            <w:r>
              <w:rPr/>
              <w:t> </w:t>
            </w:r>
          </w:p>
        </w:tc>
      </w:tr>
      <w:tr>
        <w:trPr/>
        <w:tc>
          <w:tcPr>
            <w:tcW w:w="3421" w:type="dxa"/>
            <w:tcBorders/>
            <w:vAlign w:val="bottom"/>
          </w:tcPr>
          <w:p>
            <w:pPr>
              <w:pStyle w:val="TableContents"/>
              <w:bidi w:val="0"/>
              <w:spacing w:before="0" w:after="0"/>
              <w:ind w:left="144" w:right="0" w:hanging="144"/>
              <w:jc w:val="left"/>
              <w:rPr>
                <w:i/>
              </w:rPr>
            </w:pPr>
            <w:r>
              <w:rPr>
                <w:i/>
              </w:rPr>
              <w:t>(in thousands)</w:t>
            </w:r>
          </w:p>
        </w:tc>
        <w:tc>
          <w:tcPr>
            <w:tcW w:w="90" w:type="dxa"/>
            <w:tcBorders/>
          </w:tcPr>
          <w:p>
            <w:pPr>
              <w:pStyle w:val="TableContents"/>
              <w:bidi w:val="0"/>
              <w:spacing w:before="0" w:after="283"/>
              <w:jc w:val="left"/>
              <w:rPr/>
            </w:pPr>
            <w:r>
              <w:rPr/>
              <w:t> </w:t>
            </w:r>
          </w:p>
        </w:tc>
        <w:tc>
          <w:tcPr>
            <w:tcW w:w="170" w:type="dxa"/>
            <w:tcBorders/>
          </w:tcPr>
          <w:p>
            <w:pPr>
              <w:pStyle w:val="TableContents"/>
              <w:bidi w:val="0"/>
              <w:spacing w:before="0" w:after="283"/>
              <w:jc w:val="left"/>
              <w:rPr/>
            </w:pPr>
            <w:r>
              <w:rPr/>
              <w:t> </w:t>
            </w:r>
          </w:p>
        </w:tc>
        <w:tc>
          <w:tcPr>
            <w:tcW w:w="832"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832"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1117" w:type="dxa"/>
            <w:tcBorders/>
            <w:vAlign w:val="bottom"/>
          </w:tcPr>
          <w:p>
            <w:pPr>
              <w:pStyle w:val="TableContents"/>
              <w:bidi w:val="0"/>
              <w:spacing w:before="0" w:after="283"/>
              <w:jc w:val="left"/>
              <w:rPr/>
            </w:pPr>
            <w:r>
              <w:rPr/>
              <w:t> </w:t>
            </w:r>
          </w:p>
        </w:tc>
        <w:tc>
          <w:tcPr>
            <w:tcW w:w="18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center"/>
              <w:rPr/>
            </w:pPr>
            <w:r>
              <w:rPr/>
              <w:t> </w:t>
            </w:r>
          </w:p>
        </w:tc>
        <w:tc>
          <w:tcPr>
            <w:tcW w:w="90" w:type="dxa"/>
            <w:tcBorders/>
            <w:vAlign w:val="bottom"/>
          </w:tcPr>
          <w:p>
            <w:pPr>
              <w:pStyle w:val="TableContents"/>
              <w:bidi w:val="0"/>
              <w:spacing w:before="0" w:after="283"/>
              <w:jc w:val="center"/>
              <w:rPr/>
            </w:pPr>
            <w:r>
              <w:rPr/>
              <w:t> </w:t>
            </w:r>
          </w:p>
        </w:tc>
        <w:tc>
          <w:tcPr>
            <w:tcW w:w="1418" w:type="dxa"/>
            <w:tcBorders/>
            <w:vAlign w:val="bottom"/>
          </w:tcPr>
          <w:p>
            <w:pPr>
              <w:pStyle w:val="TableContents"/>
              <w:bidi w:val="0"/>
              <w:spacing w:before="0" w:after="283"/>
              <w:jc w:val="center"/>
              <w:rPr/>
            </w:pPr>
            <w:r>
              <w:rPr/>
              <w:t> </w:t>
            </w:r>
          </w:p>
        </w:tc>
        <w:tc>
          <w:tcPr>
            <w:tcW w:w="415" w:type="dxa"/>
            <w:tcBorders/>
          </w:tcPr>
          <w:p>
            <w:pPr>
              <w:pStyle w:val="TableContents"/>
              <w:bidi w:val="0"/>
              <w:spacing w:before="0" w:after="283"/>
              <w:jc w:val="center"/>
              <w:rPr/>
            </w:pPr>
            <w:r>
              <w:rPr/>
              <w:t> </w:t>
            </w:r>
          </w:p>
        </w:tc>
      </w:tr>
      <w:tr>
        <w:trPr/>
        <w:tc>
          <w:tcPr>
            <w:tcW w:w="3421" w:type="dxa"/>
            <w:tcBorders/>
            <w:shd w:fill="CCEEFF" w:val="clear"/>
            <w:vAlign w:val="bottom"/>
          </w:tcPr>
          <w:p>
            <w:pPr>
              <w:pStyle w:val="TableContents"/>
              <w:bidi w:val="0"/>
              <w:spacing w:before="0" w:after="0"/>
              <w:jc w:val="left"/>
              <w:rPr/>
            </w:pPr>
            <w:r>
              <w:rPr/>
              <w:t>ASCENIV</w:t>
            </w:r>
          </w:p>
        </w:tc>
        <w:tc>
          <w:tcPr>
            <w:tcW w:w="90" w:type="dxa"/>
            <w:tcBorders/>
            <w:shd w:fill="CCEEFF" w:val="clear"/>
          </w:tcPr>
          <w:p>
            <w:pPr>
              <w:pStyle w:val="TableContents"/>
              <w:bidi w:val="0"/>
              <w:spacing w:before="0" w:after="283"/>
              <w:jc w:val="right"/>
              <w:rPr/>
            </w:pPr>
            <w:r>
              <w:rPr/>
              <w:t> </w:t>
            </w:r>
          </w:p>
        </w:tc>
        <w:tc>
          <w:tcPr>
            <w:tcW w:w="170" w:type="dxa"/>
            <w:tcBorders/>
            <w:shd w:fill="CCEEFF" w:val="clear"/>
          </w:tcPr>
          <w:p>
            <w:pPr>
              <w:pStyle w:val="TableContents"/>
              <w:bidi w:val="0"/>
              <w:spacing w:before="0" w:after="283"/>
              <w:ind w:left="0" w:right="0" w:hanging="0"/>
              <w:jc w:val="left"/>
              <w:rPr/>
            </w:pPr>
            <w:r>
              <w:rPr/>
              <w:t>$</w:t>
            </w:r>
          </w:p>
        </w:tc>
        <w:tc>
          <w:tcPr>
            <w:tcW w:w="832" w:type="dxa"/>
            <w:tcBorders/>
            <w:shd w:fill="CCEEFF" w:val="clear"/>
            <w:vAlign w:val="bottom"/>
          </w:tcPr>
          <w:p>
            <w:pPr>
              <w:pStyle w:val="TableContents"/>
              <w:bidi w:val="0"/>
              <w:spacing w:before="0" w:after="0"/>
              <w:ind w:left="0" w:right="0" w:hanging="0"/>
              <w:jc w:val="right"/>
              <w:rPr/>
            </w:pPr>
            <w:r>
              <w:rPr/>
              <w:t>97,486</w:t>
            </w:r>
          </w:p>
        </w:tc>
        <w:tc>
          <w:tcPr>
            <w:tcW w:w="90" w:type="dxa"/>
            <w:tcBorders/>
            <w:shd w:fill="CCEEFF" w:val="clear"/>
            <w:vAlign w:val="bottom"/>
          </w:tcPr>
          <w:p>
            <w:pPr>
              <w:pStyle w:val="TableContents"/>
              <w:bidi w:val="0"/>
              <w:spacing w:before="0" w:after="0"/>
              <w:jc w:val="left"/>
              <w:rPr/>
            </w:pPr>
            <w:r>
              <w:rPr/>
              <w:t> </w:t>
            </w:r>
          </w:p>
        </w:tc>
        <w:tc>
          <w:tcPr>
            <w:tcW w:w="90" w:type="dxa"/>
            <w:tcBorders/>
            <w:shd w:fill="CCEEFF" w:val="clear"/>
            <w:vAlign w:val="bottom"/>
          </w:tcPr>
          <w:p>
            <w:pPr>
              <w:pStyle w:val="TableContents"/>
              <w:bidi w:val="0"/>
              <w:spacing w:before="0" w:after="283"/>
              <w:ind w:left="0" w:right="0" w:hanging="0"/>
              <w:jc w:val="right"/>
              <w:rPr/>
            </w:pPr>
            <w:r>
              <w:rPr/>
              <w:t> </w:t>
            </w:r>
          </w:p>
        </w:tc>
        <w:tc>
          <w:tcPr>
            <w:tcW w:w="170" w:type="dxa"/>
            <w:tcBorders/>
            <w:shd w:fill="CCEEFF" w:val="clear"/>
            <w:vAlign w:val="bottom"/>
          </w:tcPr>
          <w:p>
            <w:pPr>
              <w:pStyle w:val="TableContents"/>
              <w:bidi w:val="0"/>
              <w:spacing w:before="0" w:after="0"/>
              <w:ind w:left="0" w:right="0" w:hanging="0"/>
              <w:jc w:val="left"/>
              <w:rPr/>
            </w:pPr>
            <w:r>
              <w:rPr/>
              <w:t>$</w:t>
            </w:r>
          </w:p>
        </w:tc>
        <w:tc>
          <w:tcPr>
            <w:tcW w:w="832" w:type="dxa"/>
            <w:tcBorders/>
            <w:shd w:fill="CCEEFF" w:val="clear"/>
            <w:vAlign w:val="bottom"/>
          </w:tcPr>
          <w:p>
            <w:pPr>
              <w:pStyle w:val="TableContents"/>
              <w:bidi w:val="0"/>
              <w:spacing w:before="0" w:after="0"/>
              <w:ind w:left="0" w:right="0" w:hanging="0"/>
              <w:jc w:val="right"/>
              <w:rPr/>
            </w:pPr>
            <w:r>
              <w:rPr/>
              <w:t>76,332</w:t>
            </w:r>
          </w:p>
        </w:tc>
        <w:tc>
          <w:tcPr>
            <w:tcW w:w="90" w:type="dxa"/>
            <w:tcBorders/>
            <w:shd w:fill="CCEEFF" w:val="clear"/>
            <w:vAlign w:val="bottom"/>
          </w:tcPr>
          <w:p>
            <w:pPr>
              <w:pStyle w:val="TableContents"/>
              <w:bidi w:val="0"/>
              <w:spacing w:before="0" w:after="0"/>
              <w:jc w:val="left"/>
              <w:rPr/>
            </w:pPr>
            <w:r>
              <w:rPr/>
              <w:t> </w:t>
            </w:r>
          </w:p>
        </w:tc>
        <w:tc>
          <w:tcPr>
            <w:tcW w:w="90" w:type="dxa"/>
            <w:tcBorders/>
            <w:shd w:fill="CCEEFF" w:val="clear"/>
            <w:vAlign w:val="bottom"/>
          </w:tcPr>
          <w:p>
            <w:pPr>
              <w:pStyle w:val="TableContents"/>
              <w:bidi w:val="0"/>
              <w:spacing w:before="0" w:after="283"/>
              <w:ind w:left="0" w:right="0" w:hanging="0"/>
              <w:jc w:val="right"/>
              <w:rPr/>
            </w:pPr>
            <w:r>
              <w:rPr/>
              <w:t> </w:t>
            </w:r>
          </w:p>
        </w:tc>
        <w:tc>
          <w:tcPr>
            <w:tcW w:w="170" w:type="dxa"/>
            <w:tcBorders/>
            <w:shd w:fill="CCEEFF" w:val="clear"/>
            <w:vAlign w:val="bottom"/>
          </w:tcPr>
          <w:p>
            <w:pPr>
              <w:pStyle w:val="TableContents"/>
              <w:bidi w:val="0"/>
              <w:spacing w:before="0" w:after="0"/>
              <w:ind w:left="0" w:right="0" w:hanging="0"/>
              <w:jc w:val="left"/>
              <w:rPr/>
            </w:pPr>
            <w:r>
              <w:rPr/>
              <w:t>$</w:t>
            </w:r>
          </w:p>
        </w:tc>
        <w:tc>
          <w:tcPr>
            <w:tcW w:w="1117" w:type="dxa"/>
            <w:tcBorders/>
            <w:shd w:fill="CCEEFF" w:val="clear"/>
            <w:vAlign w:val="bottom"/>
          </w:tcPr>
          <w:p>
            <w:pPr>
              <w:pStyle w:val="TableContents"/>
              <w:bidi w:val="0"/>
              <w:spacing w:before="0" w:after="0"/>
              <w:ind w:left="0" w:right="0" w:hanging="0"/>
              <w:jc w:val="right"/>
              <w:rPr/>
            </w:pPr>
            <w:r>
              <w:rPr/>
              <w:t>21,154</w:t>
            </w:r>
          </w:p>
        </w:tc>
        <w:tc>
          <w:tcPr>
            <w:tcW w:w="185" w:type="dxa"/>
            <w:tcBorders/>
            <w:shd w:fill="CCEEFF" w:val="clear"/>
            <w:vAlign w:val="bottom"/>
          </w:tcPr>
          <w:p>
            <w:pPr>
              <w:pStyle w:val="TableContents"/>
              <w:bidi w:val="0"/>
              <w:spacing w:before="0" w:after="0"/>
              <w:jc w:val="left"/>
              <w:rPr/>
            </w:pPr>
            <w:r>
              <w:rPr/>
              <w:t> </w:t>
            </w:r>
          </w:p>
        </w:tc>
        <w:tc>
          <w:tcPr>
            <w:tcW w:w="90" w:type="dxa"/>
            <w:tcBorders/>
            <w:shd w:fill="CCEEFF" w:val="clear"/>
            <w:vAlign w:val="bottom"/>
          </w:tcPr>
          <w:p>
            <w:pPr>
              <w:pStyle w:val="TableContents"/>
              <w:bidi w:val="0"/>
              <w:spacing w:before="0" w:after="283"/>
              <w:ind w:left="0" w:right="0" w:hanging="0"/>
              <w:jc w:val="right"/>
              <w:rPr/>
            </w:pPr>
            <w:r>
              <w:rPr/>
              <w:t> </w:t>
            </w:r>
          </w:p>
        </w:tc>
        <w:tc>
          <w:tcPr>
            <w:tcW w:w="90" w:type="dxa"/>
            <w:tcBorders/>
            <w:shd w:fill="CCEEFF" w:val="clear"/>
            <w:vAlign w:val="bottom"/>
          </w:tcPr>
          <w:p>
            <w:pPr>
              <w:pStyle w:val="TableContents"/>
              <w:bidi w:val="0"/>
              <w:spacing w:before="0" w:after="0"/>
              <w:ind w:left="0" w:right="0" w:hanging="0"/>
              <w:jc w:val="left"/>
              <w:rPr/>
            </w:pPr>
            <w:r>
              <w:rPr/>
              <w:t> </w:t>
            </w:r>
          </w:p>
        </w:tc>
        <w:tc>
          <w:tcPr>
            <w:tcW w:w="1418" w:type="dxa"/>
            <w:tcBorders/>
            <w:shd w:fill="CCEEFF" w:val="clear"/>
            <w:vAlign w:val="bottom"/>
          </w:tcPr>
          <w:p>
            <w:pPr>
              <w:pStyle w:val="TableContents"/>
              <w:bidi w:val="0"/>
              <w:spacing w:before="0" w:after="0"/>
              <w:jc w:val="right"/>
              <w:rPr/>
            </w:pPr>
            <w:r>
              <w:rPr/>
              <w:t>27.7</w:t>
            </w:r>
          </w:p>
        </w:tc>
        <w:tc>
          <w:tcPr>
            <w:tcW w:w="415" w:type="dxa"/>
            <w:tcBorders/>
            <w:shd w:fill="CCEEFF" w:val="clear"/>
          </w:tcPr>
          <w:p>
            <w:pPr>
              <w:pStyle w:val="TableContents"/>
              <w:bidi w:val="0"/>
              <w:spacing w:before="0" w:after="283"/>
              <w:jc w:val="left"/>
              <w:rPr/>
            </w:pPr>
            <w:r>
              <w:rPr/>
              <w:t>%</w:t>
            </w:r>
          </w:p>
        </w:tc>
      </w:tr>
      <w:tr>
        <w:trPr/>
        <w:tc>
          <w:tcPr>
            <w:tcW w:w="3421" w:type="dxa"/>
            <w:tcBorders/>
            <w:vAlign w:val="bottom"/>
          </w:tcPr>
          <w:p>
            <w:pPr>
              <w:pStyle w:val="TableContents"/>
              <w:bidi w:val="0"/>
              <w:spacing w:before="0" w:after="0"/>
              <w:jc w:val="left"/>
              <w:rPr/>
            </w:pPr>
            <w:r>
              <w:rPr/>
              <w:t>BIVIGAM</w:t>
            </w:r>
          </w:p>
        </w:tc>
        <w:tc>
          <w:tcPr>
            <w:tcW w:w="90" w:type="dxa"/>
            <w:tcBorders/>
          </w:tcPr>
          <w:p>
            <w:pPr>
              <w:pStyle w:val="TableContents"/>
              <w:bidi w:val="0"/>
              <w:spacing w:before="0" w:after="283"/>
              <w:jc w:val="right"/>
              <w:rPr/>
            </w:pPr>
            <w:r>
              <w:rPr/>
              <w:t> </w:t>
            </w:r>
          </w:p>
        </w:tc>
        <w:tc>
          <w:tcPr>
            <w:tcW w:w="170" w:type="dxa"/>
            <w:tcBorders/>
          </w:tcPr>
          <w:p>
            <w:pPr>
              <w:pStyle w:val="TableContents"/>
              <w:bidi w:val="0"/>
              <w:spacing w:before="0" w:after="283"/>
              <w:ind w:left="0" w:right="0" w:hanging="0"/>
              <w:jc w:val="left"/>
              <w:rPr/>
            </w:pPr>
            <w:r>
              <w:rPr/>
              <w:t> </w:t>
            </w:r>
          </w:p>
        </w:tc>
        <w:tc>
          <w:tcPr>
            <w:tcW w:w="832" w:type="dxa"/>
            <w:tcBorders/>
            <w:vAlign w:val="bottom"/>
          </w:tcPr>
          <w:p>
            <w:pPr>
              <w:pStyle w:val="TableContents"/>
              <w:bidi w:val="0"/>
              <w:spacing w:before="0" w:after="0"/>
              <w:ind w:left="0" w:right="0" w:hanging="0"/>
              <w:jc w:val="right"/>
              <w:rPr/>
            </w:pPr>
            <w:r>
              <w:rPr/>
              <w:t>15,422</w:t>
            </w:r>
          </w:p>
        </w:tc>
        <w:tc>
          <w:tcPr>
            <w:tcW w:w="90" w:type="dxa"/>
            <w:tcBorders/>
            <w:vAlign w:val="bottom"/>
          </w:tcPr>
          <w:p>
            <w:pPr>
              <w:pStyle w:val="TableContents"/>
              <w:bidi w:val="0"/>
              <w:spacing w:before="0" w:after="0"/>
              <w:jc w:val="left"/>
              <w:rPr/>
            </w:pPr>
            <w:r>
              <w:rPr/>
              <w:t> </w:t>
            </w:r>
          </w:p>
        </w:tc>
        <w:tc>
          <w:tcPr>
            <w:tcW w:w="90" w:type="dxa"/>
            <w:tcBorders/>
            <w:vAlign w:val="bottom"/>
          </w:tcPr>
          <w:p>
            <w:pPr>
              <w:pStyle w:val="TableContents"/>
              <w:bidi w:val="0"/>
              <w:spacing w:before="0" w:after="283"/>
              <w:ind w:left="0" w:right="0" w:hanging="0"/>
              <w:jc w:val="right"/>
              <w:rPr/>
            </w:pPr>
            <w:r>
              <w:rPr/>
              <w:t> </w:t>
            </w:r>
          </w:p>
        </w:tc>
        <w:tc>
          <w:tcPr>
            <w:tcW w:w="170" w:type="dxa"/>
            <w:tcBorders/>
            <w:vAlign w:val="bottom"/>
          </w:tcPr>
          <w:p>
            <w:pPr>
              <w:pStyle w:val="TableContents"/>
              <w:bidi w:val="0"/>
              <w:spacing w:before="0" w:after="0"/>
              <w:ind w:left="0" w:right="0" w:hanging="0"/>
              <w:jc w:val="left"/>
              <w:rPr/>
            </w:pPr>
            <w:r>
              <w:rPr/>
              <w:t> </w:t>
            </w:r>
          </w:p>
        </w:tc>
        <w:tc>
          <w:tcPr>
            <w:tcW w:w="832" w:type="dxa"/>
            <w:tcBorders/>
            <w:vAlign w:val="bottom"/>
          </w:tcPr>
          <w:p>
            <w:pPr>
              <w:pStyle w:val="TableContents"/>
              <w:bidi w:val="0"/>
              <w:spacing w:before="0" w:after="0"/>
              <w:ind w:left="0" w:right="0" w:hanging="0"/>
              <w:jc w:val="right"/>
              <w:rPr/>
            </w:pPr>
            <w:r>
              <w:rPr/>
              <w:t>33,512</w:t>
            </w:r>
          </w:p>
        </w:tc>
        <w:tc>
          <w:tcPr>
            <w:tcW w:w="90" w:type="dxa"/>
            <w:tcBorders/>
            <w:vAlign w:val="bottom"/>
          </w:tcPr>
          <w:p>
            <w:pPr>
              <w:pStyle w:val="TableContents"/>
              <w:bidi w:val="0"/>
              <w:spacing w:before="0" w:after="0"/>
              <w:jc w:val="left"/>
              <w:rPr/>
            </w:pPr>
            <w:r>
              <w:rPr/>
              <w:t> </w:t>
            </w:r>
          </w:p>
        </w:tc>
        <w:tc>
          <w:tcPr>
            <w:tcW w:w="90" w:type="dxa"/>
            <w:tcBorders/>
            <w:vAlign w:val="bottom"/>
          </w:tcPr>
          <w:p>
            <w:pPr>
              <w:pStyle w:val="TableContents"/>
              <w:bidi w:val="0"/>
              <w:spacing w:before="0" w:after="283"/>
              <w:ind w:left="0" w:right="0" w:hanging="0"/>
              <w:jc w:val="right"/>
              <w:rPr/>
            </w:pPr>
            <w:r>
              <w:rPr/>
              <w:t> </w:t>
            </w:r>
          </w:p>
        </w:tc>
        <w:tc>
          <w:tcPr>
            <w:tcW w:w="170" w:type="dxa"/>
            <w:tcBorders/>
            <w:vAlign w:val="bottom"/>
          </w:tcPr>
          <w:p>
            <w:pPr>
              <w:pStyle w:val="TableContents"/>
              <w:bidi w:val="0"/>
              <w:spacing w:before="0" w:after="0"/>
              <w:ind w:left="0" w:right="0" w:hanging="0"/>
              <w:jc w:val="left"/>
              <w:rPr/>
            </w:pPr>
            <w:r>
              <w:rPr/>
              <w:t> </w:t>
            </w:r>
          </w:p>
        </w:tc>
        <w:tc>
          <w:tcPr>
            <w:tcW w:w="1117" w:type="dxa"/>
            <w:tcBorders/>
            <w:vAlign w:val="bottom"/>
          </w:tcPr>
          <w:p>
            <w:pPr>
              <w:pStyle w:val="TableContents"/>
              <w:bidi w:val="0"/>
              <w:spacing w:before="0" w:after="0"/>
              <w:ind w:left="0" w:right="0" w:hanging="0"/>
              <w:jc w:val="right"/>
              <w:rPr/>
            </w:pPr>
            <w:r>
              <w:rPr/>
              <w:t>(18,090</w:t>
            </w:r>
          </w:p>
        </w:tc>
        <w:tc>
          <w:tcPr>
            <w:tcW w:w="185" w:type="dxa"/>
            <w:tcBorders/>
            <w:vAlign w:val="bottom"/>
          </w:tcPr>
          <w:p>
            <w:pPr>
              <w:pStyle w:val="TableContents"/>
              <w:bidi w:val="0"/>
              <w:spacing w:before="0" w:after="0"/>
              <w:jc w:val="left"/>
              <w:rPr/>
            </w:pPr>
            <w:r>
              <w:rPr/>
              <w:t>) </w:t>
            </w:r>
          </w:p>
        </w:tc>
        <w:tc>
          <w:tcPr>
            <w:tcW w:w="90" w:type="dxa"/>
            <w:tcBorders/>
            <w:vAlign w:val="bottom"/>
          </w:tcPr>
          <w:p>
            <w:pPr>
              <w:pStyle w:val="TableContents"/>
              <w:bidi w:val="0"/>
              <w:spacing w:before="0" w:after="283"/>
              <w:ind w:left="0" w:right="0" w:hanging="0"/>
              <w:jc w:val="right"/>
              <w:rPr/>
            </w:pPr>
            <w:r>
              <w:rPr/>
              <w:t> </w:t>
            </w:r>
          </w:p>
        </w:tc>
        <w:tc>
          <w:tcPr>
            <w:tcW w:w="90" w:type="dxa"/>
            <w:tcBorders/>
            <w:vAlign w:val="bottom"/>
          </w:tcPr>
          <w:p>
            <w:pPr>
              <w:pStyle w:val="TableContents"/>
              <w:bidi w:val="0"/>
              <w:spacing w:before="0" w:after="0"/>
              <w:ind w:left="0" w:right="0" w:hanging="0"/>
              <w:jc w:val="left"/>
              <w:rPr/>
            </w:pPr>
            <w:r>
              <w:rPr/>
              <w:t> </w:t>
            </w:r>
          </w:p>
        </w:tc>
        <w:tc>
          <w:tcPr>
            <w:tcW w:w="1418" w:type="dxa"/>
            <w:tcBorders/>
            <w:vAlign w:val="bottom"/>
          </w:tcPr>
          <w:p>
            <w:pPr>
              <w:pStyle w:val="TableContents"/>
              <w:bidi w:val="0"/>
              <w:spacing w:before="0" w:after="0"/>
              <w:jc w:val="right"/>
              <w:rPr/>
            </w:pPr>
            <w:r>
              <w:rPr/>
              <w:t>(54.0</w:t>
            </w:r>
          </w:p>
        </w:tc>
        <w:tc>
          <w:tcPr>
            <w:tcW w:w="415" w:type="dxa"/>
            <w:tcBorders/>
          </w:tcPr>
          <w:p>
            <w:pPr>
              <w:pStyle w:val="TableContents"/>
              <w:bidi w:val="0"/>
              <w:spacing w:before="0" w:after="283"/>
              <w:jc w:val="left"/>
              <w:rPr/>
            </w:pPr>
            <w:r>
              <w:rPr/>
              <w:t>)%</w:t>
            </w:r>
          </w:p>
        </w:tc>
      </w:tr>
      <w:tr>
        <w:trPr/>
        <w:tc>
          <w:tcPr>
            <w:tcW w:w="3421" w:type="dxa"/>
            <w:tcBorders/>
            <w:shd w:fill="CCEEFF" w:val="clear"/>
            <w:vAlign w:val="bottom"/>
          </w:tcPr>
          <w:p>
            <w:pPr>
              <w:pStyle w:val="TableContents"/>
              <w:bidi w:val="0"/>
              <w:spacing w:before="0" w:after="0"/>
              <w:jc w:val="left"/>
              <w:rPr/>
            </w:pPr>
            <w:r>
              <w:rPr/>
              <w:t>Intermediates and other products(1)</w:t>
            </w:r>
          </w:p>
        </w:tc>
        <w:tc>
          <w:tcPr>
            <w:tcW w:w="90" w:type="dxa"/>
            <w:tcBorders/>
            <w:shd w:fill="CCEEFF" w:val="clear"/>
          </w:tcPr>
          <w:p>
            <w:pPr>
              <w:pStyle w:val="TableContents"/>
              <w:bidi w:val="0"/>
              <w:spacing w:before="0" w:after="283"/>
              <w:jc w:val="right"/>
              <w:rPr/>
            </w:pPr>
            <w:r>
              <w:rPr/>
              <w:t> </w:t>
            </w:r>
          </w:p>
        </w:tc>
        <w:tc>
          <w:tcPr>
            <w:tcW w:w="170" w:type="dxa"/>
            <w:tcBorders>
              <w:bottom w:val="single" w:sz="12" w:space="0" w:color="000000"/>
            </w:tcBorders>
            <w:shd w:fill="CCEEFF" w:val="clear"/>
            <w:tcMar>
              <w:bottom w:w="28" w:type="dxa"/>
            </w:tcMar>
          </w:tcPr>
          <w:p>
            <w:pPr>
              <w:pStyle w:val="TableContents"/>
              <w:bidi w:val="0"/>
              <w:spacing w:before="0" w:after="283"/>
              <w:ind w:left="0" w:right="0" w:hanging="0"/>
              <w:jc w:val="left"/>
              <w:rPr/>
            </w:pPr>
            <w:r>
              <w:rPr/>
              <w:t> </w:t>
            </w:r>
          </w:p>
        </w:tc>
        <w:tc>
          <w:tcPr>
            <w:tcW w:w="832" w:type="dxa"/>
            <w:tcBorders>
              <w:bottom w:val="single" w:sz="12" w:space="0" w:color="000000"/>
            </w:tcBorders>
            <w:shd w:fill="CCEEFF" w:val="clear"/>
            <w:tcMar>
              <w:bottom w:w="28" w:type="dxa"/>
            </w:tcMar>
            <w:vAlign w:val="bottom"/>
          </w:tcPr>
          <w:p>
            <w:pPr>
              <w:pStyle w:val="TableContents"/>
              <w:bidi w:val="0"/>
              <w:spacing w:before="0" w:after="0"/>
              <w:ind w:left="0" w:right="0" w:hanging="0"/>
              <w:jc w:val="right"/>
              <w:rPr/>
            </w:pPr>
            <w:r>
              <w:rPr/>
              <w:t>833</w:t>
            </w:r>
          </w:p>
        </w:tc>
        <w:tc>
          <w:tcPr>
            <w:tcW w:w="90" w:type="dxa"/>
            <w:tcBorders>
              <w:bottom w:val="single" w:sz="12" w:space="0" w:color="000000"/>
            </w:tcBorders>
            <w:shd w:fill="CCEEFF" w:val="clear"/>
            <w:tcMar>
              <w:bottom w:w="28" w:type="dxa"/>
            </w:tcMar>
            <w:vAlign w:val="bottom"/>
          </w:tcPr>
          <w:p>
            <w:pPr>
              <w:pStyle w:val="TableContents"/>
              <w:bidi w:val="0"/>
              <w:spacing w:before="0" w:after="0"/>
              <w:jc w:val="left"/>
              <w:rPr/>
            </w:pPr>
            <w:r>
              <w:rPr/>
              <w:t> </w:t>
            </w:r>
          </w:p>
        </w:tc>
        <w:tc>
          <w:tcPr>
            <w:tcW w:w="90" w:type="dxa"/>
            <w:tcBorders/>
            <w:shd w:fill="CCEEFF" w:val="clear"/>
            <w:vAlign w:val="bottom"/>
          </w:tcPr>
          <w:p>
            <w:pPr>
              <w:pStyle w:val="TableContents"/>
              <w:bidi w:val="0"/>
              <w:spacing w:before="0" w:after="283"/>
              <w:ind w:left="0" w:right="0" w:hanging="0"/>
              <w:jc w:val="right"/>
              <w:rPr/>
            </w:pPr>
            <w:r>
              <w:rPr/>
              <w:t> </w:t>
            </w:r>
          </w:p>
        </w:tc>
        <w:tc>
          <w:tcPr>
            <w:tcW w:w="170" w:type="dxa"/>
            <w:tcBorders>
              <w:bottom w:val="single" w:sz="12" w:space="0" w:color="000000"/>
            </w:tcBorders>
            <w:shd w:fill="CCEEFF" w:val="clear"/>
            <w:tcMar>
              <w:bottom w:w="28" w:type="dxa"/>
            </w:tcMar>
            <w:vAlign w:val="bottom"/>
          </w:tcPr>
          <w:p>
            <w:pPr>
              <w:pStyle w:val="TableContents"/>
              <w:bidi w:val="0"/>
              <w:spacing w:before="0" w:after="0"/>
              <w:ind w:left="0" w:right="0" w:hanging="0"/>
              <w:jc w:val="left"/>
              <w:rPr/>
            </w:pPr>
            <w:r>
              <w:rPr/>
              <w:t> </w:t>
            </w:r>
          </w:p>
        </w:tc>
        <w:tc>
          <w:tcPr>
            <w:tcW w:w="832" w:type="dxa"/>
            <w:tcBorders>
              <w:bottom w:val="single" w:sz="12" w:space="0" w:color="000000"/>
            </w:tcBorders>
            <w:shd w:fill="CCEEFF" w:val="clear"/>
            <w:tcMar>
              <w:bottom w:w="28" w:type="dxa"/>
            </w:tcMar>
            <w:vAlign w:val="bottom"/>
          </w:tcPr>
          <w:p>
            <w:pPr>
              <w:pStyle w:val="TableContents"/>
              <w:bidi w:val="0"/>
              <w:spacing w:before="0" w:after="0"/>
              <w:ind w:left="0" w:right="0" w:hanging="0"/>
              <w:jc w:val="right"/>
              <w:rPr/>
            </w:pPr>
            <w:r>
              <w:rPr/>
              <w:t>3,872</w:t>
            </w:r>
          </w:p>
        </w:tc>
        <w:tc>
          <w:tcPr>
            <w:tcW w:w="90" w:type="dxa"/>
            <w:tcBorders>
              <w:bottom w:val="single" w:sz="12" w:space="0" w:color="000000"/>
            </w:tcBorders>
            <w:shd w:fill="CCEEFF" w:val="clear"/>
            <w:tcMar>
              <w:bottom w:w="28" w:type="dxa"/>
            </w:tcMar>
            <w:vAlign w:val="bottom"/>
          </w:tcPr>
          <w:p>
            <w:pPr>
              <w:pStyle w:val="TableContents"/>
              <w:bidi w:val="0"/>
              <w:spacing w:before="0" w:after="0"/>
              <w:jc w:val="left"/>
              <w:rPr/>
            </w:pPr>
            <w:r>
              <w:rPr/>
              <w:t> </w:t>
            </w:r>
          </w:p>
        </w:tc>
        <w:tc>
          <w:tcPr>
            <w:tcW w:w="90" w:type="dxa"/>
            <w:tcBorders/>
            <w:shd w:fill="CCEEFF" w:val="clear"/>
            <w:vAlign w:val="bottom"/>
          </w:tcPr>
          <w:p>
            <w:pPr>
              <w:pStyle w:val="TableContents"/>
              <w:bidi w:val="0"/>
              <w:spacing w:before="0" w:after="283"/>
              <w:ind w:left="0" w:right="0" w:hanging="0"/>
              <w:jc w:val="right"/>
              <w:rPr/>
            </w:pPr>
            <w:r>
              <w:rPr/>
              <w:t> </w:t>
            </w:r>
          </w:p>
        </w:tc>
        <w:tc>
          <w:tcPr>
            <w:tcW w:w="170" w:type="dxa"/>
            <w:tcBorders>
              <w:bottom w:val="single" w:sz="12" w:space="0" w:color="000000"/>
            </w:tcBorders>
            <w:shd w:fill="CCEEFF" w:val="clear"/>
            <w:tcMar>
              <w:bottom w:w="28" w:type="dxa"/>
            </w:tcMar>
            <w:vAlign w:val="bottom"/>
          </w:tcPr>
          <w:p>
            <w:pPr>
              <w:pStyle w:val="TableContents"/>
              <w:bidi w:val="0"/>
              <w:spacing w:before="0" w:after="0"/>
              <w:ind w:left="0" w:right="0" w:hanging="0"/>
              <w:jc w:val="left"/>
              <w:rPr/>
            </w:pPr>
            <w:r>
              <w:rPr/>
              <w:t> </w:t>
            </w:r>
          </w:p>
        </w:tc>
        <w:tc>
          <w:tcPr>
            <w:tcW w:w="1117" w:type="dxa"/>
            <w:tcBorders>
              <w:bottom w:val="single" w:sz="12" w:space="0" w:color="000000"/>
            </w:tcBorders>
            <w:shd w:fill="CCEEFF" w:val="clear"/>
            <w:tcMar>
              <w:bottom w:w="28" w:type="dxa"/>
            </w:tcMar>
            <w:vAlign w:val="bottom"/>
          </w:tcPr>
          <w:p>
            <w:pPr>
              <w:pStyle w:val="TableContents"/>
              <w:bidi w:val="0"/>
              <w:spacing w:before="0" w:after="0"/>
              <w:ind w:left="0" w:right="0" w:hanging="0"/>
              <w:jc w:val="right"/>
              <w:rPr/>
            </w:pPr>
            <w:r>
              <w:rPr/>
              <w:t>(3,039</w:t>
            </w:r>
          </w:p>
        </w:tc>
        <w:tc>
          <w:tcPr>
            <w:tcW w:w="185" w:type="dxa"/>
            <w:tcBorders>
              <w:bottom w:val="single" w:sz="12" w:space="0" w:color="000000"/>
            </w:tcBorders>
            <w:shd w:fill="CCEEFF" w:val="clear"/>
            <w:tcMar>
              <w:bottom w:w="28" w:type="dxa"/>
            </w:tcMar>
            <w:vAlign w:val="bottom"/>
          </w:tcPr>
          <w:p>
            <w:pPr>
              <w:pStyle w:val="TableContents"/>
              <w:bidi w:val="0"/>
              <w:spacing w:before="0" w:after="0"/>
              <w:jc w:val="left"/>
              <w:rPr/>
            </w:pPr>
            <w:r>
              <w:rPr/>
              <w:t>) </w:t>
            </w:r>
          </w:p>
        </w:tc>
        <w:tc>
          <w:tcPr>
            <w:tcW w:w="90" w:type="dxa"/>
            <w:tcBorders/>
            <w:shd w:fill="CCEEFF" w:val="clear"/>
            <w:vAlign w:val="bottom"/>
          </w:tcPr>
          <w:p>
            <w:pPr>
              <w:pStyle w:val="TableContents"/>
              <w:bidi w:val="0"/>
              <w:spacing w:before="0" w:after="283"/>
              <w:ind w:left="0" w:right="0" w:hanging="0"/>
              <w:jc w:val="right"/>
              <w:rPr/>
            </w:pPr>
            <w:r>
              <w:rPr/>
              <w:t> </w:t>
            </w:r>
          </w:p>
        </w:tc>
        <w:tc>
          <w:tcPr>
            <w:tcW w:w="90" w:type="dxa"/>
            <w:tcBorders>
              <w:bottom w:val="single" w:sz="12" w:space="0" w:color="000000"/>
            </w:tcBorders>
            <w:shd w:fill="CCEEFF" w:val="clear"/>
            <w:tcMar>
              <w:bottom w:w="28" w:type="dxa"/>
            </w:tcMar>
            <w:vAlign w:val="bottom"/>
          </w:tcPr>
          <w:p>
            <w:pPr>
              <w:pStyle w:val="TableContents"/>
              <w:bidi w:val="0"/>
              <w:spacing w:before="0" w:after="0"/>
              <w:ind w:left="0" w:right="0" w:hanging="0"/>
              <w:jc w:val="left"/>
              <w:rPr/>
            </w:pPr>
            <w:r>
              <w:rPr/>
              <w:t> </w:t>
            </w:r>
          </w:p>
        </w:tc>
        <w:tc>
          <w:tcPr>
            <w:tcW w:w="1418" w:type="dxa"/>
            <w:tcBorders>
              <w:bottom w:val="single" w:sz="12" w:space="0" w:color="000000"/>
            </w:tcBorders>
            <w:shd w:fill="CCEEFF" w:val="clear"/>
            <w:tcMar>
              <w:bottom w:w="28" w:type="dxa"/>
            </w:tcMar>
            <w:vAlign w:val="bottom"/>
          </w:tcPr>
          <w:p>
            <w:pPr>
              <w:pStyle w:val="TableContents"/>
              <w:bidi w:val="0"/>
              <w:spacing w:before="0" w:after="0"/>
              <w:jc w:val="right"/>
              <w:rPr/>
            </w:pPr>
            <w:r>
              <w:rPr/>
              <w:t>(78.5</w:t>
            </w:r>
          </w:p>
        </w:tc>
        <w:tc>
          <w:tcPr>
            <w:tcW w:w="415" w:type="dxa"/>
            <w:tcBorders>
              <w:bottom w:val="single" w:sz="12" w:space="0" w:color="000000"/>
            </w:tcBorders>
            <w:shd w:fill="CCEEFF" w:val="clear"/>
            <w:tcMar>
              <w:bottom w:w="28" w:type="dxa"/>
            </w:tcMar>
          </w:tcPr>
          <w:p>
            <w:pPr>
              <w:pStyle w:val="TableContents"/>
              <w:bidi w:val="0"/>
              <w:spacing w:before="0" w:after="283"/>
              <w:jc w:val="left"/>
              <w:rPr/>
            </w:pPr>
            <w:r>
              <w:rPr/>
              <w:t>)%</w:t>
            </w:r>
          </w:p>
        </w:tc>
      </w:tr>
      <w:tr>
        <w:trPr/>
        <w:tc>
          <w:tcPr>
            <w:tcW w:w="3421" w:type="dxa"/>
            <w:tcBorders/>
            <w:vAlign w:val="bottom"/>
          </w:tcPr>
          <w:p>
            <w:pPr>
              <w:pStyle w:val="TableContents"/>
              <w:bidi w:val="0"/>
              <w:spacing w:before="0" w:after="0"/>
              <w:jc w:val="left"/>
              <w:rPr/>
            </w:pPr>
            <w:r>
              <w:rPr/>
              <w:t>ADMA BioManufacturing</w:t>
            </w:r>
          </w:p>
        </w:tc>
        <w:tc>
          <w:tcPr>
            <w:tcW w:w="90" w:type="dxa"/>
            <w:tcBorders/>
          </w:tcPr>
          <w:p>
            <w:pPr>
              <w:pStyle w:val="TableContents"/>
              <w:bidi w:val="0"/>
              <w:spacing w:before="0" w:after="283"/>
              <w:jc w:val="right"/>
              <w:rPr/>
            </w:pPr>
            <w:r>
              <w:rPr/>
              <w:t> </w:t>
            </w:r>
          </w:p>
        </w:tc>
        <w:tc>
          <w:tcPr>
            <w:tcW w:w="170" w:type="dxa"/>
            <w:tcBorders/>
          </w:tcPr>
          <w:p>
            <w:pPr>
              <w:pStyle w:val="TableContents"/>
              <w:bidi w:val="0"/>
              <w:spacing w:before="0" w:after="283"/>
              <w:ind w:left="0" w:right="0" w:hanging="0"/>
              <w:jc w:val="left"/>
              <w:rPr/>
            </w:pPr>
            <w:r>
              <w:rPr/>
              <w:t> </w:t>
            </w:r>
          </w:p>
        </w:tc>
        <w:tc>
          <w:tcPr>
            <w:tcW w:w="832" w:type="dxa"/>
            <w:tcBorders/>
            <w:vAlign w:val="bottom"/>
          </w:tcPr>
          <w:p>
            <w:pPr>
              <w:pStyle w:val="TableContents"/>
              <w:bidi w:val="0"/>
              <w:spacing w:before="0" w:after="0"/>
              <w:ind w:left="0" w:right="0" w:hanging="0"/>
              <w:jc w:val="right"/>
              <w:rPr/>
            </w:pPr>
            <w:r>
              <w:rPr/>
              <w:t>113,741</w:t>
            </w:r>
          </w:p>
        </w:tc>
        <w:tc>
          <w:tcPr>
            <w:tcW w:w="90" w:type="dxa"/>
            <w:tcBorders/>
            <w:vAlign w:val="bottom"/>
          </w:tcPr>
          <w:p>
            <w:pPr>
              <w:pStyle w:val="TableContents"/>
              <w:bidi w:val="0"/>
              <w:spacing w:before="0" w:after="0"/>
              <w:jc w:val="left"/>
              <w:rPr/>
            </w:pPr>
            <w:r>
              <w:rPr/>
              <w:t> </w:t>
            </w:r>
          </w:p>
        </w:tc>
        <w:tc>
          <w:tcPr>
            <w:tcW w:w="90" w:type="dxa"/>
            <w:tcBorders/>
            <w:vAlign w:val="bottom"/>
          </w:tcPr>
          <w:p>
            <w:pPr>
              <w:pStyle w:val="TableContents"/>
              <w:bidi w:val="0"/>
              <w:spacing w:before="0" w:after="283"/>
              <w:ind w:left="0" w:right="0" w:hanging="0"/>
              <w:jc w:val="right"/>
              <w:rPr/>
            </w:pPr>
            <w:r>
              <w:rPr/>
              <w:t> </w:t>
            </w:r>
          </w:p>
        </w:tc>
        <w:tc>
          <w:tcPr>
            <w:tcW w:w="170" w:type="dxa"/>
            <w:tcBorders/>
            <w:vAlign w:val="bottom"/>
          </w:tcPr>
          <w:p>
            <w:pPr>
              <w:pStyle w:val="TableContents"/>
              <w:bidi w:val="0"/>
              <w:spacing w:before="0" w:after="0"/>
              <w:ind w:left="0" w:right="0" w:hanging="0"/>
              <w:jc w:val="left"/>
              <w:rPr/>
            </w:pPr>
            <w:r>
              <w:rPr/>
              <w:t> </w:t>
            </w:r>
          </w:p>
        </w:tc>
        <w:tc>
          <w:tcPr>
            <w:tcW w:w="832" w:type="dxa"/>
            <w:tcBorders/>
            <w:vAlign w:val="bottom"/>
          </w:tcPr>
          <w:p>
            <w:pPr>
              <w:pStyle w:val="TableContents"/>
              <w:bidi w:val="0"/>
              <w:spacing w:before="0" w:after="0"/>
              <w:ind w:left="0" w:right="0" w:hanging="0"/>
              <w:jc w:val="right"/>
              <w:rPr/>
            </w:pPr>
            <w:r>
              <w:rPr/>
              <w:t>113,716</w:t>
            </w:r>
          </w:p>
        </w:tc>
        <w:tc>
          <w:tcPr>
            <w:tcW w:w="90" w:type="dxa"/>
            <w:tcBorders/>
            <w:vAlign w:val="bottom"/>
          </w:tcPr>
          <w:p>
            <w:pPr>
              <w:pStyle w:val="TableContents"/>
              <w:bidi w:val="0"/>
              <w:spacing w:before="0" w:after="0"/>
              <w:jc w:val="left"/>
              <w:rPr/>
            </w:pPr>
            <w:r>
              <w:rPr/>
              <w:t> </w:t>
            </w:r>
          </w:p>
        </w:tc>
        <w:tc>
          <w:tcPr>
            <w:tcW w:w="90" w:type="dxa"/>
            <w:tcBorders/>
            <w:vAlign w:val="bottom"/>
          </w:tcPr>
          <w:p>
            <w:pPr>
              <w:pStyle w:val="TableContents"/>
              <w:bidi w:val="0"/>
              <w:spacing w:before="0" w:after="283"/>
              <w:ind w:left="0" w:right="0" w:hanging="0"/>
              <w:jc w:val="right"/>
              <w:rPr/>
            </w:pPr>
            <w:r>
              <w:rPr/>
              <w:t> </w:t>
            </w:r>
          </w:p>
        </w:tc>
        <w:tc>
          <w:tcPr>
            <w:tcW w:w="170" w:type="dxa"/>
            <w:tcBorders/>
            <w:vAlign w:val="bottom"/>
          </w:tcPr>
          <w:p>
            <w:pPr>
              <w:pStyle w:val="TableContents"/>
              <w:bidi w:val="0"/>
              <w:spacing w:before="0" w:after="0"/>
              <w:ind w:left="0" w:right="0" w:hanging="0"/>
              <w:jc w:val="left"/>
              <w:rPr/>
            </w:pPr>
            <w:r>
              <w:rPr/>
              <w:t> </w:t>
            </w:r>
          </w:p>
        </w:tc>
        <w:tc>
          <w:tcPr>
            <w:tcW w:w="1117" w:type="dxa"/>
            <w:tcBorders/>
            <w:vAlign w:val="bottom"/>
          </w:tcPr>
          <w:p>
            <w:pPr>
              <w:pStyle w:val="TableContents"/>
              <w:bidi w:val="0"/>
              <w:spacing w:before="0" w:after="0"/>
              <w:ind w:left="0" w:right="0" w:hanging="0"/>
              <w:jc w:val="right"/>
              <w:rPr/>
            </w:pPr>
            <w:r>
              <w:rPr/>
              <w:t>25</w:t>
            </w:r>
          </w:p>
        </w:tc>
        <w:tc>
          <w:tcPr>
            <w:tcW w:w="185" w:type="dxa"/>
            <w:tcBorders/>
            <w:vAlign w:val="bottom"/>
          </w:tcPr>
          <w:p>
            <w:pPr>
              <w:pStyle w:val="TableContents"/>
              <w:bidi w:val="0"/>
              <w:spacing w:before="0" w:after="0"/>
              <w:jc w:val="left"/>
              <w:rPr/>
            </w:pPr>
            <w:r>
              <w:rPr/>
              <w:t> </w:t>
            </w:r>
          </w:p>
        </w:tc>
        <w:tc>
          <w:tcPr>
            <w:tcW w:w="90" w:type="dxa"/>
            <w:tcBorders/>
            <w:vAlign w:val="bottom"/>
          </w:tcPr>
          <w:p>
            <w:pPr>
              <w:pStyle w:val="TableContents"/>
              <w:bidi w:val="0"/>
              <w:spacing w:before="0" w:after="283"/>
              <w:ind w:left="0" w:right="0" w:hanging="0"/>
              <w:jc w:val="right"/>
              <w:rPr/>
            </w:pPr>
            <w:r>
              <w:rPr/>
              <w:t> </w:t>
            </w:r>
          </w:p>
        </w:tc>
        <w:tc>
          <w:tcPr>
            <w:tcW w:w="90" w:type="dxa"/>
            <w:tcBorders/>
            <w:vAlign w:val="bottom"/>
          </w:tcPr>
          <w:p>
            <w:pPr>
              <w:pStyle w:val="TableContents"/>
              <w:bidi w:val="0"/>
              <w:spacing w:before="0" w:after="0"/>
              <w:ind w:left="0" w:right="0" w:hanging="0"/>
              <w:jc w:val="left"/>
              <w:rPr/>
            </w:pPr>
            <w:r>
              <w:rPr/>
              <w:t> </w:t>
            </w:r>
          </w:p>
        </w:tc>
        <w:tc>
          <w:tcPr>
            <w:tcW w:w="1418" w:type="dxa"/>
            <w:tcBorders/>
            <w:vAlign w:val="bottom"/>
          </w:tcPr>
          <w:p>
            <w:pPr>
              <w:pStyle w:val="TableContents"/>
              <w:bidi w:val="0"/>
              <w:spacing w:before="0" w:after="0"/>
              <w:jc w:val="right"/>
              <w:rPr/>
            </w:pPr>
            <w:r>
              <w:rPr/>
              <w:t>0.0</w:t>
            </w:r>
          </w:p>
        </w:tc>
        <w:tc>
          <w:tcPr>
            <w:tcW w:w="415" w:type="dxa"/>
            <w:tcBorders/>
          </w:tcPr>
          <w:p>
            <w:pPr>
              <w:pStyle w:val="TableContents"/>
              <w:bidi w:val="0"/>
              <w:spacing w:before="0" w:after="283"/>
              <w:jc w:val="left"/>
              <w:rPr/>
            </w:pPr>
            <w:r>
              <w:rPr/>
              <w:t>%</w:t>
            </w:r>
          </w:p>
        </w:tc>
      </w:tr>
      <w:tr>
        <w:trPr/>
        <w:tc>
          <w:tcPr>
            <w:tcW w:w="3421" w:type="dxa"/>
            <w:tcBorders/>
            <w:shd w:fill="CCEEFF" w:val="clear"/>
            <w:vAlign w:val="bottom"/>
          </w:tcPr>
          <w:p>
            <w:pPr>
              <w:pStyle w:val="TableContents"/>
              <w:bidi w:val="0"/>
              <w:spacing w:before="0" w:after="283"/>
              <w:jc w:val="left"/>
              <w:rPr/>
            </w:pPr>
            <w:r>
              <w:rPr/>
              <w:t> </w:t>
            </w:r>
          </w:p>
        </w:tc>
        <w:tc>
          <w:tcPr>
            <w:tcW w:w="90" w:type="dxa"/>
            <w:tcBorders/>
            <w:shd w:fill="CCEEFF" w:val="clear"/>
          </w:tcPr>
          <w:p>
            <w:pPr>
              <w:pStyle w:val="TableContents"/>
              <w:bidi w:val="0"/>
              <w:spacing w:before="0" w:after="283"/>
              <w:jc w:val="right"/>
              <w:rPr/>
            </w:pPr>
            <w:r>
              <w:rPr/>
              <w:t> </w:t>
            </w:r>
          </w:p>
        </w:tc>
        <w:tc>
          <w:tcPr>
            <w:tcW w:w="170" w:type="dxa"/>
            <w:tcBorders/>
            <w:shd w:fill="CCEEFF" w:val="clear"/>
          </w:tcPr>
          <w:p>
            <w:pPr>
              <w:pStyle w:val="TableContents"/>
              <w:bidi w:val="0"/>
              <w:spacing w:before="0" w:after="283"/>
              <w:jc w:val="right"/>
              <w:rPr/>
            </w:pPr>
            <w:r>
              <w:rPr/>
              <w:t> </w:t>
            </w:r>
          </w:p>
        </w:tc>
        <w:tc>
          <w:tcPr>
            <w:tcW w:w="832"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832"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1117" w:type="dxa"/>
            <w:tcBorders/>
            <w:shd w:fill="CCEEFF" w:val="clear"/>
            <w:vAlign w:val="bottom"/>
          </w:tcPr>
          <w:p>
            <w:pPr>
              <w:pStyle w:val="TableContents"/>
              <w:bidi w:val="0"/>
              <w:spacing w:before="0" w:after="283"/>
              <w:jc w:val="left"/>
              <w:rPr/>
            </w:pPr>
            <w:r>
              <w:rPr/>
              <w:t> </w:t>
            </w:r>
          </w:p>
        </w:tc>
        <w:tc>
          <w:tcPr>
            <w:tcW w:w="18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418" w:type="dxa"/>
            <w:tcBorders/>
            <w:shd w:fill="CCEEFF" w:val="clear"/>
            <w:vAlign w:val="bottom"/>
          </w:tcPr>
          <w:p>
            <w:pPr>
              <w:pStyle w:val="TableContents"/>
              <w:bidi w:val="0"/>
              <w:spacing w:before="0" w:after="283"/>
              <w:jc w:val="left"/>
              <w:rPr/>
            </w:pPr>
            <w:r>
              <w:rPr/>
              <w:t> </w:t>
            </w:r>
          </w:p>
        </w:tc>
        <w:tc>
          <w:tcPr>
            <w:tcW w:w="415" w:type="dxa"/>
            <w:tcBorders/>
            <w:shd w:fill="CCEEFF" w:val="clear"/>
          </w:tcPr>
          <w:p>
            <w:pPr>
              <w:pStyle w:val="TableContents"/>
              <w:bidi w:val="0"/>
              <w:spacing w:before="0" w:after="283"/>
              <w:jc w:val="right"/>
              <w:rPr/>
            </w:pPr>
            <w:r>
              <w:rPr/>
              <w:t> </w:t>
            </w:r>
          </w:p>
        </w:tc>
      </w:tr>
      <w:tr>
        <w:trPr/>
        <w:tc>
          <w:tcPr>
            <w:tcW w:w="3421" w:type="dxa"/>
            <w:tcBorders/>
            <w:vAlign w:val="bottom"/>
          </w:tcPr>
          <w:p>
            <w:pPr>
              <w:pStyle w:val="TableContents"/>
              <w:bidi w:val="0"/>
              <w:spacing w:before="0" w:after="0"/>
              <w:jc w:val="left"/>
              <w:rPr/>
            </w:pPr>
            <w:r>
              <w:rPr/>
              <w:t>Plasma Collection Centers</w:t>
            </w:r>
          </w:p>
        </w:tc>
        <w:tc>
          <w:tcPr>
            <w:tcW w:w="90" w:type="dxa"/>
            <w:tcBorders/>
          </w:tcPr>
          <w:p>
            <w:pPr>
              <w:pStyle w:val="TableContents"/>
              <w:bidi w:val="0"/>
              <w:spacing w:before="0" w:after="283"/>
              <w:jc w:val="right"/>
              <w:rPr/>
            </w:pPr>
            <w:r>
              <w:rPr/>
              <w:t> </w:t>
            </w:r>
          </w:p>
        </w:tc>
        <w:tc>
          <w:tcPr>
            <w:tcW w:w="170" w:type="dxa"/>
            <w:tcBorders/>
          </w:tcPr>
          <w:p>
            <w:pPr>
              <w:pStyle w:val="TableContents"/>
              <w:bidi w:val="0"/>
              <w:spacing w:before="0" w:after="283"/>
              <w:ind w:left="0" w:right="0" w:hanging="0"/>
              <w:jc w:val="left"/>
              <w:rPr/>
            </w:pPr>
            <w:r>
              <w:rPr/>
              <w:t> </w:t>
            </w:r>
          </w:p>
        </w:tc>
        <w:tc>
          <w:tcPr>
            <w:tcW w:w="832" w:type="dxa"/>
            <w:tcBorders/>
            <w:vAlign w:val="bottom"/>
          </w:tcPr>
          <w:p>
            <w:pPr>
              <w:pStyle w:val="TableContents"/>
              <w:bidi w:val="0"/>
              <w:spacing w:before="0" w:after="0"/>
              <w:ind w:left="0" w:right="0" w:hanging="0"/>
              <w:jc w:val="right"/>
              <w:rPr/>
            </w:pPr>
            <w:r>
              <w:rPr/>
              <w:t>716</w:t>
            </w:r>
          </w:p>
        </w:tc>
        <w:tc>
          <w:tcPr>
            <w:tcW w:w="90" w:type="dxa"/>
            <w:tcBorders/>
            <w:vAlign w:val="bottom"/>
          </w:tcPr>
          <w:p>
            <w:pPr>
              <w:pStyle w:val="TableContents"/>
              <w:bidi w:val="0"/>
              <w:spacing w:before="0" w:after="0"/>
              <w:jc w:val="left"/>
              <w:rPr/>
            </w:pPr>
            <w:r>
              <w:rPr/>
              <w:t> </w:t>
            </w:r>
          </w:p>
        </w:tc>
        <w:tc>
          <w:tcPr>
            <w:tcW w:w="90" w:type="dxa"/>
            <w:tcBorders/>
            <w:vAlign w:val="bottom"/>
          </w:tcPr>
          <w:p>
            <w:pPr>
              <w:pStyle w:val="TableContents"/>
              <w:bidi w:val="0"/>
              <w:spacing w:before="0" w:after="283"/>
              <w:ind w:left="0" w:right="0" w:hanging="0"/>
              <w:jc w:val="right"/>
              <w:rPr/>
            </w:pPr>
            <w:r>
              <w:rPr/>
              <w:t> </w:t>
            </w:r>
          </w:p>
        </w:tc>
        <w:tc>
          <w:tcPr>
            <w:tcW w:w="170" w:type="dxa"/>
            <w:tcBorders/>
            <w:vAlign w:val="bottom"/>
          </w:tcPr>
          <w:p>
            <w:pPr>
              <w:pStyle w:val="TableContents"/>
              <w:bidi w:val="0"/>
              <w:spacing w:before="0" w:after="0"/>
              <w:ind w:left="0" w:right="0" w:hanging="0"/>
              <w:jc w:val="left"/>
              <w:rPr/>
            </w:pPr>
            <w:r>
              <w:rPr/>
              <w:t> </w:t>
            </w:r>
          </w:p>
        </w:tc>
        <w:tc>
          <w:tcPr>
            <w:tcW w:w="832" w:type="dxa"/>
            <w:tcBorders/>
            <w:vAlign w:val="bottom"/>
          </w:tcPr>
          <w:p>
            <w:pPr>
              <w:pStyle w:val="TableContents"/>
              <w:bidi w:val="0"/>
              <w:spacing w:before="0" w:after="0"/>
              <w:ind w:left="0" w:right="0" w:hanging="0"/>
              <w:jc w:val="right"/>
              <w:rPr/>
            </w:pPr>
            <w:r>
              <w:rPr/>
              <w:t>1,050</w:t>
            </w:r>
          </w:p>
        </w:tc>
        <w:tc>
          <w:tcPr>
            <w:tcW w:w="90" w:type="dxa"/>
            <w:tcBorders/>
            <w:vAlign w:val="bottom"/>
          </w:tcPr>
          <w:p>
            <w:pPr>
              <w:pStyle w:val="TableContents"/>
              <w:bidi w:val="0"/>
              <w:spacing w:before="0" w:after="0"/>
              <w:jc w:val="left"/>
              <w:rPr/>
            </w:pPr>
            <w:r>
              <w:rPr/>
              <w:t> </w:t>
            </w:r>
          </w:p>
        </w:tc>
        <w:tc>
          <w:tcPr>
            <w:tcW w:w="90" w:type="dxa"/>
            <w:tcBorders/>
            <w:vAlign w:val="bottom"/>
          </w:tcPr>
          <w:p>
            <w:pPr>
              <w:pStyle w:val="TableContents"/>
              <w:bidi w:val="0"/>
              <w:spacing w:before="0" w:after="283"/>
              <w:ind w:left="0" w:right="0" w:hanging="0"/>
              <w:jc w:val="right"/>
              <w:rPr/>
            </w:pPr>
            <w:r>
              <w:rPr/>
              <w:t> </w:t>
            </w:r>
          </w:p>
        </w:tc>
        <w:tc>
          <w:tcPr>
            <w:tcW w:w="170" w:type="dxa"/>
            <w:tcBorders/>
            <w:vAlign w:val="bottom"/>
          </w:tcPr>
          <w:p>
            <w:pPr>
              <w:pStyle w:val="TableContents"/>
              <w:bidi w:val="0"/>
              <w:spacing w:before="0" w:after="0"/>
              <w:ind w:left="0" w:right="0" w:hanging="0"/>
              <w:jc w:val="left"/>
              <w:rPr/>
            </w:pPr>
            <w:r>
              <w:rPr/>
              <w:t> </w:t>
            </w:r>
          </w:p>
        </w:tc>
        <w:tc>
          <w:tcPr>
            <w:tcW w:w="1117" w:type="dxa"/>
            <w:tcBorders/>
            <w:vAlign w:val="bottom"/>
          </w:tcPr>
          <w:p>
            <w:pPr>
              <w:pStyle w:val="TableContents"/>
              <w:bidi w:val="0"/>
              <w:spacing w:before="0" w:after="0"/>
              <w:ind w:left="0" w:right="0" w:hanging="0"/>
              <w:jc w:val="right"/>
              <w:rPr/>
            </w:pPr>
            <w:r>
              <w:rPr/>
              <w:t>(334</w:t>
            </w:r>
          </w:p>
        </w:tc>
        <w:tc>
          <w:tcPr>
            <w:tcW w:w="185" w:type="dxa"/>
            <w:tcBorders/>
            <w:vAlign w:val="bottom"/>
          </w:tcPr>
          <w:p>
            <w:pPr>
              <w:pStyle w:val="TableContents"/>
              <w:bidi w:val="0"/>
              <w:spacing w:before="0" w:after="0"/>
              <w:jc w:val="left"/>
              <w:rPr/>
            </w:pPr>
            <w:r>
              <w:rPr/>
              <w:t>) </w:t>
            </w:r>
          </w:p>
        </w:tc>
        <w:tc>
          <w:tcPr>
            <w:tcW w:w="90" w:type="dxa"/>
            <w:tcBorders/>
            <w:vAlign w:val="bottom"/>
          </w:tcPr>
          <w:p>
            <w:pPr>
              <w:pStyle w:val="TableContents"/>
              <w:bidi w:val="0"/>
              <w:spacing w:before="0" w:after="283"/>
              <w:ind w:left="0" w:right="0" w:hanging="0"/>
              <w:jc w:val="right"/>
              <w:rPr/>
            </w:pPr>
            <w:r>
              <w:rPr/>
              <w:t> </w:t>
            </w:r>
          </w:p>
        </w:tc>
        <w:tc>
          <w:tcPr>
            <w:tcW w:w="90" w:type="dxa"/>
            <w:tcBorders/>
            <w:vAlign w:val="bottom"/>
          </w:tcPr>
          <w:p>
            <w:pPr>
              <w:pStyle w:val="TableContents"/>
              <w:bidi w:val="0"/>
              <w:spacing w:before="0" w:after="0"/>
              <w:ind w:left="0" w:right="0" w:hanging="0"/>
              <w:jc w:val="left"/>
              <w:rPr/>
            </w:pPr>
            <w:r>
              <w:rPr/>
              <w:t> </w:t>
            </w:r>
          </w:p>
        </w:tc>
        <w:tc>
          <w:tcPr>
            <w:tcW w:w="1418" w:type="dxa"/>
            <w:tcBorders/>
            <w:vAlign w:val="bottom"/>
          </w:tcPr>
          <w:p>
            <w:pPr>
              <w:pStyle w:val="TableContents"/>
              <w:bidi w:val="0"/>
              <w:spacing w:before="0" w:after="0"/>
              <w:jc w:val="right"/>
              <w:rPr/>
            </w:pPr>
            <w:r>
              <w:rPr/>
              <w:t>(31.8</w:t>
            </w:r>
          </w:p>
        </w:tc>
        <w:tc>
          <w:tcPr>
            <w:tcW w:w="415" w:type="dxa"/>
            <w:tcBorders/>
          </w:tcPr>
          <w:p>
            <w:pPr>
              <w:pStyle w:val="TableContents"/>
              <w:bidi w:val="0"/>
              <w:spacing w:before="0" w:after="283"/>
              <w:jc w:val="left"/>
              <w:rPr/>
            </w:pPr>
            <w:r>
              <w:rPr/>
              <w:t>)%</w:t>
            </w:r>
          </w:p>
        </w:tc>
      </w:tr>
      <w:tr>
        <w:trPr/>
        <w:tc>
          <w:tcPr>
            <w:tcW w:w="3421" w:type="dxa"/>
            <w:tcBorders/>
            <w:shd w:fill="CCEEFF" w:val="clear"/>
            <w:vAlign w:val="bottom"/>
          </w:tcPr>
          <w:p>
            <w:pPr>
              <w:pStyle w:val="TableContents"/>
              <w:bidi w:val="0"/>
              <w:spacing w:before="0" w:after="283"/>
              <w:jc w:val="left"/>
              <w:rPr/>
            </w:pPr>
            <w:r>
              <w:rPr/>
              <w:t>License revenue</w:t>
            </w:r>
          </w:p>
        </w:tc>
        <w:tc>
          <w:tcPr>
            <w:tcW w:w="90" w:type="dxa"/>
            <w:tcBorders/>
            <w:shd w:fill="CCEEFF" w:val="clear"/>
          </w:tcPr>
          <w:p>
            <w:pPr>
              <w:pStyle w:val="TableContents"/>
              <w:bidi w:val="0"/>
              <w:spacing w:before="0" w:after="283"/>
              <w:jc w:val="right"/>
              <w:rPr/>
            </w:pPr>
            <w:r>
              <w:rPr/>
              <w:t> </w:t>
            </w:r>
          </w:p>
        </w:tc>
        <w:tc>
          <w:tcPr>
            <w:tcW w:w="170" w:type="dxa"/>
            <w:tcBorders>
              <w:bottom w:val="single" w:sz="12" w:space="0" w:color="000000"/>
            </w:tcBorders>
            <w:shd w:fill="CCEEFF" w:val="clear"/>
            <w:tcMar>
              <w:bottom w:w="28" w:type="dxa"/>
            </w:tcMar>
          </w:tcPr>
          <w:p>
            <w:pPr>
              <w:pStyle w:val="TableContents"/>
              <w:bidi w:val="0"/>
              <w:spacing w:before="0" w:after="283"/>
              <w:ind w:left="0" w:right="0" w:hanging="0"/>
              <w:jc w:val="left"/>
              <w:rPr/>
            </w:pPr>
            <w:r>
              <w:rPr/>
              <w:t> </w:t>
            </w:r>
          </w:p>
        </w:tc>
        <w:tc>
          <w:tcPr>
            <w:tcW w:w="832" w:type="dxa"/>
            <w:tcBorders>
              <w:bottom w:val="single" w:sz="12" w:space="0" w:color="000000"/>
            </w:tcBorders>
            <w:shd w:fill="CCEEFF" w:val="clear"/>
            <w:tcMar>
              <w:bottom w:w="28" w:type="dxa"/>
            </w:tcMar>
            <w:vAlign w:val="bottom"/>
          </w:tcPr>
          <w:p>
            <w:pPr>
              <w:pStyle w:val="TableContents"/>
              <w:bidi w:val="0"/>
              <w:spacing w:before="0" w:after="0"/>
              <w:ind w:left="0" w:right="0" w:hanging="0"/>
              <w:jc w:val="right"/>
              <w:rPr/>
            </w:pPr>
            <w:r>
              <w:rPr/>
              <w:t>36</w:t>
            </w:r>
          </w:p>
        </w:tc>
        <w:tc>
          <w:tcPr>
            <w:tcW w:w="90" w:type="dxa"/>
            <w:tcBorders>
              <w:bottom w:val="single" w:sz="12" w:space="0" w:color="000000"/>
            </w:tcBorders>
            <w:shd w:fill="CCEEFF" w:val="clear"/>
            <w:tcMar>
              <w:bottom w:w="28" w:type="dxa"/>
            </w:tcMar>
            <w:vAlign w:val="bottom"/>
          </w:tcPr>
          <w:p>
            <w:pPr>
              <w:pStyle w:val="TableContents"/>
              <w:bidi w:val="0"/>
              <w:spacing w:before="0" w:after="0"/>
              <w:jc w:val="left"/>
              <w:rPr/>
            </w:pPr>
            <w:r>
              <w:rPr/>
              <w:t> </w:t>
            </w:r>
          </w:p>
        </w:tc>
        <w:tc>
          <w:tcPr>
            <w:tcW w:w="90" w:type="dxa"/>
            <w:tcBorders/>
            <w:shd w:fill="CCEEFF" w:val="clear"/>
            <w:vAlign w:val="bottom"/>
          </w:tcPr>
          <w:p>
            <w:pPr>
              <w:pStyle w:val="TableContents"/>
              <w:bidi w:val="0"/>
              <w:spacing w:before="0" w:after="283"/>
              <w:ind w:left="0" w:right="0" w:hanging="0"/>
              <w:jc w:val="right"/>
              <w:rPr/>
            </w:pPr>
            <w:r>
              <w:rPr/>
              <w:t> </w:t>
            </w:r>
          </w:p>
        </w:tc>
        <w:tc>
          <w:tcPr>
            <w:tcW w:w="170" w:type="dxa"/>
            <w:tcBorders>
              <w:bottom w:val="single" w:sz="12" w:space="0" w:color="000000"/>
            </w:tcBorders>
            <w:shd w:fill="CCEEFF" w:val="clear"/>
            <w:tcMar>
              <w:bottom w:w="28" w:type="dxa"/>
            </w:tcMar>
            <w:vAlign w:val="bottom"/>
          </w:tcPr>
          <w:p>
            <w:pPr>
              <w:pStyle w:val="TableContents"/>
              <w:bidi w:val="0"/>
              <w:spacing w:before="0" w:after="0"/>
              <w:ind w:left="0" w:right="0" w:hanging="0"/>
              <w:jc w:val="left"/>
              <w:rPr/>
            </w:pPr>
            <w:r>
              <w:rPr/>
              <w:t> </w:t>
            </w:r>
          </w:p>
        </w:tc>
        <w:tc>
          <w:tcPr>
            <w:tcW w:w="832" w:type="dxa"/>
            <w:tcBorders>
              <w:bottom w:val="single" w:sz="12" w:space="0" w:color="000000"/>
            </w:tcBorders>
            <w:shd w:fill="CCEEFF" w:val="clear"/>
            <w:tcMar>
              <w:bottom w:w="28" w:type="dxa"/>
            </w:tcMar>
            <w:vAlign w:val="bottom"/>
          </w:tcPr>
          <w:p>
            <w:pPr>
              <w:pStyle w:val="TableContents"/>
              <w:bidi w:val="0"/>
              <w:spacing w:before="0" w:after="0"/>
              <w:ind w:left="0" w:right="0" w:hanging="0"/>
              <w:jc w:val="right"/>
              <w:rPr/>
            </w:pPr>
            <w:r>
              <w:rPr/>
              <w:t>36</w:t>
            </w:r>
          </w:p>
        </w:tc>
        <w:tc>
          <w:tcPr>
            <w:tcW w:w="90" w:type="dxa"/>
            <w:tcBorders>
              <w:bottom w:val="single" w:sz="12" w:space="0" w:color="000000"/>
            </w:tcBorders>
            <w:shd w:fill="CCEEFF" w:val="clear"/>
            <w:tcMar>
              <w:bottom w:w="28" w:type="dxa"/>
            </w:tcMar>
            <w:vAlign w:val="bottom"/>
          </w:tcPr>
          <w:p>
            <w:pPr>
              <w:pStyle w:val="TableContents"/>
              <w:bidi w:val="0"/>
              <w:spacing w:before="0" w:after="0"/>
              <w:jc w:val="left"/>
              <w:rPr/>
            </w:pPr>
            <w:r>
              <w:rPr/>
              <w:t> </w:t>
            </w:r>
          </w:p>
        </w:tc>
        <w:tc>
          <w:tcPr>
            <w:tcW w:w="90" w:type="dxa"/>
            <w:tcBorders/>
            <w:shd w:fill="CCEEFF" w:val="clear"/>
            <w:vAlign w:val="bottom"/>
          </w:tcPr>
          <w:p>
            <w:pPr>
              <w:pStyle w:val="TableContents"/>
              <w:bidi w:val="0"/>
              <w:spacing w:before="0" w:after="283"/>
              <w:ind w:left="0" w:right="0" w:hanging="0"/>
              <w:jc w:val="right"/>
              <w:rPr/>
            </w:pPr>
            <w:r>
              <w:rPr/>
              <w:t> </w:t>
            </w:r>
          </w:p>
        </w:tc>
        <w:tc>
          <w:tcPr>
            <w:tcW w:w="170" w:type="dxa"/>
            <w:tcBorders>
              <w:bottom w:val="single" w:sz="12" w:space="0" w:color="000000"/>
            </w:tcBorders>
            <w:shd w:fill="CCEEFF" w:val="clear"/>
            <w:tcMar>
              <w:bottom w:w="28" w:type="dxa"/>
            </w:tcMar>
            <w:vAlign w:val="bottom"/>
          </w:tcPr>
          <w:p>
            <w:pPr>
              <w:pStyle w:val="TableContents"/>
              <w:bidi w:val="0"/>
              <w:spacing w:before="0" w:after="0"/>
              <w:ind w:left="0" w:right="0" w:hanging="0"/>
              <w:jc w:val="left"/>
              <w:rPr/>
            </w:pPr>
            <w:r>
              <w:rPr/>
              <w:t> </w:t>
            </w:r>
          </w:p>
        </w:tc>
        <w:tc>
          <w:tcPr>
            <w:tcW w:w="1117" w:type="dxa"/>
            <w:tcBorders>
              <w:bottom w:val="single" w:sz="12" w:space="0" w:color="000000"/>
            </w:tcBorders>
            <w:shd w:fill="CCEEFF" w:val="clear"/>
            <w:tcMar>
              <w:bottom w:w="28" w:type="dxa"/>
            </w:tcMar>
            <w:vAlign w:val="bottom"/>
          </w:tcPr>
          <w:p>
            <w:pPr>
              <w:pStyle w:val="TableContents"/>
              <w:bidi w:val="0"/>
              <w:spacing w:before="0" w:after="0"/>
              <w:ind w:left="0" w:right="0" w:hanging="0"/>
              <w:jc w:val="right"/>
              <w:rPr/>
            </w:pPr>
            <w:r>
              <w:rPr/>
              <w:t>-</w:t>
            </w:r>
          </w:p>
        </w:tc>
        <w:tc>
          <w:tcPr>
            <w:tcW w:w="185" w:type="dxa"/>
            <w:tcBorders>
              <w:bottom w:val="single" w:sz="12" w:space="0" w:color="000000"/>
            </w:tcBorders>
            <w:shd w:fill="CCEEFF" w:val="clear"/>
            <w:tcMar>
              <w:bottom w:w="28" w:type="dxa"/>
            </w:tcMar>
            <w:vAlign w:val="bottom"/>
          </w:tcPr>
          <w:p>
            <w:pPr>
              <w:pStyle w:val="TableContents"/>
              <w:bidi w:val="0"/>
              <w:spacing w:before="0" w:after="0"/>
              <w:jc w:val="left"/>
              <w:rPr/>
            </w:pPr>
            <w:r>
              <w:rPr/>
              <w:t> </w:t>
            </w:r>
          </w:p>
        </w:tc>
        <w:tc>
          <w:tcPr>
            <w:tcW w:w="90" w:type="dxa"/>
            <w:tcBorders/>
            <w:shd w:fill="CCEEFF" w:val="clear"/>
            <w:vAlign w:val="bottom"/>
          </w:tcPr>
          <w:p>
            <w:pPr>
              <w:pStyle w:val="TableContents"/>
              <w:bidi w:val="0"/>
              <w:spacing w:before="0" w:after="283"/>
              <w:ind w:left="0" w:right="0" w:hanging="0"/>
              <w:jc w:val="right"/>
              <w:rPr/>
            </w:pPr>
            <w:r>
              <w:rPr/>
              <w:t> </w:t>
            </w:r>
          </w:p>
        </w:tc>
        <w:tc>
          <w:tcPr>
            <w:tcW w:w="90" w:type="dxa"/>
            <w:tcBorders>
              <w:bottom w:val="single" w:sz="12" w:space="0" w:color="000000"/>
            </w:tcBorders>
            <w:shd w:fill="CCEEFF" w:val="clear"/>
            <w:tcMar>
              <w:bottom w:w="28" w:type="dxa"/>
            </w:tcMar>
            <w:vAlign w:val="bottom"/>
          </w:tcPr>
          <w:p>
            <w:pPr>
              <w:pStyle w:val="TableContents"/>
              <w:bidi w:val="0"/>
              <w:spacing w:before="0" w:after="0"/>
              <w:ind w:left="0" w:right="0" w:hanging="0"/>
              <w:jc w:val="left"/>
              <w:rPr/>
            </w:pPr>
            <w:r>
              <w:rPr/>
              <w:t> </w:t>
            </w:r>
          </w:p>
        </w:tc>
        <w:tc>
          <w:tcPr>
            <w:tcW w:w="1418" w:type="dxa"/>
            <w:tcBorders>
              <w:bottom w:val="single" w:sz="12" w:space="0" w:color="000000"/>
            </w:tcBorders>
            <w:shd w:fill="CCEEFF" w:val="clear"/>
            <w:tcMar>
              <w:bottom w:w="28" w:type="dxa"/>
            </w:tcMar>
            <w:vAlign w:val="bottom"/>
          </w:tcPr>
          <w:p>
            <w:pPr>
              <w:pStyle w:val="TableContents"/>
              <w:bidi w:val="0"/>
              <w:spacing w:before="0" w:after="0"/>
              <w:jc w:val="right"/>
              <w:rPr/>
            </w:pPr>
            <w:r>
              <w:rPr/>
              <w:t>0.0</w:t>
            </w:r>
          </w:p>
        </w:tc>
        <w:tc>
          <w:tcPr>
            <w:tcW w:w="415" w:type="dxa"/>
            <w:tcBorders>
              <w:bottom w:val="single" w:sz="12" w:space="0" w:color="000000"/>
            </w:tcBorders>
            <w:shd w:fill="CCEEFF" w:val="clear"/>
            <w:tcMar>
              <w:bottom w:w="28" w:type="dxa"/>
            </w:tcMar>
          </w:tcPr>
          <w:p>
            <w:pPr>
              <w:pStyle w:val="TableContents"/>
              <w:bidi w:val="0"/>
              <w:spacing w:before="0" w:after="283"/>
              <w:jc w:val="left"/>
              <w:rPr/>
            </w:pPr>
            <w:r>
              <w:rPr/>
              <w:t>%</w:t>
            </w:r>
          </w:p>
        </w:tc>
      </w:tr>
      <w:tr>
        <w:trPr/>
        <w:tc>
          <w:tcPr>
            <w:tcW w:w="3421" w:type="dxa"/>
            <w:tcBorders/>
            <w:vAlign w:val="bottom"/>
          </w:tcPr>
          <w:p>
            <w:pPr>
              <w:pStyle w:val="TableContents"/>
              <w:bidi w:val="0"/>
              <w:spacing w:before="0" w:after="0"/>
              <w:jc w:val="left"/>
              <w:rPr>
                <w:b/>
              </w:rPr>
            </w:pPr>
            <w:r>
              <w:rPr>
                <w:b/>
              </w:rPr>
              <w:t>Total Revenues</w:t>
            </w:r>
          </w:p>
        </w:tc>
        <w:tc>
          <w:tcPr>
            <w:tcW w:w="90" w:type="dxa"/>
            <w:tcBorders/>
          </w:tcPr>
          <w:p>
            <w:pPr>
              <w:pStyle w:val="TableContents"/>
              <w:bidi w:val="0"/>
              <w:spacing w:before="0" w:after="283"/>
              <w:jc w:val="right"/>
              <w:rPr/>
            </w:pPr>
            <w:r>
              <w:rPr/>
              <w:t> </w:t>
            </w:r>
          </w:p>
        </w:tc>
        <w:tc>
          <w:tcPr>
            <w:tcW w:w="170" w:type="dxa"/>
            <w:tcBorders>
              <w:bottom w:val="double" w:sz="8" w:space="0" w:color="000000"/>
            </w:tcBorders>
            <w:tcMar>
              <w:bottom w:w="28" w:type="dxa"/>
            </w:tcMar>
          </w:tcPr>
          <w:p>
            <w:pPr>
              <w:pStyle w:val="TableContents"/>
              <w:bidi w:val="0"/>
              <w:spacing w:before="0" w:after="283"/>
              <w:ind w:left="0" w:right="0" w:hanging="0"/>
              <w:jc w:val="left"/>
              <w:rPr>
                <w:b/>
              </w:rPr>
            </w:pPr>
            <w:r>
              <w:rPr>
                <w:b/>
              </w:rPr>
              <w:t>$</w:t>
            </w:r>
          </w:p>
        </w:tc>
        <w:tc>
          <w:tcPr>
            <w:tcW w:w="832" w:type="dxa"/>
            <w:tcBorders>
              <w:bottom w:val="double" w:sz="8" w:space="0" w:color="000000"/>
            </w:tcBorders>
            <w:tcMar>
              <w:bottom w:w="28" w:type="dxa"/>
            </w:tcMar>
            <w:vAlign w:val="bottom"/>
          </w:tcPr>
          <w:p>
            <w:pPr>
              <w:pStyle w:val="TableContents"/>
              <w:bidi w:val="0"/>
              <w:spacing w:before="0" w:after="0"/>
              <w:ind w:left="0" w:right="0" w:hanging="0"/>
              <w:jc w:val="right"/>
              <w:rPr>
                <w:b/>
              </w:rPr>
            </w:pPr>
            <w:r>
              <w:rPr>
                <w:b/>
              </w:rPr>
              <w:t>114,493</w:t>
            </w:r>
          </w:p>
        </w:tc>
        <w:tc>
          <w:tcPr>
            <w:tcW w:w="90" w:type="dxa"/>
            <w:tcBorders>
              <w:bottom w:val="double" w:sz="8" w:space="0" w:color="000000"/>
            </w:tcBorders>
            <w:tcMar>
              <w:bottom w:w="28" w:type="dxa"/>
            </w:tcMar>
            <w:vAlign w:val="bottom"/>
          </w:tcPr>
          <w:p>
            <w:pPr>
              <w:pStyle w:val="TableContents"/>
              <w:bidi w:val="0"/>
              <w:spacing w:before="0" w:after="0"/>
              <w:jc w:val="left"/>
              <w:rPr/>
            </w:pPr>
            <w:r>
              <w:rPr/>
              <w:t> </w:t>
            </w:r>
          </w:p>
        </w:tc>
        <w:tc>
          <w:tcPr>
            <w:tcW w:w="90" w:type="dxa"/>
            <w:tcBorders/>
            <w:vAlign w:val="bottom"/>
          </w:tcPr>
          <w:p>
            <w:pPr>
              <w:pStyle w:val="TableContents"/>
              <w:bidi w:val="0"/>
              <w:spacing w:before="0" w:after="283"/>
              <w:ind w:left="0" w:right="0" w:hanging="0"/>
              <w:jc w:val="right"/>
              <w:rPr/>
            </w:pPr>
            <w:r>
              <w:rPr/>
              <w:t> </w:t>
            </w:r>
          </w:p>
        </w:tc>
        <w:tc>
          <w:tcPr>
            <w:tcW w:w="170" w:type="dxa"/>
            <w:tcBorders>
              <w:bottom w:val="double" w:sz="8" w:space="0" w:color="000000"/>
            </w:tcBorders>
            <w:tcMar>
              <w:bottom w:w="28" w:type="dxa"/>
            </w:tcMar>
            <w:vAlign w:val="bottom"/>
          </w:tcPr>
          <w:p>
            <w:pPr>
              <w:pStyle w:val="TableContents"/>
              <w:bidi w:val="0"/>
              <w:spacing w:before="0" w:after="0"/>
              <w:ind w:left="0" w:right="0" w:hanging="0"/>
              <w:jc w:val="left"/>
              <w:rPr>
                <w:b/>
              </w:rPr>
            </w:pPr>
            <w:r>
              <w:rPr>
                <w:b/>
              </w:rPr>
              <w:t>$</w:t>
            </w:r>
          </w:p>
        </w:tc>
        <w:tc>
          <w:tcPr>
            <w:tcW w:w="832" w:type="dxa"/>
            <w:tcBorders>
              <w:bottom w:val="double" w:sz="8" w:space="0" w:color="000000"/>
            </w:tcBorders>
            <w:tcMar>
              <w:bottom w:w="28" w:type="dxa"/>
            </w:tcMar>
            <w:vAlign w:val="bottom"/>
          </w:tcPr>
          <w:p>
            <w:pPr>
              <w:pStyle w:val="TableContents"/>
              <w:bidi w:val="0"/>
              <w:spacing w:before="0" w:after="0"/>
              <w:ind w:left="0" w:right="0" w:hanging="0"/>
              <w:jc w:val="right"/>
              <w:rPr>
                <w:b/>
              </w:rPr>
            </w:pPr>
            <w:r>
              <w:rPr>
                <w:b/>
              </w:rPr>
              <w:t>114,802</w:t>
            </w:r>
          </w:p>
        </w:tc>
        <w:tc>
          <w:tcPr>
            <w:tcW w:w="90" w:type="dxa"/>
            <w:tcBorders>
              <w:bottom w:val="double" w:sz="8" w:space="0" w:color="000000"/>
            </w:tcBorders>
            <w:tcMar>
              <w:bottom w:w="28" w:type="dxa"/>
            </w:tcMar>
            <w:vAlign w:val="bottom"/>
          </w:tcPr>
          <w:p>
            <w:pPr>
              <w:pStyle w:val="TableContents"/>
              <w:bidi w:val="0"/>
              <w:spacing w:before="0" w:after="0"/>
              <w:jc w:val="left"/>
              <w:rPr/>
            </w:pPr>
            <w:r>
              <w:rPr/>
              <w:t> </w:t>
            </w:r>
          </w:p>
        </w:tc>
        <w:tc>
          <w:tcPr>
            <w:tcW w:w="90" w:type="dxa"/>
            <w:tcBorders/>
            <w:vAlign w:val="bottom"/>
          </w:tcPr>
          <w:p>
            <w:pPr>
              <w:pStyle w:val="TableContents"/>
              <w:bidi w:val="0"/>
              <w:spacing w:before="0" w:after="283"/>
              <w:ind w:left="0" w:right="0" w:hanging="0"/>
              <w:jc w:val="right"/>
              <w:rPr/>
            </w:pPr>
            <w:r>
              <w:rPr/>
              <w:t> </w:t>
            </w:r>
          </w:p>
        </w:tc>
        <w:tc>
          <w:tcPr>
            <w:tcW w:w="170" w:type="dxa"/>
            <w:tcBorders>
              <w:bottom w:val="double" w:sz="8" w:space="0" w:color="000000"/>
            </w:tcBorders>
            <w:tcMar>
              <w:bottom w:w="28" w:type="dxa"/>
            </w:tcMar>
            <w:vAlign w:val="bottom"/>
          </w:tcPr>
          <w:p>
            <w:pPr>
              <w:pStyle w:val="TableContents"/>
              <w:bidi w:val="0"/>
              <w:spacing w:before="0" w:after="0"/>
              <w:ind w:left="0" w:right="0" w:hanging="0"/>
              <w:jc w:val="left"/>
              <w:rPr>
                <w:b/>
              </w:rPr>
            </w:pPr>
            <w:r>
              <w:rPr>
                <w:b/>
              </w:rPr>
              <w:t>$</w:t>
            </w:r>
          </w:p>
        </w:tc>
        <w:tc>
          <w:tcPr>
            <w:tcW w:w="1117" w:type="dxa"/>
            <w:tcBorders>
              <w:bottom w:val="double" w:sz="8" w:space="0" w:color="000000"/>
            </w:tcBorders>
            <w:tcMar>
              <w:bottom w:w="28" w:type="dxa"/>
            </w:tcMar>
            <w:vAlign w:val="bottom"/>
          </w:tcPr>
          <w:p>
            <w:pPr>
              <w:pStyle w:val="TableContents"/>
              <w:bidi w:val="0"/>
              <w:spacing w:before="0" w:after="0"/>
              <w:ind w:left="0" w:right="0" w:hanging="0"/>
              <w:jc w:val="right"/>
              <w:rPr>
                <w:b/>
              </w:rPr>
            </w:pPr>
            <w:r>
              <w:rPr>
                <w:b/>
              </w:rPr>
              <w:t>(309</w:t>
            </w:r>
          </w:p>
        </w:tc>
        <w:tc>
          <w:tcPr>
            <w:tcW w:w="185" w:type="dxa"/>
            <w:tcBorders>
              <w:bottom w:val="double" w:sz="8" w:space="0" w:color="000000"/>
            </w:tcBorders>
            <w:tcMar>
              <w:bottom w:w="28" w:type="dxa"/>
            </w:tcMar>
            <w:vAlign w:val="bottom"/>
          </w:tcPr>
          <w:p>
            <w:pPr>
              <w:pStyle w:val="TableContents"/>
              <w:bidi w:val="0"/>
              <w:spacing w:before="0" w:after="0"/>
              <w:jc w:val="left"/>
              <w:rPr>
                <w:b/>
              </w:rPr>
            </w:pPr>
            <w:r>
              <w:rPr>
                <w:b/>
              </w:rPr>
              <w:t>) </w:t>
            </w:r>
          </w:p>
        </w:tc>
        <w:tc>
          <w:tcPr>
            <w:tcW w:w="90" w:type="dxa"/>
            <w:tcBorders/>
            <w:vAlign w:val="bottom"/>
          </w:tcPr>
          <w:p>
            <w:pPr>
              <w:pStyle w:val="TableContents"/>
              <w:bidi w:val="0"/>
              <w:spacing w:before="0" w:after="283"/>
              <w:ind w:left="0" w:right="0" w:hanging="0"/>
              <w:jc w:val="right"/>
              <w:rPr/>
            </w:pPr>
            <w:r>
              <w:rPr/>
              <w:t> </w:t>
            </w:r>
          </w:p>
        </w:tc>
        <w:tc>
          <w:tcPr>
            <w:tcW w:w="90" w:type="dxa"/>
            <w:tcBorders>
              <w:bottom w:val="double" w:sz="8" w:space="0" w:color="000000"/>
            </w:tcBorders>
            <w:tcMar>
              <w:bottom w:w="28" w:type="dxa"/>
            </w:tcMar>
            <w:vAlign w:val="bottom"/>
          </w:tcPr>
          <w:p>
            <w:pPr>
              <w:pStyle w:val="TableContents"/>
              <w:bidi w:val="0"/>
              <w:spacing w:before="0" w:after="0"/>
              <w:ind w:left="0" w:right="0" w:hanging="0"/>
              <w:jc w:val="left"/>
              <w:rPr/>
            </w:pPr>
            <w:r>
              <w:rPr/>
              <w:t> </w:t>
            </w:r>
          </w:p>
        </w:tc>
        <w:tc>
          <w:tcPr>
            <w:tcW w:w="1418" w:type="dxa"/>
            <w:tcBorders>
              <w:bottom w:val="double" w:sz="8" w:space="0" w:color="000000"/>
            </w:tcBorders>
            <w:tcMar>
              <w:bottom w:w="28" w:type="dxa"/>
            </w:tcMar>
            <w:vAlign w:val="bottom"/>
          </w:tcPr>
          <w:p>
            <w:pPr>
              <w:pStyle w:val="TableContents"/>
              <w:bidi w:val="0"/>
              <w:spacing w:before="0" w:after="0"/>
              <w:jc w:val="right"/>
              <w:rPr>
                <w:b/>
              </w:rPr>
            </w:pPr>
            <w:r>
              <w:rPr>
                <w:b/>
              </w:rPr>
              <w:t>(0.3</w:t>
            </w:r>
          </w:p>
        </w:tc>
        <w:tc>
          <w:tcPr>
            <w:tcW w:w="415" w:type="dxa"/>
            <w:tcBorders>
              <w:bottom w:val="double" w:sz="8" w:space="0" w:color="000000"/>
            </w:tcBorders>
            <w:tcMar>
              <w:bottom w:w="28" w:type="dxa"/>
            </w:tcMar>
          </w:tcPr>
          <w:p>
            <w:pPr>
              <w:pStyle w:val="TableContents"/>
              <w:bidi w:val="0"/>
              <w:spacing w:before="0" w:after="283"/>
              <w:jc w:val="left"/>
              <w:rPr>
                <w:b/>
              </w:rPr>
            </w:pPr>
            <w:r>
              <w:rPr>
                <w:b/>
              </w:rPr>
              <w:t>)%</w:t>
            </w:r>
          </w:p>
        </w:tc>
      </w:tr>
    </w:tbl>
    <w:p>
      <w:pPr>
        <w:pStyle w:val="TextBody"/>
        <w:bidi w:val="0"/>
        <w:spacing w:before="0" w:after="0"/>
        <w:ind w:left="0" w:right="0" w:hanging="360"/>
        <w:jc w:val="both"/>
        <w:rPr/>
      </w:pPr>
      <w:r>
        <w:rPr/>
        <w:t> </w:t>
      </w:r>
    </w:p>
    <w:p>
      <w:pPr>
        <w:pStyle w:val="TextBody"/>
        <w:bidi w:val="0"/>
        <w:spacing w:before="0" w:after="0"/>
        <w:jc w:val="left"/>
        <w:rPr/>
      </w:pPr>
      <w:r>
        <w:rPr/>
        <w:t> </w:t>
      </w:r>
      <w:r>
        <w:rPr>
          <w:rFonts w:ascii="Times New Roman" w:hAnsi="Times New Roman"/>
          <w:position w:val="7"/>
          <w:sz w:val="16"/>
          <w:sz w:val="20"/>
        </w:rPr>
        <w:t>(1)</w:t>
      </w:r>
      <w:r>
        <w:rPr>
          <w:rFonts w:ascii="Times New Roman" w:hAnsi="Times New Roman"/>
          <w:sz w:val="20"/>
        </w:rPr>
        <w:t xml:space="preserve"> Due to Nabi-HB historically representing less than 10% of the Company’s revenue within the ADMA BioManufacturing segment, it has been included under intermediates and other products.</w:t>
      </w:r>
    </w:p>
    <w:p>
      <w:pPr>
        <w:pStyle w:val="TextBody"/>
        <w:bidi w:val="0"/>
        <w:spacing w:before="0" w:after="0"/>
        <w:ind w:left="0" w:right="0" w:hanging="0"/>
        <w:jc w:val="left"/>
        <w:rPr>
          <w:sz w:val="22"/>
        </w:rPr>
      </w:pPr>
      <w:r>
        <w:rPr>
          <w:sz w:val="22"/>
        </w:rPr>
      </w:r>
    </w:p>
    <w:p>
      <w:pPr>
        <w:pStyle w:val="TextBody"/>
        <w:bidi w:val="0"/>
        <w:spacing w:before="150" w:after="15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t>24</w:t>
      </w:r>
    </w:p>
    <w:p>
      <w:pPr>
        <w:pStyle w:val="HorizontalLine"/>
        <w:bidi w:val="0"/>
        <w:spacing w:before="150" w:after="150"/>
        <w:jc w:val="left"/>
        <w:rPr/>
      </w:pPr>
      <w:r>
        <w:rPr/>
      </w:r>
    </w:p>
    <w:p>
      <w:pPr>
        <w:pStyle w:val="TextBody"/>
        <w:bidi w:val="0"/>
        <w:spacing w:before="150" w:after="150"/>
        <w:jc w:val="left"/>
        <w:rPr/>
      </w:pPr>
      <w:hyperlink w:anchor="index">
        <w:r>
          <w:rPr>
            <w:rStyle w:val="InternetLink"/>
            <w:rFonts w:ascii="TimesNewRoman;Times New Roman;Times;Baskerville;Georgia;serif" w:hAnsi="TimesNewRoman;Times New Roman;Times;Baskerville;Georgia;serif"/>
            <w:b w:val="false"/>
            <w:i/>
            <w:caps w:val="false"/>
            <w:smallCaps w:val="false"/>
            <w:strike w:val="false"/>
            <w:dstrike w:val="false"/>
            <w:sz w:val="16"/>
            <w:u w:val="none"/>
            <w:effect w:val="none"/>
          </w:rPr>
          <w:t>Index</w:t>
        </w:r>
      </w:hyperlink>
    </w:p>
    <w:p>
      <w:pPr>
        <w:pStyle w:val="TextBody"/>
        <w:bidi w:val="0"/>
        <w:spacing w:before="0" w:after="0"/>
        <w:ind w:left="0" w:right="0" w:firstLine="720"/>
        <w:jc w:val="both"/>
        <w:rPr>
          <w:rFonts w:ascii="Times New Roman" w:hAnsi="Times New Roman"/>
          <w:sz w:val="20"/>
        </w:rPr>
      </w:pPr>
      <w:r>
        <w:rPr>
          <w:rFonts w:ascii="Times New Roman" w:hAnsi="Times New Roman"/>
          <w:sz w:val="20"/>
        </w:rPr>
        <w:t>The decrease in total revenue was primarily driven by the $18.1 million reduction in BIVIGAM sales driven by lower volume as a result of competitive pressures in the standard immune globulin industry, and by the $3.0 million decrease in Intermediates and other products revenue, driven by the discontinuation of sales of certain intermediate products in the first quarter of 2025. These decreases were offset by the $21.1 million increase in ASCENIV sales, reflecting continued growth in market acceptance.</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b/>
          <w:i/>
          <w:sz w:val="20"/>
        </w:rPr>
      </w:pPr>
      <w:r>
        <w:rPr>
          <w:rFonts w:ascii="Times New Roman" w:hAnsi="Times New Roman"/>
          <w:b/>
          <w:i/>
          <w:sz w:val="20"/>
        </w:rPr>
        <w:t>Cost of Product Revenue and Gross Profit</w:t>
      </w:r>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 w:hAnsi="Times New Roman"/>
          <w:i w:val="false"/>
          <w:caps w:val="false"/>
          <w:smallCaps w:val="false"/>
          <w:sz w:val="20"/>
        </w:rPr>
      </w:pPr>
      <w:r>
        <w:rPr>
          <w:rFonts w:ascii="Times New Roman" w:hAnsi="Times New Roman"/>
          <w:i w:val="false"/>
          <w:caps w:val="false"/>
          <w:smallCaps w:val="false"/>
          <w:sz w:val="20"/>
        </w:rPr>
        <w:t>Cost of product revenue was $33.7 million for the three months ended March 31, 2026, as compared to $53.7 million for the three months ended March 31, 2025. This decrease is primarily attributable to lower volume of BIVIGAM, partially offset by the increase in ASCENIV volume.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i w:val="false"/>
          <w:caps w:val="false"/>
          <w:smallCaps w:val="false"/>
          <w:sz w:val="20"/>
        </w:rPr>
      </w:pPr>
      <w:r>
        <w:rPr>
          <w:rFonts w:ascii="Times New Roman" w:hAnsi="Times New Roman"/>
          <w:i w:val="false"/>
          <w:caps w:val="false"/>
          <w:smallCaps w:val="false"/>
          <w:sz w:val="20"/>
        </w:rPr>
        <w:t>For the three months ended March 31, 2026, we had gross profit of $80.8 million, as compared to $61.1 million for the same period of a year ago, which represents gross margin in the first quarter of 2025 of 70.5%, as compared to 53.2% in the first quarter of 2025. The improvement in gross margin is primarily driven by the favorable product mix in 2026, along with the margin benefits of the yield enhancement manufacturing process.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i/>
          <w:sz w:val="20"/>
        </w:rPr>
      </w:pPr>
      <w:r>
        <w:rPr>
          <w:rFonts w:ascii="Times New Roman" w:hAnsi="Times New Roman"/>
          <w:b/>
          <w:i/>
          <w:sz w:val="20"/>
        </w:rPr>
        <w:t>Research and Development Expenses</w:t>
      </w:r>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 w:hAnsi="Times New Roman"/>
          <w:sz w:val="20"/>
        </w:rPr>
      </w:pPr>
      <w:r>
        <w:rPr>
          <w:rFonts w:ascii="Times New Roman" w:hAnsi="Times New Roman"/>
          <w:sz w:val="20"/>
        </w:rPr>
        <w:t>Research and development expenses totaled $2.6 million for the first quarter of 2026, as compared to $0.8 million for the first quarter of 2025. The increase is primarily due to the investments in the SG-001 development project.</w:t>
      </w:r>
    </w:p>
    <w:p>
      <w:pPr>
        <w:pStyle w:val="TextBody"/>
        <w:bidi w:val="0"/>
        <w:spacing w:before="0" w:after="0"/>
        <w:ind w:left="0" w:right="0" w:firstLine="720"/>
        <w:jc w:val="left"/>
        <w:rPr/>
      </w:pPr>
      <w:r>
        <w:rPr/>
        <w:t> </w:t>
      </w:r>
    </w:p>
    <w:p>
      <w:pPr>
        <w:pStyle w:val="TextBody"/>
        <w:bidi w:val="0"/>
        <w:spacing w:before="0" w:after="0"/>
        <w:ind w:left="0" w:right="0" w:hanging="0"/>
        <w:jc w:val="left"/>
        <w:rPr>
          <w:rFonts w:ascii="Times New Roman" w:hAnsi="Times New Roman"/>
          <w:b/>
          <w:i/>
          <w:sz w:val="20"/>
        </w:rPr>
      </w:pPr>
      <w:r>
        <w:rPr>
          <w:rFonts w:ascii="Times New Roman" w:hAnsi="Times New Roman"/>
          <w:b/>
          <w:i/>
          <w:sz w:val="20"/>
        </w:rPr>
        <w:t>Plasma Center Operating Expenses</w:t>
      </w:r>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 w:hAnsi="Times New Roman"/>
          <w:sz w:val="20"/>
        </w:rPr>
      </w:pPr>
      <w:r>
        <w:rPr>
          <w:rFonts w:ascii="Times New Roman" w:hAnsi="Times New Roman"/>
          <w:sz w:val="20"/>
        </w:rPr>
        <w:t>Plasma center operating expenses, which primarily consist of compensation and benefits for plasma center management and administrative staff, decreased from $1.3 million for the three months ended March 31, 2025 to $1.1 million for the three months ended March 31, 2026, primarily due to the sale of three plasma centers in the first quarter of 2026.</w:t>
      </w:r>
    </w:p>
    <w:p>
      <w:pPr>
        <w:pStyle w:val="TextBody"/>
        <w:bidi w:val="0"/>
        <w:spacing w:before="0" w:after="0"/>
        <w:ind w:left="0" w:right="0" w:firstLine="720"/>
        <w:jc w:val="both"/>
        <w:rPr/>
      </w:pPr>
      <w:r>
        <w:rPr/>
        <w:t> </w:t>
      </w:r>
    </w:p>
    <w:p>
      <w:pPr>
        <w:pStyle w:val="TextBody"/>
        <w:bidi w:val="0"/>
        <w:spacing w:before="0" w:after="0"/>
        <w:ind w:left="0" w:right="0" w:hanging="0"/>
        <w:jc w:val="left"/>
        <w:rPr>
          <w:rFonts w:ascii="Times New Roman" w:hAnsi="Times New Roman"/>
          <w:b/>
          <w:i/>
          <w:sz w:val="20"/>
        </w:rPr>
      </w:pPr>
      <w:r>
        <w:rPr>
          <w:rFonts w:ascii="Times New Roman" w:hAnsi="Times New Roman"/>
          <w:b/>
          <w:i/>
          <w:sz w:val="20"/>
        </w:rPr>
        <w:t>Amortization of Intangibles</w:t>
      </w:r>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 w:hAnsi="Times New Roman"/>
          <w:sz w:val="20"/>
        </w:rPr>
      </w:pPr>
      <w:r>
        <w:rPr>
          <w:rFonts w:ascii="Times New Roman" w:hAnsi="Times New Roman"/>
          <w:sz w:val="20"/>
        </w:rPr>
        <w:t>Amortization expense mainly pertains to internally developed software and was $0.1 million and less than $0.1 million for the three months ended March 31, 2026 and 2025, respectively.</w:t>
      </w:r>
    </w:p>
    <w:p>
      <w:pPr>
        <w:pStyle w:val="TextBody"/>
        <w:bidi w:val="0"/>
        <w:spacing w:before="0" w:after="0"/>
        <w:ind w:left="0" w:right="0" w:firstLine="720"/>
        <w:jc w:val="left"/>
        <w:rPr/>
      </w:pPr>
      <w:r>
        <w:rPr/>
        <w:t> </w:t>
      </w:r>
    </w:p>
    <w:p>
      <w:pPr>
        <w:pStyle w:val="TextBody"/>
        <w:bidi w:val="0"/>
        <w:spacing w:before="0" w:after="0"/>
        <w:ind w:left="0" w:right="0" w:hanging="0"/>
        <w:jc w:val="left"/>
        <w:rPr>
          <w:rFonts w:ascii="Times New Roman" w:hAnsi="Times New Roman"/>
          <w:b/>
          <w:i/>
          <w:sz w:val="20"/>
        </w:rPr>
      </w:pPr>
      <w:r>
        <w:rPr>
          <w:rFonts w:ascii="Times New Roman" w:hAnsi="Times New Roman"/>
          <w:b/>
          <w:i/>
          <w:sz w:val="20"/>
        </w:rPr>
        <w:t>Gain on sale of plasma centers</w:t>
      </w:r>
    </w:p>
    <w:p>
      <w:pPr>
        <w:pStyle w:val="TextBody"/>
        <w:bidi w:val="0"/>
        <w:spacing w:before="0" w:after="0"/>
        <w:ind w:left="0" w:right="0" w:hanging="0"/>
        <w:jc w:val="left"/>
        <w:rPr/>
      </w:pPr>
      <w:r>
        <w:rPr/>
        <w:t> </w:t>
      </w:r>
    </w:p>
    <w:p>
      <w:pPr>
        <w:pStyle w:val="TextBody"/>
        <w:bidi w:val="0"/>
        <w:spacing w:before="0" w:after="0"/>
        <w:ind w:left="0" w:right="0" w:firstLine="750"/>
        <w:jc w:val="both"/>
        <w:rPr>
          <w:rFonts w:ascii="Times New Roman" w:hAnsi="Times New Roman"/>
          <w:i w:val="false"/>
          <w:caps w:val="false"/>
          <w:smallCaps w:val="false"/>
          <w:sz w:val="20"/>
        </w:rPr>
      </w:pPr>
      <w:r>
        <w:rPr>
          <w:rFonts w:ascii="Times New Roman" w:hAnsi="Times New Roman"/>
          <w:i w:val="false"/>
          <w:caps w:val="false"/>
          <w:smallCaps w:val="false"/>
          <w:sz w:val="20"/>
        </w:rPr>
        <w:t>Gain on sale of plasma centers was $8.0 million for the three months ended March 31, 2026, as result of the sale of three of our plasma centers, completed during the period.</w:t>
      </w:r>
    </w:p>
    <w:p>
      <w:pPr>
        <w:pStyle w:val="TextBody"/>
        <w:bidi w:val="0"/>
        <w:spacing w:before="0" w:after="0"/>
        <w:ind w:left="0" w:right="0" w:firstLine="720"/>
        <w:jc w:val="left"/>
        <w:rPr/>
      </w:pPr>
      <w:r>
        <w:rPr/>
        <w:t> </w:t>
      </w:r>
    </w:p>
    <w:p>
      <w:pPr>
        <w:pStyle w:val="TextBody"/>
        <w:bidi w:val="0"/>
        <w:spacing w:before="0" w:after="0"/>
        <w:ind w:left="0" w:right="0" w:hanging="0"/>
        <w:jc w:val="left"/>
        <w:rPr>
          <w:rFonts w:ascii="Times New Roman" w:hAnsi="Times New Roman"/>
          <w:b/>
          <w:i/>
          <w:sz w:val="20"/>
        </w:rPr>
      </w:pPr>
      <w:r>
        <w:rPr>
          <w:rFonts w:ascii="Times New Roman" w:hAnsi="Times New Roman"/>
          <w:b/>
          <w:i/>
          <w:sz w:val="20"/>
        </w:rPr>
        <w:t>Selling, General and Administrative Expenses</w:t>
      </w:r>
    </w:p>
    <w:p>
      <w:pPr>
        <w:pStyle w:val="TextBody"/>
        <w:bidi w:val="0"/>
        <w:spacing w:before="0" w:after="0"/>
        <w:ind w:left="0" w:right="0" w:firstLine="720"/>
        <w:jc w:val="both"/>
        <w:rPr/>
      </w:pPr>
      <w:r>
        <w:rPr/>
        <w:t> </w:t>
      </w:r>
    </w:p>
    <w:p>
      <w:pPr>
        <w:pStyle w:val="TextBody"/>
        <w:bidi w:val="0"/>
        <w:spacing w:before="0" w:after="0"/>
        <w:ind w:left="0" w:right="0" w:firstLine="720"/>
        <w:jc w:val="both"/>
        <w:rPr>
          <w:rFonts w:ascii="Times New Roman" w:hAnsi="Times New Roman"/>
          <w:sz w:val="20"/>
        </w:rPr>
      </w:pPr>
      <w:r>
        <w:rPr>
          <w:rFonts w:ascii="Times New Roman" w:hAnsi="Times New Roman"/>
          <w:sz w:val="20"/>
        </w:rPr>
        <w:t>Selling, general and administrative (“SG&amp;A”) expenses were $26.7 million for the three months ended March 31, 2026, an increase of $2.7 million as compared to the three months ended March 31, 2025. The increase is primarily driven by the higher employee-related costs of $2.4 million, which included the impact of share-based compensation modification related to the departure of our former Chief Financial Officer and Treasurer in the amount of $0.8 million and increased headcount to support our business.</w:t>
      </w:r>
    </w:p>
    <w:p>
      <w:pPr>
        <w:pStyle w:val="TextBody"/>
        <w:bidi w:val="0"/>
        <w:spacing w:before="0" w:after="0"/>
        <w:ind w:left="0" w:right="0" w:firstLine="720"/>
        <w:jc w:val="both"/>
        <w:rPr/>
      </w:pPr>
      <w:r>
        <w:rPr/>
        <w:t> </w:t>
      </w:r>
    </w:p>
    <w:p>
      <w:pPr>
        <w:pStyle w:val="TextBody"/>
        <w:bidi w:val="0"/>
        <w:spacing w:before="0" w:after="0"/>
        <w:ind w:left="0" w:right="0" w:hanging="0"/>
        <w:jc w:val="left"/>
        <w:rPr>
          <w:rFonts w:ascii="Times New Roman" w:hAnsi="Times New Roman"/>
          <w:b/>
          <w:i/>
          <w:sz w:val="20"/>
        </w:rPr>
      </w:pPr>
      <w:r>
        <w:rPr>
          <w:rFonts w:ascii="Times New Roman" w:hAnsi="Times New Roman"/>
          <w:b/>
          <w:i/>
          <w:sz w:val="20"/>
        </w:rPr>
        <w:t>Interest and Other Income</w:t>
      </w:r>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 w:hAnsi="Times New Roman"/>
          <w:sz w:val="20"/>
        </w:rPr>
      </w:pPr>
      <w:r>
        <w:rPr>
          <w:rFonts w:ascii="Times New Roman" w:hAnsi="Times New Roman"/>
          <w:sz w:val="20"/>
        </w:rPr>
        <w:t>Interest and other income for the three months ended March 31, 2026 was $1.1 million, as compared to $0.6 million for the three months ended March 31, 2025, driven by the higher average cash balances in 2026 and refinement of our cash investment strategy.</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b/>
          <w:i/>
          <w:sz w:val="20"/>
        </w:rPr>
      </w:pPr>
      <w:r>
        <w:rPr>
          <w:rFonts w:ascii="Times New Roman" w:hAnsi="Times New Roman"/>
          <w:b/>
          <w:i/>
          <w:sz w:val="20"/>
        </w:rPr>
        <w:t>Interest Expense</w:t>
      </w:r>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 w:hAnsi="Times New Roman"/>
          <w:sz w:val="20"/>
        </w:rPr>
      </w:pPr>
      <w:r>
        <w:rPr>
          <w:rFonts w:ascii="Times New Roman" w:hAnsi="Times New Roman"/>
          <w:sz w:val="20"/>
        </w:rPr>
        <w:t>Interest expense for the three months ended March 31, 2026 was $2.1 million, as compared to $2.0 million for the three months ended March 31, 2025, driven by the higher average debt balances in 2026, partially offset by lower interest rates.</w:t>
      </w:r>
    </w:p>
    <w:p>
      <w:pPr>
        <w:pStyle w:val="TextBody"/>
        <w:bidi w:val="0"/>
        <w:spacing w:before="0" w:after="0"/>
        <w:ind w:left="0" w:right="0" w:firstLine="720"/>
        <w:jc w:val="left"/>
        <w:rPr/>
      </w:pPr>
      <w:r>
        <w:rPr/>
        <w:t> </w:t>
      </w:r>
    </w:p>
    <w:p>
      <w:pPr>
        <w:pStyle w:val="TextBody"/>
        <w:bidi w:val="0"/>
        <w:spacing w:before="0" w:after="0"/>
        <w:ind w:left="0" w:right="0" w:hanging="0"/>
        <w:jc w:val="left"/>
        <w:rPr>
          <w:rFonts w:ascii="Times New Roman" w:hAnsi="Times New Roman"/>
          <w:b/>
          <w:i/>
          <w:sz w:val="20"/>
        </w:rPr>
      </w:pPr>
      <w:r>
        <w:rPr>
          <w:rFonts w:ascii="Times New Roman" w:hAnsi="Times New Roman"/>
          <w:b/>
          <w:i/>
          <w:sz w:val="20"/>
        </w:rPr>
        <w:t>Other Expense</w:t>
      </w:r>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 w:hAnsi="Times New Roman"/>
          <w:sz w:val="20"/>
        </w:rPr>
      </w:pPr>
      <w:r>
        <w:rPr>
          <w:rFonts w:ascii="Times New Roman" w:hAnsi="Times New Roman"/>
          <w:sz w:val="20"/>
        </w:rPr>
        <w:t>Other expense was $0.1 million for the three months ended March 31, 2025 and 2026.</w:t>
      </w:r>
    </w:p>
    <w:p>
      <w:pPr>
        <w:pStyle w:val="TextBody"/>
        <w:bidi w:val="0"/>
        <w:spacing w:before="0" w:after="0"/>
        <w:ind w:left="0" w:right="0" w:firstLine="720"/>
        <w:jc w:val="both"/>
        <w:rPr/>
      </w:pPr>
      <w:r>
        <w:rPr/>
        <w:t> </w:t>
      </w:r>
    </w:p>
    <w:p>
      <w:pPr>
        <w:pStyle w:val="TextBody"/>
        <w:bidi w:val="0"/>
        <w:spacing w:before="150" w:after="15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t>25</w:t>
      </w:r>
    </w:p>
    <w:p>
      <w:pPr>
        <w:pStyle w:val="HorizontalLine"/>
        <w:bidi w:val="0"/>
        <w:spacing w:before="150" w:after="150"/>
        <w:jc w:val="left"/>
        <w:rPr/>
      </w:pPr>
      <w:r>
        <w:rPr/>
      </w:r>
    </w:p>
    <w:p>
      <w:pPr>
        <w:pStyle w:val="TextBody"/>
        <w:bidi w:val="0"/>
        <w:spacing w:before="150" w:after="150"/>
        <w:jc w:val="left"/>
        <w:rPr/>
      </w:pPr>
      <w:hyperlink w:anchor="index">
        <w:r>
          <w:rPr>
            <w:rStyle w:val="InternetLink"/>
            <w:rFonts w:ascii="TimesNewRoman;Times New Roman;Times;Baskerville;Georgia;serif" w:hAnsi="TimesNewRoman;Times New Roman;Times;Baskerville;Georgia;serif"/>
            <w:b w:val="false"/>
            <w:i/>
            <w:caps w:val="false"/>
            <w:smallCaps w:val="false"/>
            <w:strike w:val="false"/>
            <w:dstrike w:val="false"/>
            <w:sz w:val="16"/>
            <w:u w:val="none"/>
            <w:effect w:val="none"/>
          </w:rPr>
          <w:t>Index</w:t>
        </w:r>
      </w:hyperlink>
    </w:p>
    <w:p>
      <w:pPr>
        <w:pStyle w:val="TextBody"/>
        <w:bidi w:val="0"/>
        <w:spacing w:before="0" w:after="0"/>
        <w:jc w:val="left"/>
        <w:rPr>
          <w:rFonts w:ascii="Times New Roman" w:hAnsi="Times New Roman"/>
          <w:i/>
          <w:sz w:val="24"/>
        </w:rPr>
      </w:pPr>
      <w:r>
        <w:rPr>
          <w:rFonts w:ascii="Times New Roman" w:hAnsi="Times New Roman"/>
          <w:b/>
          <w:i/>
          <w:sz w:val="20"/>
        </w:rPr>
        <w:t>Income Tax Expense</w:t>
      </w:r>
      <w:r>
        <w:rPr>
          <w:rFonts w:ascii="Times New Roman" w:hAnsi="Times New Roman"/>
          <w:i/>
          <w:sz w:val="24"/>
        </w:rPr>
        <w:t xml:space="preserve"> </w:t>
      </w:r>
    </w:p>
    <w:p>
      <w:pPr>
        <w:pStyle w:val="TextBody"/>
        <w:bidi w:val="0"/>
        <w:spacing w:before="0" w:after="0"/>
        <w:jc w:val="left"/>
        <w:rPr/>
      </w:pPr>
      <w:r>
        <w:rPr/>
        <w:t xml:space="preserve">  </w:t>
      </w:r>
    </w:p>
    <w:p>
      <w:pPr>
        <w:pStyle w:val="TextBody"/>
        <w:bidi w:val="0"/>
        <w:spacing w:before="0" w:after="0"/>
        <w:ind w:left="0" w:right="0" w:firstLine="720"/>
        <w:jc w:val="both"/>
        <w:rPr>
          <w:rFonts w:ascii="Times New Roman" w:hAnsi="Times New Roman"/>
          <w:sz w:val="20"/>
        </w:rPr>
      </w:pPr>
      <w:r>
        <w:rPr>
          <w:rFonts w:ascii="Times New Roman" w:hAnsi="Times New Roman"/>
          <w:sz w:val="20"/>
        </w:rPr>
        <w:t xml:space="preserve">The provision for income taxes of $11.8 million for the three months ended March 31, 2026 represented an effective tax rate of 20.7%, as compared to the provision of $6.5 million for the three months ended March 31, 2025, with an effective tax rate of 19.6%. </w:t>
      </w:r>
    </w:p>
    <w:p>
      <w:pPr>
        <w:pStyle w:val="TextBody"/>
        <w:bidi w:val="0"/>
        <w:spacing w:before="0" w:after="0"/>
        <w:jc w:val="both"/>
        <w:rPr/>
      </w:pPr>
      <w:r>
        <w:rPr/>
        <w:t xml:space="preserve">  </w:t>
      </w:r>
    </w:p>
    <w:p>
      <w:pPr>
        <w:pStyle w:val="TextBody"/>
        <w:bidi w:val="0"/>
        <w:spacing w:before="0" w:after="0"/>
        <w:jc w:val="left"/>
        <w:rPr>
          <w:rFonts w:ascii="Times New Roman" w:hAnsi="Times New Roman"/>
          <w:sz w:val="24"/>
        </w:rPr>
      </w:pPr>
      <w:r>
        <w:rPr>
          <w:rFonts w:ascii="Times New Roman" w:hAnsi="Times New Roman"/>
          <w:b/>
          <w:sz w:val="20"/>
        </w:rPr>
        <w:t>Non-GAAP Financial Measures</w:t>
      </w:r>
      <w:r>
        <w:rPr>
          <w:rFonts w:ascii="Times New Roman" w:hAnsi="Times New Roman"/>
          <w:sz w:val="24"/>
        </w:rPr>
        <w:t xml:space="preserve"> </w:t>
      </w:r>
    </w:p>
    <w:p>
      <w:pPr>
        <w:pStyle w:val="TextBody"/>
        <w:bidi w:val="0"/>
        <w:spacing w:before="0" w:after="0"/>
        <w:jc w:val="left"/>
        <w:rPr/>
      </w:pPr>
      <w:r>
        <w:rPr/>
        <w:t xml:space="preserve">  </w:t>
      </w:r>
    </w:p>
    <w:p>
      <w:pPr>
        <w:pStyle w:val="TextBody"/>
        <w:bidi w:val="0"/>
        <w:spacing w:before="0" w:after="0"/>
        <w:jc w:val="left"/>
        <w:rPr>
          <w:rFonts w:ascii="Times New Roman" w:hAnsi="Times New Roman"/>
          <w:sz w:val="24"/>
        </w:rPr>
      </w:pPr>
      <w:r>
        <w:rPr>
          <w:rFonts w:ascii="Times New Roman" w:hAnsi="Times New Roman"/>
          <w:b/>
          <w:i/>
          <w:sz w:val="20"/>
        </w:rPr>
        <w:t>Earnings Before Interest, Taxes, Depreciation and Amortization (“EBITDA”), Adjusted EBITDA and Adjusted Net Income</w:t>
      </w:r>
      <w:r>
        <w:rPr>
          <w:rFonts w:ascii="Times New Roman" w:hAnsi="Times New Roman"/>
          <w:sz w:val="24"/>
        </w:rPr>
        <w:t xml:space="preserve"> </w:t>
      </w:r>
    </w:p>
    <w:p>
      <w:pPr>
        <w:pStyle w:val="TextBody"/>
        <w:bidi w:val="0"/>
        <w:spacing w:before="0" w:after="0"/>
        <w:jc w:val="left"/>
        <w:rPr/>
      </w:pPr>
      <w:r>
        <w:rPr/>
        <w:t xml:space="preserve">  </w:t>
      </w:r>
    </w:p>
    <w:p>
      <w:pPr>
        <w:pStyle w:val="TextBody"/>
        <w:bidi w:val="0"/>
        <w:spacing w:before="0" w:after="0"/>
        <w:ind w:left="0" w:right="0" w:firstLine="720"/>
        <w:jc w:val="both"/>
        <w:rPr>
          <w:rFonts w:ascii="Times New Roman" w:hAnsi="Times New Roman"/>
          <w:sz w:val="24"/>
        </w:rPr>
      </w:pPr>
      <w:r>
        <w:rPr>
          <w:rFonts w:ascii="Times New Roman" w:hAnsi="Times New Roman"/>
          <w:sz w:val="20"/>
        </w:rPr>
        <w:t>EBITDA, Adjusted EBITDA and Adjusted net income are important non-GAAP financial measures used by our management and Board of Directors to assess our operating performance. We use EBITDA, Adjusted EBITDA and Adjusted net income as key performance measures because we believe that they facilitate operating performance comparisons from period to period that exclude, in the case of Adjusted net income, items that are expected to be non-recurring, and in the case of EBITDA and Adjusted EBITDA, potential differences driven by the impact of variations of non-cash items such as depreciation and amortization, as well as, in the case of Adjusted EBITDA, stock-based compensation or certain one-time and non-recurring items. In addition, we believe that EBITDA, Adjusted EBITDA and Adjusted net income and similar measures are widely used by investors, securities analysts, ratings agencies and other parties in evaluating companies in our industry as a measure of financial performance and debt-service capabilities. See below for a reconciliation of our EBITDA, Adjusted EBITDA and Adjusted net income to net income, the most directly comparable financial measure calculated and presented in accordance with U.S. GAAP.</w:t>
      </w:r>
      <w:r>
        <w:rPr>
          <w:rFonts w:ascii="Times New Roman" w:hAnsi="Times New Roman"/>
          <w:sz w:val="24"/>
        </w:rPr>
        <w:t xml:space="preserve"> </w:t>
      </w:r>
    </w:p>
    <w:p>
      <w:pPr>
        <w:pStyle w:val="TextBody"/>
        <w:bidi w:val="0"/>
        <w:spacing w:before="0" w:after="0"/>
        <w:jc w:val="both"/>
        <w:rPr/>
      </w:pPr>
      <w:r>
        <w:rPr/>
        <w:t xml:space="preserve">  </w:t>
      </w:r>
    </w:p>
    <w:p>
      <w:pPr>
        <w:pStyle w:val="TextBody"/>
        <w:bidi w:val="0"/>
        <w:spacing w:before="0" w:after="0"/>
        <w:ind w:left="0" w:right="0" w:firstLine="720"/>
        <w:jc w:val="both"/>
        <w:rPr>
          <w:rFonts w:ascii="Times New Roman" w:hAnsi="Times New Roman"/>
          <w:sz w:val="24"/>
        </w:rPr>
      </w:pPr>
      <w:r>
        <w:rPr>
          <w:rFonts w:ascii="Times New Roman" w:hAnsi="Times New Roman"/>
          <w:sz w:val="20"/>
        </w:rPr>
        <w:t>Because EBITDA, Adjusted EBITDA and Adjusted net income are measures not deemed to be in accordance with U.S. GAAP and are susceptible to varying calculations, our EBITDA, Adjusted EBITDA and Adjusted net income may not be comparable to similarly titled measures of other companies, including companies in our industry, because other companies may calculate EBITDA, Adjusted EBITDA and Adjusted net income in a different manner than we calculate these measurements. Although the Company uses Adjusted EBITDA as one of several financial measures to assess its operating performance, its use is limited as it excludes certain significant operating expenses. EBITDA, Adjusted EBITDA and Adjusted net income are not intended to represent cash flows for the periods presented, nor have they been presented as an alternative to operating income, net income or as an indicator of operating performance and should not be considered in isolation or as a substitute for measures of performance prepared in accordance with U.S. GAAP. The following table presents the reconciliation of net income to EBITDA and Adjusted EBITDA for the three months ended March 31, 2026 and 2025:</w:t>
      </w:r>
      <w:r>
        <w:rPr>
          <w:rFonts w:ascii="Times New Roman" w:hAnsi="Times New Roman"/>
          <w:sz w:val="24"/>
        </w:rPr>
        <w:t xml:space="preserve"> </w:t>
      </w:r>
    </w:p>
    <w:p>
      <w:pPr>
        <w:pStyle w:val="TextBody"/>
        <w:bidi w:val="0"/>
        <w:spacing w:before="0" w:after="0"/>
        <w:jc w:val="left"/>
        <w:rPr/>
      </w:pPr>
      <w:r>
        <w:rPr/>
        <w:t xml:space="preserve">  </w:t>
      </w:r>
    </w:p>
    <w:tbl>
      <w:tblPr>
        <w:tblW w:w="8361" w:type="dxa"/>
        <w:jc w:val="left"/>
        <w:tblInd w:w="0" w:type="dxa"/>
        <w:tblLayout w:type="fixed"/>
        <w:tblCellMar>
          <w:top w:w="0" w:type="dxa"/>
          <w:left w:w="0" w:type="dxa"/>
          <w:bottom w:w="0" w:type="dxa"/>
          <w:right w:w="0" w:type="dxa"/>
        </w:tblCellMar>
      </w:tblPr>
      <w:tblGrid>
        <w:gridCol w:w="4730"/>
        <w:gridCol w:w="90"/>
        <w:gridCol w:w="284"/>
        <w:gridCol w:w="1189"/>
        <w:gridCol w:w="310"/>
        <w:gridCol w:w="150"/>
        <w:gridCol w:w="284"/>
        <w:gridCol w:w="1189"/>
        <w:gridCol w:w="135"/>
      </w:tblGrid>
      <w:tr>
        <w:trPr/>
        <w:tc>
          <w:tcPr>
            <w:tcW w:w="473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84" w:type="dxa"/>
            <w:tcBorders/>
            <w:vAlign w:val="center"/>
          </w:tcPr>
          <w:p>
            <w:pPr>
              <w:pStyle w:val="TableContents"/>
              <w:bidi w:val="0"/>
              <w:spacing w:before="0" w:after="283"/>
              <w:jc w:val="left"/>
              <w:rPr/>
            </w:pPr>
            <w:r>
              <w:rPr/>
              <w:t> </w:t>
            </w:r>
          </w:p>
        </w:tc>
        <w:tc>
          <w:tcPr>
            <w:tcW w:w="1189" w:type="dxa"/>
            <w:tcBorders/>
            <w:vAlign w:val="center"/>
          </w:tcPr>
          <w:p>
            <w:pPr>
              <w:pStyle w:val="TableContents"/>
              <w:bidi w:val="0"/>
              <w:spacing w:before="0" w:after="283"/>
              <w:jc w:val="left"/>
              <w:rPr/>
            </w:pPr>
            <w:r>
              <w:rPr/>
              <w:t> </w:t>
            </w:r>
          </w:p>
        </w:tc>
        <w:tc>
          <w:tcPr>
            <w:tcW w:w="310" w:type="dxa"/>
            <w:tcBorders/>
            <w:vAlign w:val="center"/>
          </w:tcPr>
          <w:p>
            <w:pPr>
              <w:pStyle w:val="TableContents"/>
              <w:bidi w:val="0"/>
              <w:spacing w:before="0" w:after="283"/>
              <w:jc w:val="left"/>
              <w:rPr/>
            </w:pPr>
            <w:r>
              <w:rPr/>
              <w:t> </w:t>
            </w:r>
          </w:p>
        </w:tc>
        <w:tc>
          <w:tcPr>
            <w:tcW w:w="150" w:type="dxa"/>
            <w:tcBorders/>
            <w:vAlign w:val="center"/>
          </w:tcPr>
          <w:p>
            <w:pPr>
              <w:pStyle w:val="TableContents"/>
              <w:bidi w:val="0"/>
              <w:spacing w:before="0" w:after="283"/>
              <w:jc w:val="left"/>
              <w:rPr/>
            </w:pPr>
            <w:r>
              <w:rPr/>
              <w:t> </w:t>
            </w:r>
          </w:p>
        </w:tc>
        <w:tc>
          <w:tcPr>
            <w:tcW w:w="284" w:type="dxa"/>
            <w:tcBorders/>
            <w:vAlign w:val="center"/>
          </w:tcPr>
          <w:p>
            <w:pPr>
              <w:pStyle w:val="TableContents"/>
              <w:bidi w:val="0"/>
              <w:spacing w:before="0" w:after="283"/>
              <w:jc w:val="left"/>
              <w:rPr/>
            </w:pPr>
            <w:r>
              <w:rPr/>
              <w:t> </w:t>
            </w:r>
          </w:p>
        </w:tc>
        <w:tc>
          <w:tcPr>
            <w:tcW w:w="1189" w:type="dxa"/>
            <w:tcBorders/>
            <w:vAlign w:val="center"/>
          </w:tcPr>
          <w:p>
            <w:pPr>
              <w:pStyle w:val="TableContents"/>
              <w:bidi w:val="0"/>
              <w:spacing w:before="0" w:after="283"/>
              <w:jc w:val="left"/>
              <w:rPr/>
            </w:pPr>
            <w:r>
              <w:rPr/>
              <w:t> </w:t>
            </w:r>
          </w:p>
        </w:tc>
        <w:tc>
          <w:tcPr>
            <w:tcW w:w="135" w:type="dxa"/>
            <w:tcBorders/>
            <w:vAlign w:val="center"/>
          </w:tcPr>
          <w:p>
            <w:pPr>
              <w:pStyle w:val="TableContents"/>
              <w:bidi w:val="0"/>
              <w:spacing w:before="0" w:after="283"/>
              <w:jc w:val="left"/>
              <w:rPr/>
            </w:pPr>
            <w:r>
              <w:rPr/>
              <w:t> </w:t>
            </w:r>
          </w:p>
        </w:tc>
      </w:tr>
      <w:tr>
        <w:trPr/>
        <w:tc>
          <w:tcPr>
            <w:tcW w:w="473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center"/>
              <w:rPr/>
            </w:pPr>
            <w:r>
              <w:rPr/>
              <w:t> </w:t>
            </w:r>
          </w:p>
        </w:tc>
        <w:tc>
          <w:tcPr>
            <w:tcW w:w="3406" w:type="dxa"/>
            <w:gridSpan w:val="6"/>
            <w:tcBorders>
              <w:bottom w:val="single" w:sz="12" w:space="0" w:color="000000"/>
            </w:tcBorders>
            <w:tcMar>
              <w:bottom w:w="28" w:type="dxa"/>
            </w:tcMar>
            <w:vAlign w:val="center"/>
          </w:tcPr>
          <w:p>
            <w:pPr>
              <w:pStyle w:val="TableContents"/>
              <w:bidi w:val="0"/>
              <w:spacing w:before="0" w:after="283"/>
              <w:jc w:val="center"/>
              <w:rPr/>
            </w:pPr>
            <w:r>
              <w:rPr>
                <w:b/>
                <w:spacing w:val="0"/>
              </w:rPr>
              <w:t>Three Months Ended March 31,</w:t>
            </w:r>
            <w:r>
              <w:rPr/>
              <w:t xml:space="preserve"> </w:t>
            </w:r>
          </w:p>
        </w:tc>
        <w:tc>
          <w:tcPr>
            <w:tcW w:w="135" w:type="dxa"/>
            <w:tcBorders/>
            <w:vAlign w:val="center"/>
          </w:tcPr>
          <w:p>
            <w:pPr>
              <w:pStyle w:val="TableContents"/>
              <w:bidi w:val="0"/>
              <w:spacing w:before="0" w:after="283"/>
              <w:jc w:val="center"/>
              <w:rPr/>
            </w:pPr>
            <w:r>
              <w:rPr/>
              <w:t> </w:t>
            </w:r>
          </w:p>
        </w:tc>
      </w:tr>
      <w:tr>
        <w:trPr/>
        <w:tc>
          <w:tcPr>
            <w:tcW w:w="473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center"/>
              <w:rPr/>
            </w:pPr>
            <w:r>
              <w:rPr/>
              <w:t> </w:t>
            </w:r>
          </w:p>
        </w:tc>
        <w:tc>
          <w:tcPr>
            <w:tcW w:w="284" w:type="dxa"/>
            <w:tcBorders>
              <w:bottom w:val="single" w:sz="12" w:space="0" w:color="000000"/>
            </w:tcBorders>
            <w:tcMar>
              <w:bottom w:w="28" w:type="dxa"/>
            </w:tcMar>
            <w:vAlign w:val="center"/>
          </w:tcPr>
          <w:p>
            <w:pPr>
              <w:pStyle w:val="TableContents"/>
              <w:bidi w:val="0"/>
              <w:spacing w:before="0" w:after="283"/>
              <w:jc w:val="center"/>
              <w:rPr/>
            </w:pPr>
            <w:r>
              <w:rPr/>
              <w:t> </w:t>
            </w:r>
          </w:p>
        </w:tc>
        <w:tc>
          <w:tcPr>
            <w:tcW w:w="1189" w:type="dxa"/>
            <w:tcBorders>
              <w:bottom w:val="single" w:sz="12" w:space="0" w:color="000000"/>
            </w:tcBorders>
            <w:tcMar>
              <w:bottom w:w="28" w:type="dxa"/>
            </w:tcMar>
            <w:vAlign w:val="center"/>
          </w:tcPr>
          <w:p>
            <w:pPr>
              <w:pStyle w:val="TableContents"/>
              <w:bidi w:val="0"/>
              <w:spacing w:before="0" w:after="283"/>
              <w:jc w:val="center"/>
              <w:rPr/>
            </w:pPr>
            <w:r>
              <w:rPr>
                <w:b/>
              </w:rPr>
              <w:t>2026</w:t>
            </w:r>
            <w:r>
              <w:rPr/>
              <w:t xml:space="preserve"> </w:t>
            </w:r>
          </w:p>
        </w:tc>
        <w:tc>
          <w:tcPr>
            <w:tcW w:w="310" w:type="dxa"/>
            <w:tcBorders/>
            <w:vAlign w:val="center"/>
          </w:tcPr>
          <w:p>
            <w:pPr>
              <w:pStyle w:val="TableContents"/>
              <w:bidi w:val="0"/>
              <w:spacing w:before="0" w:after="283"/>
              <w:jc w:val="center"/>
              <w:rPr/>
            </w:pPr>
            <w:r>
              <w:rPr/>
              <w:t> </w:t>
            </w:r>
          </w:p>
        </w:tc>
        <w:tc>
          <w:tcPr>
            <w:tcW w:w="150" w:type="dxa"/>
            <w:tcBorders/>
            <w:vAlign w:val="center"/>
          </w:tcPr>
          <w:p>
            <w:pPr>
              <w:pStyle w:val="TableContents"/>
              <w:bidi w:val="0"/>
              <w:spacing w:before="0" w:after="283"/>
              <w:jc w:val="center"/>
              <w:rPr/>
            </w:pPr>
            <w:r>
              <w:rPr/>
              <w:t> </w:t>
            </w:r>
          </w:p>
        </w:tc>
        <w:tc>
          <w:tcPr>
            <w:tcW w:w="284" w:type="dxa"/>
            <w:tcBorders>
              <w:bottom w:val="single" w:sz="12" w:space="0" w:color="000000"/>
            </w:tcBorders>
            <w:tcMar>
              <w:bottom w:w="28" w:type="dxa"/>
            </w:tcMar>
            <w:vAlign w:val="center"/>
          </w:tcPr>
          <w:p>
            <w:pPr>
              <w:pStyle w:val="TableContents"/>
              <w:bidi w:val="0"/>
              <w:spacing w:before="0" w:after="283"/>
              <w:jc w:val="center"/>
              <w:rPr/>
            </w:pPr>
            <w:r>
              <w:rPr/>
              <w:t> </w:t>
            </w:r>
          </w:p>
        </w:tc>
        <w:tc>
          <w:tcPr>
            <w:tcW w:w="1189" w:type="dxa"/>
            <w:tcBorders>
              <w:bottom w:val="single" w:sz="12" w:space="0" w:color="000000"/>
            </w:tcBorders>
            <w:tcMar>
              <w:bottom w:w="28" w:type="dxa"/>
            </w:tcMar>
            <w:vAlign w:val="center"/>
          </w:tcPr>
          <w:p>
            <w:pPr>
              <w:pStyle w:val="TableContents"/>
              <w:bidi w:val="0"/>
              <w:spacing w:before="0" w:after="283"/>
              <w:jc w:val="center"/>
              <w:rPr/>
            </w:pPr>
            <w:r>
              <w:rPr>
                <w:b/>
              </w:rPr>
              <w:t>2025</w:t>
            </w:r>
            <w:r>
              <w:rPr/>
              <w:t xml:space="preserve"> </w:t>
            </w:r>
          </w:p>
        </w:tc>
        <w:tc>
          <w:tcPr>
            <w:tcW w:w="135" w:type="dxa"/>
            <w:tcBorders/>
            <w:vAlign w:val="center"/>
          </w:tcPr>
          <w:p>
            <w:pPr>
              <w:pStyle w:val="TableContents"/>
              <w:bidi w:val="0"/>
              <w:spacing w:before="0" w:after="283"/>
              <w:jc w:val="center"/>
              <w:rPr/>
            </w:pPr>
            <w:r>
              <w:rPr/>
              <w:t> </w:t>
            </w:r>
          </w:p>
        </w:tc>
      </w:tr>
      <w:tr>
        <w:trPr/>
        <w:tc>
          <w:tcPr>
            <w:tcW w:w="4730" w:type="dxa"/>
            <w:tcBorders/>
            <w:vAlign w:val="center"/>
          </w:tcPr>
          <w:p>
            <w:pPr>
              <w:pStyle w:val="TableContents"/>
              <w:bidi w:val="0"/>
              <w:spacing w:before="0" w:after="0"/>
              <w:ind w:left="0" w:right="0" w:hanging="144"/>
              <w:jc w:val="left"/>
              <w:rPr/>
            </w:pPr>
            <w:r>
              <w:rPr>
                <w:i/>
              </w:rPr>
              <w:t>(In thousands)</w:t>
            </w:r>
            <w:r>
              <w:rPr/>
              <w:t xml:space="preserve"> </w:t>
            </w:r>
          </w:p>
        </w:tc>
        <w:tc>
          <w:tcPr>
            <w:tcW w:w="3631" w:type="dxa"/>
            <w:gridSpan w:val="8"/>
            <w:tcBorders/>
            <w:vAlign w:val="center"/>
          </w:tcPr>
          <w:p>
            <w:pPr>
              <w:pStyle w:val="TableContents"/>
              <w:bidi w:val="0"/>
              <w:spacing w:before="0" w:after="283"/>
              <w:jc w:val="center"/>
              <w:rPr/>
            </w:pPr>
            <w:r>
              <w:rPr/>
              <w:t> </w:t>
            </w:r>
          </w:p>
        </w:tc>
      </w:tr>
      <w:tr>
        <w:trPr/>
        <w:tc>
          <w:tcPr>
            <w:tcW w:w="4730" w:type="dxa"/>
            <w:tcBorders/>
            <w:shd w:fill="CCEEFF" w:val="clear"/>
            <w:vAlign w:val="center"/>
          </w:tcPr>
          <w:p>
            <w:pPr>
              <w:pStyle w:val="TableContents"/>
              <w:bidi w:val="0"/>
              <w:spacing w:before="0" w:after="0"/>
              <w:ind w:left="0" w:right="0" w:hanging="144"/>
              <w:jc w:val="left"/>
              <w:rPr/>
            </w:pPr>
            <w:r>
              <w:rPr>
                <w:b/>
              </w:rPr>
              <w:t>Net income</w:t>
            </w:r>
            <w:r>
              <w:rPr/>
              <w:t xml:space="preserve"> </w:t>
            </w:r>
          </w:p>
        </w:tc>
        <w:tc>
          <w:tcPr>
            <w:tcW w:w="90" w:type="dxa"/>
            <w:tcBorders/>
            <w:shd w:fill="CCEEFF" w:val="clear"/>
            <w:vAlign w:val="center"/>
          </w:tcPr>
          <w:p>
            <w:pPr>
              <w:pStyle w:val="TableContents"/>
              <w:bidi w:val="0"/>
              <w:spacing w:before="0" w:after="283"/>
              <w:jc w:val="right"/>
              <w:rPr/>
            </w:pPr>
            <w:r>
              <w:rPr/>
              <w:t> </w:t>
            </w:r>
          </w:p>
        </w:tc>
        <w:tc>
          <w:tcPr>
            <w:tcW w:w="284" w:type="dxa"/>
            <w:tcBorders/>
            <w:shd w:fill="CCEEFF" w:val="clear"/>
            <w:vAlign w:val="center"/>
          </w:tcPr>
          <w:p>
            <w:pPr>
              <w:pStyle w:val="TableContents"/>
              <w:bidi w:val="0"/>
              <w:spacing w:before="0" w:after="283"/>
              <w:jc w:val="left"/>
              <w:rPr/>
            </w:pPr>
            <w:r>
              <w:rPr/>
              <w:t>$</w:t>
            </w:r>
          </w:p>
        </w:tc>
        <w:tc>
          <w:tcPr>
            <w:tcW w:w="1189" w:type="dxa"/>
            <w:tcBorders/>
            <w:shd w:fill="CCEEFF" w:val="clear"/>
            <w:vAlign w:val="center"/>
          </w:tcPr>
          <w:p>
            <w:pPr>
              <w:pStyle w:val="TableContents"/>
              <w:bidi w:val="0"/>
              <w:spacing w:before="0" w:after="283"/>
              <w:jc w:val="right"/>
              <w:rPr/>
            </w:pPr>
            <w:r>
              <w:rPr/>
              <w:t>45,328</w:t>
            </w:r>
          </w:p>
        </w:tc>
        <w:tc>
          <w:tcPr>
            <w:tcW w:w="31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right"/>
              <w:rPr/>
            </w:pPr>
            <w:r>
              <w:rPr/>
              <w:t> </w:t>
            </w:r>
          </w:p>
        </w:tc>
        <w:tc>
          <w:tcPr>
            <w:tcW w:w="284" w:type="dxa"/>
            <w:tcBorders/>
            <w:shd w:fill="CCEEFF" w:val="clear"/>
            <w:vAlign w:val="center"/>
          </w:tcPr>
          <w:p>
            <w:pPr>
              <w:pStyle w:val="TableContents"/>
              <w:bidi w:val="0"/>
              <w:spacing w:before="0" w:after="283"/>
              <w:jc w:val="left"/>
              <w:rPr/>
            </w:pPr>
            <w:r>
              <w:rPr/>
              <w:t>$</w:t>
            </w:r>
          </w:p>
        </w:tc>
        <w:tc>
          <w:tcPr>
            <w:tcW w:w="1189" w:type="dxa"/>
            <w:tcBorders/>
            <w:shd w:fill="CCEEFF" w:val="clear"/>
            <w:vAlign w:val="center"/>
          </w:tcPr>
          <w:p>
            <w:pPr>
              <w:pStyle w:val="TableContents"/>
              <w:bidi w:val="0"/>
              <w:spacing w:before="0" w:after="283"/>
              <w:jc w:val="right"/>
              <w:rPr/>
            </w:pPr>
            <w:r>
              <w:rPr/>
              <w:t>26,904</w:t>
            </w:r>
          </w:p>
        </w:tc>
        <w:tc>
          <w:tcPr>
            <w:tcW w:w="135" w:type="dxa"/>
            <w:tcBorders/>
            <w:shd w:fill="CCEEFF" w:val="clear"/>
            <w:vAlign w:val="center"/>
          </w:tcPr>
          <w:p>
            <w:pPr>
              <w:pStyle w:val="TableContents"/>
              <w:bidi w:val="0"/>
              <w:spacing w:before="0" w:after="283"/>
              <w:jc w:val="left"/>
              <w:rPr/>
            </w:pPr>
            <w:r>
              <w:rPr/>
              <w:t> </w:t>
            </w:r>
          </w:p>
        </w:tc>
      </w:tr>
      <w:tr>
        <w:trPr/>
        <w:tc>
          <w:tcPr>
            <w:tcW w:w="4730" w:type="dxa"/>
            <w:tcBorders/>
            <w:vAlign w:val="center"/>
          </w:tcPr>
          <w:p>
            <w:pPr>
              <w:pStyle w:val="TableContents"/>
              <w:bidi w:val="0"/>
              <w:spacing w:before="0" w:after="0"/>
              <w:ind w:left="0" w:right="0" w:hanging="144"/>
              <w:jc w:val="left"/>
              <w:rPr/>
            </w:pPr>
            <w:r>
              <w:rPr/>
              <w:t xml:space="preserve">Depreciation </w:t>
            </w:r>
          </w:p>
        </w:tc>
        <w:tc>
          <w:tcPr>
            <w:tcW w:w="90" w:type="dxa"/>
            <w:tcBorders/>
            <w:vAlign w:val="center"/>
          </w:tcPr>
          <w:p>
            <w:pPr>
              <w:pStyle w:val="TableContents"/>
              <w:bidi w:val="0"/>
              <w:spacing w:before="0" w:after="283"/>
              <w:jc w:val="right"/>
              <w:rPr/>
            </w:pPr>
            <w:r>
              <w:rPr/>
              <w:t> </w:t>
            </w:r>
          </w:p>
        </w:tc>
        <w:tc>
          <w:tcPr>
            <w:tcW w:w="284" w:type="dxa"/>
            <w:tcBorders/>
            <w:vAlign w:val="center"/>
          </w:tcPr>
          <w:p>
            <w:pPr>
              <w:pStyle w:val="TableContents"/>
              <w:bidi w:val="0"/>
              <w:spacing w:before="0" w:after="283"/>
              <w:jc w:val="left"/>
              <w:rPr/>
            </w:pPr>
            <w:r>
              <w:rPr/>
              <w:t> </w:t>
            </w:r>
          </w:p>
        </w:tc>
        <w:tc>
          <w:tcPr>
            <w:tcW w:w="1189" w:type="dxa"/>
            <w:tcBorders/>
            <w:vAlign w:val="center"/>
          </w:tcPr>
          <w:p>
            <w:pPr>
              <w:pStyle w:val="TableContents"/>
              <w:bidi w:val="0"/>
              <w:spacing w:before="0" w:after="283"/>
              <w:jc w:val="right"/>
              <w:rPr/>
            </w:pPr>
            <w:r>
              <w:rPr/>
              <w:t>1,784</w:t>
            </w:r>
          </w:p>
        </w:tc>
        <w:tc>
          <w:tcPr>
            <w:tcW w:w="310" w:type="dxa"/>
            <w:tcBorders/>
            <w:vAlign w:val="center"/>
          </w:tcPr>
          <w:p>
            <w:pPr>
              <w:pStyle w:val="TableContents"/>
              <w:bidi w:val="0"/>
              <w:spacing w:before="0" w:after="283"/>
              <w:jc w:val="left"/>
              <w:rPr/>
            </w:pPr>
            <w:r>
              <w:rPr/>
              <w:t> </w:t>
            </w:r>
          </w:p>
        </w:tc>
        <w:tc>
          <w:tcPr>
            <w:tcW w:w="150" w:type="dxa"/>
            <w:tcBorders/>
            <w:vAlign w:val="center"/>
          </w:tcPr>
          <w:p>
            <w:pPr>
              <w:pStyle w:val="TableContents"/>
              <w:bidi w:val="0"/>
              <w:spacing w:before="0" w:after="283"/>
              <w:jc w:val="right"/>
              <w:rPr/>
            </w:pPr>
            <w:r>
              <w:rPr/>
              <w:t> </w:t>
            </w:r>
          </w:p>
        </w:tc>
        <w:tc>
          <w:tcPr>
            <w:tcW w:w="284" w:type="dxa"/>
            <w:tcBorders/>
            <w:vAlign w:val="center"/>
          </w:tcPr>
          <w:p>
            <w:pPr>
              <w:pStyle w:val="TableContents"/>
              <w:bidi w:val="0"/>
              <w:spacing w:before="0" w:after="283"/>
              <w:jc w:val="left"/>
              <w:rPr/>
            </w:pPr>
            <w:r>
              <w:rPr/>
              <w:t> </w:t>
            </w:r>
          </w:p>
        </w:tc>
        <w:tc>
          <w:tcPr>
            <w:tcW w:w="1189" w:type="dxa"/>
            <w:tcBorders/>
            <w:vAlign w:val="center"/>
          </w:tcPr>
          <w:p>
            <w:pPr>
              <w:pStyle w:val="TableContents"/>
              <w:bidi w:val="0"/>
              <w:spacing w:before="0" w:after="283"/>
              <w:jc w:val="right"/>
              <w:rPr/>
            </w:pPr>
            <w:r>
              <w:rPr/>
              <w:t>1,944</w:t>
            </w:r>
          </w:p>
        </w:tc>
        <w:tc>
          <w:tcPr>
            <w:tcW w:w="135" w:type="dxa"/>
            <w:tcBorders/>
            <w:vAlign w:val="center"/>
          </w:tcPr>
          <w:p>
            <w:pPr>
              <w:pStyle w:val="TableContents"/>
              <w:bidi w:val="0"/>
              <w:spacing w:before="0" w:after="283"/>
              <w:jc w:val="left"/>
              <w:rPr/>
            </w:pPr>
            <w:r>
              <w:rPr/>
              <w:t> </w:t>
            </w:r>
          </w:p>
        </w:tc>
      </w:tr>
      <w:tr>
        <w:trPr/>
        <w:tc>
          <w:tcPr>
            <w:tcW w:w="4730" w:type="dxa"/>
            <w:tcBorders/>
            <w:shd w:fill="CCEEFF" w:val="clear"/>
            <w:vAlign w:val="center"/>
          </w:tcPr>
          <w:p>
            <w:pPr>
              <w:pStyle w:val="TableContents"/>
              <w:bidi w:val="0"/>
              <w:spacing w:before="0" w:after="0"/>
              <w:ind w:left="0" w:right="0" w:hanging="144"/>
              <w:jc w:val="left"/>
              <w:rPr/>
            </w:pPr>
            <w:r>
              <w:rPr/>
              <w:t xml:space="preserve">Amortization </w:t>
            </w:r>
          </w:p>
        </w:tc>
        <w:tc>
          <w:tcPr>
            <w:tcW w:w="90" w:type="dxa"/>
            <w:tcBorders/>
            <w:shd w:fill="CCEEFF" w:val="clear"/>
            <w:vAlign w:val="center"/>
          </w:tcPr>
          <w:p>
            <w:pPr>
              <w:pStyle w:val="TableContents"/>
              <w:bidi w:val="0"/>
              <w:spacing w:before="0" w:after="283"/>
              <w:jc w:val="right"/>
              <w:rPr/>
            </w:pPr>
            <w:r>
              <w:rPr/>
              <w:t> </w:t>
            </w:r>
          </w:p>
        </w:tc>
        <w:tc>
          <w:tcPr>
            <w:tcW w:w="284" w:type="dxa"/>
            <w:tcBorders/>
            <w:shd w:fill="CCEEFF" w:val="clear"/>
            <w:vAlign w:val="center"/>
          </w:tcPr>
          <w:p>
            <w:pPr>
              <w:pStyle w:val="TableContents"/>
              <w:bidi w:val="0"/>
              <w:spacing w:before="0" w:after="283"/>
              <w:jc w:val="left"/>
              <w:rPr/>
            </w:pPr>
            <w:r>
              <w:rPr/>
              <w:t> </w:t>
            </w:r>
          </w:p>
        </w:tc>
        <w:tc>
          <w:tcPr>
            <w:tcW w:w="1189" w:type="dxa"/>
            <w:tcBorders/>
            <w:shd w:fill="CCEEFF" w:val="clear"/>
            <w:vAlign w:val="center"/>
          </w:tcPr>
          <w:p>
            <w:pPr>
              <w:pStyle w:val="TableContents"/>
              <w:bidi w:val="0"/>
              <w:spacing w:before="0" w:after="283"/>
              <w:jc w:val="right"/>
              <w:rPr/>
            </w:pPr>
            <w:r>
              <w:rPr/>
              <w:t>55</w:t>
            </w:r>
          </w:p>
        </w:tc>
        <w:tc>
          <w:tcPr>
            <w:tcW w:w="31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right"/>
              <w:rPr/>
            </w:pPr>
            <w:r>
              <w:rPr/>
              <w:t> </w:t>
            </w:r>
          </w:p>
        </w:tc>
        <w:tc>
          <w:tcPr>
            <w:tcW w:w="284" w:type="dxa"/>
            <w:tcBorders/>
            <w:shd w:fill="CCEEFF" w:val="clear"/>
            <w:vAlign w:val="center"/>
          </w:tcPr>
          <w:p>
            <w:pPr>
              <w:pStyle w:val="TableContents"/>
              <w:bidi w:val="0"/>
              <w:spacing w:before="0" w:after="283"/>
              <w:jc w:val="left"/>
              <w:rPr/>
            </w:pPr>
            <w:r>
              <w:rPr/>
              <w:t> </w:t>
            </w:r>
          </w:p>
        </w:tc>
        <w:tc>
          <w:tcPr>
            <w:tcW w:w="1189" w:type="dxa"/>
            <w:tcBorders/>
            <w:shd w:fill="CCEEFF" w:val="clear"/>
            <w:vAlign w:val="center"/>
          </w:tcPr>
          <w:p>
            <w:pPr>
              <w:pStyle w:val="TableContents"/>
              <w:bidi w:val="0"/>
              <w:spacing w:before="0" w:after="283"/>
              <w:jc w:val="right"/>
              <w:rPr/>
            </w:pPr>
            <w:r>
              <w:rPr/>
              <w:t>25</w:t>
            </w:r>
          </w:p>
        </w:tc>
        <w:tc>
          <w:tcPr>
            <w:tcW w:w="135" w:type="dxa"/>
            <w:tcBorders/>
            <w:shd w:fill="CCEEFF" w:val="clear"/>
            <w:vAlign w:val="center"/>
          </w:tcPr>
          <w:p>
            <w:pPr>
              <w:pStyle w:val="TableContents"/>
              <w:bidi w:val="0"/>
              <w:spacing w:before="0" w:after="283"/>
              <w:jc w:val="left"/>
              <w:rPr/>
            </w:pPr>
            <w:r>
              <w:rPr/>
              <w:t> </w:t>
            </w:r>
          </w:p>
        </w:tc>
      </w:tr>
      <w:tr>
        <w:trPr/>
        <w:tc>
          <w:tcPr>
            <w:tcW w:w="4730" w:type="dxa"/>
            <w:tcBorders/>
            <w:vAlign w:val="center"/>
          </w:tcPr>
          <w:p>
            <w:pPr>
              <w:pStyle w:val="TableContents"/>
              <w:bidi w:val="0"/>
              <w:spacing w:before="0" w:after="0"/>
              <w:ind w:left="0" w:right="0" w:hanging="144"/>
              <w:jc w:val="left"/>
              <w:rPr/>
            </w:pPr>
            <w:r>
              <w:rPr/>
              <w:t xml:space="preserve">Income taxes </w:t>
            </w:r>
          </w:p>
        </w:tc>
        <w:tc>
          <w:tcPr>
            <w:tcW w:w="90" w:type="dxa"/>
            <w:tcBorders/>
            <w:vAlign w:val="center"/>
          </w:tcPr>
          <w:p>
            <w:pPr>
              <w:pStyle w:val="TableContents"/>
              <w:bidi w:val="0"/>
              <w:spacing w:before="0" w:after="283"/>
              <w:jc w:val="right"/>
              <w:rPr/>
            </w:pPr>
            <w:r>
              <w:rPr/>
              <w:t> </w:t>
            </w:r>
          </w:p>
        </w:tc>
        <w:tc>
          <w:tcPr>
            <w:tcW w:w="284" w:type="dxa"/>
            <w:tcBorders/>
            <w:vAlign w:val="center"/>
          </w:tcPr>
          <w:p>
            <w:pPr>
              <w:pStyle w:val="TableContents"/>
              <w:bidi w:val="0"/>
              <w:spacing w:before="0" w:after="283"/>
              <w:jc w:val="left"/>
              <w:rPr/>
            </w:pPr>
            <w:r>
              <w:rPr/>
              <w:t> </w:t>
            </w:r>
          </w:p>
        </w:tc>
        <w:tc>
          <w:tcPr>
            <w:tcW w:w="1189" w:type="dxa"/>
            <w:tcBorders/>
            <w:vAlign w:val="center"/>
          </w:tcPr>
          <w:p>
            <w:pPr>
              <w:pStyle w:val="TableContents"/>
              <w:bidi w:val="0"/>
              <w:spacing w:before="0" w:after="283"/>
              <w:jc w:val="right"/>
              <w:rPr/>
            </w:pPr>
            <w:r>
              <w:rPr/>
              <w:t>11,799</w:t>
            </w:r>
          </w:p>
        </w:tc>
        <w:tc>
          <w:tcPr>
            <w:tcW w:w="310" w:type="dxa"/>
            <w:tcBorders/>
            <w:vAlign w:val="center"/>
          </w:tcPr>
          <w:p>
            <w:pPr>
              <w:pStyle w:val="TableContents"/>
              <w:bidi w:val="0"/>
              <w:spacing w:before="0" w:after="283"/>
              <w:jc w:val="left"/>
              <w:rPr/>
            </w:pPr>
            <w:r>
              <w:rPr/>
              <w:t> </w:t>
            </w:r>
          </w:p>
        </w:tc>
        <w:tc>
          <w:tcPr>
            <w:tcW w:w="150" w:type="dxa"/>
            <w:tcBorders/>
            <w:vAlign w:val="center"/>
          </w:tcPr>
          <w:p>
            <w:pPr>
              <w:pStyle w:val="TableContents"/>
              <w:bidi w:val="0"/>
              <w:spacing w:before="0" w:after="283"/>
              <w:jc w:val="right"/>
              <w:rPr/>
            </w:pPr>
            <w:r>
              <w:rPr/>
              <w:t> </w:t>
            </w:r>
          </w:p>
        </w:tc>
        <w:tc>
          <w:tcPr>
            <w:tcW w:w="284" w:type="dxa"/>
            <w:tcBorders/>
            <w:vAlign w:val="center"/>
          </w:tcPr>
          <w:p>
            <w:pPr>
              <w:pStyle w:val="TableContents"/>
              <w:bidi w:val="0"/>
              <w:spacing w:before="0" w:after="283"/>
              <w:jc w:val="left"/>
              <w:rPr/>
            </w:pPr>
            <w:r>
              <w:rPr/>
              <w:t> </w:t>
            </w:r>
          </w:p>
        </w:tc>
        <w:tc>
          <w:tcPr>
            <w:tcW w:w="1189" w:type="dxa"/>
            <w:tcBorders/>
            <w:vAlign w:val="center"/>
          </w:tcPr>
          <w:p>
            <w:pPr>
              <w:pStyle w:val="TableContents"/>
              <w:bidi w:val="0"/>
              <w:spacing w:before="0" w:after="283"/>
              <w:jc w:val="right"/>
              <w:rPr/>
            </w:pPr>
            <w:r>
              <w:rPr/>
              <w:t>6,546</w:t>
            </w:r>
          </w:p>
        </w:tc>
        <w:tc>
          <w:tcPr>
            <w:tcW w:w="135" w:type="dxa"/>
            <w:tcBorders/>
            <w:vAlign w:val="center"/>
          </w:tcPr>
          <w:p>
            <w:pPr>
              <w:pStyle w:val="TableContents"/>
              <w:bidi w:val="0"/>
              <w:spacing w:before="0" w:after="283"/>
              <w:jc w:val="left"/>
              <w:rPr/>
            </w:pPr>
            <w:r>
              <w:rPr/>
              <w:t> </w:t>
            </w:r>
          </w:p>
        </w:tc>
      </w:tr>
      <w:tr>
        <w:trPr/>
        <w:tc>
          <w:tcPr>
            <w:tcW w:w="4730" w:type="dxa"/>
            <w:tcBorders/>
            <w:shd w:fill="CCEEFF" w:val="clear"/>
            <w:vAlign w:val="center"/>
          </w:tcPr>
          <w:p>
            <w:pPr>
              <w:pStyle w:val="TableContents"/>
              <w:bidi w:val="0"/>
              <w:spacing w:before="0" w:after="0"/>
              <w:ind w:left="0" w:right="0" w:hanging="144"/>
              <w:jc w:val="left"/>
              <w:rPr/>
            </w:pPr>
            <w:r>
              <w:rPr/>
              <w:t xml:space="preserve">Interest expense, net </w:t>
            </w:r>
          </w:p>
        </w:tc>
        <w:tc>
          <w:tcPr>
            <w:tcW w:w="90" w:type="dxa"/>
            <w:tcBorders/>
            <w:shd w:fill="CCEEFF" w:val="clear"/>
            <w:vAlign w:val="center"/>
          </w:tcPr>
          <w:p>
            <w:pPr>
              <w:pStyle w:val="TableContents"/>
              <w:bidi w:val="0"/>
              <w:spacing w:before="0" w:after="283"/>
              <w:jc w:val="right"/>
              <w:rPr/>
            </w:pPr>
            <w:r>
              <w:rPr/>
              <w:t> </w:t>
            </w:r>
          </w:p>
        </w:tc>
        <w:tc>
          <w:tcPr>
            <w:tcW w:w="284"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89" w:type="dxa"/>
            <w:tcBorders>
              <w:bottom w:val="single" w:sz="12" w:space="0" w:color="000000"/>
            </w:tcBorders>
            <w:shd w:fill="CCEEFF" w:val="clear"/>
            <w:tcMar>
              <w:bottom w:w="28" w:type="dxa"/>
            </w:tcMar>
            <w:vAlign w:val="center"/>
          </w:tcPr>
          <w:p>
            <w:pPr>
              <w:pStyle w:val="TableContents"/>
              <w:bidi w:val="0"/>
              <w:spacing w:before="0" w:after="283"/>
              <w:jc w:val="right"/>
              <w:rPr/>
            </w:pPr>
            <w:r>
              <w:rPr/>
              <w:t>983</w:t>
            </w:r>
          </w:p>
        </w:tc>
        <w:tc>
          <w:tcPr>
            <w:tcW w:w="31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right"/>
              <w:rPr/>
            </w:pPr>
            <w:r>
              <w:rPr/>
              <w:t> </w:t>
            </w:r>
          </w:p>
        </w:tc>
        <w:tc>
          <w:tcPr>
            <w:tcW w:w="284"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89" w:type="dxa"/>
            <w:tcBorders>
              <w:bottom w:val="single" w:sz="12" w:space="0" w:color="000000"/>
            </w:tcBorders>
            <w:shd w:fill="CCEEFF" w:val="clear"/>
            <w:tcMar>
              <w:bottom w:w="28" w:type="dxa"/>
            </w:tcMar>
            <w:vAlign w:val="center"/>
          </w:tcPr>
          <w:p>
            <w:pPr>
              <w:pStyle w:val="TableContents"/>
              <w:bidi w:val="0"/>
              <w:spacing w:before="0" w:after="283"/>
              <w:jc w:val="right"/>
              <w:rPr/>
            </w:pPr>
            <w:r>
              <w:rPr/>
              <w:t>1,975</w:t>
            </w:r>
          </w:p>
        </w:tc>
        <w:tc>
          <w:tcPr>
            <w:tcW w:w="13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r>
      <w:tr>
        <w:trPr/>
        <w:tc>
          <w:tcPr>
            <w:tcW w:w="4730" w:type="dxa"/>
            <w:tcBorders/>
            <w:vAlign w:val="center"/>
          </w:tcPr>
          <w:p>
            <w:pPr>
              <w:pStyle w:val="TableContents"/>
              <w:bidi w:val="0"/>
              <w:spacing w:before="0" w:after="0"/>
              <w:ind w:left="0" w:right="0" w:hanging="144"/>
              <w:jc w:val="left"/>
              <w:rPr/>
            </w:pPr>
            <w:r>
              <w:rPr>
                <w:b/>
              </w:rPr>
              <w:t>EBITDA</w:t>
            </w:r>
            <w:r>
              <w:rPr/>
              <w:t xml:space="preserve"> </w:t>
            </w:r>
          </w:p>
        </w:tc>
        <w:tc>
          <w:tcPr>
            <w:tcW w:w="90" w:type="dxa"/>
            <w:tcBorders/>
            <w:vAlign w:val="center"/>
          </w:tcPr>
          <w:p>
            <w:pPr>
              <w:pStyle w:val="TableContents"/>
              <w:bidi w:val="0"/>
              <w:spacing w:before="0" w:after="283"/>
              <w:jc w:val="right"/>
              <w:rPr/>
            </w:pPr>
            <w:r>
              <w:rPr/>
              <w:t> </w:t>
            </w:r>
          </w:p>
        </w:tc>
        <w:tc>
          <w:tcPr>
            <w:tcW w:w="284" w:type="dxa"/>
            <w:tcBorders/>
            <w:vAlign w:val="center"/>
          </w:tcPr>
          <w:p>
            <w:pPr>
              <w:pStyle w:val="TableContents"/>
              <w:bidi w:val="0"/>
              <w:spacing w:before="0" w:after="283"/>
              <w:jc w:val="left"/>
              <w:rPr/>
            </w:pPr>
            <w:r>
              <w:rPr/>
              <w:t> </w:t>
            </w:r>
          </w:p>
        </w:tc>
        <w:tc>
          <w:tcPr>
            <w:tcW w:w="1189" w:type="dxa"/>
            <w:tcBorders/>
            <w:vAlign w:val="center"/>
          </w:tcPr>
          <w:p>
            <w:pPr>
              <w:pStyle w:val="TableContents"/>
              <w:bidi w:val="0"/>
              <w:spacing w:before="0" w:after="283"/>
              <w:jc w:val="right"/>
              <w:rPr/>
            </w:pPr>
            <w:r>
              <w:rPr/>
              <w:t>59,949</w:t>
            </w:r>
          </w:p>
        </w:tc>
        <w:tc>
          <w:tcPr>
            <w:tcW w:w="310" w:type="dxa"/>
            <w:tcBorders/>
            <w:vAlign w:val="center"/>
          </w:tcPr>
          <w:p>
            <w:pPr>
              <w:pStyle w:val="TableContents"/>
              <w:bidi w:val="0"/>
              <w:spacing w:before="0" w:after="283"/>
              <w:jc w:val="left"/>
              <w:rPr/>
            </w:pPr>
            <w:r>
              <w:rPr/>
              <w:t> </w:t>
            </w:r>
          </w:p>
        </w:tc>
        <w:tc>
          <w:tcPr>
            <w:tcW w:w="150" w:type="dxa"/>
            <w:tcBorders/>
            <w:vAlign w:val="center"/>
          </w:tcPr>
          <w:p>
            <w:pPr>
              <w:pStyle w:val="TableContents"/>
              <w:bidi w:val="0"/>
              <w:spacing w:before="0" w:after="283"/>
              <w:jc w:val="right"/>
              <w:rPr/>
            </w:pPr>
            <w:r>
              <w:rPr/>
              <w:t> </w:t>
            </w:r>
          </w:p>
        </w:tc>
        <w:tc>
          <w:tcPr>
            <w:tcW w:w="284" w:type="dxa"/>
            <w:tcBorders/>
            <w:vAlign w:val="center"/>
          </w:tcPr>
          <w:p>
            <w:pPr>
              <w:pStyle w:val="TableContents"/>
              <w:bidi w:val="0"/>
              <w:spacing w:before="0" w:after="283"/>
              <w:jc w:val="left"/>
              <w:rPr/>
            </w:pPr>
            <w:r>
              <w:rPr/>
              <w:t> </w:t>
            </w:r>
          </w:p>
        </w:tc>
        <w:tc>
          <w:tcPr>
            <w:tcW w:w="1189" w:type="dxa"/>
            <w:tcBorders/>
            <w:vAlign w:val="center"/>
          </w:tcPr>
          <w:p>
            <w:pPr>
              <w:pStyle w:val="TableContents"/>
              <w:bidi w:val="0"/>
              <w:spacing w:before="0" w:after="283"/>
              <w:jc w:val="right"/>
              <w:rPr/>
            </w:pPr>
            <w:r>
              <w:rPr/>
              <w:t>37,393</w:t>
            </w:r>
          </w:p>
        </w:tc>
        <w:tc>
          <w:tcPr>
            <w:tcW w:w="135" w:type="dxa"/>
            <w:tcBorders/>
            <w:vAlign w:val="center"/>
          </w:tcPr>
          <w:p>
            <w:pPr>
              <w:pStyle w:val="TableContents"/>
              <w:bidi w:val="0"/>
              <w:spacing w:before="0" w:after="283"/>
              <w:jc w:val="left"/>
              <w:rPr/>
            </w:pPr>
            <w:r>
              <w:rPr/>
              <w:t> </w:t>
            </w:r>
          </w:p>
        </w:tc>
      </w:tr>
      <w:tr>
        <w:trPr/>
        <w:tc>
          <w:tcPr>
            <w:tcW w:w="4730" w:type="dxa"/>
            <w:tcBorders/>
            <w:shd w:fill="CCEEFF" w:val="clear"/>
            <w:vAlign w:val="center"/>
          </w:tcPr>
          <w:p>
            <w:pPr>
              <w:pStyle w:val="TableContents"/>
              <w:bidi w:val="0"/>
              <w:spacing w:before="0" w:after="0"/>
              <w:ind w:left="0" w:right="0" w:hanging="144"/>
              <w:jc w:val="left"/>
              <w:rPr/>
            </w:pPr>
            <w:r>
              <w:rPr/>
              <w:t xml:space="preserve">Stock-based compensation </w:t>
            </w:r>
          </w:p>
        </w:tc>
        <w:tc>
          <w:tcPr>
            <w:tcW w:w="90" w:type="dxa"/>
            <w:tcBorders/>
            <w:shd w:fill="CCEEFF" w:val="clear"/>
            <w:vAlign w:val="center"/>
          </w:tcPr>
          <w:p>
            <w:pPr>
              <w:pStyle w:val="TableContents"/>
              <w:bidi w:val="0"/>
              <w:spacing w:before="0" w:after="283"/>
              <w:jc w:val="right"/>
              <w:rPr/>
            </w:pPr>
            <w:r>
              <w:rPr/>
              <w:t> </w:t>
            </w:r>
          </w:p>
        </w:tc>
        <w:tc>
          <w:tcPr>
            <w:tcW w:w="284" w:type="dxa"/>
            <w:tcBorders/>
            <w:shd w:fill="CCEEFF" w:val="clear"/>
            <w:vAlign w:val="center"/>
          </w:tcPr>
          <w:p>
            <w:pPr>
              <w:pStyle w:val="TableContents"/>
              <w:bidi w:val="0"/>
              <w:spacing w:before="0" w:after="283"/>
              <w:jc w:val="left"/>
              <w:rPr/>
            </w:pPr>
            <w:r>
              <w:rPr/>
              <w:t> </w:t>
            </w:r>
          </w:p>
        </w:tc>
        <w:tc>
          <w:tcPr>
            <w:tcW w:w="1189" w:type="dxa"/>
            <w:tcBorders/>
            <w:shd w:fill="CCEEFF" w:val="clear"/>
            <w:vAlign w:val="center"/>
          </w:tcPr>
          <w:p>
            <w:pPr>
              <w:pStyle w:val="TableContents"/>
              <w:bidi w:val="0"/>
              <w:spacing w:before="0" w:after="283"/>
              <w:jc w:val="right"/>
              <w:rPr/>
            </w:pPr>
            <w:r>
              <w:rPr/>
              <w:t>6,329</w:t>
            </w:r>
          </w:p>
        </w:tc>
        <w:tc>
          <w:tcPr>
            <w:tcW w:w="31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right"/>
              <w:rPr/>
            </w:pPr>
            <w:r>
              <w:rPr/>
              <w:t> </w:t>
            </w:r>
          </w:p>
        </w:tc>
        <w:tc>
          <w:tcPr>
            <w:tcW w:w="284" w:type="dxa"/>
            <w:tcBorders/>
            <w:shd w:fill="CCEEFF" w:val="clear"/>
            <w:vAlign w:val="center"/>
          </w:tcPr>
          <w:p>
            <w:pPr>
              <w:pStyle w:val="TableContents"/>
              <w:bidi w:val="0"/>
              <w:spacing w:before="0" w:after="283"/>
              <w:jc w:val="left"/>
              <w:rPr/>
            </w:pPr>
            <w:r>
              <w:rPr/>
              <w:t> </w:t>
            </w:r>
          </w:p>
        </w:tc>
        <w:tc>
          <w:tcPr>
            <w:tcW w:w="1189" w:type="dxa"/>
            <w:tcBorders/>
            <w:shd w:fill="CCEEFF" w:val="clear"/>
            <w:vAlign w:val="center"/>
          </w:tcPr>
          <w:p>
            <w:pPr>
              <w:pStyle w:val="TableContents"/>
              <w:bidi w:val="0"/>
              <w:spacing w:before="0" w:after="283"/>
              <w:jc w:val="right"/>
              <w:rPr/>
            </w:pPr>
            <w:r>
              <w:rPr/>
              <w:t>4,624</w:t>
            </w:r>
          </w:p>
        </w:tc>
        <w:tc>
          <w:tcPr>
            <w:tcW w:w="135" w:type="dxa"/>
            <w:tcBorders/>
            <w:shd w:fill="CCEEFF" w:val="clear"/>
            <w:vAlign w:val="center"/>
          </w:tcPr>
          <w:p>
            <w:pPr>
              <w:pStyle w:val="TableContents"/>
              <w:bidi w:val="0"/>
              <w:spacing w:before="0" w:after="283"/>
              <w:jc w:val="left"/>
              <w:rPr/>
            </w:pPr>
            <w:r>
              <w:rPr/>
              <w:t> </w:t>
            </w:r>
          </w:p>
        </w:tc>
      </w:tr>
      <w:tr>
        <w:trPr/>
        <w:tc>
          <w:tcPr>
            <w:tcW w:w="4730" w:type="dxa"/>
            <w:tcBorders/>
            <w:vAlign w:val="center"/>
          </w:tcPr>
          <w:p>
            <w:pPr>
              <w:pStyle w:val="TableContents"/>
              <w:bidi w:val="0"/>
              <w:spacing w:before="0" w:after="0"/>
              <w:ind w:left="0" w:right="0" w:hanging="144"/>
              <w:jc w:val="left"/>
              <w:rPr/>
            </w:pPr>
            <w:r>
              <w:rPr/>
              <w:t xml:space="preserve">Voluntary Withdrawal and product replacements </w:t>
            </w:r>
          </w:p>
        </w:tc>
        <w:tc>
          <w:tcPr>
            <w:tcW w:w="90" w:type="dxa"/>
            <w:tcBorders/>
            <w:vAlign w:val="center"/>
          </w:tcPr>
          <w:p>
            <w:pPr>
              <w:pStyle w:val="TableContents"/>
              <w:bidi w:val="0"/>
              <w:spacing w:before="0" w:after="283"/>
              <w:jc w:val="right"/>
              <w:rPr/>
            </w:pPr>
            <w:r>
              <w:rPr/>
              <w:t> </w:t>
            </w:r>
          </w:p>
        </w:tc>
        <w:tc>
          <w:tcPr>
            <w:tcW w:w="284" w:type="dxa"/>
            <w:tcBorders/>
            <w:vAlign w:val="center"/>
          </w:tcPr>
          <w:p>
            <w:pPr>
              <w:pStyle w:val="TableContents"/>
              <w:bidi w:val="0"/>
              <w:spacing w:before="0" w:after="283"/>
              <w:jc w:val="left"/>
              <w:rPr/>
            </w:pPr>
            <w:r>
              <w:rPr/>
              <w:t> </w:t>
            </w:r>
          </w:p>
        </w:tc>
        <w:tc>
          <w:tcPr>
            <w:tcW w:w="1189" w:type="dxa"/>
            <w:tcBorders/>
            <w:vAlign w:val="center"/>
          </w:tcPr>
          <w:p>
            <w:pPr>
              <w:pStyle w:val="TableContents"/>
              <w:bidi w:val="0"/>
              <w:spacing w:before="0" w:after="283"/>
              <w:jc w:val="right"/>
              <w:rPr/>
            </w:pPr>
            <w:r>
              <w:rPr/>
              <w:t xml:space="preserve">- </w:t>
            </w:r>
          </w:p>
        </w:tc>
        <w:tc>
          <w:tcPr>
            <w:tcW w:w="310" w:type="dxa"/>
            <w:tcBorders/>
            <w:vAlign w:val="center"/>
          </w:tcPr>
          <w:p>
            <w:pPr>
              <w:pStyle w:val="TableContents"/>
              <w:bidi w:val="0"/>
              <w:spacing w:before="0" w:after="283"/>
              <w:jc w:val="left"/>
              <w:rPr/>
            </w:pPr>
            <w:r>
              <w:rPr/>
              <w:t> </w:t>
            </w:r>
          </w:p>
        </w:tc>
        <w:tc>
          <w:tcPr>
            <w:tcW w:w="150" w:type="dxa"/>
            <w:tcBorders/>
            <w:vAlign w:val="center"/>
          </w:tcPr>
          <w:p>
            <w:pPr>
              <w:pStyle w:val="TableContents"/>
              <w:bidi w:val="0"/>
              <w:spacing w:before="0" w:after="283"/>
              <w:jc w:val="right"/>
              <w:rPr/>
            </w:pPr>
            <w:r>
              <w:rPr/>
              <w:t> </w:t>
            </w:r>
          </w:p>
        </w:tc>
        <w:tc>
          <w:tcPr>
            <w:tcW w:w="284" w:type="dxa"/>
            <w:tcBorders/>
            <w:vAlign w:val="center"/>
          </w:tcPr>
          <w:p>
            <w:pPr>
              <w:pStyle w:val="TableContents"/>
              <w:bidi w:val="0"/>
              <w:spacing w:before="0" w:after="283"/>
              <w:jc w:val="left"/>
              <w:rPr/>
            </w:pPr>
            <w:r>
              <w:rPr/>
              <w:t> </w:t>
            </w:r>
          </w:p>
        </w:tc>
        <w:tc>
          <w:tcPr>
            <w:tcW w:w="1189" w:type="dxa"/>
            <w:tcBorders/>
            <w:vAlign w:val="center"/>
          </w:tcPr>
          <w:p>
            <w:pPr>
              <w:pStyle w:val="TableContents"/>
              <w:bidi w:val="0"/>
              <w:spacing w:before="0" w:after="283"/>
              <w:jc w:val="right"/>
              <w:rPr/>
            </w:pPr>
            <w:r>
              <w:rPr/>
              <w:t>3,837</w:t>
            </w:r>
          </w:p>
        </w:tc>
        <w:tc>
          <w:tcPr>
            <w:tcW w:w="135" w:type="dxa"/>
            <w:tcBorders/>
            <w:vAlign w:val="center"/>
          </w:tcPr>
          <w:p>
            <w:pPr>
              <w:pStyle w:val="TableContents"/>
              <w:bidi w:val="0"/>
              <w:spacing w:before="0" w:after="283"/>
              <w:jc w:val="left"/>
              <w:rPr/>
            </w:pPr>
            <w:r>
              <w:rPr/>
              <w:t> </w:t>
            </w:r>
          </w:p>
        </w:tc>
      </w:tr>
      <w:tr>
        <w:trPr/>
        <w:tc>
          <w:tcPr>
            <w:tcW w:w="4730" w:type="dxa"/>
            <w:tcBorders/>
            <w:shd w:fill="CCEEFF" w:val="clear"/>
            <w:vAlign w:val="center"/>
          </w:tcPr>
          <w:p>
            <w:pPr>
              <w:pStyle w:val="TableContents"/>
              <w:bidi w:val="0"/>
              <w:spacing w:before="0" w:after="0"/>
              <w:ind w:left="0" w:right="0" w:hanging="144"/>
              <w:jc w:val="left"/>
              <w:rPr/>
            </w:pPr>
            <w:r>
              <w:rPr/>
              <w:t xml:space="preserve">Yield enhancement </w:t>
            </w:r>
          </w:p>
        </w:tc>
        <w:tc>
          <w:tcPr>
            <w:tcW w:w="90" w:type="dxa"/>
            <w:tcBorders/>
            <w:shd w:fill="CCEEFF" w:val="clear"/>
            <w:vAlign w:val="center"/>
          </w:tcPr>
          <w:p>
            <w:pPr>
              <w:pStyle w:val="TableContents"/>
              <w:bidi w:val="0"/>
              <w:spacing w:before="0" w:after="283"/>
              <w:jc w:val="right"/>
              <w:rPr/>
            </w:pPr>
            <w:r>
              <w:rPr/>
              <w:t> </w:t>
            </w:r>
          </w:p>
        </w:tc>
        <w:tc>
          <w:tcPr>
            <w:tcW w:w="284" w:type="dxa"/>
            <w:tcBorders/>
            <w:shd w:fill="CCEEFF" w:val="clear"/>
            <w:vAlign w:val="center"/>
          </w:tcPr>
          <w:p>
            <w:pPr>
              <w:pStyle w:val="TableContents"/>
              <w:bidi w:val="0"/>
              <w:spacing w:before="0" w:after="283"/>
              <w:jc w:val="left"/>
              <w:rPr/>
            </w:pPr>
            <w:r>
              <w:rPr/>
              <w:t> </w:t>
            </w:r>
          </w:p>
        </w:tc>
        <w:tc>
          <w:tcPr>
            <w:tcW w:w="1189" w:type="dxa"/>
            <w:tcBorders/>
            <w:shd w:fill="CCEEFF" w:val="clear"/>
            <w:vAlign w:val="center"/>
          </w:tcPr>
          <w:p>
            <w:pPr>
              <w:pStyle w:val="TableContents"/>
              <w:bidi w:val="0"/>
              <w:spacing w:before="0" w:after="283"/>
              <w:jc w:val="right"/>
              <w:rPr/>
            </w:pPr>
            <w:r>
              <w:rPr/>
              <w:t>412</w:t>
            </w:r>
          </w:p>
        </w:tc>
        <w:tc>
          <w:tcPr>
            <w:tcW w:w="31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right"/>
              <w:rPr/>
            </w:pPr>
            <w:r>
              <w:rPr/>
              <w:t> </w:t>
            </w:r>
          </w:p>
        </w:tc>
        <w:tc>
          <w:tcPr>
            <w:tcW w:w="284" w:type="dxa"/>
            <w:tcBorders/>
            <w:shd w:fill="CCEEFF" w:val="clear"/>
            <w:vAlign w:val="center"/>
          </w:tcPr>
          <w:p>
            <w:pPr>
              <w:pStyle w:val="TableContents"/>
              <w:bidi w:val="0"/>
              <w:spacing w:before="0" w:after="283"/>
              <w:jc w:val="left"/>
              <w:rPr/>
            </w:pPr>
            <w:r>
              <w:rPr/>
              <w:t> </w:t>
            </w:r>
          </w:p>
        </w:tc>
        <w:tc>
          <w:tcPr>
            <w:tcW w:w="1189" w:type="dxa"/>
            <w:tcBorders/>
            <w:shd w:fill="CCEEFF" w:val="clear"/>
            <w:vAlign w:val="center"/>
          </w:tcPr>
          <w:p>
            <w:pPr>
              <w:pStyle w:val="TableContents"/>
              <w:bidi w:val="0"/>
              <w:spacing w:before="0" w:after="283"/>
              <w:jc w:val="right"/>
              <w:rPr/>
            </w:pPr>
            <w:r>
              <w:rPr/>
              <w:t>902</w:t>
            </w:r>
          </w:p>
        </w:tc>
        <w:tc>
          <w:tcPr>
            <w:tcW w:w="135" w:type="dxa"/>
            <w:tcBorders/>
            <w:shd w:fill="CCEEFF" w:val="clear"/>
            <w:vAlign w:val="center"/>
          </w:tcPr>
          <w:p>
            <w:pPr>
              <w:pStyle w:val="TableContents"/>
              <w:bidi w:val="0"/>
              <w:spacing w:before="0" w:after="283"/>
              <w:jc w:val="left"/>
              <w:rPr/>
            </w:pPr>
            <w:r>
              <w:rPr/>
              <w:t> </w:t>
            </w:r>
          </w:p>
        </w:tc>
      </w:tr>
      <w:tr>
        <w:trPr/>
        <w:tc>
          <w:tcPr>
            <w:tcW w:w="4730" w:type="dxa"/>
            <w:tcBorders/>
            <w:vAlign w:val="center"/>
          </w:tcPr>
          <w:p>
            <w:pPr>
              <w:pStyle w:val="TableContents"/>
              <w:bidi w:val="0"/>
              <w:spacing w:before="0" w:after="0"/>
              <w:ind w:left="0" w:right="0" w:hanging="144"/>
              <w:jc w:val="left"/>
              <w:rPr/>
            </w:pPr>
            <w:r>
              <w:rPr/>
              <w:t xml:space="preserve">Gain on sale of plasma centers </w:t>
            </w:r>
          </w:p>
        </w:tc>
        <w:tc>
          <w:tcPr>
            <w:tcW w:w="90" w:type="dxa"/>
            <w:tcBorders/>
            <w:vAlign w:val="center"/>
          </w:tcPr>
          <w:p>
            <w:pPr>
              <w:pStyle w:val="TableContents"/>
              <w:bidi w:val="0"/>
              <w:spacing w:before="0" w:after="283"/>
              <w:jc w:val="right"/>
              <w:rPr/>
            </w:pPr>
            <w:r>
              <w:rPr/>
              <w:t> </w:t>
            </w:r>
          </w:p>
        </w:tc>
        <w:tc>
          <w:tcPr>
            <w:tcW w:w="284" w:type="dxa"/>
            <w:tcBorders/>
            <w:vAlign w:val="center"/>
          </w:tcPr>
          <w:p>
            <w:pPr>
              <w:pStyle w:val="TableContents"/>
              <w:bidi w:val="0"/>
              <w:spacing w:before="0" w:after="283"/>
              <w:jc w:val="left"/>
              <w:rPr/>
            </w:pPr>
            <w:r>
              <w:rPr/>
              <w:t> </w:t>
            </w:r>
          </w:p>
        </w:tc>
        <w:tc>
          <w:tcPr>
            <w:tcW w:w="1189" w:type="dxa"/>
            <w:tcBorders/>
            <w:vAlign w:val="center"/>
          </w:tcPr>
          <w:p>
            <w:pPr>
              <w:pStyle w:val="TableContents"/>
              <w:bidi w:val="0"/>
              <w:spacing w:before="0" w:after="283"/>
              <w:jc w:val="right"/>
              <w:rPr/>
            </w:pPr>
            <w:r>
              <w:rPr/>
              <w:t>(7,980</w:t>
            </w:r>
          </w:p>
        </w:tc>
        <w:tc>
          <w:tcPr>
            <w:tcW w:w="310" w:type="dxa"/>
            <w:tcBorders/>
            <w:vAlign w:val="center"/>
          </w:tcPr>
          <w:p>
            <w:pPr>
              <w:pStyle w:val="TableContents"/>
              <w:bidi w:val="0"/>
              <w:spacing w:before="0" w:after="283"/>
              <w:jc w:val="left"/>
              <w:rPr/>
            </w:pPr>
            <w:r>
              <w:rPr/>
              <w:t>) </w:t>
            </w:r>
          </w:p>
        </w:tc>
        <w:tc>
          <w:tcPr>
            <w:tcW w:w="150" w:type="dxa"/>
            <w:tcBorders/>
            <w:vAlign w:val="center"/>
          </w:tcPr>
          <w:p>
            <w:pPr>
              <w:pStyle w:val="TableContents"/>
              <w:bidi w:val="0"/>
              <w:spacing w:before="0" w:after="283"/>
              <w:jc w:val="right"/>
              <w:rPr/>
            </w:pPr>
            <w:r>
              <w:rPr/>
              <w:t> </w:t>
            </w:r>
          </w:p>
        </w:tc>
        <w:tc>
          <w:tcPr>
            <w:tcW w:w="284" w:type="dxa"/>
            <w:tcBorders/>
            <w:vAlign w:val="center"/>
          </w:tcPr>
          <w:p>
            <w:pPr>
              <w:pStyle w:val="TableContents"/>
              <w:bidi w:val="0"/>
              <w:spacing w:before="0" w:after="283"/>
              <w:jc w:val="left"/>
              <w:rPr/>
            </w:pPr>
            <w:r>
              <w:rPr/>
              <w:t> </w:t>
            </w:r>
          </w:p>
        </w:tc>
        <w:tc>
          <w:tcPr>
            <w:tcW w:w="1189" w:type="dxa"/>
            <w:tcBorders/>
            <w:vAlign w:val="center"/>
          </w:tcPr>
          <w:p>
            <w:pPr>
              <w:pStyle w:val="TableContents"/>
              <w:bidi w:val="0"/>
              <w:spacing w:before="0" w:after="283"/>
              <w:jc w:val="right"/>
              <w:rPr/>
            </w:pPr>
            <w:r>
              <w:rPr/>
              <w:t xml:space="preserve">- </w:t>
            </w:r>
          </w:p>
        </w:tc>
        <w:tc>
          <w:tcPr>
            <w:tcW w:w="135" w:type="dxa"/>
            <w:tcBorders/>
            <w:vAlign w:val="center"/>
          </w:tcPr>
          <w:p>
            <w:pPr>
              <w:pStyle w:val="TableContents"/>
              <w:bidi w:val="0"/>
              <w:spacing w:before="0" w:after="283"/>
              <w:jc w:val="left"/>
              <w:rPr/>
            </w:pPr>
            <w:r>
              <w:rPr/>
              <w:t> </w:t>
            </w:r>
          </w:p>
        </w:tc>
      </w:tr>
      <w:tr>
        <w:trPr/>
        <w:tc>
          <w:tcPr>
            <w:tcW w:w="4730" w:type="dxa"/>
            <w:tcBorders/>
            <w:shd w:fill="CCEEFF" w:val="clear"/>
            <w:vAlign w:val="center"/>
          </w:tcPr>
          <w:p>
            <w:pPr>
              <w:pStyle w:val="TableContents"/>
              <w:bidi w:val="0"/>
              <w:spacing w:before="0" w:after="0"/>
              <w:ind w:left="0" w:right="0" w:hanging="144"/>
              <w:jc w:val="left"/>
              <w:rPr/>
            </w:pPr>
            <w:r>
              <w:rPr/>
              <w:t xml:space="preserve">Non-recurring professional fees </w:t>
            </w:r>
          </w:p>
        </w:tc>
        <w:tc>
          <w:tcPr>
            <w:tcW w:w="90" w:type="dxa"/>
            <w:tcBorders/>
            <w:shd w:fill="CCEEFF" w:val="clear"/>
            <w:vAlign w:val="center"/>
          </w:tcPr>
          <w:p>
            <w:pPr>
              <w:pStyle w:val="TableContents"/>
              <w:bidi w:val="0"/>
              <w:spacing w:before="0" w:after="283"/>
              <w:jc w:val="right"/>
              <w:rPr/>
            </w:pPr>
            <w:r>
              <w:rPr/>
              <w:t> </w:t>
            </w:r>
          </w:p>
        </w:tc>
        <w:tc>
          <w:tcPr>
            <w:tcW w:w="284"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89" w:type="dxa"/>
            <w:tcBorders>
              <w:bottom w:val="single" w:sz="12" w:space="0" w:color="000000"/>
            </w:tcBorders>
            <w:shd w:fill="CCEEFF" w:val="clear"/>
            <w:tcMar>
              <w:bottom w:w="28" w:type="dxa"/>
            </w:tcMar>
            <w:vAlign w:val="center"/>
          </w:tcPr>
          <w:p>
            <w:pPr>
              <w:pStyle w:val="TableContents"/>
              <w:bidi w:val="0"/>
              <w:spacing w:before="0" w:after="283"/>
              <w:jc w:val="right"/>
              <w:rPr/>
            </w:pPr>
            <w:r>
              <w:rPr/>
              <w:t>942</w:t>
            </w:r>
          </w:p>
        </w:tc>
        <w:tc>
          <w:tcPr>
            <w:tcW w:w="31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right"/>
              <w:rPr/>
            </w:pPr>
            <w:r>
              <w:rPr/>
              <w:t> </w:t>
            </w:r>
          </w:p>
        </w:tc>
        <w:tc>
          <w:tcPr>
            <w:tcW w:w="284"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89" w:type="dxa"/>
            <w:tcBorders>
              <w:bottom w:val="single" w:sz="12" w:space="0" w:color="000000"/>
            </w:tcBorders>
            <w:shd w:fill="CCEEFF" w:val="clear"/>
            <w:tcMar>
              <w:bottom w:w="28" w:type="dxa"/>
            </w:tcMar>
            <w:vAlign w:val="center"/>
          </w:tcPr>
          <w:p>
            <w:pPr>
              <w:pStyle w:val="TableContents"/>
              <w:bidi w:val="0"/>
              <w:spacing w:before="0" w:after="283"/>
              <w:jc w:val="right"/>
              <w:rPr/>
            </w:pPr>
            <w:r>
              <w:rPr/>
              <w:t>1,182</w:t>
            </w:r>
          </w:p>
        </w:tc>
        <w:tc>
          <w:tcPr>
            <w:tcW w:w="135" w:type="dxa"/>
            <w:tcBorders/>
            <w:shd w:fill="CCEEFF" w:val="clear"/>
            <w:vAlign w:val="center"/>
          </w:tcPr>
          <w:p>
            <w:pPr>
              <w:pStyle w:val="TableContents"/>
              <w:bidi w:val="0"/>
              <w:spacing w:before="0" w:after="283"/>
              <w:jc w:val="left"/>
              <w:rPr/>
            </w:pPr>
            <w:r>
              <w:rPr/>
              <w:t> </w:t>
            </w:r>
          </w:p>
        </w:tc>
      </w:tr>
      <w:tr>
        <w:trPr/>
        <w:tc>
          <w:tcPr>
            <w:tcW w:w="4730" w:type="dxa"/>
            <w:tcBorders/>
            <w:vAlign w:val="center"/>
          </w:tcPr>
          <w:p>
            <w:pPr>
              <w:pStyle w:val="TableContents"/>
              <w:bidi w:val="0"/>
              <w:spacing w:before="0" w:after="0"/>
              <w:ind w:left="0" w:right="0" w:hanging="144"/>
              <w:jc w:val="left"/>
              <w:rPr/>
            </w:pPr>
            <w:r>
              <w:rPr>
                <w:b/>
              </w:rPr>
              <w:t>Adjusted EBITDA</w:t>
            </w:r>
            <w:r>
              <w:rPr/>
              <w:t xml:space="preserve"> </w:t>
            </w:r>
          </w:p>
        </w:tc>
        <w:tc>
          <w:tcPr>
            <w:tcW w:w="90" w:type="dxa"/>
            <w:tcBorders/>
            <w:vAlign w:val="center"/>
          </w:tcPr>
          <w:p>
            <w:pPr>
              <w:pStyle w:val="TableContents"/>
              <w:bidi w:val="0"/>
              <w:spacing w:before="0" w:after="283"/>
              <w:jc w:val="right"/>
              <w:rPr/>
            </w:pPr>
            <w:r>
              <w:rPr/>
              <w:t> </w:t>
            </w:r>
          </w:p>
        </w:tc>
        <w:tc>
          <w:tcPr>
            <w:tcW w:w="284" w:type="dxa"/>
            <w:tcBorders>
              <w:bottom w:val="double" w:sz="8" w:space="0" w:color="000000"/>
            </w:tcBorders>
            <w:tcMar>
              <w:bottom w:w="28" w:type="dxa"/>
            </w:tcMar>
            <w:vAlign w:val="center"/>
          </w:tcPr>
          <w:p>
            <w:pPr>
              <w:pStyle w:val="TableContents"/>
              <w:bidi w:val="0"/>
              <w:spacing w:before="0" w:after="283"/>
              <w:jc w:val="left"/>
              <w:rPr/>
            </w:pPr>
            <w:r>
              <w:rPr/>
              <w:t>$</w:t>
            </w:r>
          </w:p>
        </w:tc>
        <w:tc>
          <w:tcPr>
            <w:tcW w:w="1189" w:type="dxa"/>
            <w:tcBorders>
              <w:bottom w:val="double" w:sz="8" w:space="0" w:color="000000"/>
            </w:tcBorders>
            <w:tcMar>
              <w:bottom w:w="28" w:type="dxa"/>
            </w:tcMar>
            <w:vAlign w:val="center"/>
          </w:tcPr>
          <w:p>
            <w:pPr>
              <w:pStyle w:val="TableContents"/>
              <w:bidi w:val="0"/>
              <w:spacing w:before="0" w:after="283"/>
              <w:jc w:val="right"/>
              <w:rPr/>
            </w:pPr>
            <w:r>
              <w:rPr/>
              <w:t>59,652</w:t>
            </w:r>
          </w:p>
        </w:tc>
        <w:tc>
          <w:tcPr>
            <w:tcW w:w="310" w:type="dxa"/>
            <w:tcBorders>
              <w:bottom w:val="double" w:sz="8" w:space="0" w:color="000000"/>
            </w:tcBorders>
            <w:tcMar>
              <w:bottom w:w="28" w:type="dxa"/>
            </w:tcMar>
            <w:vAlign w:val="center"/>
          </w:tcPr>
          <w:p>
            <w:pPr>
              <w:pStyle w:val="TableContents"/>
              <w:bidi w:val="0"/>
              <w:spacing w:before="0" w:after="283"/>
              <w:jc w:val="left"/>
              <w:rPr/>
            </w:pPr>
            <w:r>
              <w:rPr/>
              <w:t> </w:t>
            </w:r>
          </w:p>
        </w:tc>
        <w:tc>
          <w:tcPr>
            <w:tcW w:w="150" w:type="dxa"/>
            <w:tcBorders/>
            <w:vAlign w:val="center"/>
          </w:tcPr>
          <w:p>
            <w:pPr>
              <w:pStyle w:val="TableContents"/>
              <w:bidi w:val="0"/>
              <w:spacing w:before="0" w:after="283"/>
              <w:jc w:val="right"/>
              <w:rPr/>
            </w:pPr>
            <w:r>
              <w:rPr/>
              <w:t> </w:t>
            </w:r>
          </w:p>
        </w:tc>
        <w:tc>
          <w:tcPr>
            <w:tcW w:w="284" w:type="dxa"/>
            <w:tcBorders>
              <w:bottom w:val="double" w:sz="8" w:space="0" w:color="000000"/>
            </w:tcBorders>
            <w:tcMar>
              <w:bottom w:w="28" w:type="dxa"/>
            </w:tcMar>
            <w:vAlign w:val="center"/>
          </w:tcPr>
          <w:p>
            <w:pPr>
              <w:pStyle w:val="TableContents"/>
              <w:bidi w:val="0"/>
              <w:spacing w:before="0" w:after="283"/>
              <w:jc w:val="left"/>
              <w:rPr/>
            </w:pPr>
            <w:r>
              <w:rPr/>
              <w:t>$</w:t>
            </w:r>
          </w:p>
        </w:tc>
        <w:tc>
          <w:tcPr>
            <w:tcW w:w="1189" w:type="dxa"/>
            <w:tcBorders>
              <w:bottom w:val="double" w:sz="8" w:space="0" w:color="000000"/>
            </w:tcBorders>
            <w:tcMar>
              <w:bottom w:w="28" w:type="dxa"/>
            </w:tcMar>
            <w:vAlign w:val="center"/>
          </w:tcPr>
          <w:p>
            <w:pPr>
              <w:pStyle w:val="TableContents"/>
              <w:bidi w:val="0"/>
              <w:spacing w:before="0" w:after="283"/>
              <w:jc w:val="right"/>
              <w:rPr/>
            </w:pPr>
            <w:r>
              <w:rPr/>
              <w:t>47,939</w:t>
            </w:r>
          </w:p>
        </w:tc>
        <w:tc>
          <w:tcPr>
            <w:tcW w:w="135" w:type="dxa"/>
            <w:tcBorders>
              <w:bottom w:val="double" w:sz="8" w:space="0" w:color="000000"/>
            </w:tcBorders>
            <w:tcMar>
              <w:bottom w:w="28" w:type="dxa"/>
            </w:tcMar>
            <w:vAlign w:val="center"/>
          </w:tcPr>
          <w:p>
            <w:pPr>
              <w:pStyle w:val="TableContents"/>
              <w:bidi w:val="0"/>
              <w:spacing w:before="0" w:after="283"/>
              <w:jc w:val="left"/>
              <w:rPr/>
            </w:pPr>
            <w:r>
              <w:rPr/>
              <w:t> </w:t>
            </w:r>
          </w:p>
        </w:tc>
      </w:tr>
    </w:tbl>
    <w:p>
      <w:pPr>
        <w:pStyle w:val="TextBody"/>
        <w:bidi w:val="0"/>
        <w:spacing w:before="0" w:after="0"/>
        <w:jc w:val="center"/>
        <w:rPr/>
      </w:pPr>
      <w:r>
        <w:rPr/>
        <w:t xml:space="preserve">  </w:t>
      </w:r>
    </w:p>
    <w:p>
      <w:pPr>
        <w:pStyle w:val="TextBody"/>
        <w:bidi w:val="0"/>
        <w:spacing w:before="0" w:after="0"/>
        <w:ind w:left="0" w:right="0" w:firstLine="720"/>
        <w:jc w:val="both"/>
        <w:rPr>
          <w:rFonts w:ascii="Times New Roman" w:hAnsi="Times New Roman"/>
          <w:sz w:val="24"/>
        </w:rPr>
      </w:pPr>
      <w:r>
        <w:rPr>
          <w:rFonts w:ascii="Times New Roman" w:hAnsi="Times New Roman"/>
          <w:sz w:val="20"/>
        </w:rPr>
        <w:t>Adjusted EBITDA increased by $11.7 million for the three months ended March 31, 2026, as compared to the same period of a year ago. The improvement is primarily due to the substantial increase in operating income.</w:t>
      </w:r>
      <w:r>
        <w:rPr>
          <w:rFonts w:ascii="Times New Roman" w:hAnsi="Times New Roman"/>
          <w:sz w:val="24"/>
        </w:rPr>
        <w:t xml:space="preserve"> </w:t>
      </w:r>
    </w:p>
    <w:p>
      <w:pPr>
        <w:pStyle w:val="TextBody"/>
        <w:bidi w:val="0"/>
        <w:spacing w:before="0" w:after="0"/>
        <w:jc w:val="both"/>
        <w:rPr/>
      </w:pPr>
      <w:r>
        <w:rPr/>
        <w:t xml:space="preserve">  </w:t>
      </w:r>
    </w:p>
    <w:p>
      <w:pPr>
        <w:pStyle w:val="TextBody"/>
        <w:bidi w:val="0"/>
        <w:spacing w:before="150" w:after="15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t>26</w:t>
      </w:r>
    </w:p>
    <w:p>
      <w:pPr>
        <w:pStyle w:val="HorizontalLine"/>
        <w:bidi w:val="0"/>
        <w:spacing w:before="150" w:after="150"/>
        <w:jc w:val="left"/>
        <w:rPr/>
      </w:pPr>
      <w:r>
        <w:rPr/>
      </w:r>
    </w:p>
    <w:p>
      <w:pPr>
        <w:pStyle w:val="TextBody"/>
        <w:bidi w:val="0"/>
        <w:spacing w:before="150" w:after="150"/>
        <w:jc w:val="left"/>
        <w:rPr/>
      </w:pPr>
      <w:hyperlink w:anchor="index">
        <w:r>
          <w:rPr>
            <w:rStyle w:val="InternetLink"/>
            <w:rFonts w:ascii="TimesNewRoman;Times New Roman;Times;Baskerville;Georgia;serif" w:hAnsi="TimesNewRoman;Times New Roman;Times;Baskerville;Georgia;serif"/>
            <w:b w:val="false"/>
            <w:i/>
            <w:caps w:val="false"/>
            <w:smallCaps w:val="false"/>
            <w:strike w:val="false"/>
            <w:dstrike w:val="false"/>
            <w:sz w:val="16"/>
            <w:u w:val="none"/>
            <w:effect w:val="none"/>
          </w:rPr>
          <w:t>Index</w:t>
        </w:r>
      </w:hyperlink>
    </w:p>
    <w:p>
      <w:pPr>
        <w:pStyle w:val="TextBody"/>
        <w:bidi w:val="0"/>
        <w:spacing w:before="0" w:after="0"/>
        <w:ind w:left="0" w:right="0" w:firstLine="720"/>
        <w:jc w:val="both"/>
        <w:rPr>
          <w:rFonts w:ascii="Times New Roman" w:hAnsi="Times New Roman"/>
          <w:sz w:val="24"/>
        </w:rPr>
      </w:pPr>
      <w:r>
        <w:rPr>
          <w:rFonts w:ascii="Times New Roman" w:hAnsi="Times New Roman"/>
          <w:sz w:val="20"/>
        </w:rPr>
        <w:t>The following table presents the reconciliation of Net income to Adjusted net income for the three months ended March 31, 2026 and 2025:</w:t>
      </w:r>
      <w:r>
        <w:rPr>
          <w:rFonts w:ascii="Times New Roman" w:hAnsi="Times New Roman"/>
          <w:sz w:val="24"/>
        </w:rPr>
        <w:t xml:space="preserve"> </w:t>
      </w:r>
    </w:p>
    <w:p>
      <w:pPr>
        <w:pStyle w:val="TextBody"/>
        <w:bidi w:val="0"/>
        <w:spacing w:before="0" w:after="0"/>
        <w:jc w:val="both"/>
        <w:rPr/>
      </w:pPr>
      <w:r>
        <w:rPr/>
        <w:t xml:space="preserve">  </w:t>
      </w:r>
    </w:p>
    <w:tbl>
      <w:tblPr>
        <w:tblW w:w="8361" w:type="dxa"/>
        <w:jc w:val="left"/>
        <w:tblInd w:w="0" w:type="dxa"/>
        <w:tblLayout w:type="fixed"/>
        <w:tblCellMar>
          <w:top w:w="0" w:type="dxa"/>
          <w:left w:w="0" w:type="dxa"/>
          <w:bottom w:w="0" w:type="dxa"/>
          <w:right w:w="0" w:type="dxa"/>
        </w:tblCellMar>
      </w:tblPr>
      <w:tblGrid>
        <w:gridCol w:w="4730"/>
        <w:gridCol w:w="90"/>
        <w:gridCol w:w="284"/>
        <w:gridCol w:w="1189"/>
        <w:gridCol w:w="310"/>
        <w:gridCol w:w="150"/>
        <w:gridCol w:w="284"/>
        <w:gridCol w:w="1189"/>
        <w:gridCol w:w="135"/>
      </w:tblGrid>
      <w:tr>
        <w:trPr/>
        <w:tc>
          <w:tcPr>
            <w:tcW w:w="473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84" w:type="dxa"/>
            <w:tcBorders/>
            <w:vAlign w:val="center"/>
          </w:tcPr>
          <w:p>
            <w:pPr>
              <w:pStyle w:val="TableContents"/>
              <w:bidi w:val="0"/>
              <w:spacing w:before="0" w:after="283"/>
              <w:jc w:val="left"/>
              <w:rPr/>
            </w:pPr>
            <w:r>
              <w:rPr/>
              <w:t> </w:t>
            </w:r>
          </w:p>
        </w:tc>
        <w:tc>
          <w:tcPr>
            <w:tcW w:w="1189" w:type="dxa"/>
            <w:tcBorders/>
            <w:vAlign w:val="center"/>
          </w:tcPr>
          <w:p>
            <w:pPr>
              <w:pStyle w:val="TableContents"/>
              <w:bidi w:val="0"/>
              <w:spacing w:before="0" w:after="283"/>
              <w:jc w:val="left"/>
              <w:rPr/>
            </w:pPr>
            <w:r>
              <w:rPr/>
              <w:t> </w:t>
            </w:r>
          </w:p>
        </w:tc>
        <w:tc>
          <w:tcPr>
            <w:tcW w:w="310" w:type="dxa"/>
            <w:tcBorders/>
            <w:vAlign w:val="center"/>
          </w:tcPr>
          <w:p>
            <w:pPr>
              <w:pStyle w:val="TableContents"/>
              <w:bidi w:val="0"/>
              <w:spacing w:before="0" w:after="283"/>
              <w:jc w:val="left"/>
              <w:rPr/>
            </w:pPr>
            <w:r>
              <w:rPr/>
              <w:t> </w:t>
            </w:r>
          </w:p>
        </w:tc>
        <w:tc>
          <w:tcPr>
            <w:tcW w:w="150" w:type="dxa"/>
            <w:tcBorders/>
            <w:vAlign w:val="center"/>
          </w:tcPr>
          <w:p>
            <w:pPr>
              <w:pStyle w:val="TableContents"/>
              <w:bidi w:val="0"/>
              <w:spacing w:before="0" w:after="283"/>
              <w:jc w:val="left"/>
              <w:rPr/>
            </w:pPr>
            <w:r>
              <w:rPr/>
              <w:t> </w:t>
            </w:r>
          </w:p>
        </w:tc>
        <w:tc>
          <w:tcPr>
            <w:tcW w:w="284" w:type="dxa"/>
            <w:tcBorders/>
            <w:vAlign w:val="center"/>
          </w:tcPr>
          <w:p>
            <w:pPr>
              <w:pStyle w:val="TableContents"/>
              <w:bidi w:val="0"/>
              <w:spacing w:before="0" w:after="283"/>
              <w:jc w:val="left"/>
              <w:rPr/>
            </w:pPr>
            <w:r>
              <w:rPr/>
              <w:t> </w:t>
            </w:r>
          </w:p>
        </w:tc>
        <w:tc>
          <w:tcPr>
            <w:tcW w:w="1189" w:type="dxa"/>
            <w:tcBorders/>
            <w:vAlign w:val="center"/>
          </w:tcPr>
          <w:p>
            <w:pPr>
              <w:pStyle w:val="TableContents"/>
              <w:bidi w:val="0"/>
              <w:spacing w:before="0" w:after="283"/>
              <w:jc w:val="left"/>
              <w:rPr/>
            </w:pPr>
            <w:r>
              <w:rPr/>
              <w:t> </w:t>
            </w:r>
          </w:p>
        </w:tc>
        <w:tc>
          <w:tcPr>
            <w:tcW w:w="135" w:type="dxa"/>
            <w:tcBorders/>
            <w:vAlign w:val="center"/>
          </w:tcPr>
          <w:p>
            <w:pPr>
              <w:pStyle w:val="TableContents"/>
              <w:bidi w:val="0"/>
              <w:spacing w:before="0" w:after="283"/>
              <w:jc w:val="left"/>
              <w:rPr/>
            </w:pPr>
            <w:r>
              <w:rPr/>
              <w:t> </w:t>
            </w:r>
          </w:p>
        </w:tc>
      </w:tr>
      <w:tr>
        <w:trPr/>
        <w:tc>
          <w:tcPr>
            <w:tcW w:w="473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center"/>
              <w:rPr/>
            </w:pPr>
            <w:r>
              <w:rPr/>
              <w:t> </w:t>
            </w:r>
          </w:p>
        </w:tc>
        <w:tc>
          <w:tcPr>
            <w:tcW w:w="3406" w:type="dxa"/>
            <w:gridSpan w:val="6"/>
            <w:tcBorders/>
            <w:vAlign w:val="center"/>
          </w:tcPr>
          <w:p>
            <w:pPr>
              <w:pStyle w:val="TableContents"/>
              <w:bidi w:val="0"/>
              <w:spacing w:before="0" w:after="283"/>
              <w:jc w:val="center"/>
              <w:rPr/>
            </w:pPr>
            <w:r>
              <w:rPr>
                <w:b/>
                <w:spacing w:val="0"/>
              </w:rPr>
              <w:t>Three Months Ended March 31,</w:t>
            </w:r>
            <w:r>
              <w:rPr/>
              <w:t xml:space="preserve"> </w:t>
            </w:r>
          </w:p>
        </w:tc>
        <w:tc>
          <w:tcPr>
            <w:tcW w:w="135" w:type="dxa"/>
            <w:tcBorders/>
            <w:vAlign w:val="center"/>
          </w:tcPr>
          <w:p>
            <w:pPr>
              <w:pStyle w:val="TableContents"/>
              <w:bidi w:val="0"/>
              <w:spacing w:before="0" w:after="283"/>
              <w:jc w:val="center"/>
              <w:rPr/>
            </w:pPr>
            <w:r>
              <w:rPr/>
              <w:t> </w:t>
            </w:r>
          </w:p>
        </w:tc>
      </w:tr>
      <w:tr>
        <w:trPr/>
        <w:tc>
          <w:tcPr>
            <w:tcW w:w="473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center"/>
              <w:rPr/>
            </w:pPr>
            <w:r>
              <w:rPr/>
              <w:t> </w:t>
            </w:r>
          </w:p>
        </w:tc>
        <w:tc>
          <w:tcPr>
            <w:tcW w:w="284" w:type="dxa"/>
            <w:tcBorders>
              <w:bottom w:val="single" w:sz="12" w:space="0" w:color="000000"/>
            </w:tcBorders>
            <w:tcMar>
              <w:bottom w:w="28" w:type="dxa"/>
            </w:tcMar>
            <w:vAlign w:val="center"/>
          </w:tcPr>
          <w:p>
            <w:pPr>
              <w:pStyle w:val="TableContents"/>
              <w:bidi w:val="0"/>
              <w:spacing w:before="0" w:after="283"/>
              <w:jc w:val="center"/>
              <w:rPr/>
            </w:pPr>
            <w:r>
              <w:rPr/>
              <w:t> </w:t>
            </w:r>
          </w:p>
        </w:tc>
        <w:tc>
          <w:tcPr>
            <w:tcW w:w="1189" w:type="dxa"/>
            <w:tcBorders>
              <w:bottom w:val="single" w:sz="12" w:space="0" w:color="000000"/>
            </w:tcBorders>
            <w:tcMar>
              <w:bottom w:w="28" w:type="dxa"/>
            </w:tcMar>
            <w:vAlign w:val="center"/>
          </w:tcPr>
          <w:p>
            <w:pPr>
              <w:pStyle w:val="TableContents"/>
              <w:bidi w:val="0"/>
              <w:spacing w:before="0" w:after="283"/>
              <w:jc w:val="center"/>
              <w:rPr/>
            </w:pPr>
            <w:r>
              <w:rPr>
                <w:b/>
              </w:rPr>
              <w:t>2026</w:t>
            </w:r>
            <w:r>
              <w:rPr/>
              <w:t xml:space="preserve"> </w:t>
            </w:r>
          </w:p>
        </w:tc>
        <w:tc>
          <w:tcPr>
            <w:tcW w:w="310" w:type="dxa"/>
            <w:tcBorders/>
            <w:vAlign w:val="center"/>
          </w:tcPr>
          <w:p>
            <w:pPr>
              <w:pStyle w:val="TableContents"/>
              <w:bidi w:val="0"/>
              <w:spacing w:before="0" w:after="283"/>
              <w:jc w:val="center"/>
              <w:rPr/>
            </w:pPr>
            <w:r>
              <w:rPr/>
              <w:t> </w:t>
            </w:r>
          </w:p>
        </w:tc>
        <w:tc>
          <w:tcPr>
            <w:tcW w:w="150" w:type="dxa"/>
            <w:tcBorders/>
            <w:vAlign w:val="center"/>
          </w:tcPr>
          <w:p>
            <w:pPr>
              <w:pStyle w:val="TableContents"/>
              <w:bidi w:val="0"/>
              <w:spacing w:before="0" w:after="283"/>
              <w:jc w:val="center"/>
              <w:rPr/>
            </w:pPr>
            <w:r>
              <w:rPr/>
              <w:t> </w:t>
            </w:r>
          </w:p>
        </w:tc>
        <w:tc>
          <w:tcPr>
            <w:tcW w:w="284" w:type="dxa"/>
            <w:tcBorders>
              <w:bottom w:val="single" w:sz="12" w:space="0" w:color="000000"/>
            </w:tcBorders>
            <w:tcMar>
              <w:bottom w:w="28" w:type="dxa"/>
            </w:tcMar>
            <w:vAlign w:val="center"/>
          </w:tcPr>
          <w:p>
            <w:pPr>
              <w:pStyle w:val="TableContents"/>
              <w:bidi w:val="0"/>
              <w:spacing w:before="0" w:after="283"/>
              <w:jc w:val="center"/>
              <w:rPr/>
            </w:pPr>
            <w:r>
              <w:rPr/>
              <w:t> </w:t>
            </w:r>
          </w:p>
        </w:tc>
        <w:tc>
          <w:tcPr>
            <w:tcW w:w="1189" w:type="dxa"/>
            <w:tcBorders>
              <w:bottom w:val="single" w:sz="12" w:space="0" w:color="000000"/>
            </w:tcBorders>
            <w:tcMar>
              <w:bottom w:w="28" w:type="dxa"/>
            </w:tcMar>
            <w:vAlign w:val="center"/>
          </w:tcPr>
          <w:p>
            <w:pPr>
              <w:pStyle w:val="TableContents"/>
              <w:bidi w:val="0"/>
              <w:spacing w:before="0" w:after="283"/>
              <w:jc w:val="center"/>
              <w:rPr/>
            </w:pPr>
            <w:r>
              <w:rPr>
                <w:b/>
              </w:rPr>
              <w:t>2025</w:t>
            </w:r>
            <w:r>
              <w:rPr/>
              <w:t xml:space="preserve"> </w:t>
            </w:r>
          </w:p>
        </w:tc>
        <w:tc>
          <w:tcPr>
            <w:tcW w:w="135" w:type="dxa"/>
            <w:tcBorders/>
            <w:vAlign w:val="center"/>
          </w:tcPr>
          <w:p>
            <w:pPr>
              <w:pStyle w:val="TableContents"/>
              <w:bidi w:val="0"/>
              <w:spacing w:before="0" w:after="283"/>
              <w:jc w:val="center"/>
              <w:rPr/>
            </w:pPr>
            <w:r>
              <w:rPr/>
              <w:t> </w:t>
            </w:r>
          </w:p>
        </w:tc>
      </w:tr>
      <w:tr>
        <w:trPr/>
        <w:tc>
          <w:tcPr>
            <w:tcW w:w="4730" w:type="dxa"/>
            <w:tcBorders/>
            <w:vAlign w:val="center"/>
          </w:tcPr>
          <w:p>
            <w:pPr>
              <w:pStyle w:val="TableContents"/>
              <w:bidi w:val="0"/>
              <w:spacing w:before="0" w:after="0"/>
              <w:ind w:left="0" w:right="0" w:hanging="144"/>
              <w:jc w:val="left"/>
              <w:rPr/>
            </w:pPr>
            <w:r>
              <w:rPr>
                <w:i/>
              </w:rPr>
              <w:t>(In thousands)</w:t>
            </w:r>
            <w:r>
              <w:rPr/>
              <w:t xml:space="preserve"> </w:t>
            </w:r>
          </w:p>
        </w:tc>
        <w:tc>
          <w:tcPr>
            <w:tcW w:w="90" w:type="dxa"/>
            <w:tcBorders/>
            <w:vAlign w:val="center"/>
          </w:tcPr>
          <w:p>
            <w:pPr>
              <w:pStyle w:val="TableContents"/>
              <w:bidi w:val="0"/>
              <w:spacing w:before="0" w:after="283"/>
              <w:jc w:val="left"/>
              <w:rPr/>
            </w:pPr>
            <w:r>
              <w:rPr/>
              <w:t> </w:t>
            </w:r>
          </w:p>
        </w:tc>
        <w:tc>
          <w:tcPr>
            <w:tcW w:w="284" w:type="dxa"/>
            <w:tcBorders/>
            <w:vAlign w:val="center"/>
          </w:tcPr>
          <w:p>
            <w:pPr>
              <w:pStyle w:val="TableContents"/>
              <w:bidi w:val="0"/>
              <w:spacing w:before="0" w:after="283"/>
              <w:jc w:val="left"/>
              <w:rPr/>
            </w:pPr>
            <w:r>
              <w:rPr/>
              <w:t> </w:t>
            </w:r>
          </w:p>
        </w:tc>
        <w:tc>
          <w:tcPr>
            <w:tcW w:w="1189" w:type="dxa"/>
            <w:tcBorders/>
            <w:vAlign w:val="center"/>
          </w:tcPr>
          <w:p>
            <w:pPr>
              <w:pStyle w:val="TableContents"/>
              <w:bidi w:val="0"/>
              <w:spacing w:before="0" w:after="283"/>
              <w:jc w:val="left"/>
              <w:rPr/>
            </w:pPr>
            <w:r>
              <w:rPr/>
              <w:t> </w:t>
            </w:r>
          </w:p>
        </w:tc>
        <w:tc>
          <w:tcPr>
            <w:tcW w:w="310" w:type="dxa"/>
            <w:tcBorders/>
            <w:vAlign w:val="center"/>
          </w:tcPr>
          <w:p>
            <w:pPr>
              <w:pStyle w:val="TableContents"/>
              <w:bidi w:val="0"/>
              <w:spacing w:before="0" w:after="283"/>
              <w:jc w:val="left"/>
              <w:rPr/>
            </w:pPr>
            <w:r>
              <w:rPr/>
              <w:t> </w:t>
            </w:r>
          </w:p>
        </w:tc>
        <w:tc>
          <w:tcPr>
            <w:tcW w:w="150" w:type="dxa"/>
            <w:tcBorders/>
            <w:vAlign w:val="center"/>
          </w:tcPr>
          <w:p>
            <w:pPr>
              <w:pStyle w:val="TableContents"/>
              <w:bidi w:val="0"/>
              <w:spacing w:before="0" w:after="283"/>
              <w:jc w:val="left"/>
              <w:rPr/>
            </w:pPr>
            <w:r>
              <w:rPr/>
              <w:t> </w:t>
            </w:r>
          </w:p>
        </w:tc>
        <w:tc>
          <w:tcPr>
            <w:tcW w:w="284" w:type="dxa"/>
            <w:tcBorders/>
            <w:vAlign w:val="center"/>
          </w:tcPr>
          <w:p>
            <w:pPr>
              <w:pStyle w:val="TableContents"/>
              <w:bidi w:val="0"/>
              <w:spacing w:before="0" w:after="283"/>
              <w:jc w:val="left"/>
              <w:rPr/>
            </w:pPr>
            <w:r>
              <w:rPr/>
              <w:t> </w:t>
            </w:r>
          </w:p>
        </w:tc>
        <w:tc>
          <w:tcPr>
            <w:tcW w:w="1189" w:type="dxa"/>
            <w:tcBorders/>
            <w:vAlign w:val="center"/>
          </w:tcPr>
          <w:p>
            <w:pPr>
              <w:pStyle w:val="TableContents"/>
              <w:bidi w:val="0"/>
              <w:spacing w:before="0" w:after="283"/>
              <w:jc w:val="left"/>
              <w:rPr/>
            </w:pPr>
            <w:r>
              <w:rPr/>
              <w:t> </w:t>
            </w:r>
          </w:p>
        </w:tc>
        <w:tc>
          <w:tcPr>
            <w:tcW w:w="135" w:type="dxa"/>
            <w:tcBorders/>
            <w:vAlign w:val="center"/>
          </w:tcPr>
          <w:p>
            <w:pPr>
              <w:pStyle w:val="TableContents"/>
              <w:bidi w:val="0"/>
              <w:spacing w:before="0" w:after="283"/>
              <w:jc w:val="left"/>
              <w:rPr/>
            </w:pPr>
            <w:r>
              <w:rPr/>
              <w:t> </w:t>
            </w:r>
          </w:p>
        </w:tc>
      </w:tr>
      <w:tr>
        <w:trPr/>
        <w:tc>
          <w:tcPr>
            <w:tcW w:w="4730" w:type="dxa"/>
            <w:tcBorders/>
            <w:shd w:fill="CCEEFF" w:val="clear"/>
            <w:vAlign w:val="center"/>
          </w:tcPr>
          <w:p>
            <w:pPr>
              <w:pStyle w:val="TableContents"/>
              <w:bidi w:val="0"/>
              <w:spacing w:before="0" w:after="0"/>
              <w:ind w:left="0" w:right="0" w:hanging="144"/>
              <w:jc w:val="left"/>
              <w:rPr/>
            </w:pPr>
            <w:r>
              <w:rPr>
                <w:b/>
              </w:rPr>
              <w:t>Net income</w:t>
            </w:r>
            <w:r>
              <w:rPr/>
              <w:t xml:space="preserve"> </w:t>
            </w:r>
          </w:p>
        </w:tc>
        <w:tc>
          <w:tcPr>
            <w:tcW w:w="90" w:type="dxa"/>
            <w:tcBorders/>
            <w:shd w:fill="CCEEFF" w:val="clear"/>
            <w:vAlign w:val="center"/>
          </w:tcPr>
          <w:p>
            <w:pPr>
              <w:pStyle w:val="TableContents"/>
              <w:bidi w:val="0"/>
              <w:spacing w:before="0" w:after="283"/>
              <w:jc w:val="right"/>
              <w:rPr/>
            </w:pPr>
            <w:r>
              <w:rPr/>
              <w:t> </w:t>
            </w:r>
          </w:p>
        </w:tc>
        <w:tc>
          <w:tcPr>
            <w:tcW w:w="284" w:type="dxa"/>
            <w:tcBorders/>
            <w:shd w:fill="CCEEFF" w:val="clear"/>
            <w:vAlign w:val="center"/>
          </w:tcPr>
          <w:p>
            <w:pPr>
              <w:pStyle w:val="TableContents"/>
              <w:bidi w:val="0"/>
              <w:spacing w:before="0" w:after="283"/>
              <w:jc w:val="left"/>
              <w:rPr/>
            </w:pPr>
            <w:r>
              <w:rPr/>
              <w:t>$</w:t>
            </w:r>
          </w:p>
        </w:tc>
        <w:tc>
          <w:tcPr>
            <w:tcW w:w="1189" w:type="dxa"/>
            <w:tcBorders/>
            <w:shd w:fill="CCEEFF" w:val="clear"/>
            <w:vAlign w:val="center"/>
          </w:tcPr>
          <w:p>
            <w:pPr>
              <w:pStyle w:val="TableContents"/>
              <w:bidi w:val="0"/>
              <w:spacing w:before="0" w:after="283"/>
              <w:jc w:val="right"/>
              <w:rPr/>
            </w:pPr>
            <w:r>
              <w:rPr/>
              <w:t>45,328</w:t>
            </w:r>
          </w:p>
        </w:tc>
        <w:tc>
          <w:tcPr>
            <w:tcW w:w="31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right"/>
              <w:rPr/>
            </w:pPr>
            <w:r>
              <w:rPr/>
              <w:t> </w:t>
            </w:r>
          </w:p>
        </w:tc>
        <w:tc>
          <w:tcPr>
            <w:tcW w:w="284" w:type="dxa"/>
            <w:tcBorders/>
            <w:shd w:fill="CCEEFF" w:val="clear"/>
            <w:vAlign w:val="center"/>
          </w:tcPr>
          <w:p>
            <w:pPr>
              <w:pStyle w:val="TableContents"/>
              <w:bidi w:val="0"/>
              <w:spacing w:before="0" w:after="283"/>
              <w:jc w:val="left"/>
              <w:rPr/>
            </w:pPr>
            <w:r>
              <w:rPr/>
              <w:t>$</w:t>
            </w:r>
          </w:p>
        </w:tc>
        <w:tc>
          <w:tcPr>
            <w:tcW w:w="1189" w:type="dxa"/>
            <w:tcBorders/>
            <w:shd w:fill="CCEEFF" w:val="clear"/>
            <w:vAlign w:val="center"/>
          </w:tcPr>
          <w:p>
            <w:pPr>
              <w:pStyle w:val="TableContents"/>
              <w:bidi w:val="0"/>
              <w:spacing w:before="0" w:after="283"/>
              <w:jc w:val="right"/>
              <w:rPr/>
            </w:pPr>
            <w:r>
              <w:rPr/>
              <w:t>26,904</w:t>
            </w:r>
          </w:p>
        </w:tc>
        <w:tc>
          <w:tcPr>
            <w:tcW w:w="135" w:type="dxa"/>
            <w:tcBorders/>
            <w:shd w:fill="CCEEFF" w:val="clear"/>
            <w:vAlign w:val="center"/>
          </w:tcPr>
          <w:p>
            <w:pPr>
              <w:pStyle w:val="TableContents"/>
              <w:bidi w:val="0"/>
              <w:spacing w:before="0" w:after="283"/>
              <w:jc w:val="left"/>
              <w:rPr/>
            </w:pPr>
            <w:r>
              <w:rPr/>
              <w:t> </w:t>
            </w:r>
          </w:p>
        </w:tc>
      </w:tr>
      <w:tr>
        <w:trPr/>
        <w:tc>
          <w:tcPr>
            <w:tcW w:w="4730" w:type="dxa"/>
            <w:tcBorders/>
            <w:vAlign w:val="center"/>
          </w:tcPr>
          <w:p>
            <w:pPr>
              <w:pStyle w:val="TableContents"/>
              <w:bidi w:val="0"/>
              <w:spacing w:before="0" w:after="0"/>
              <w:ind w:left="0" w:right="0" w:hanging="144"/>
              <w:jc w:val="left"/>
              <w:rPr/>
            </w:pPr>
            <w:r>
              <w:rPr/>
              <w:t xml:space="preserve">Stock-based compensation modifications </w:t>
            </w:r>
          </w:p>
        </w:tc>
        <w:tc>
          <w:tcPr>
            <w:tcW w:w="90" w:type="dxa"/>
            <w:tcBorders/>
            <w:vAlign w:val="center"/>
          </w:tcPr>
          <w:p>
            <w:pPr>
              <w:pStyle w:val="TableContents"/>
              <w:bidi w:val="0"/>
              <w:spacing w:before="0" w:after="283"/>
              <w:jc w:val="right"/>
              <w:rPr/>
            </w:pPr>
            <w:r>
              <w:rPr/>
              <w:t> </w:t>
            </w:r>
          </w:p>
        </w:tc>
        <w:tc>
          <w:tcPr>
            <w:tcW w:w="284" w:type="dxa"/>
            <w:tcBorders/>
            <w:vAlign w:val="center"/>
          </w:tcPr>
          <w:p>
            <w:pPr>
              <w:pStyle w:val="TableContents"/>
              <w:bidi w:val="0"/>
              <w:spacing w:before="0" w:after="283"/>
              <w:jc w:val="left"/>
              <w:rPr/>
            </w:pPr>
            <w:r>
              <w:rPr/>
              <w:t> </w:t>
            </w:r>
          </w:p>
        </w:tc>
        <w:tc>
          <w:tcPr>
            <w:tcW w:w="1189" w:type="dxa"/>
            <w:tcBorders/>
            <w:vAlign w:val="center"/>
          </w:tcPr>
          <w:p>
            <w:pPr>
              <w:pStyle w:val="TableContents"/>
              <w:bidi w:val="0"/>
              <w:spacing w:before="0" w:after="283"/>
              <w:jc w:val="right"/>
              <w:rPr/>
            </w:pPr>
            <w:r>
              <w:rPr/>
              <w:t>609</w:t>
            </w:r>
          </w:p>
        </w:tc>
        <w:tc>
          <w:tcPr>
            <w:tcW w:w="310" w:type="dxa"/>
            <w:tcBorders/>
            <w:vAlign w:val="center"/>
          </w:tcPr>
          <w:p>
            <w:pPr>
              <w:pStyle w:val="TableContents"/>
              <w:bidi w:val="0"/>
              <w:spacing w:before="0" w:after="283"/>
              <w:jc w:val="left"/>
              <w:rPr/>
            </w:pPr>
            <w:r>
              <w:rPr/>
              <w:t> </w:t>
            </w:r>
          </w:p>
        </w:tc>
        <w:tc>
          <w:tcPr>
            <w:tcW w:w="150" w:type="dxa"/>
            <w:tcBorders/>
            <w:vAlign w:val="center"/>
          </w:tcPr>
          <w:p>
            <w:pPr>
              <w:pStyle w:val="TableContents"/>
              <w:bidi w:val="0"/>
              <w:spacing w:before="0" w:after="283"/>
              <w:jc w:val="right"/>
              <w:rPr/>
            </w:pPr>
            <w:r>
              <w:rPr/>
              <w:t> </w:t>
            </w:r>
          </w:p>
        </w:tc>
        <w:tc>
          <w:tcPr>
            <w:tcW w:w="284" w:type="dxa"/>
            <w:tcBorders/>
            <w:vAlign w:val="center"/>
          </w:tcPr>
          <w:p>
            <w:pPr>
              <w:pStyle w:val="TableContents"/>
              <w:bidi w:val="0"/>
              <w:spacing w:before="0" w:after="283"/>
              <w:jc w:val="left"/>
              <w:rPr/>
            </w:pPr>
            <w:r>
              <w:rPr/>
              <w:t> </w:t>
            </w:r>
          </w:p>
        </w:tc>
        <w:tc>
          <w:tcPr>
            <w:tcW w:w="1189" w:type="dxa"/>
            <w:tcBorders/>
            <w:vAlign w:val="center"/>
          </w:tcPr>
          <w:p>
            <w:pPr>
              <w:pStyle w:val="TableContents"/>
              <w:bidi w:val="0"/>
              <w:spacing w:before="0" w:after="283"/>
              <w:jc w:val="right"/>
              <w:rPr/>
            </w:pPr>
            <w:r>
              <w:rPr/>
              <w:t>474</w:t>
            </w:r>
          </w:p>
        </w:tc>
        <w:tc>
          <w:tcPr>
            <w:tcW w:w="135" w:type="dxa"/>
            <w:tcBorders/>
            <w:vAlign w:val="center"/>
          </w:tcPr>
          <w:p>
            <w:pPr>
              <w:pStyle w:val="TableContents"/>
              <w:bidi w:val="0"/>
              <w:spacing w:before="0" w:after="283"/>
              <w:jc w:val="left"/>
              <w:rPr/>
            </w:pPr>
            <w:r>
              <w:rPr/>
              <w:t> </w:t>
            </w:r>
          </w:p>
        </w:tc>
      </w:tr>
      <w:tr>
        <w:trPr/>
        <w:tc>
          <w:tcPr>
            <w:tcW w:w="4730" w:type="dxa"/>
            <w:tcBorders/>
            <w:shd w:fill="CCEEFF" w:val="clear"/>
            <w:vAlign w:val="center"/>
          </w:tcPr>
          <w:p>
            <w:pPr>
              <w:pStyle w:val="TableContents"/>
              <w:bidi w:val="0"/>
              <w:spacing w:before="0" w:after="0"/>
              <w:ind w:left="0" w:right="0" w:hanging="144"/>
              <w:jc w:val="left"/>
              <w:rPr/>
            </w:pPr>
            <w:r>
              <w:rPr/>
              <w:t xml:space="preserve">Voluntary Withdrawal and product replacements </w:t>
            </w:r>
          </w:p>
        </w:tc>
        <w:tc>
          <w:tcPr>
            <w:tcW w:w="90" w:type="dxa"/>
            <w:tcBorders/>
            <w:shd w:fill="CCEEFF" w:val="clear"/>
            <w:vAlign w:val="center"/>
          </w:tcPr>
          <w:p>
            <w:pPr>
              <w:pStyle w:val="TableContents"/>
              <w:bidi w:val="0"/>
              <w:spacing w:before="0" w:after="283"/>
              <w:jc w:val="right"/>
              <w:rPr/>
            </w:pPr>
            <w:r>
              <w:rPr/>
              <w:t> </w:t>
            </w:r>
          </w:p>
        </w:tc>
        <w:tc>
          <w:tcPr>
            <w:tcW w:w="284" w:type="dxa"/>
            <w:tcBorders/>
            <w:shd w:fill="CCEEFF" w:val="clear"/>
            <w:vAlign w:val="center"/>
          </w:tcPr>
          <w:p>
            <w:pPr>
              <w:pStyle w:val="TableContents"/>
              <w:bidi w:val="0"/>
              <w:spacing w:before="0" w:after="283"/>
              <w:jc w:val="left"/>
              <w:rPr/>
            </w:pPr>
            <w:r>
              <w:rPr/>
              <w:t> </w:t>
            </w:r>
          </w:p>
        </w:tc>
        <w:tc>
          <w:tcPr>
            <w:tcW w:w="1189" w:type="dxa"/>
            <w:tcBorders/>
            <w:shd w:fill="CCEEFF" w:val="clear"/>
            <w:vAlign w:val="center"/>
          </w:tcPr>
          <w:p>
            <w:pPr>
              <w:pStyle w:val="TableContents"/>
              <w:bidi w:val="0"/>
              <w:spacing w:before="0" w:after="283"/>
              <w:jc w:val="right"/>
              <w:rPr/>
            </w:pPr>
            <w:r>
              <w:rPr/>
              <w:t xml:space="preserve">- </w:t>
            </w:r>
          </w:p>
        </w:tc>
        <w:tc>
          <w:tcPr>
            <w:tcW w:w="31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right"/>
              <w:rPr/>
            </w:pPr>
            <w:r>
              <w:rPr/>
              <w:t> </w:t>
            </w:r>
          </w:p>
        </w:tc>
        <w:tc>
          <w:tcPr>
            <w:tcW w:w="284" w:type="dxa"/>
            <w:tcBorders/>
            <w:shd w:fill="CCEEFF" w:val="clear"/>
            <w:vAlign w:val="center"/>
          </w:tcPr>
          <w:p>
            <w:pPr>
              <w:pStyle w:val="TableContents"/>
              <w:bidi w:val="0"/>
              <w:spacing w:before="0" w:after="283"/>
              <w:jc w:val="left"/>
              <w:rPr/>
            </w:pPr>
            <w:r>
              <w:rPr/>
              <w:t> </w:t>
            </w:r>
          </w:p>
        </w:tc>
        <w:tc>
          <w:tcPr>
            <w:tcW w:w="1189" w:type="dxa"/>
            <w:tcBorders/>
            <w:shd w:fill="CCEEFF" w:val="clear"/>
            <w:vAlign w:val="center"/>
          </w:tcPr>
          <w:p>
            <w:pPr>
              <w:pStyle w:val="TableContents"/>
              <w:bidi w:val="0"/>
              <w:spacing w:before="0" w:after="283"/>
              <w:jc w:val="right"/>
              <w:rPr/>
            </w:pPr>
            <w:r>
              <w:rPr/>
              <w:t>3,837</w:t>
            </w:r>
          </w:p>
        </w:tc>
        <w:tc>
          <w:tcPr>
            <w:tcW w:w="135" w:type="dxa"/>
            <w:tcBorders/>
            <w:shd w:fill="CCEEFF" w:val="clear"/>
            <w:vAlign w:val="center"/>
          </w:tcPr>
          <w:p>
            <w:pPr>
              <w:pStyle w:val="TableContents"/>
              <w:bidi w:val="0"/>
              <w:spacing w:before="0" w:after="283"/>
              <w:jc w:val="left"/>
              <w:rPr/>
            </w:pPr>
            <w:r>
              <w:rPr/>
              <w:t> </w:t>
            </w:r>
          </w:p>
        </w:tc>
      </w:tr>
      <w:tr>
        <w:trPr/>
        <w:tc>
          <w:tcPr>
            <w:tcW w:w="4730" w:type="dxa"/>
            <w:tcBorders/>
            <w:vAlign w:val="center"/>
          </w:tcPr>
          <w:p>
            <w:pPr>
              <w:pStyle w:val="TableContents"/>
              <w:bidi w:val="0"/>
              <w:spacing w:before="0" w:after="0"/>
              <w:ind w:left="0" w:right="0" w:hanging="144"/>
              <w:jc w:val="left"/>
              <w:rPr/>
            </w:pPr>
            <w:r>
              <w:rPr/>
              <w:t xml:space="preserve">Yield Enhancement </w:t>
            </w:r>
          </w:p>
        </w:tc>
        <w:tc>
          <w:tcPr>
            <w:tcW w:w="90" w:type="dxa"/>
            <w:tcBorders/>
            <w:vAlign w:val="center"/>
          </w:tcPr>
          <w:p>
            <w:pPr>
              <w:pStyle w:val="TableContents"/>
              <w:bidi w:val="0"/>
              <w:spacing w:before="0" w:after="283"/>
              <w:jc w:val="right"/>
              <w:rPr/>
            </w:pPr>
            <w:r>
              <w:rPr/>
              <w:t> </w:t>
            </w:r>
          </w:p>
        </w:tc>
        <w:tc>
          <w:tcPr>
            <w:tcW w:w="284" w:type="dxa"/>
            <w:tcBorders/>
            <w:vAlign w:val="center"/>
          </w:tcPr>
          <w:p>
            <w:pPr>
              <w:pStyle w:val="TableContents"/>
              <w:bidi w:val="0"/>
              <w:spacing w:before="0" w:after="283"/>
              <w:jc w:val="left"/>
              <w:rPr/>
            </w:pPr>
            <w:r>
              <w:rPr/>
              <w:t> </w:t>
            </w:r>
          </w:p>
        </w:tc>
        <w:tc>
          <w:tcPr>
            <w:tcW w:w="1189" w:type="dxa"/>
            <w:tcBorders/>
            <w:vAlign w:val="center"/>
          </w:tcPr>
          <w:p>
            <w:pPr>
              <w:pStyle w:val="TableContents"/>
              <w:bidi w:val="0"/>
              <w:spacing w:before="0" w:after="283"/>
              <w:jc w:val="right"/>
              <w:rPr/>
            </w:pPr>
            <w:r>
              <w:rPr/>
              <w:t>327</w:t>
            </w:r>
          </w:p>
        </w:tc>
        <w:tc>
          <w:tcPr>
            <w:tcW w:w="310" w:type="dxa"/>
            <w:tcBorders/>
            <w:vAlign w:val="center"/>
          </w:tcPr>
          <w:p>
            <w:pPr>
              <w:pStyle w:val="TableContents"/>
              <w:bidi w:val="0"/>
              <w:spacing w:before="0" w:after="283"/>
              <w:jc w:val="left"/>
              <w:rPr/>
            </w:pPr>
            <w:r>
              <w:rPr/>
              <w:t> </w:t>
            </w:r>
          </w:p>
        </w:tc>
        <w:tc>
          <w:tcPr>
            <w:tcW w:w="150" w:type="dxa"/>
            <w:tcBorders/>
            <w:vAlign w:val="center"/>
          </w:tcPr>
          <w:p>
            <w:pPr>
              <w:pStyle w:val="TableContents"/>
              <w:bidi w:val="0"/>
              <w:spacing w:before="0" w:after="283"/>
              <w:jc w:val="right"/>
              <w:rPr/>
            </w:pPr>
            <w:r>
              <w:rPr/>
              <w:t> </w:t>
            </w:r>
          </w:p>
        </w:tc>
        <w:tc>
          <w:tcPr>
            <w:tcW w:w="284" w:type="dxa"/>
            <w:tcBorders/>
            <w:vAlign w:val="center"/>
          </w:tcPr>
          <w:p>
            <w:pPr>
              <w:pStyle w:val="TableContents"/>
              <w:bidi w:val="0"/>
              <w:spacing w:before="0" w:after="283"/>
              <w:jc w:val="left"/>
              <w:rPr/>
            </w:pPr>
            <w:r>
              <w:rPr/>
              <w:t> </w:t>
            </w:r>
          </w:p>
        </w:tc>
        <w:tc>
          <w:tcPr>
            <w:tcW w:w="1189" w:type="dxa"/>
            <w:tcBorders/>
            <w:vAlign w:val="center"/>
          </w:tcPr>
          <w:p>
            <w:pPr>
              <w:pStyle w:val="TableContents"/>
              <w:bidi w:val="0"/>
              <w:spacing w:before="0" w:after="283"/>
              <w:jc w:val="right"/>
              <w:rPr/>
            </w:pPr>
            <w:r>
              <w:rPr/>
              <w:t>902</w:t>
            </w:r>
          </w:p>
        </w:tc>
        <w:tc>
          <w:tcPr>
            <w:tcW w:w="135" w:type="dxa"/>
            <w:tcBorders/>
            <w:vAlign w:val="center"/>
          </w:tcPr>
          <w:p>
            <w:pPr>
              <w:pStyle w:val="TableContents"/>
              <w:bidi w:val="0"/>
              <w:spacing w:before="0" w:after="283"/>
              <w:jc w:val="left"/>
              <w:rPr/>
            </w:pPr>
            <w:r>
              <w:rPr/>
              <w:t> </w:t>
            </w:r>
          </w:p>
        </w:tc>
      </w:tr>
      <w:tr>
        <w:trPr/>
        <w:tc>
          <w:tcPr>
            <w:tcW w:w="4730" w:type="dxa"/>
            <w:tcBorders/>
            <w:shd w:fill="CCEEFF" w:val="clear"/>
            <w:vAlign w:val="center"/>
          </w:tcPr>
          <w:p>
            <w:pPr>
              <w:pStyle w:val="TableContents"/>
              <w:bidi w:val="0"/>
              <w:spacing w:before="0" w:after="0"/>
              <w:ind w:left="0" w:right="0" w:hanging="144"/>
              <w:jc w:val="left"/>
              <w:rPr/>
            </w:pPr>
            <w:r>
              <w:rPr/>
              <w:t xml:space="preserve">Gain on sale of plasma centers </w:t>
            </w:r>
          </w:p>
        </w:tc>
        <w:tc>
          <w:tcPr>
            <w:tcW w:w="90" w:type="dxa"/>
            <w:tcBorders/>
            <w:shd w:fill="CCEEFF" w:val="clear"/>
            <w:vAlign w:val="center"/>
          </w:tcPr>
          <w:p>
            <w:pPr>
              <w:pStyle w:val="TableContents"/>
              <w:bidi w:val="0"/>
              <w:spacing w:before="0" w:after="283"/>
              <w:jc w:val="right"/>
              <w:rPr/>
            </w:pPr>
            <w:r>
              <w:rPr/>
              <w:t> </w:t>
            </w:r>
          </w:p>
        </w:tc>
        <w:tc>
          <w:tcPr>
            <w:tcW w:w="284" w:type="dxa"/>
            <w:tcBorders/>
            <w:shd w:fill="CCEEFF" w:val="clear"/>
            <w:vAlign w:val="center"/>
          </w:tcPr>
          <w:p>
            <w:pPr>
              <w:pStyle w:val="TableContents"/>
              <w:bidi w:val="0"/>
              <w:spacing w:before="0" w:after="283"/>
              <w:jc w:val="left"/>
              <w:rPr/>
            </w:pPr>
            <w:r>
              <w:rPr/>
              <w:t> </w:t>
            </w:r>
          </w:p>
        </w:tc>
        <w:tc>
          <w:tcPr>
            <w:tcW w:w="1189" w:type="dxa"/>
            <w:tcBorders/>
            <w:shd w:fill="CCEEFF" w:val="clear"/>
            <w:vAlign w:val="center"/>
          </w:tcPr>
          <w:p>
            <w:pPr>
              <w:pStyle w:val="TableContents"/>
              <w:bidi w:val="0"/>
              <w:spacing w:before="0" w:after="283"/>
              <w:jc w:val="right"/>
              <w:rPr/>
            </w:pPr>
            <w:r>
              <w:rPr/>
              <w:t>(6,332</w:t>
            </w:r>
          </w:p>
        </w:tc>
        <w:tc>
          <w:tcPr>
            <w:tcW w:w="31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right"/>
              <w:rPr/>
            </w:pPr>
            <w:r>
              <w:rPr/>
              <w:t> </w:t>
            </w:r>
          </w:p>
        </w:tc>
        <w:tc>
          <w:tcPr>
            <w:tcW w:w="284" w:type="dxa"/>
            <w:tcBorders/>
            <w:shd w:fill="CCEEFF" w:val="clear"/>
            <w:vAlign w:val="center"/>
          </w:tcPr>
          <w:p>
            <w:pPr>
              <w:pStyle w:val="TableContents"/>
              <w:bidi w:val="0"/>
              <w:spacing w:before="0" w:after="283"/>
              <w:jc w:val="left"/>
              <w:rPr/>
            </w:pPr>
            <w:r>
              <w:rPr/>
              <w:t> </w:t>
            </w:r>
          </w:p>
        </w:tc>
        <w:tc>
          <w:tcPr>
            <w:tcW w:w="1189" w:type="dxa"/>
            <w:tcBorders/>
            <w:shd w:fill="CCEEFF" w:val="clear"/>
            <w:vAlign w:val="center"/>
          </w:tcPr>
          <w:p>
            <w:pPr>
              <w:pStyle w:val="TableContents"/>
              <w:bidi w:val="0"/>
              <w:spacing w:before="0" w:after="283"/>
              <w:jc w:val="right"/>
              <w:rPr/>
            </w:pPr>
            <w:r>
              <w:rPr/>
              <w:t xml:space="preserve">- </w:t>
            </w:r>
          </w:p>
        </w:tc>
        <w:tc>
          <w:tcPr>
            <w:tcW w:w="135" w:type="dxa"/>
            <w:tcBorders/>
            <w:shd w:fill="CCEEFF" w:val="clear"/>
            <w:vAlign w:val="center"/>
          </w:tcPr>
          <w:p>
            <w:pPr>
              <w:pStyle w:val="TableContents"/>
              <w:bidi w:val="0"/>
              <w:spacing w:before="0" w:after="283"/>
              <w:jc w:val="left"/>
              <w:rPr/>
            </w:pPr>
            <w:r>
              <w:rPr/>
              <w:t> </w:t>
            </w:r>
          </w:p>
        </w:tc>
      </w:tr>
      <w:tr>
        <w:trPr/>
        <w:tc>
          <w:tcPr>
            <w:tcW w:w="4730" w:type="dxa"/>
            <w:tcBorders/>
            <w:vAlign w:val="center"/>
          </w:tcPr>
          <w:p>
            <w:pPr>
              <w:pStyle w:val="TableContents"/>
              <w:bidi w:val="0"/>
              <w:spacing w:before="0" w:after="0"/>
              <w:ind w:left="0" w:right="0" w:hanging="144"/>
              <w:jc w:val="left"/>
              <w:rPr/>
            </w:pPr>
            <w:r>
              <w:rPr/>
              <w:t xml:space="preserve">Non-recurring professional fees </w:t>
            </w:r>
          </w:p>
        </w:tc>
        <w:tc>
          <w:tcPr>
            <w:tcW w:w="90" w:type="dxa"/>
            <w:tcBorders/>
            <w:vAlign w:val="center"/>
          </w:tcPr>
          <w:p>
            <w:pPr>
              <w:pStyle w:val="TableContents"/>
              <w:bidi w:val="0"/>
              <w:spacing w:before="0" w:after="283"/>
              <w:jc w:val="right"/>
              <w:rPr/>
            </w:pPr>
            <w:r>
              <w:rPr/>
              <w:t> </w:t>
            </w:r>
          </w:p>
        </w:tc>
        <w:tc>
          <w:tcPr>
            <w:tcW w:w="284" w:type="dxa"/>
            <w:tcBorders>
              <w:bottom w:val="single" w:sz="12" w:space="0" w:color="000000"/>
            </w:tcBorders>
            <w:tcMar>
              <w:bottom w:w="28" w:type="dxa"/>
            </w:tcMar>
            <w:vAlign w:val="center"/>
          </w:tcPr>
          <w:p>
            <w:pPr>
              <w:pStyle w:val="TableContents"/>
              <w:bidi w:val="0"/>
              <w:spacing w:before="0" w:after="283"/>
              <w:jc w:val="left"/>
              <w:rPr/>
            </w:pPr>
            <w:r>
              <w:rPr/>
              <w:t> </w:t>
            </w:r>
          </w:p>
        </w:tc>
        <w:tc>
          <w:tcPr>
            <w:tcW w:w="1189" w:type="dxa"/>
            <w:tcBorders>
              <w:bottom w:val="single" w:sz="12" w:space="0" w:color="000000"/>
            </w:tcBorders>
            <w:tcMar>
              <w:bottom w:w="28" w:type="dxa"/>
            </w:tcMar>
            <w:vAlign w:val="center"/>
          </w:tcPr>
          <w:p>
            <w:pPr>
              <w:pStyle w:val="TableContents"/>
              <w:bidi w:val="0"/>
              <w:spacing w:before="0" w:after="283"/>
              <w:jc w:val="right"/>
              <w:rPr/>
            </w:pPr>
            <w:r>
              <w:rPr/>
              <w:t>747</w:t>
            </w:r>
          </w:p>
        </w:tc>
        <w:tc>
          <w:tcPr>
            <w:tcW w:w="310" w:type="dxa"/>
            <w:tcBorders/>
            <w:vAlign w:val="center"/>
          </w:tcPr>
          <w:p>
            <w:pPr>
              <w:pStyle w:val="TableContents"/>
              <w:bidi w:val="0"/>
              <w:spacing w:before="0" w:after="283"/>
              <w:jc w:val="left"/>
              <w:rPr/>
            </w:pPr>
            <w:r>
              <w:rPr/>
              <w:t> </w:t>
            </w:r>
          </w:p>
        </w:tc>
        <w:tc>
          <w:tcPr>
            <w:tcW w:w="150" w:type="dxa"/>
            <w:tcBorders/>
            <w:vAlign w:val="center"/>
          </w:tcPr>
          <w:p>
            <w:pPr>
              <w:pStyle w:val="TableContents"/>
              <w:bidi w:val="0"/>
              <w:spacing w:before="0" w:after="283"/>
              <w:jc w:val="right"/>
              <w:rPr/>
            </w:pPr>
            <w:r>
              <w:rPr/>
              <w:t> </w:t>
            </w:r>
          </w:p>
        </w:tc>
        <w:tc>
          <w:tcPr>
            <w:tcW w:w="284" w:type="dxa"/>
            <w:tcBorders>
              <w:bottom w:val="single" w:sz="12" w:space="0" w:color="000000"/>
            </w:tcBorders>
            <w:tcMar>
              <w:bottom w:w="28" w:type="dxa"/>
            </w:tcMar>
            <w:vAlign w:val="center"/>
          </w:tcPr>
          <w:p>
            <w:pPr>
              <w:pStyle w:val="TableContents"/>
              <w:bidi w:val="0"/>
              <w:spacing w:before="0" w:after="283"/>
              <w:jc w:val="left"/>
              <w:rPr/>
            </w:pPr>
            <w:r>
              <w:rPr/>
              <w:t> </w:t>
            </w:r>
          </w:p>
        </w:tc>
        <w:tc>
          <w:tcPr>
            <w:tcW w:w="1189" w:type="dxa"/>
            <w:tcBorders>
              <w:bottom w:val="single" w:sz="12" w:space="0" w:color="000000"/>
            </w:tcBorders>
            <w:tcMar>
              <w:bottom w:w="28" w:type="dxa"/>
            </w:tcMar>
            <w:vAlign w:val="center"/>
          </w:tcPr>
          <w:p>
            <w:pPr>
              <w:pStyle w:val="TableContents"/>
              <w:bidi w:val="0"/>
              <w:spacing w:before="0" w:after="283"/>
              <w:jc w:val="right"/>
              <w:rPr/>
            </w:pPr>
            <w:r>
              <w:rPr/>
              <w:t>1,182</w:t>
            </w:r>
          </w:p>
        </w:tc>
        <w:tc>
          <w:tcPr>
            <w:tcW w:w="135" w:type="dxa"/>
            <w:tcBorders/>
            <w:vAlign w:val="center"/>
          </w:tcPr>
          <w:p>
            <w:pPr>
              <w:pStyle w:val="TableContents"/>
              <w:bidi w:val="0"/>
              <w:spacing w:before="0" w:after="283"/>
              <w:jc w:val="left"/>
              <w:rPr/>
            </w:pPr>
            <w:r>
              <w:rPr/>
              <w:t> </w:t>
            </w:r>
          </w:p>
        </w:tc>
      </w:tr>
      <w:tr>
        <w:trPr/>
        <w:tc>
          <w:tcPr>
            <w:tcW w:w="4730" w:type="dxa"/>
            <w:tcBorders/>
            <w:shd w:fill="CCEEFF" w:val="clear"/>
            <w:vAlign w:val="center"/>
          </w:tcPr>
          <w:p>
            <w:pPr>
              <w:pStyle w:val="TableContents"/>
              <w:bidi w:val="0"/>
              <w:spacing w:before="0" w:after="0"/>
              <w:ind w:left="0" w:right="0" w:hanging="144"/>
              <w:jc w:val="left"/>
              <w:rPr/>
            </w:pPr>
            <w:r>
              <w:rPr>
                <w:b/>
              </w:rPr>
              <w:t>Adjusted net income (a)</w:t>
            </w:r>
            <w:r>
              <w:rPr/>
              <w:t xml:space="preserve"> </w:t>
            </w:r>
          </w:p>
        </w:tc>
        <w:tc>
          <w:tcPr>
            <w:tcW w:w="90" w:type="dxa"/>
            <w:tcBorders/>
            <w:shd w:fill="CCEEFF" w:val="clear"/>
            <w:vAlign w:val="center"/>
          </w:tcPr>
          <w:p>
            <w:pPr>
              <w:pStyle w:val="TableContents"/>
              <w:bidi w:val="0"/>
              <w:spacing w:before="0" w:after="283"/>
              <w:jc w:val="right"/>
              <w:rPr/>
            </w:pPr>
            <w:r>
              <w:rPr/>
              <w:t> </w:t>
            </w:r>
          </w:p>
        </w:tc>
        <w:tc>
          <w:tcPr>
            <w:tcW w:w="284" w:type="dxa"/>
            <w:tcBorders>
              <w:bottom w:val="single" w:sz="12" w:space="0" w:color="000000"/>
            </w:tcBorders>
            <w:shd w:fill="CCEEFF" w:val="clear"/>
            <w:tcMar>
              <w:bottom w:w="28" w:type="dxa"/>
            </w:tcMar>
            <w:vAlign w:val="center"/>
          </w:tcPr>
          <w:p>
            <w:pPr>
              <w:pStyle w:val="TableContents"/>
              <w:bidi w:val="0"/>
              <w:spacing w:before="0" w:after="283"/>
              <w:jc w:val="left"/>
              <w:rPr/>
            </w:pPr>
            <w:r>
              <w:rPr/>
              <w:t>$</w:t>
            </w:r>
          </w:p>
        </w:tc>
        <w:tc>
          <w:tcPr>
            <w:tcW w:w="1189" w:type="dxa"/>
            <w:tcBorders>
              <w:bottom w:val="single" w:sz="12" w:space="0" w:color="000000"/>
            </w:tcBorders>
            <w:shd w:fill="CCEEFF" w:val="clear"/>
            <w:tcMar>
              <w:bottom w:w="28" w:type="dxa"/>
            </w:tcMar>
            <w:vAlign w:val="center"/>
          </w:tcPr>
          <w:p>
            <w:pPr>
              <w:pStyle w:val="TableContents"/>
              <w:bidi w:val="0"/>
              <w:spacing w:before="0" w:after="283"/>
              <w:jc w:val="right"/>
              <w:rPr/>
            </w:pPr>
            <w:r>
              <w:rPr/>
              <w:t>40,679</w:t>
            </w:r>
          </w:p>
        </w:tc>
        <w:tc>
          <w:tcPr>
            <w:tcW w:w="31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right"/>
              <w:rPr/>
            </w:pPr>
            <w:r>
              <w:rPr/>
              <w:t> </w:t>
            </w:r>
          </w:p>
        </w:tc>
        <w:tc>
          <w:tcPr>
            <w:tcW w:w="284" w:type="dxa"/>
            <w:tcBorders>
              <w:bottom w:val="single" w:sz="12" w:space="0" w:color="000000"/>
            </w:tcBorders>
            <w:shd w:fill="CCEEFF" w:val="clear"/>
            <w:tcMar>
              <w:bottom w:w="28" w:type="dxa"/>
            </w:tcMar>
            <w:vAlign w:val="center"/>
          </w:tcPr>
          <w:p>
            <w:pPr>
              <w:pStyle w:val="TableContents"/>
              <w:bidi w:val="0"/>
              <w:spacing w:before="0" w:after="283"/>
              <w:jc w:val="left"/>
              <w:rPr/>
            </w:pPr>
            <w:r>
              <w:rPr/>
              <w:t>$</w:t>
            </w:r>
          </w:p>
        </w:tc>
        <w:tc>
          <w:tcPr>
            <w:tcW w:w="1189" w:type="dxa"/>
            <w:tcBorders>
              <w:bottom w:val="single" w:sz="12" w:space="0" w:color="000000"/>
            </w:tcBorders>
            <w:shd w:fill="CCEEFF" w:val="clear"/>
            <w:tcMar>
              <w:bottom w:w="28" w:type="dxa"/>
            </w:tcMar>
            <w:vAlign w:val="center"/>
          </w:tcPr>
          <w:p>
            <w:pPr>
              <w:pStyle w:val="TableContents"/>
              <w:bidi w:val="0"/>
              <w:spacing w:before="0" w:after="283"/>
              <w:jc w:val="right"/>
              <w:rPr/>
            </w:pPr>
            <w:r>
              <w:rPr/>
              <w:t>33,299</w:t>
            </w:r>
          </w:p>
        </w:tc>
        <w:tc>
          <w:tcPr>
            <w:tcW w:w="13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r>
    </w:tbl>
    <w:p>
      <w:pPr>
        <w:pStyle w:val="TextBody"/>
        <w:bidi w:val="0"/>
        <w:spacing w:before="0" w:after="0"/>
        <w:jc w:val="left"/>
        <w:rPr/>
      </w:pPr>
      <w:r>
        <w:rPr/>
        <w:t xml:space="preserve">  </w:t>
      </w:r>
    </w:p>
    <w:p>
      <w:pPr>
        <w:pStyle w:val="TextBody"/>
        <w:bidi w:val="0"/>
        <w:spacing w:before="0" w:after="0"/>
        <w:jc w:val="left"/>
        <w:rPr>
          <w:rFonts w:ascii="Times New Roman" w:hAnsi="Times New Roman"/>
          <w:sz w:val="20"/>
        </w:rPr>
      </w:pPr>
      <w:r>
        <w:rPr>
          <w:rFonts w:ascii="Times New Roman" w:hAnsi="Times New Roman"/>
          <w:sz w:val="20"/>
        </w:rPr>
        <w:t xml:space="preserve">(a) Add-backs reflected during the three months ended March 31, 2025 exclude estimated tax effect of $1.3 million. Add-backs reflected during the three months ended March 31, 2026 were tax affected using the first quarter 2026 effective tax rate. </w:t>
      </w:r>
    </w:p>
    <w:p>
      <w:pPr>
        <w:pStyle w:val="TextBody"/>
        <w:bidi w:val="0"/>
        <w:spacing w:before="0" w:after="0"/>
        <w:jc w:val="center"/>
        <w:rPr/>
      </w:pPr>
      <w:r>
        <w:rPr/>
        <w:t xml:space="preserve">  </w:t>
      </w:r>
    </w:p>
    <w:p>
      <w:pPr>
        <w:pStyle w:val="TextBody"/>
        <w:bidi w:val="0"/>
        <w:spacing w:before="0" w:after="0"/>
        <w:jc w:val="center"/>
        <w:rPr>
          <w:rFonts w:ascii="Times New Roman" w:hAnsi="Times New Roman"/>
          <w:b/>
          <w:sz w:val="24"/>
        </w:rPr>
      </w:pPr>
      <w:r>
        <w:rPr>
          <w:rFonts w:ascii="Times New Roman" w:hAnsi="Times New Roman"/>
          <w:b/>
          <w:sz w:val="20"/>
          <w:u w:val="single"/>
        </w:rPr>
        <w:t>LIQUIDITY AND CAPITAL RESOURCES</w:t>
      </w:r>
      <w:r>
        <w:rPr>
          <w:rFonts w:ascii="Times New Roman" w:hAnsi="Times New Roman"/>
          <w:b/>
          <w:sz w:val="24"/>
        </w:rPr>
        <w:t xml:space="preserve"> </w:t>
      </w:r>
    </w:p>
    <w:p>
      <w:pPr>
        <w:pStyle w:val="TextBody"/>
        <w:bidi w:val="0"/>
        <w:spacing w:before="0" w:after="0"/>
        <w:jc w:val="center"/>
        <w:rPr/>
      </w:pPr>
      <w:r>
        <w:rPr/>
        <w:t> </w:t>
      </w:r>
    </w:p>
    <w:p>
      <w:pPr>
        <w:pStyle w:val="TextBody"/>
        <w:bidi w:val="0"/>
        <w:spacing w:before="0" w:after="0"/>
        <w:ind w:left="0" w:right="0" w:firstLine="720"/>
        <w:jc w:val="both"/>
        <w:rPr>
          <w:rFonts w:ascii="Times New Roman" w:hAnsi="Times New Roman"/>
          <w:sz w:val="20"/>
        </w:rPr>
      </w:pPr>
      <w:r>
        <w:rPr>
          <w:rFonts w:ascii="Times New Roman" w:hAnsi="Times New Roman"/>
          <w:sz w:val="20"/>
        </w:rPr>
        <w:t>At March 31, 2026, we had working capital of $437.6 million, primarily consisting of $222.1 million of inventory, cash and cash equivalents of $138.2 million and $135.9 million of accounts receivable, partially offset by current liabilities of $73.5 million, as compared to working capital at December 31, 2025 of $397.0 million, primarily consisting of $206.5 million of inventory, cash and cash equivalents of $87.6 million and accounts receivable of $158.4 million, partially offset by current liabilities of $69.5 million. Our material cash requirements are primarily comprised of:</w:t>
      </w:r>
    </w:p>
    <w:p>
      <w:pPr>
        <w:pStyle w:val="TextBody"/>
        <w:bidi w:val="0"/>
        <w:spacing w:before="0" w:after="0"/>
        <w:jc w:val="left"/>
        <w:rPr/>
      </w:pPr>
      <w:r>
        <w:rPr/>
        <w:t> </w:t>
      </w:r>
    </w:p>
    <w:p>
      <w:pPr>
        <w:pStyle w:val="TextBody"/>
        <w:bidi w:val="0"/>
        <w:spacing w:before="0" w:after="0"/>
        <w:jc w:val="both"/>
        <w:rPr/>
      </w:pPr>
      <w:r>
        <w:rPr/>
        <w:t> </w:t>
      </w:r>
    </w:p>
    <w:p>
      <w:pPr>
        <w:pStyle w:val="TextBody"/>
        <w:bidi w:val="0"/>
        <w:spacing w:before="0" w:after="0"/>
        <w:ind w:left="0" w:right="0" w:hanging="360"/>
        <w:jc w:val="both"/>
        <w:rPr>
          <w:rFonts w:ascii="Times New Roman" w:hAnsi="Times New Roman"/>
          <w:sz w:val="20"/>
        </w:rPr>
      </w:pPr>
      <w:r>
        <w:rPr>
          <w:rFonts w:ascii="Times New Roman" w:hAnsi="Times New Roman"/>
          <w:sz w:val="20"/>
        </w:rPr>
        <w:t xml:space="preserve">The collection and procurement of raw material source plasma, which includes plasma donor fees and plasma center supplies, and other raw materials necessary to maintain and scale up our manufacturing operations; </w:t>
      </w:r>
      <w:r>
        <mc:AlternateContent>
          <mc:Choice Requires="wps">
            <w:drawing>
              <wp:anchor behindDoc="0" distT="0" distB="0" distL="0" distR="0" simplePos="0" locked="0" layoutInCell="1" allowOverlap="1" relativeHeight="59">
                <wp:simplePos x="0" y="0"/>
                <wp:positionH relativeFrom="column">
                  <wp:align>left</wp:align>
                </wp:positionH>
                <wp:positionV relativeFrom="line">
                  <wp:posOffset>635</wp:posOffset>
                </wp:positionV>
                <wp:extent cx="228600" cy="175260"/>
                <wp:effectExtent l="0" t="0" r="0" b="0"/>
                <wp:wrapSquare wrapText="right"/>
                <wp:docPr id="58" name="Frame58"/>
                <a:graphic xmlns:a="http://schemas.openxmlformats.org/drawingml/2006/main">
                  <a:graphicData uri="http://schemas.microsoft.com/office/word/2010/wordprocessingShape">
                    <wps:wsp>
                      <wps:cNvSpPr txBox="1"/>
                      <wps:spPr>
                        <a:xfrm>
                          <a:off x="0" y="0"/>
                          <a:ext cx="228600" cy="175260"/>
                        </a:xfrm>
                        <a:prstGeom prst="rect"/>
                        <a:solidFill>
                          <a:srgbClr val="FFFFFF"/>
                        </a:solidFill>
                      </wps:spPr>
                      <wps:txbx>
                        <w:txbxContent>
                          <w:p>
                            <w:pPr>
                              <w:pStyle w:val="TextBody"/>
                              <w:bidi w:val="0"/>
                              <w:spacing w:before="0" w:after="283"/>
                              <w:jc w:val="left"/>
                              <w:rPr/>
                            </w:pPr>
                            <w:r>
                              <w:rPr/>
                              <w:t xml:space="preserve">● </w:t>
                            </w:r>
                          </w:p>
                        </w:txbxContent>
                      </wps:txbx>
                      <wps:bodyPr anchor="t" lIns="0" tIns="0" rIns="0" bIns="0">
                        <a:noAutofit/>
                      </wps:bodyPr>
                    </wps:wsp>
                  </a:graphicData>
                </a:graphic>
              </wp:anchor>
            </w:drawing>
          </mc:Choice>
          <mc:Fallback>
            <w:pict>
              <v:rect style="position:absolute;rotation:-0;width: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 xml:space="preserve">● </w:t>
                      </w:r>
                    </w:p>
                  </w:txbxContent>
                </v:textbox>
                <w10:wrap type="square" side="right"/>
              </v:rect>
            </w:pict>
          </mc:Fallback>
        </mc:AlternateContent>
      </w:r>
    </w:p>
    <w:p>
      <w:pPr>
        <w:pStyle w:val="TextBody"/>
        <w:bidi w:val="0"/>
        <w:spacing w:before="0" w:after="0"/>
        <w:ind w:left="0" w:right="0" w:hanging="360"/>
        <w:jc w:val="both"/>
        <w:rPr>
          <w:rFonts w:ascii="Times New Roman" w:hAnsi="Times New Roman"/>
          <w:sz w:val="20"/>
        </w:rPr>
      </w:pPr>
      <w:r>
        <w:rPr>
          <w:rFonts w:ascii="Times New Roman" w:hAnsi="Times New Roman"/>
          <w:sz w:val="20"/>
        </w:rPr>
        <w:t xml:space="preserve">Employee compensation and benefits; </w:t>
      </w:r>
      <w:r>
        <mc:AlternateContent>
          <mc:Choice Requires="wps">
            <w:drawing>
              <wp:anchor behindDoc="0" distT="0" distB="0" distL="0" distR="0" simplePos="0" locked="0" layoutInCell="1" allowOverlap="1" relativeHeight="60">
                <wp:simplePos x="0" y="0"/>
                <wp:positionH relativeFrom="column">
                  <wp:align>left</wp:align>
                </wp:positionH>
                <wp:positionV relativeFrom="line">
                  <wp:posOffset>635</wp:posOffset>
                </wp:positionV>
                <wp:extent cx="228600" cy="175260"/>
                <wp:effectExtent l="0" t="0" r="0" b="0"/>
                <wp:wrapSquare wrapText="right"/>
                <wp:docPr id="59" name="Frame59"/>
                <a:graphic xmlns:a="http://schemas.openxmlformats.org/drawingml/2006/main">
                  <a:graphicData uri="http://schemas.microsoft.com/office/word/2010/wordprocessingShape">
                    <wps:wsp>
                      <wps:cNvSpPr txBox="1"/>
                      <wps:spPr>
                        <a:xfrm>
                          <a:off x="0" y="0"/>
                          <a:ext cx="228600" cy="175260"/>
                        </a:xfrm>
                        <a:prstGeom prst="rect"/>
                        <a:solidFill>
                          <a:srgbClr val="FFFFFF"/>
                        </a:solidFill>
                      </wps:spPr>
                      <wps:txbx>
                        <w:txbxContent>
                          <w:p>
                            <w:pPr>
                              <w:pStyle w:val="TextBody"/>
                              <w:bidi w:val="0"/>
                              <w:spacing w:before="0" w:after="283"/>
                              <w:jc w:val="left"/>
                              <w:rPr/>
                            </w:pPr>
                            <w:r>
                              <w:rPr/>
                              <w:t xml:space="preserve">● </w:t>
                            </w:r>
                          </w:p>
                        </w:txbxContent>
                      </wps:txbx>
                      <wps:bodyPr anchor="t" lIns="0" tIns="0" rIns="0" bIns="0">
                        <a:noAutofit/>
                      </wps:bodyPr>
                    </wps:wsp>
                  </a:graphicData>
                </a:graphic>
              </wp:anchor>
            </w:drawing>
          </mc:Choice>
          <mc:Fallback>
            <w:pict>
              <v:rect style="position:absolute;rotation:-0;width: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 xml:space="preserve">● </w:t>
                      </w:r>
                    </w:p>
                  </w:txbxContent>
                </v:textbox>
                <w10:wrap type="square" side="right"/>
              </v:rect>
            </w:pict>
          </mc:Fallback>
        </mc:AlternateContent>
      </w:r>
    </w:p>
    <w:p>
      <w:pPr>
        <w:pStyle w:val="TextBody"/>
        <w:bidi w:val="0"/>
        <w:spacing w:before="0" w:after="0"/>
        <w:ind w:left="0" w:right="0" w:hanging="360"/>
        <w:jc w:val="both"/>
        <w:rPr>
          <w:rFonts w:ascii="Times New Roman" w:hAnsi="Times New Roman"/>
          <w:sz w:val="20"/>
        </w:rPr>
      </w:pPr>
      <w:r>
        <w:rPr>
          <w:rFonts w:ascii="Times New Roman" w:hAnsi="Times New Roman"/>
          <w:sz w:val="20"/>
        </w:rPr>
        <w:t xml:space="preserve">Capital expenditures for equipment upgrades and capacity expansion at the Boca Facility and to maintain our plasma collection facilities; </w:t>
      </w:r>
      <w:r>
        <mc:AlternateContent>
          <mc:Choice Requires="wps">
            <w:drawing>
              <wp:anchor behindDoc="0" distT="0" distB="0" distL="0" distR="0" simplePos="0" locked="0" layoutInCell="1" allowOverlap="1" relativeHeight="61">
                <wp:simplePos x="0" y="0"/>
                <wp:positionH relativeFrom="column">
                  <wp:align>left</wp:align>
                </wp:positionH>
                <wp:positionV relativeFrom="line">
                  <wp:posOffset>635</wp:posOffset>
                </wp:positionV>
                <wp:extent cx="228600" cy="175260"/>
                <wp:effectExtent l="0" t="0" r="0" b="0"/>
                <wp:wrapSquare wrapText="right"/>
                <wp:docPr id="60" name="Frame60"/>
                <a:graphic xmlns:a="http://schemas.openxmlformats.org/drawingml/2006/main">
                  <a:graphicData uri="http://schemas.microsoft.com/office/word/2010/wordprocessingShape">
                    <wps:wsp>
                      <wps:cNvSpPr txBox="1"/>
                      <wps:spPr>
                        <a:xfrm>
                          <a:off x="0" y="0"/>
                          <a:ext cx="228600" cy="175260"/>
                        </a:xfrm>
                        <a:prstGeom prst="rect"/>
                        <a:solidFill>
                          <a:srgbClr val="FFFFFF"/>
                        </a:solidFill>
                      </wps:spPr>
                      <wps:txbx>
                        <w:txbxContent>
                          <w:p>
                            <w:pPr>
                              <w:pStyle w:val="TextBody"/>
                              <w:bidi w:val="0"/>
                              <w:spacing w:before="0" w:after="283"/>
                              <w:jc w:val="left"/>
                              <w:rPr/>
                            </w:pPr>
                            <w:r>
                              <w:rPr/>
                              <w:t xml:space="preserve">● </w:t>
                            </w:r>
                          </w:p>
                        </w:txbxContent>
                      </wps:txbx>
                      <wps:bodyPr anchor="t" lIns="0" tIns="0" rIns="0" bIns="0">
                        <a:noAutofit/>
                      </wps:bodyPr>
                    </wps:wsp>
                  </a:graphicData>
                </a:graphic>
              </wp:anchor>
            </w:drawing>
          </mc:Choice>
          <mc:Fallback>
            <w:pict>
              <v:rect style="position:absolute;rotation:-0;width:18pt;height:13.8pt;mso-wrap-distance-left:0pt;mso-wrap-distance-right:0pt;mso-wrap-distance-top:0pt;mso-wrap-distance-bottom:0pt;margin-top:0pt;mso-position-vertical:top;mso-position-vertical-relative:text;margin-left:18pt;mso-position-horizontal:left;mso-position-horizontal-relative:text">
                <v:textbox>
                  <w:txbxContent>
                    <w:p>
                      <w:pPr>
                        <w:pStyle w:val="TextBody"/>
                        <w:bidi w:val="0"/>
                        <w:spacing w:before="0" w:after="283"/>
                        <w:jc w:val="left"/>
                        <w:rPr/>
                      </w:pPr>
                      <w:r>
                        <w:rPr/>
                        <w:t xml:space="preserve">● </w:t>
                      </w:r>
                    </w:p>
                  </w:txbxContent>
                </v:textbox>
                <w10:wrap type="square" side="right"/>
              </v:rect>
            </w:pict>
          </mc:Fallback>
        </mc:AlternateContent>
      </w:r>
    </w:p>
    <w:p>
      <w:pPr>
        <w:pStyle w:val="TextBody"/>
        <w:bidi w:val="0"/>
        <w:spacing w:before="0" w:after="0"/>
        <w:ind w:left="0" w:right="0" w:hanging="360"/>
        <w:jc w:val="both"/>
        <w:rPr>
          <w:rFonts w:ascii="Times New Roman" w:hAnsi="Times New Roman"/>
          <w:sz w:val="20"/>
        </w:rPr>
      </w:pPr>
      <w:r>
        <w:rPr>
          <w:rFonts w:ascii="Times New Roman" w:hAnsi="Times New Roman"/>
          <w:sz w:val="20"/>
        </w:rPr>
        <w:t xml:space="preserve">Interest on our debt; </w:t>
      </w:r>
      <w:r>
        <mc:AlternateContent>
          <mc:Choice Requires="wps">
            <w:drawing>
              <wp:anchor behindDoc="0" distT="0" distB="0" distL="0" distR="0" simplePos="0" locked="0" layoutInCell="1" allowOverlap="1" relativeHeight="62">
                <wp:simplePos x="0" y="0"/>
                <wp:positionH relativeFrom="column">
                  <wp:align>left</wp:align>
                </wp:positionH>
                <wp:positionV relativeFrom="line">
                  <wp:posOffset>635</wp:posOffset>
                </wp:positionV>
                <wp:extent cx="228600" cy="175260"/>
                <wp:effectExtent l="0" t="0" r="0" b="0"/>
                <wp:wrapSquare wrapText="right"/>
                <wp:docPr id="61" name="Frame61"/>
                <a:graphic xmlns:a="http://schemas.openxmlformats.org/drawingml/2006/main">
                  <a:graphicData uri="http://schemas.microsoft.com/office/word/2010/wordprocessingShape">
                    <wps:wsp>
                      <wps:cNvSpPr txBox="1"/>
                      <wps:spPr>
                        <a:xfrm>
                          <a:off x="0" y="0"/>
                          <a:ext cx="228600" cy="175260"/>
                        </a:xfrm>
                        <a:prstGeom prst="rect"/>
                        <a:solidFill>
                          <a:srgbClr val="FFFFFF"/>
                        </a:solidFill>
                      </wps:spPr>
                      <wps:txbx>
                        <w:txbxContent>
                          <w:p>
                            <w:pPr>
                              <w:pStyle w:val="TextBody"/>
                              <w:bidi w:val="0"/>
                              <w:spacing w:before="0" w:after="283"/>
                              <w:jc w:val="left"/>
                              <w:rPr/>
                            </w:pPr>
                            <w:r>
                              <w:rPr/>
                              <w:t xml:space="preserve">● </w:t>
                            </w:r>
                          </w:p>
                        </w:txbxContent>
                      </wps:txbx>
                      <wps:bodyPr anchor="t" lIns="0" tIns="0" rIns="0" bIns="0">
                        <a:noAutofit/>
                      </wps:bodyPr>
                    </wps:wsp>
                  </a:graphicData>
                </a:graphic>
              </wp:anchor>
            </w:drawing>
          </mc:Choice>
          <mc:Fallback>
            <w:pict>
              <v:rect style="position:absolute;rotation:-0;width: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 xml:space="preserve">● </w:t>
                      </w:r>
                    </w:p>
                  </w:txbxContent>
                </v:textbox>
                <w10:wrap type="square" side="right"/>
              </v:rect>
            </w:pict>
          </mc:Fallback>
        </mc:AlternateContent>
      </w:r>
    </w:p>
    <w:p>
      <w:pPr>
        <w:pStyle w:val="TextBody"/>
        <w:bidi w:val="0"/>
        <w:spacing w:before="0" w:after="0"/>
        <w:ind w:left="0" w:right="0" w:hanging="360"/>
        <w:jc w:val="both"/>
        <w:rPr>
          <w:rFonts w:ascii="Times New Roman" w:hAnsi="Times New Roman"/>
          <w:sz w:val="20"/>
        </w:rPr>
      </w:pPr>
      <w:r>
        <w:rPr>
          <w:rFonts w:ascii="Times New Roman" w:hAnsi="Times New Roman"/>
          <w:sz w:val="20"/>
        </w:rPr>
        <w:t xml:space="preserve">Marketing programs, medical education and continued commercialization efforts; </w:t>
      </w:r>
      <w:r>
        <mc:AlternateContent>
          <mc:Choice Requires="wps">
            <w:drawing>
              <wp:anchor behindDoc="0" distT="0" distB="0" distL="0" distR="0" simplePos="0" locked="0" layoutInCell="1" allowOverlap="1" relativeHeight="63">
                <wp:simplePos x="0" y="0"/>
                <wp:positionH relativeFrom="column">
                  <wp:align>left</wp:align>
                </wp:positionH>
                <wp:positionV relativeFrom="line">
                  <wp:posOffset>635</wp:posOffset>
                </wp:positionV>
                <wp:extent cx="228600" cy="175260"/>
                <wp:effectExtent l="0" t="0" r="0" b="0"/>
                <wp:wrapSquare wrapText="right"/>
                <wp:docPr id="62" name="Frame62"/>
                <a:graphic xmlns:a="http://schemas.openxmlformats.org/drawingml/2006/main">
                  <a:graphicData uri="http://schemas.microsoft.com/office/word/2010/wordprocessingShape">
                    <wps:wsp>
                      <wps:cNvSpPr txBox="1"/>
                      <wps:spPr>
                        <a:xfrm>
                          <a:off x="0" y="0"/>
                          <a:ext cx="228600" cy="175260"/>
                        </a:xfrm>
                        <a:prstGeom prst="rect"/>
                        <a:solidFill>
                          <a:srgbClr val="FFFFFF"/>
                        </a:solidFill>
                      </wps:spPr>
                      <wps:txbx>
                        <w:txbxContent>
                          <w:p>
                            <w:pPr>
                              <w:pStyle w:val="TextBody"/>
                              <w:bidi w:val="0"/>
                              <w:spacing w:before="0" w:after="283"/>
                              <w:jc w:val="left"/>
                              <w:rPr/>
                            </w:pPr>
                            <w:r>
                              <w:rPr/>
                              <w:t xml:space="preserve">● </w:t>
                            </w:r>
                          </w:p>
                        </w:txbxContent>
                      </wps:txbx>
                      <wps:bodyPr anchor="t" lIns="0" tIns="0" rIns="0" bIns="0">
                        <a:noAutofit/>
                      </wps:bodyPr>
                    </wps:wsp>
                  </a:graphicData>
                </a:graphic>
              </wp:anchor>
            </w:drawing>
          </mc:Choice>
          <mc:Fallback>
            <w:pict>
              <v:rect style="position:absolute;rotation:-0;width:18pt;height:13.8pt;mso-wrap-distance-left:0pt;mso-wrap-distance-right:0pt;mso-wrap-distance-top:0pt;mso-wrap-distance-bottom:0pt;margin-top:0pt;mso-position-vertical:top;mso-position-vertical-relative:text;margin-left:18pt;mso-position-horizontal:left;mso-position-horizontal-relative:text">
                <v:textbox>
                  <w:txbxContent>
                    <w:p>
                      <w:pPr>
                        <w:pStyle w:val="TextBody"/>
                        <w:bidi w:val="0"/>
                        <w:spacing w:before="0" w:after="283"/>
                        <w:jc w:val="left"/>
                        <w:rPr/>
                      </w:pPr>
                      <w:r>
                        <w:rPr/>
                        <w:t xml:space="preserve">● </w:t>
                      </w:r>
                    </w:p>
                  </w:txbxContent>
                </v:textbox>
                <w10:wrap type="square" side="right"/>
              </v:rect>
            </w:pict>
          </mc:Fallback>
        </mc:AlternateContent>
      </w:r>
    </w:p>
    <w:p>
      <w:pPr>
        <w:pStyle w:val="TextBody"/>
        <w:bidi w:val="0"/>
        <w:spacing w:before="0" w:after="0"/>
        <w:ind w:left="0" w:right="0" w:hanging="360"/>
        <w:jc w:val="both"/>
        <w:rPr>
          <w:rFonts w:ascii="Times New Roman" w:hAnsi="Times New Roman"/>
          <w:sz w:val="20"/>
        </w:rPr>
      </w:pPr>
      <w:r>
        <w:rPr>
          <w:rFonts w:ascii="Times New Roman" w:hAnsi="Times New Roman"/>
          <w:sz w:val="20"/>
        </w:rPr>
        <w:t xml:space="preserve">Boca Facility maintenance, improvements, repairs and supplies; </w:t>
      </w:r>
      <w:r>
        <mc:AlternateContent>
          <mc:Choice Requires="wps">
            <w:drawing>
              <wp:anchor behindDoc="0" distT="0" distB="0" distL="0" distR="0" simplePos="0" locked="0" layoutInCell="1" allowOverlap="1" relativeHeight="64">
                <wp:simplePos x="0" y="0"/>
                <wp:positionH relativeFrom="column">
                  <wp:align>left</wp:align>
                </wp:positionH>
                <wp:positionV relativeFrom="line">
                  <wp:posOffset>635</wp:posOffset>
                </wp:positionV>
                <wp:extent cx="228600" cy="175260"/>
                <wp:effectExtent l="0" t="0" r="0" b="0"/>
                <wp:wrapSquare wrapText="right"/>
                <wp:docPr id="63" name="Frame63"/>
                <a:graphic xmlns:a="http://schemas.openxmlformats.org/drawingml/2006/main">
                  <a:graphicData uri="http://schemas.microsoft.com/office/word/2010/wordprocessingShape">
                    <wps:wsp>
                      <wps:cNvSpPr txBox="1"/>
                      <wps:spPr>
                        <a:xfrm>
                          <a:off x="0" y="0"/>
                          <a:ext cx="228600" cy="175260"/>
                        </a:xfrm>
                        <a:prstGeom prst="rect"/>
                        <a:solidFill>
                          <a:srgbClr val="FFFFFF"/>
                        </a:solidFill>
                      </wps:spPr>
                      <wps:txbx>
                        <w:txbxContent>
                          <w:p>
                            <w:pPr>
                              <w:pStyle w:val="TextBody"/>
                              <w:bidi w:val="0"/>
                              <w:spacing w:before="0" w:after="283"/>
                              <w:jc w:val="left"/>
                              <w:rPr/>
                            </w:pPr>
                            <w:r>
                              <w:rPr/>
                              <w:t xml:space="preserve">● </w:t>
                            </w:r>
                          </w:p>
                        </w:txbxContent>
                      </wps:txbx>
                      <wps:bodyPr anchor="t" lIns="0" tIns="0" rIns="0" bIns="0">
                        <a:noAutofit/>
                      </wps:bodyPr>
                    </wps:wsp>
                  </a:graphicData>
                </a:graphic>
              </wp:anchor>
            </w:drawing>
          </mc:Choice>
          <mc:Fallback>
            <w:pict>
              <v:rect style="position:absolute;rotation:-0;width: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 xml:space="preserve">● </w:t>
                      </w:r>
                    </w:p>
                  </w:txbxContent>
                </v:textbox>
                <w10:wrap type="square" side="right"/>
              </v:rect>
            </w:pict>
          </mc:Fallback>
        </mc:AlternateContent>
      </w:r>
    </w:p>
    <w:p>
      <w:pPr>
        <w:pStyle w:val="TextBody"/>
        <w:bidi w:val="0"/>
        <w:spacing w:before="0" w:after="0"/>
        <w:ind w:left="0" w:right="0" w:hanging="360"/>
        <w:jc w:val="both"/>
        <w:rPr>
          <w:rFonts w:ascii="Times New Roman" w:hAnsi="Times New Roman"/>
          <w:sz w:val="20"/>
        </w:rPr>
      </w:pPr>
      <w:r>
        <w:rPr>
          <w:rFonts w:ascii="Times New Roman" w:hAnsi="Times New Roman"/>
          <w:sz w:val="20"/>
        </w:rPr>
        <w:t xml:space="preserve">Research and development, including studies and development activities relating to SG-001; </w:t>
      </w:r>
      <w:r>
        <mc:AlternateContent>
          <mc:Choice Requires="wps">
            <w:drawing>
              <wp:anchor behindDoc="0" distT="0" distB="0" distL="0" distR="0" simplePos="0" locked="0" layoutInCell="1" allowOverlap="1" relativeHeight="65">
                <wp:simplePos x="0" y="0"/>
                <wp:positionH relativeFrom="column">
                  <wp:align>left</wp:align>
                </wp:positionH>
                <wp:positionV relativeFrom="line">
                  <wp:posOffset>635</wp:posOffset>
                </wp:positionV>
                <wp:extent cx="228600" cy="175260"/>
                <wp:effectExtent l="0" t="0" r="0" b="0"/>
                <wp:wrapSquare wrapText="right"/>
                <wp:docPr id="64" name="Frame64"/>
                <a:graphic xmlns:a="http://schemas.openxmlformats.org/drawingml/2006/main">
                  <a:graphicData uri="http://schemas.microsoft.com/office/word/2010/wordprocessingShape">
                    <wps:wsp>
                      <wps:cNvSpPr txBox="1"/>
                      <wps:spPr>
                        <a:xfrm>
                          <a:off x="0" y="0"/>
                          <a:ext cx="228600" cy="175260"/>
                        </a:xfrm>
                        <a:prstGeom prst="rect"/>
                        <a:solidFill>
                          <a:srgbClr val="FFFFFF"/>
                        </a:solidFill>
                      </wps:spPr>
                      <wps:txbx>
                        <w:txbxContent>
                          <w:p>
                            <w:pPr>
                              <w:pStyle w:val="TextBody"/>
                              <w:bidi w:val="0"/>
                              <w:spacing w:before="0" w:after="283"/>
                              <w:jc w:val="left"/>
                              <w:rPr/>
                            </w:pPr>
                            <w:r>
                              <w:rPr/>
                              <w:t xml:space="preserve">● </w:t>
                            </w:r>
                          </w:p>
                        </w:txbxContent>
                      </wps:txbx>
                      <wps:bodyPr anchor="t" lIns="0" tIns="0" rIns="0" bIns="0">
                        <a:noAutofit/>
                      </wps:bodyPr>
                    </wps:wsp>
                  </a:graphicData>
                </a:graphic>
              </wp:anchor>
            </w:drawing>
          </mc:Choice>
          <mc:Fallback>
            <w:pict>
              <v:rect style="position:absolute;rotation:-0;width:18pt;height:13.8pt;mso-wrap-distance-left:0pt;mso-wrap-distance-right:0pt;mso-wrap-distance-top:0pt;mso-wrap-distance-bottom:0pt;margin-top:0pt;mso-position-vertical:top;mso-position-vertical-relative:text;margin-left:18pt;mso-position-horizontal:left;mso-position-horizontal-relative:text">
                <v:textbox>
                  <w:txbxContent>
                    <w:p>
                      <w:pPr>
                        <w:pStyle w:val="TextBody"/>
                        <w:bidi w:val="0"/>
                        <w:spacing w:before="0" w:after="283"/>
                        <w:jc w:val="left"/>
                        <w:rPr/>
                      </w:pPr>
                      <w:r>
                        <w:rPr/>
                        <w:t xml:space="preserve">● </w:t>
                      </w:r>
                    </w:p>
                  </w:txbxContent>
                </v:textbox>
                <w10:wrap type="square" side="right"/>
              </v:rect>
            </w:pict>
          </mc:Fallback>
        </mc:AlternateContent>
      </w:r>
    </w:p>
    <w:p>
      <w:pPr>
        <w:pStyle w:val="TextBody"/>
        <w:bidi w:val="0"/>
        <w:spacing w:before="0" w:after="0"/>
        <w:ind w:left="0" w:right="0" w:hanging="360"/>
        <w:jc w:val="both"/>
        <w:rPr>
          <w:rFonts w:ascii="Times New Roman" w:hAnsi="Times New Roman"/>
          <w:sz w:val="20"/>
        </w:rPr>
      </w:pPr>
      <w:r>
        <w:rPr>
          <w:rFonts w:ascii="Times New Roman" w:hAnsi="Times New Roman"/>
          <w:sz w:val="20"/>
        </w:rPr>
        <w:t xml:space="preserve">Conducting required post-marketing clinical trials for ASCENIV; and </w:t>
      </w:r>
      <w:r>
        <mc:AlternateContent>
          <mc:Choice Requires="wps">
            <w:drawing>
              <wp:anchor behindDoc="0" distT="0" distB="0" distL="0" distR="0" simplePos="0" locked="0" layoutInCell="1" allowOverlap="1" relativeHeight="66">
                <wp:simplePos x="0" y="0"/>
                <wp:positionH relativeFrom="column">
                  <wp:align>left</wp:align>
                </wp:positionH>
                <wp:positionV relativeFrom="line">
                  <wp:posOffset>635</wp:posOffset>
                </wp:positionV>
                <wp:extent cx="228600" cy="175260"/>
                <wp:effectExtent l="0" t="0" r="0" b="0"/>
                <wp:wrapSquare wrapText="right"/>
                <wp:docPr id="65" name="Frame65"/>
                <a:graphic xmlns:a="http://schemas.openxmlformats.org/drawingml/2006/main">
                  <a:graphicData uri="http://schemas.microsoft.com/office/word/2010/wordprocessingShape">
                    <wps:wsp>
                      <wps:cNvSpPr txBox="1"/>
                      <wps:spPr>
                        <a:xfrm>
                          <a:off x="0" y="0"/>
                          <a:ext cx="228600" cy="175260"/>
                        </a:xfrm>
                        <a:prstGeom prst="rect"/>
                        <a:solidFill>
                          <a:srgbClr val="FFFFFF"/>
                        </a:solidFill>
                      </wps:spPr>
                      <wps:txbx>
                        <w:txbxContent>
                          <w:p>
                            <w:pPr>
                              <w:pStyle w:val="TextBody"/>
                              <w:bidi w:val="0"/>
                              <w:spacing w:before="0" w:after="283"/>
                              <w:jc w:val="left"/>
                              <w:rPr/>
                            </w:pPr>
                            <w:r>
                              <w:rPr/>
                              <w:t xml:space="preserve">● </w:t>
                            </w:r>
                          </w:p>
                        </w:txbxContent>
                      </wps:txbx>
                      <wps:bodyPr anchor="t" lIns="0" tIns="0" rIns="0" bIns="0">
                        <a:noAutofit/>
                      </wps:bodyPr>
                    </wps:wsp>
                  </a:graphicData>
                </a:graphic>
              </wp:anchor>
            </w:drawing>
          </mc:Choice>
          <mc:Fallback>
            <w:pict>
              <v:rect style="position:absolute;rotation:-0;width: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 xml:space="preserve">● </w:t>
                      </w:r>
                    </w:p>
                  </w:txbxContent>
                </v:textbox>
                <w10:wrap type="square" side="right"/>
              </v:rect>
            </w:pict>
          </mc:Fallback>
        </mc:AlternateContent>
      </w:r>
    </w:p>
    <w:p>
      <w:pPr>
        <w:pStyle w:val="TextBody"/>
        <w:bidi w:val="0"/>
        <w:spacing w:before="0" w:after="0"/>
        <w:ind w:left="0" w:right="0" w:hanging="360"/>
        <w:jc w:val="both"/>
        <w:rPr>
          <w:rFonts w:ascii="Times New Roman" w:hAnsi="Times New Roman"/>
          <w:sz w:val="20"/>
        </w:rPr>
      </w:pPr>
      <w:r>
        <w:rPr>
          <w:rFonts w:ascii="Times New Roman" w:hAnsi="Times New Roman"/>
          <w:sz w:val="20"/>
        </w:rPr>
        <w:t xml:space="preserve">Continuous improvements and updates to our IT infrastructure, laboratory equipment and assays, and facilities and engineering equipment. </w:t>
      </w:r>
      <w:r>
        <mc:AlternateContent>
          <mc:Choice Requires="wps">
            <w:drawing>
              <wp:anchor behindDoc="0" distT="0" distB="0" distL="0" distR="0" simplePos="0" locked="0" layoutInCell="1" allowOverlap="1" relativeHeight="67">
                <wp:simplePos x="0" y="0"/>
                <wp:positionH relativeFrom="column">
                  <wp:align>left</wp:align>
                </wp:positionH>
                <wp:positionV relativeFrom="line">
                  <wp:posOffset>635</wp:posOffset>
                </wp:positionV>
                <wp:extent cx="228600" cy="175260"/>
                <wp:effectExtent l="0" t="0" r="0" b="0"/>
                <wp:wrapSquare wrapText="right"/>
                <wp:docPr id="66" name="Frame66"/>
                <a:graphic xmlns:a="http://schemas.openxmlformats.org/drawingml/2006/main">
                  <a:graphicData uri="http://schemas.microsoft.com/office/word/2010/wordprocessingShape">
                    <wps:wsp>
                      <wps:cNvSpPr txBox="1"/>
                      <wps:spPr>
                        <a:xfrm>
                          <a:off x="0" y="0"/>
                          <a:ext cx="228600" cy="175260"/>
                        </a:xfrm>
                        <a:prstGeom prst="rect"/>
                        <a:solidFill>
                          <a:srgbClr val="FFFFFF"/>
                        </a:solidFill>
                      </wps:spPr>
                      <wps:txbx>
                        <w:txbxContent>
                          <w:p>
                            <w:pPr>
                              <w:pStyle w:val="TextBody"/>
                              <w:bidi w:val="0"/>
                              <w:spacing w:before="0" w:after="283"/>
                              <w:jc w:val="left"/>
                              <w:rPr/>
                            </w:pPr>
                            <w:r>
                              <w:rPr/>
                              <w:t xml:space="preserve">● </w:t>
                            </w:r>
                          </w:p>
                        </w:txbxContent>
                      </wps:txbx>
                      <wps:bodyPr anchor="t" lIns="0" tIns="0" rIns="0" bIns="0">
                        <a:noAutofit/>
                      </wps:bodyPr>
                    </wps:wsp>
                  </a:graphicData>
                </a:graphic>
              </wp:anchor>
            </w:drawing>
          </mc:Choice>
          <mc:Fallback>
            <w:pict>
              <v:rect style="position:absolute;rotation:-0;width:18pt;height:13.8pt;mso-wrap-distance-left:0pt;mso-wrap-distance-right:0pt;mso-wrap-distance-top:0pt;mso-wrap-distance-bottom:0pt;margin-top:0pt;mso-position-vertical:top;mso-position-vertical-relative:text;margin-left:18pt;mso-position-horizontal:left;mso-position-horizontal-relative:text">
                <v:textbox>
                  <w:txbxContent>
                    <w:p>
                      <w:pPr>
                        <w:pStyle w:val="TextBody"/>
                        <w:bidi w:val="0"/>
                        <w:spacing w:before="0" w:after="283"/>
                        <w:jc w:val="left"/>
                        <w:rPr/>
                      </w:pPr>
                      <w:r>
                        <w:rPr/>
                        <w:t xml:space="preserve">● </w:t>
                      </w:r>
                    </w:p>
                  </w:txbxContent>
                </v:textbox>
                <w10:wrap type="square" side="right"/>
              </v:rect>
            </w:pict>
          </mc:Fallback>
        </mc:AlternateContent>
      </w:r>
    </w:p>
    <w:p>
      <w:pPr>
        <w:pStyle w:val="TextBody"/>
        <w:bidi w:val="0"/>
        <w:spacing w:before="0" w:after="0"/>
        <w:jc w:val="both"/>
        <w:rPr/>
      </w:pPr>
      <w:r>
        <w:rPr/>
        <w:t xml:space="preserve">  </w:t>
      </w:r>
    </w:p>
    <w:p>
      <w:pPr>
        <w:pStyle w:val="TextBody"/>
        <w:bidi w:val="0"/>
        <w:spacing w:before="0" w:after="0"/>
        <w:ind w:left="0" w:right="0" w:firstLine="720"/>
        <w:jc w:val="both"/>
        <w:rPr>
          <w:rFonts w:ascii="Times New Roman" w:hAnsi="Times New Roman"/>
          <w:sz w:val="20"/>
        </w:rPr>
      </w:pPr>
      <w:r>
        <w:rPr>
          <w:rFonts w:ascii="Times New Roman" w:hAnsi="Times New Roman"/>
          <w:sz w:val="20"/>
        </w:rPr>
        <w:t xml:space="preserve">In July 2025, we completed the acquisition of real estate in Boca Raton, Florida for a total purchase price of $12.6 million. This real estate purchase is intended to allow us to expand our production operations and related activities as well as provide for certain redundancies for ambient and cold-chain storage of raw materials, work in process and finished goods inventory. Our end-to-end production cycle time from procurement of raw materials to commercial release of finished product can take between seven and 12 months or potentially longer, requiring substantial inventories of raw material plasma and other manufacturing and laboratory testing materials and single use disposables. </w:t>
      </w:r>
    </w:p>
    <w:p>
      <w:pPr>
        <w:pStyle w:val="TextBody"/>
        <w:bidi w:val="0"/>
        <w:spacing w:before="0" w:after="0"/>
        <w:jc w:val="left"/>
        <w:rPr/>
      </w:pPr>
      <w:r>
        <w:rPr/>
        <w:t xml:space="preserve">  </w:t>
      </w:r>
    </w:p>
    <w:p>
      <w:pPr>
        <w:pStyle w:val="TextBody"/>
        <w:bidi w:val="0"/>
        <w:spacing w:before="0" w:after="0"/>
        <w:ind w:left="0" w:right="0" w:firstLine="720"/>
        <w:jc w:val="both"/>
        <w:rPr>
          <w:rFonts w:ascii="Times New Roman" w:hAnsi="Times New Roman"/>
          <w:sz w:val="20"/>
        </w:rPr>
      </w:pPr>
      <w:r>
        <w:rPr>
          <w:rFonts w:ascii="Times New Roman" w:hAnsi="Times New Roman"/>
          <w:sz w:val="20"/>
        </w:rPr>
        <w:t xml:space="preserve">We currently anticipate, based upon our projected revenue and expenditures, that our current cash, cash equivalents and accounts receivable, along with our projected future operating cash flow, will be sufficient to fund our operations, as currently conducted, through the first quarter of 2027 and beyond. Based on current operations and assuming continued market acceptance and utilization of our finished drug products, we do not anticipate the need to raise additional capital at this time. However, should the market for our products or political, economic or inflationary conditions change, we may need to seek additional capital which may not be available due to a variety of potential factors beyond our control (see “Risk Factors” appearing elsewhere in this report). </w:t>
      </w:r>
    </w:p>
    <w:p>
      <w:pPr>
        <w:pStyle w:val="TextBody"/>
        <w:bidi w:val="0"/>
        <w:spacing w:before="0" w:after="0"/>
        <w:jc w:val="left"/>
        <w:rPr/>
      </w:pPr>
      <w:r>
        <w:rPr/>
        <w:t xml:space="preserve">  </w:t>
      </w:r>
    </w:p>
    <w:p>
      <w:pPr>
        <w:pStyle w:val="TextBody"/>
        <w:bidi w:val="0"/>
        <w:spacing w:before="150" w:after="15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t>27</w:t>
      </w:r>
    </w:p>
    <w:p>
      <w:pPr>
        <w:pStyle w:val="HorizontalLine"/>
        <w:bidi w:val="0"/>
        <w:spacing w:before="150" w:after="150"/>
        <w:jc w:val="left"/>
        <w:rPr/>
      </w:pPr>
      <w:r>
        <w:rPr/>
      </w:r>
    </w:p>
    <w:p>
      <w:pPr>
        <w:pStyle w:val="TextBody"/>
        <w:bidi w:val="0"/>
        <w:spacing w:before="150" w:after="150"/>
        <w:jc w:val="left"/>
        <w:rPr/>
      </w:pPr>
      <w:hyperlink w:anchor="index">
        <w:r>
          <w:rPr>
            <w:rStyle w:val="InternetLink"/>
            <w:rFonts w:ascii="TimesNewRoman;Times New Roman;Times;Baskerville;Georgia;serif" w:hAnsi="TimesNewRoman;Times New Roman;Times;Baskerville;Georgia;serif"/>
            <w:b w:val="false"/>
            <w:i/>
            <w:caps w:val="false"/>
            <w:smallCaps w:val="false"/>
            <w:strike w:val="false"/>
            <w:dstrike w:val="false"/>
            <w:sz w:val="16"/>
            <w:u w:val="none"/>
            <w:effect w:val="none"/>
          </w:rPr>
          <w:t>Index</w:t>
        </w:r>
      </w:hyperlink>
    </w:p>
    <w:p>
      <w:pPr>
        <w:pStyle w:val="TextBody"/>
        <w:bidi w:val="0"/>
        <w:spacing w:before="0" w:after="0"/>
        <w:ind w:left="0" w:right="0" w:firstLine="720"/>
        <w:jc w:val="both"/>
        <w:rPr>
          <w:rFonts w:ascii="Times New Roman" w:hAnsi="Times New Roman"/>
          <w:sz w:val="20"/>
        </w:rPr>
      </w:pPr>
      <w:r>
        <w:rPr>
          <w:rFonts w:ascii="Times New Roman" w:hAnsi="Times New Roman"/>
          <w:sz w:val="20"/>
        </w:rPr>
        <w:t xml:space="preserve">ADMA continues to evaluate a variety of strategic alternatives, and the exploration of value-creating opportunities remains a top corporate priority. </w:t>
      </w:r>
    </w:p>
    <w:p>
      <w:pPr>
        <w:pStyle w:val="TextBody"/>
        <w:bidi w:val="0"/>
        <w:spacing w:before="0" w:after="0"/>
        <w:jc w:val="left"/>
        <w:rPr/>
      </w:pPr>
      <w:r>
        <w:rPr/>
        <w:t xml:space="preserve">  </w:t>
      </w:r>
    </w:p>
    <w:p>
      <w:pPr>
        <w:pStyle w:val="TextBody"/>
        <w:bidi w:val="0"/>
        <w:spacing w:before="0" w:after="0"/>
        <w:jc w:val="both"/>
        <w:rPr>
          <w:rFonts w:ascii="Times New Roman" w:hAnsi="Times New Roman"/>
          <w:sz w:val="20"/>
        </w:rPr>
      </w:pPr>
      <w:r>
        <w:rPr>
          <w:rFonts w:ascii="Times New Roman" w:hAnsi="Times New Roman"/>
          <w:i/>
          <w:sz w:val="20"/>
        </w:rPr>
        <w:t>JPM Credit Agreement</w:t>
      </w:r>
      <w:r>
        <w:rPr>
          <w:rFonts w:ascii="Times New Roman" w:hAnsi="Times New Roman"/>
          <w:sz w:val="20"/>
        </w:rPr>
        <w:t xml:space="preserve"> </w:t>
      </w:r>
    </w:p>
    <w:p>
      <w:pPr>
        <w:pStyle w:val="TextBody"/>
        <w:bidi w:val="0"/>
        <w:spacing w:before="0" w:after="0"/>
        <w:jc w:val="both"/>
        <w:rPr/>
      </w:pPr>
      <w:r>
        <w:rPr/>
        <w:t xml:space="preserve">  </w:t>
      </w:r>
    </w:p>
    <w:p>
      <w:pPr>
        <w:pStyle w:val="TextBody"/>
        <w:bidi w:val="0"/>
        <w:spacing w:before="0" w:after="0"/>
        <w:ind w:left="0" w:right="0" w:firstLine="720"/>
        <w:jc w:val="both"/>
        <w:rPr/>
      </w:pPr>
      <w:r>
        <w:rPr/>
        <w:t> </w:t>
      </w:r>
      <w:r>
        <w:rPr>
          <w:rFonts w:ascii="Times New Roman" w:hAnsi="Times New Roman"/>
          <w:sz w:val="20"/>
        </w:rPr>
        <w:t xml:space="preserve">On August 5, 2025 (the “JPM Closing Date”), we entered into a Credit Agreement (the “JPM Credit Agreement”) with the lenders party thereto and JPMorgan Chase Bank, N.A., as administrative agent. The JPM Credit Agreement provides for $300 million of senior secured credit facilities, consisting of (a) a term loan in the aggregate principal amount of $75 million (the “JPM Term Loan Facility”), which was drawn in full on the JPM Closing Date, and (b) a revolving credit facility in the aggregate principal amount of $225 million (the “JPM Revolving Facility”). We may also request, subject to customary conditions, additional incremental revolving commitments or term loans in an aggregate principal amount not to exceed $100 million (together with the JPM Term Loan Facility and the JPM Revolving Facility, the “JPM Credit Facilities”). The JPM Term Loan Facility has a maturity date of August 5, 2028 (the “JPM Term Maturity Date”) and the JPM Revolving Facility has a maturity date of August 5, 2028 or any earlier date on which the commitments under the JPM Revolving Facility are reduced to zero or otherwise terminated pursuant to the terms of the JPM Credit Agreement (the “JPM Revolving Maturity Date”). </w:t>
      </w:r>
    </w:p>
    <w:p>
      <w:pPr>
        <w:pStyle w:val="TextBody"/>
        <w:bidi w:val="0"/>
        <w:spacing w:before="0" w:after="0"/>
        <w:jc w:val="both"/>
        <w:rPr/>
      </w:pPr>
      <w:r>
        <w:rPr/>
        <w:t xml:space="preserve">  </w:t>
      </w:r>
    </w:p>
    <w:p>
      <w:pPr>
        <w:pStyle w:val="TextBody"/>
        <w:bidi w:val="0"/>
        <w:spacing w:before="0" w:after="0"/>
        <w:ind w:left="0" w:right="0" w:firstLine="720"/>
        <w:jc w:val="both"/>
        <w:rPr>
          <w:rFonts w:ascii="Times New Roman" w:hAnsi="Times New Roman"/>
          <w:sz w:val="20"/>
        </w:rPr>
      </w:pPr>
      <w:r>
        <w:rPr>
          <w:rFonts w:ascii="Times New Roman" w:hAnsi="Times New Roman"/>
          <w:sz w:val="20"/>
        </w:rPr>
        <w:t xml:space="preserve">On March 2, 2026, we borrowed $125.0 million under the JPM Revolving Facility, used to fund the accelerated share repurchase agreement (“ASR Agreement”). See Note 8 for further details. </w:t>
      </w:r>
    </w:p>
    <w:p>
      <w:pPr>
        <w:pStyle w:val="TextBody"/>
        <w:bidi w:val="0"/>
        <w:spacing w:before="0" w:after="0"/>
        <w:jc w:val="both"/>
        <w:rPr/>
      </w:pPr>
      <w:r>
        <w:rPr/>
        <w:t xml:space="preserve">  </w:t>
      </w:r>
    </w:p>
    <w:p>
      <w:pPr>
        <w:pStyle w:val="TextBody"/>
        <w:bidi w:val="0"/>
        <w:spacing w:before="0" w:after="0"/>
        <w:ind w:left="0" w:right="0" w:firstLine="720"/>
        <w:jc w:val="both"/>
        <w:rPr>
          <w:rFonts w:ascii="Times New Roman" w:hAnsi="Times New Roman"/>
          <w:sz w:val="20"/>
        </w:rPr>
      </w:pPr>
      <w:r>
        <w:rPr>
          <w:rFonts w:ascii="Times New Roman" w:hAnsi="Times New Roman"/>
          <w:sz w:val="20"/>
        </w:rPr>
        <w:t xml:space="preserve">Interest on borrowings under the JPM Credit Facilities accrues at an applicable rate equal to (i) an alternate base rate plus an applicable spread (each such borrowing, an “ABR Borrowing”) or (ii) Term SOFR plus an applicable spread (each such borrowing, a “Term Benchmark Borrowing”), in each case based on the lower of the applicable rates set forth in the JPM Credit Agreement, which are based on the Company’s total leverage ratio. These applicable spreads range from 150 basis points to 200 basis points over the alternate base rate and 250 basis points to 300 basis points over Term SOFR, in each case, as determined in accordance with the provisions of the JPM Credit Agreement. We have agreed to pay a commitment fee at specified rates set forth in the JPM Credit Agreement, which, based on our total leverage ratio, ranges from 30 basis points to 35 basis points on the daily amount of the undrawn portion of the aggregate commitments of the lenders under the JPM Revolving Facility. At our request, each borrowing initially shall be either an ABR Borrowing or a Term Benchmark Borrowing, and we may thereafter elect to convert any such borrowing to a different type. During the occurrence and continuance of an Event of Default (as defined in the JPM Credit Agreement), all borrowings shall accrue interest at a rate per annum equal to 2% plus the applicable rate. As of March 31, 2026, the interest rate on the JPM Term Loan Facility and the JPM Revolving Facility was approximately 6.17%. </w:t>
      </w:r>
    </w:p>
    <w:p>
      <w:pPr>
        <w:pStyle w:val="TextBody"/>
        <w:bidi w:val="0"/>
        <w:spacing w:before="0" w:after="0"/>
        <w:jc w:val="both"/>
        <w:rPr/>
      </w:pPr>
      <w:r>
        <w:rPr/>
        <w:t xml:space="preserve">  </w:t>
      </w:r>
    </w:p>
    <w:p>
      <w:pPr>
        <w:pStyle w:val="TextBody"/>
        <w:bidi w:val="0"/>
        <w:spacing w:before="0" w:after="0"/>
        <w:ind w:left="0" w:right="0" w:firstLine="720"/>
        <w:jc w:val="both"/>
        <w:rPr>
          <w:rFonts w:ascii="Times New Roman" w:hAnsi="Times New Roman"/>
          <w:sz w:val="20"/>
        </w:rPr>
      </w:pPr>
      <w:r>
        <w:rPr>
          <w:rFonts w:ascii="Times New Roman" w:hAnsi="Times New Roman"/>
          <w:sz w:val="20"/>
        </w:rPr>
        <w:t xml:space="preserve">On the JPM Revolving Facility Maturity Date, we will repay the unpaid principal amount outstanding under the JPM Revolving Facility. Under the JPM Term Loan Facility, we will make principal payments in accordance with and on the dates specified in the amortization schedule set forth in the JPM Credit Agreement, with the remaining unpaid principal amount to be paid in full on the JPM Term Maturity Date. We may prepay at any time and from time to time any borrowing in whole or in part, without premium or penalty (other than, if applicable, any break funding expenses), subject to customary notice requirements. </w:t>
      </w:r>
    </w:p>
    <w:p>
      <w:pPr>
        <w:pStyle w:val="TextBody"/>
        <w:bidi w:val="0"/>
        <w:spacing w:before="0" w:after="0"/>
        <w:jc w:val="both"/>
        <w:rPr/>
      </w:pPr>
      <w:r>
        <w:rPr/>
        <w:t xml:space="preserve">  </w:t>
      </w:r>
    </w:p>
    <w:p>
      <w:pPr>
        <w:pStyle w:val="TextBody"/>
        <w:bidi w:val="0"/>
        <w:spacing w:before="0" w:after="0"/>
        <w:ind w:left="0" w:right="0" w:firstLine="720"/>
        <w:jc w:val="both"/>
        <w:rPr>
          <w:rFonts w:ascii="Times New Roman" w:hAnsi="Times New Roman"/>
          <w:sz w:val="20"/>
        </w:rPr>
      </w:pPr>
      <w:r>
        <w:rPr>
          <w:rFonts w:ascii="Times New Roman" w:hAnsi="Times New Roman"/>
          <w:sz w:val="20"/>
        </w:rPr>
        <w:t xml:space="preserve">All of our obligations under the JPM Credit Agreement are secured by a first-priority lien and security interest in substantially all of our tangible and intangible assets, including intellectual property and equity interests. </w:t>
      </w:r>
    </w:p>
    <w:p>
      <w:pPr>
        <w:pStyle w:val="TextBody"/>
        <w:bidi w:val="0"/>
        <w:spacing w:before="0" w:after="0"/>
        <w:jc w:val="both"/>
        <w:rPr/>
      </w:pPr>
      <w:r>
        <w:rPr/>
        <w:t xml:space="preserve">  </w:t>
      </w:r>
    </w:p>
    <w:p>
      <w:pPr>
        <w:pStyle w:val="TextBody"/>
        <w:bidi w:val="0"/>
        <w:spacing w:before="0" w:after="0"/>
        <w:ind w:left="0" w:right="0" w:firstLine="720"/>
        <w:jc w:val="both"/>
        <w:rPr>
          <w:rFonts w:ascii="Times New Roman" w:hAnsi="Times New Roman"/>
          <w:sz w:val="20"/>
        </w:rPr>
      </w:pPr>
      <w:r>
        <w:rPr>
          <w:rFonts w:ascii="Times New Roman" w:hAnsi="Times New Roman"/>
          <w:sz w:val="20"/>
        </w:rPr>
        <w:t xml:space="preserve">The JPM Credit Agreement contains certain representations and warranties, affirmative covenants, negative covenants and conditions that are customarily required for similar debt financings. The negative covenants include certain financial covenants, including a maximum total leverage ratio of 2.50 to 1.00 and a minimum fixed charge coverage ratio of 1.20 to 1.00. The negative covenants also restrict or limit our ability to, among other things and subject to certain exceptions contained in the JPM Credit Agreement, incur new indebtedness; create liens on assets; engage in certain fundamental corporate changes; make certain investments; dispose of certain assets; engage in sale and leaseback transactions or swap agreements; make dividend payments and other certain Restricted Payments (as defined in the JPM Credit Agreement); engage in certain affiliate transactions; enter into any other agreements that have the impact of restricting our ability to make loan repayments under the JPM Credit Agreement; or amend certain material documents. </w:t>
      </w:r>
    </w:p>
    <w:p>
      <w:pPr>
        <w:pStyle w:val="TextBody"/>
        <w:bidi w:val="0"/>
        <w:spacing w:before="0" w:after="0"/>
        <w:jc w:val="both"/>
        <w:rPr/>
      </w:pPr>
      <w:r>
        <w:rPr/>
        <w:t xml:space="preserve">  </w:t>
      </w:r>
    </w:p>
    <w:p>
      <w:pPr>
        <w:pStyle w:val="TextBody"/>
        <w:bidi w:val="0"/>
        <w:spacing w:before="150" w:after="15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t>28</w:t>
      </w:r>
    </w:p>
    <w:p>
      <w:pPr>
        <w:pStyle w:val="HorizontalLine"/>
        <w:bidi w:val="0"/>
        <w:spacing w:before="150" w:after="150"/>
        <w:jc w:val="left"/>
        <w:rPr/>
      </w:pPr>
      <w:r>
        <w:rPr/>
      </w:r>
    </w:p>
    <w:p>
      <w:pPr>
        <w:pStyle w:val="TextBody"/>
        <w:bidi w:val="0"/>
        <w:spacing w:before="150" w:after="150"/>
        <w:jc w:val="left"/>
        <w:rPr/>
      </w:pPr>
      <w:hyperlink w:anchor="index">
        <w:r>
          <w:rPr>
            <w:rStyle w:val="InternetLink"/>
            <w:rFonts w:ascii="TimesNewRoman;Times New Roman;Times;Baskerville;Georgia;serif" w:hAnsi="TimesNewRoman;Times New Roman;Times;Baskerville;Georgia;serif"/>
            <w:b w:val="false"/>
            <w:i/>
            <w:caps w:val="false"/>
            <w:smallCaps w:val="false"/>
            <w:strike w:val="false"/>
            <w:dstrike w:val="false"/>
            <w:sz w:val="16"/>
            <w:u w:val="none"/>
            <w:effect w:val="none"/>
          </w:rPr>
          <w:t>Index</w:t>
        </w:r>
      </w:hyperlink>
    </w:p>
    <w:p>
      <w:pPr>
        <w:pStyle w:val="TextBody"/>
        <w:bidi w:val="0"/>
        <w:spacing w:before="0" w:after="0"/>
        <w:ind w:left="0" w:right="0" w:firstLine="720"/>
        <w:jc w:val="both"/>
        <w:rPr>
          <w:rFonts w:ascii="Times New Roman" w:hAnsi="Times New Roman"/>
          <w:sz w:val="20"/>
        </w:rPr>
      </w:pPr>
      <w:r>
        <w:rPr>
          <w:rFonts w:ascii="Times New Roman" w:hAnsi="Times New Roman"/>
          <w:sz w:val="20"/>
        </w:rPr>
        <w:t xml:space="preserve">As of March 31, 2026, we were in compliance with all of our debt covenants in the JPM Credit Agreement. </w:t>
      </w:r>
    </w:p>
    <w:p>
      <w:pPr>
        <w:pStyle w:val="TextBody"/>
        <w:bidi w:val="0"/>
        <w:spacing w:before="0" w:after="0"/>
        <w:jc w:val="left"/>
        <w:rPr/>
      </w:pPr>
      <w:r>
        <w:rPr/>
        <w:t xml:space="preserve">  </w:t>
      </w:r>
    </w:p>
    <w:p>
      <w:pPr>
        <w:pStyle w:val="TextBody"/>
        <w:bidi w:val="0"/>
        <w:spacing w:before="0" w:after="0"/>
        <w:jc w:val="left"/>
        <w:rPr>
          <w:rFonts w:ascii="Times New Roman" w:hAnsi="Times New Roman"/>
          <w:b/>
          <w:sz w:val="24"/>
        </w:rPr>
      </w:pPr>
      <w:r>
        <w:rPr>
          <w:rFonts w:ascii="Times New Roman" w:hAnsi="Times New Roman"/>
          <w:b/>
          <w:sz w:val="20"/>
        </w:rPr>
        <w:t>Cash Flows</w:t>
      </w:r>
      <w:r>
        <w:rPr>
          <w:rFonts w:ascii="Times New Roman" w:hAnsi="Times New Roman"/>
          <w:b/>
          <w:sz w:val="24"/>
        </w:rPr>
        <w:t xml:space="preserve"> </w:t>
      </w:r>
    </w:p>
    <w:p>
      <w:pPr>
        <w:pStyle w:val="TextBody"/>
        <w:bidi w:val="0"/>
        <w:spacing w:before="0" w:after="0"/>
        <w:jc w:val="left"/>
        <w:rPr/>
      </w:pPr>
      <w:r>
        <w:rPr/>
        <w:t xml:space="preserve">  </w:t>
      </w:r>
    </w:p>
    <w:p>
      <w:pPr>
        <w:pStyle w:val="TextBody"/>
        <w:bidi w:val="0"/>
        <w:spacing w:before="0" w:after="0"/>
        <w:ind w:left="0" w:right="0" w:firstLine="720"/>
        <w:jc w:val="left"/>
        <w:rPr>
          <w:rFonts w:ascii="Times New Roman" w:hAnsi="Times New Roman"/>
          <w:b/>
          <w:sz w:val="24"/>
        </w:rPr>
      </w:pPr>
      <w:r>
        <w:rPr>
          <w:rFonts w:ascii="Times New Roman" w:hAnsi="Times New Roman"/>
          <w:b w:val="false"/>
          <w:sz w:val="20"/>
        </w:rPr>
        <w:t>The following table sets forth a summary of our cash flows for the periods indicated:</w:t>
      </w:r>
      <w:r>
        <w:rPr>
          <w:rFonts w:ascii="Times New Roman" w:hAnsi="Times New Roman"/>
          <w:b/>
          <w:sz w:val="24"/>
        </w:rPr>
        <w:t xml:space="preserve"> </w:t>
      </w:r>
    </w:p>
    <w:p>
      <w:pPr>
        <w:pStyle w:val="TextBody"/>
        <w:bidi w:val="0"/>
        <w:spacing w:before="0" w:after="0"/>
        <w:jc w:val="left"/>
        <w:rPr/>
      </w:pPr>
      <w:r>
        <w:rPr/>
        <w:t xml:space="preserve">  </w:t>
      </w:r>
    </w:p>
    <w:tbl>
      <w:tblPr>
        <w:tblW w:w="8533" w:type="dxa"/>
        <w:jc w:val="left"/>
        <w:tblInd w:w="0" w:type="dxa"/>
        <w:tblLayout w:type="fixed"/>
        <w:tblCellMar>
          <w:top w:w="0" w:type="dxa"/>
          <w:left w:w="0" w:type="dxa"/>
          <w:bottom w:w="0" w:type="dxa"/>
          <w:right w:w="0" w:type="dxa"/>
        </w:tblCellMar>
      </w:tblPr>
      <w:tblGrid>
        <w:gridCol w:w="4865"/>
        <w:gridCol w:w="90"/>
        <w:gridCol w:w="250"/>
        <w:gridCol w:w="1222"/>
        <w:gridCol w:w="272"/>
        <w:gridCol w:w="132"/>
        <w:gridCol w:w="250"/>
        <w:gridCol w:w="1222"/>
        <w:gridCol w:w="230"/>
      </w:tblGrid>
      <w:tr>
        <w:trPr/>
        <w:tc>
          <w:tcPr>
            <w:tcW w:w="486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50" w:type="dxa"/>
            <w:tcBorders/>
            <w:vAlign w:val="center"/>
          </w:tcPr>
          <w:p>
            <w:pPr>
              <w:pStyle w:val="TableContents"/>
              <w:bidi w:val="0"/>
              <w:spacing w:before="0" w:after="283"/>
              <w:jc w:val="left"/>
              <w:rPr/>
            </w:pPr>
            <w:r>
              <w:rPr/>
              <w:t> </w:t>
            </w:r>
          </w:p>
        </w:tc>
        <w:tc>
          <w:tcPr>
            <w:tcW w:w="1222" w:type="dxa"/>
            <w:tcBorders/>
            <w:vAlign w:val="center"/>
          </w:tcPr>
          <w:p>
            <w:pPr>
              <w:pStyle w:val="TableContents"/>
              <w:bidi w:val="0"/>
              <w:spacing w:before="0" w:after="283"/>
              <w:jc w:val="left"/>
              <w:rPr/>
            </w:pPr>
            <w:r>
              <w:rPr/>
              <w:t> </w:t>
            </w:r>
          </w:p>
        </w:tc>
        <w:tc>
          <w:tcPr>
            <w:tcW w:w="272" w:type="dxa"/>
            <w:tcBorders/>
            <w:vAlign w:val="center"/>
          </w:tcPr>
          <w:p>
            <w:pPr>
              <w:pStyle w:val="TableContents"/>
              <w:bidi w:val="0"/>
              <w:spacing w:before="0" w:after="283"/>
              <w:jc w:val="left"/>
              <w:rPr/>
            </w:pPr>
            <w:r>
              <w:rPr/>
              <w:t> </w:t>
            </w:r>
          </w:p>
        </w:tc>
        <w:tc>
          <w:tcPr>
            <w:tcW w:w="132" w:type="dxa"/>
            <w:tcBorders/>
            <w:vAlign w:val="center"/>
          </w:tcPr>
          <w:p>
            <w:pPr>
              <w:pStyle w:val="TableContents"/>
              <w:bidi w:val="0"/>
              <w:spacing w:before="0" w:after="283"/>
              <w:jc w:val="left"/>
              <w:rPr/>
            </w:pPr>
            <w:r>
              <w:rPr/>
              <w:t> </w:t>
            </w:r>
          </w:p>
        </w:tc>
        <w:tc>
          <w:tcPr>
            <w:tcW w:w="250" w:type="dxa"/>
            <w:tcBorders/>
            <w:vAlign w:val="center"/>
          </w:tcPr>
          <w:p>
            <w:pPr>
              <w:pStyle w:val="TableContents"/>
              <w:bidi w:val="0"/>
              <w:spacing w:before="0" w:after="283"/>
              <w:jc w:val="left"/>
              <w:rPr/>
            </w:pPr>
            <w:r>
              <w:rPr/>
              <w:t> </w:t>
            </w:r>
          </w:p>
        </w:tc>
        <w:tc>
          <w:tcPr>
            <w:tcW w:w="1222"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 </w:t>
            </w:r>
          </w:p>
        </w:tc>
      </w:tr>
      <w:tr>
        <w:trPr/>
        <w:tc>
          <w:tcPr>
            <w:tcW w:w="486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center"/>
              <w:rPr/>
            </w:pPr>
            <w:r>
              <w:rPr/>
              <w:t> </w:t>
            </w:r>
          </w:p>
        </w:tc>
        <w:tc>
          <w:tcPr>
            <w:tcW w:w="3348" w:type="dxa"/>
            <w:gridSpan w:val="6"/>
            <w:tcBorders/>
            <w:vAlign w:val="center"/>
          </w:tcPr>
          <w:p>
            <w:pPr>
              <w:pStyle w:val="TableContents"/>
              <w:bidi w:val="0"/>
              <w:spacing w:before="0" w:after="283"/>
              <w:jc w:val="center"/>
              <w:rPr>
                <w:b/>
                <w:spacing w:val="0"/>
              </w:rPr>
            </w:pPr>
            <w:r>
              <w:rPr>
                <w:b/>
                <w:spacing w:val="0"/>
              </w:rPr>
              <w:t>Three Months Ended March 31,</w:t>
            </w:r>
          </w:p>
        </w:tc>
        <w:tc>
          <w:tcPr>
            <w:tcW w:w="230" w:type="dxa"/>
            <w:tcBorders/>
            <w:vAlign w:val="center"/>
          </w:tcPr>
          <w:p>
            <w:pPr>
              <w:pStyle w:val="TableContents"/>
              <w:bidi w:val="0"/>
              <w:spacing w:before="0" w:after="283"/>
              <w:jc w:val="center"/>
              <w:rPr/>
            </w:pPr>
            <w:r>
              <w:rPr/>
              <w:t> </w:t>
            </w:r>
          </w:p>
        </w:tc>
      </w:tr>
      <w:tr>
        <w:trPr/>
        <w:tc>
          <w:tcPr>
            <w:tcW w:w="4865" w:type="dxa"/>
            <w:tcBorders/>
            <w:vAlign w:val="center"/>
          </w:tcPr>
          <w:p>
            <w:pPr>
              <w:pStyle w:val="TableContents"/>
              <w:bidi w:val="0"/>
              <w:spacing w:before="0" w:after="283"/>
              <w:ind w:left="0" w:right="0" w:hanging="135"/>
              <w:jc w:val="left"/>
              <w:rPr>
                <w:i/>
                <w:spacing w:val="0"/>
              </w:rPr>
            </w:pPr>
            <w:r>
              <w:rPr>
                <w:i/>
                <w:spacing w:val="0"/>
              </w:rPr>
              <w:t>(in thousands)</w:t>
            </w:r>
          </w:p>
        </w:tc>
        <w:tc>
          <w:tcPr>
            <w:tcW w:w="90" w:type="dxa"/>
            <w:tcBorders/>
            <w:vAlign w:val="center"/>
          </w:tcPr>
          <w:p>
            <w:pPr>
              <w:pStyle w:val="TableContents"/>
              <w:bidi w:val="0"/>
              <w:spacing w:before="0" w:after="283"/>
              <w:jc w:val="right"/>
              <w:rPr/>
            </w:pPr>
            <w:r>
              <w:rPr/>
              <w:t> </w:t>
            </w:r>
          </w:p>
        </w:tc>
        <w:tc>
          <w:tcPr>
            <w:tcW w:w="250" w:type="dxa"/>
            <w:tcBorders>
              <w:bottom w:val="single" w:sz="12" w:space="0" w:color="000000"/>
            </w:tcBorders>
            <w:tcMar>
              <w:bottom w:w="28" w:type="dxa"/>
            </w:tcMar>
            <w:vAlign w:val="center"/>
          </w:tcPr>
          <w:p>
            <w:pPr>
              <w:pStyle w:val="TableContents"/>
              <w:bidi w:val="0"/>
              <w:spacing w:before="0" w:after="283"/>
              <w:jc w:val="left"/>
              <w:rPr/>
            </w:pPr>
            <w:r>
              <w:rPr/>
              <w:t> </w:t>
            </w:r>
          </w:p>
        </w:tc>
        <w:tc>
          <w:tcPr>
            <w:tcW w:w="1222" w:type="dxa"/>
            <w:tcBorders>
              <w:bottom w:val="single" w:sz="12" w:space="0" w:color="000000"/>
            </w:tcBorders>
            <w:tcMar>
              <w:bottom w:w="28" w:type="dxa"/>
            </w:tcMar>
            <w:vAlign w:val="center"/>
          </w:tcPr>
          <w:p>
            <w:pPr>
              <w:pStyle w:val="TableContents"/>
              <w:bidi w:val="0"/>
              <w:spacing w:before="0" w:after="283"/>
              <w:jc w:val="center"/>
              <w:rPr>
                <w:b/>
                <w:spacing w:val="0"/>
              </w:rPr>
            </w:pPr>
            <w:r>
              <w:rPr>
                <w:b/>
                <w:spacing w:val="0"/>
              </w:rPr>
              <w:t>2026</w:t>
            </w:r>
          </w:p>
        </w:tc>
        <w:tc>
          <w:tcPr>
            <w:tcW w:w="272" w:type="dxa"/>
            <w:tcBorders/>
            <w:vAlign w:val="center"/>
          </w:tcPr>
          <w:p>
            <w:pPr>
              <w:pStyle w:val="TableContents"/>
              <w:bidi w:val="0"/>
              <w:spacing w:before="0" w:after="283"/>
              <w:jc w:val="left"/>
              <w:rPr/>
            </w:pPr>
            <w:r>
              <w:rPr/>
              <w:t> </w:t>
            </w:r>
          </w:p>
        </w:tc>
        <w:tc>
          <w:tcPr>
            <w:tcW w:w="132" w:type="dxa"/>
            <w:tcBorders/>
            <w:vAlign w:val="center"/>
          </w:tcPr>
          <w:p>
            <w:pPr>
              <w:pStyle w:val="TableContents"/>
              <w:bidi w:val="0"/>
              <w:spacing w:before="0" w:after="283"/>
              <w:jc w:val="right"/>
              <w:rPr/>
            </w:pPr>
            <w:r>
              <w:rPr/>
              <w:t> </w:t>
            </w:r>
          </w:p>
        </w:tc>
        <w:tc>
          <w:tcPr>
            <w:tcW w:w="250" w:type="dxa"/>
            <w:tcBorders>
              <w:bottom w:val="single" w:sz="12" w:space="0" w:color="000000"/>
            </w:tcBorders>
            <w:tcMar>
              <w:bottom w:w="28" w:type="dxa"/>
            </w:tcMar>
            <w:vAlign w:val="center"/>
          </w:tcPr>
          <w:p>
            <w:pPr>
              <w:pStyle w:val="TableContents"/>
              <w:bidi w:val="0"/>
              <w:spacing w:before="0" w:after="283"/>
              <w:jc w:val="left"/>
              <w:rPr/>
            </w:pPr>
            <w:r>
              <w:rPr/>
              <w:t> </w:t>
            </w:r>
          </w:p>
        </w:tc>
        <w:tc>
          <w:tcPr>
            <w:tcW w:w="1222" w:type="dxa"/>
            <w:tcBorders>
              <w:bottom w:val="single" w:sz="12" w:space="0" w:color="000000"/>
            </w:tcBorders>
            <w:tcMar>
              <w:bottom w:w="28" w:type="dxa"/>
            </w:tcMar>
            <w:vAlign w:val="center"/>
          </w:tcPr>
          <w:p>
            <w:pPr>
              <w:pStyle w:val="TableContents"/>
              <w:bidi w:val="0"/>
              <w:spacing w:before="0" w:after="283"/>
              <w:jc w:val="center"/>
              <w:rPr>
                <w:b/>
                <w:spacing w:val="0"/>
              </w:rPr>
            </w:pPr>
            <w:r>
              <w:rPr>
                <w:b/>
                <w:spacing w:val="0"/>
              </w:rPr>
              <w:t>2025</w:t>
            </w:r>
          </w:p>
        </w:tc>
        <w:tc>
          <w:tcPr>
            <w:tcW w:w="230" w:type="dxa"/>
            <w:tcBorders/>
            <w:vAlign w:val="center"/>
          </w:tcPr>
          <w:p>
            <w:pPr>
              <w:pStyle w:val="TableContents"/>
              <w:bidi w:val="0"/>
              <w:spacing w:before="0" w:after="283"/>
              <w:jc w:val="left"/>
              <w:rPr/>
            </w:pPr>
            <w:r>
              <w:rPr/>
              <w:t> </w:t>
            </w:r>
          </w:p>
        </w:tc>
      </w:tr>
      <w:tr>
        <w:trPr/>
        <w:tc>
          <w:tcPr>
            <w:tcW w:w="4865" w:type="dxa"/>
            <w:tcBorders/>
            <w:shd w:fill="CCEEFF" w:val="clear"/>
            <w:vAlign w:val="center"/>
          </w:tcPr>
          <w:p>
            <w:pPr>
              <w:pStyle w:val="TableContents"/>
              <w:bidi w:val="0"/>
              <w:spacing w:before="0" w:after="0"/>
              <w:ind w:left="0" w:right="0" w:hanging="144"/>
              <w:jc w:val="left"/>
              <w:rPr/>
            </w:pPr>
            <w:r>
              <w:rPr/>
              <w:t xml:space="preserve">Net cash provided by (used in) operating activities </w:t>
            </w:r>
          </w:p>
        </w:tc>
        <w:tc>
          <w:tcPr>
            <w:tcW w:w="90" w:type="dxa"/>
            <w:tcBorders/>
            <w:shd w:fill="CCEEFF" w:val="clear"/>
            <w:vAlign w:val="center"/>
          </w:tcPr>
          <w:p>
            <w:pPr>
              <w:pStyle w:val="TableContents"/>
              <w:bidi w:val="0"/>
              <w:spacing w:before="0" w:after="283"/>
              <w:jc w:val="right"/>
              <w:rPr/>
            </w:pPr>
            <w:r>
              <w:rPr/>
              <w:t> </w:t>
            </w:r>
          </w:p>
        </w:tc>
        <w:tc>
          <w:tcPr>
            <w:tcW w:w="250" w:type="dxa"/>
            <w:tcBorders/>
            <w:shd w:fill="CCEEFF" w:val="clear"/>
            <w:vAlign w:val="center"/>
          </w:tcPr>
          <w:p>
            <w:pPr>
              <w:pStyle w:val="TableContents"/>
              <w:bidi w:val="0"/>
              <w:spacing w:before="0" w:after="283"/>
              <w:jc w:val="left"/>
              <w:rPr/>
            </w:pPr>
            <w:r>
              <w:rPr/>
              <w:t>$</w:t>
            </w:r>
          </w:p>
        </w:tc>
        <w:tc>
          <w:tcPr>
            <w:tcW w:w="1222" w:type="dxa"/>
            <w:tcBorders/>
            <w:shd w:fill="CCEEFF" w:val="clear"/>
            <w:vAlign w:val="center"/>
          </w:tcPr>
          <w:p>
            <w:pPr>
              <w:pStyle w:val="TableContents"/>
              <w:bidi w:val="0"/>
              <w:spacing w:before="0" w:after="283"/>
              <w:jc w:val="right"/>
              <w:rPr/>
            </w:pPr>
            <w:r>
              <w:rPr/>
              <w:t>58,249</w:t>
            </w:r>
          </w:p>
        </w:tc>
        <w:tc>
          <w:tcPr>
            <w:tcW w:w="272" w:type="dxa"/>
            <w:tcBorders/>
            <w:shd w:fill="CCEEFF" w:val="clear"/>
            <w:vAlign w:val="center"/>
          </w:tcPr>
          <w:p>
            <w:pPr>
              <w:pStyle w:val="TableContents"/>
              <w:bidi w:val="0"/>
              <w:spacing w:before="0" w:after="283"/>
              <w:jc w:val="left"/>
              <w:rPr/>
            </w:pPr>
            <w:r>
              <w:rPr/>
              <w:t> </w:t>
            </w:r>
          </w:p>
        </w:tc>
        <w:tc>
          <w:tcPr>
            <w:tcW w:w="132" w:type="dxa"/>
            <w:tcBorders/>
            <w:shd w:fill="CCEEFF" w:val="clear"/>
            <w:vAlign w:val="center"/>
          </w:tcPr>
          <w:p>
            <w:pPr>
              <w:pStyle w:val="TableContents"/>
              <w:bidi w:val="0"/>
              <w:spacing w:before="0" w:after="283"/>
              <w:jc w:val="right"/>
              <w:rPr/>
            </w:pPr>
            <w:r>
              <w:rPr/>
              <w:t> </w:t>
            </w:r>
          </w:p>
        </w:tc>
        <w:tc>
          <w:tcPr>
            <w:tcW w:w="250" w:type="dxa"/>
            <w:tcBorders/>
            <w:shd w:fill="CCEEFF" w:val="clear"/>
            <w:vAlign w:val="center"/>
          </w:tcPr>
          <w:p>
            <w:pPr>
              <w:pStyle w:val="TableContents"/>
              <w:bidi w:val="0"/>
              <w:spacing w:before="0" w:after="283"/>
              <w:jc w:val="left"/>
              <w:rPr/>
            </w:pPr>
            <w:r>
              <w:rPr/>
              <w:t>$</w:t>
            </w:r>
          </w:p>
        </w:tc>
        <w:tc>
          <w:tcPr>
            <w:tcW w:w="1222" w:type="dxa"/>
            <w:tcBorders/>
            <w:shd w:fill="CCEEFF" w:val="clear"/>
            <w:vAlign w:val="center"/>
          </w:tcPr>
          <w:p>
            <w:pPr>
              <w:pStyle w:val="TableContents"/>
              <w:bidi w:val="0"/>
              <w:spacing w:before="0" w:after="283"/>
              <w:jc w:val="right"/>
              <w:rPr/>
            </w:pPr>
            <w:r>
              <w:rPr/>
              <w:t>(19,675</w:t>
            </w:r>
          </w:p>
        </w:tc>
        <w:tc>
          <w:tcPr>
            <w:tcW w:w="230" w:type="dxa"/>
            <w:tcBorders/>
            <w:shd w:fill="CCEEFF" w:val="clear"/>
            <w:vAlign w:val="center"/>
          </w:tcPr>
          <w:p>
            <w:pPr>
              <w:pStyle w:val="TableContents"/>
              <w:bidi w:val="0"/>
              <w:spacing w:before="0" w:after="283"/>
              <w:jc w:val="left"/>
              <w:rPr/>
            </w:pPr>
            <w:r>
              <w:rPr/>
              <w:t>) </w:t>
            </w:r>
          </w:p>
        </w:tc>
      </w:tr>
      <w:tr>
        <w:trPr/>
        <w:tc>
          <w:tcPr>
            <w:tcW w:w="4865" w:type="dxa"/>
            <w:tcBorders/>
            <w:vAlign w:val="center"/>
          </w:tcPr>
          <w:p>
            <w:pPr>
              <w:pStyle w:val="TableContents"/>
              <w:bidi w:val="0"/>
              <w:spacing w:before="0" w:after="0"/>
              <w:ind w:left="0" w:right="0" w:hanging="144"/>
              <w:jc w:val="left"/>
              <w:rPr/>
            </w:pPr>
            <w:r>
              <w:rPr/>
              <w:t xml:space="preserve">Net cash provided by (used in) investing activities </w:t>
            </w:r>
          </w:p>
        </w:tc>
        <w:tc>
          <w:tcPr>
            <w:tcW w:w="90" w:type="dxa"/>
            <w:tcBorders/>
            <w:vAlign w:val="center"/>
          </w:tcPr>
          <w:p>
            <w:pPr>
              <w:pStyle w:val="TableContents"/>
              <w:bidi w:val="0"/>
              <w:spacing w:before="0" w:after="283"/>
              <w:jc w:val="right"/>
              <w:rPr/>
            </w:pPr>
            <w:r>
              <w:rPr/>
              <w:t> </w:t>
            </w:r>
          </w:p>
        </w:tc>
        <w:tc>
          <w:tcPr>
            <w:tcW w:w="250" w:type="dxa"/>
            <w:tcBorders/>
            <w:vAlign w:val="center"/>
          </w:tcPr>
          <w:p>
            <w:pPr>
              <w:pStyle w:val="TableContents"/>
              <w:bidi w:val="0"/>
              <w:spacing w:before="0" w:after="283"/>
              <w:jc w:val="left"/>
              <w:rPr/>
            </w:pPr>
            <w:r>
              <w:rPr/>
              <w:t> </w:t>
            </w:r>
          </w:p>
        </w:tc>
        <w:tc>
          <w:tcPr>
            <w:tcW w:w="1222" w:type="dxa"/>
            <w:tcBorders/>
            <w:vAlign w:val="center"/>
          </w:tcPr>
          <w:p>
            <w:pPr>
              <w:pStyle w:val="TableContents"/>
              <w:bidi w:val="0"/>
              <w:spacing w:before="0" w:after="283"/>
              <w:jc w:val="right"/>
              <w:rPr/>
            </w:pPr>
            <w:r>
              <w:rPr/>
              <w:t>2,404</w:t>
            </w:r>
          </w:p>
        </w:tc>
        <w:tc>
          <w:tcPr>
            <w:tcW w:w="272" w:type="dxa"/>
            <w:tcBorders/>
            <w:vAlign w:val="center"/>
          </w:tcPr>
          <w:p>
            <w:pPr>
              <w:pStyle w:val="TableContents"/>
              <w:bidi w:val="0"/>
              <w:spacing w:before="0" w:after="283"/>
              <w:jc w:val="left"/>
              <w:rPr/>
            </w:pPr>
            <w:r>
              <w:rPr/>
              <w:t> </w:t>
            </w:r>
          </w:p>
        </w:tc>
        <w:tc>
          <w:tcPr>
            <w:tcW w:w="132" w:type="dxa"/>
            <w:tcBorders/>
            <w:vAlign w:val="center"/>
          </w:tcPr>
          <w:p>
            <w:pPr>
              <w:pStyle w:val="TableContents"/>
              <w:bidi w:val="0"/>
              <w:spacing w:before="0" w:after="283"/>
              <w:jc w:val="right"/>
              <w:rPr/>
            </w:pPr>
            <w:r>
              <w:rPr/>
              <w:t> </w:t>
            </w:r>
          </w:p>
        </w:tc>
        <w:tc>
          <w:tcPr>
            <w:tcW w:w="250" w:type="dxa"/>
            <w:tcBorders/>
            <w:vAlign w:val="center"/>
          </w:tcPr>
          <w:p>
            <w:pPr>
              <w:pStyle w:val="TableContents"/>
              <w:bidi w:val="0"/>
              <w:spacing w:before="0" w:after="283"/>
              <w:jc w:val="left"/>
              <w:rPr/>
            </w:pPr>
            <w:r>
              <w:rPr/>
              <w:t> </w:t>
            </w:r>
          </w:p>
        </w:tc>
        <w:tc>
          <w:tcPr>
            <w:tcW w:w="1222" w:type="dxa"/>
            <w:tcBorders/>
            <w:vAlign w:val="center"/>
          </w:tcPr>
          <w:p>
            <w:pPr>
              <w:pStyle w:val="TableContents"/>
              <w:bidi w:val="0"/>
              <w:spacing w:before="0" w:after="283"/>
              <w:jc w:val="right"/>
              <w:rPr/>
            </w:pPr>
            <w:r>
              <w:rPr/>
              <w:t>(4,720</w:t>
            </w:r>
          </w:p>
        </w:tc>
        <w:tc>
          <w:tcPr>
            <w:tcW w:w="230" w:type="dxa"/>
            <w:tcBorders/>
            <w:vAlign w:val="center"/>
          </w:tcPr>
          <w:p>
            <w:pPr>
              <w:pStyle w:val="TableContents"/>
              <w:bidi w:val="0"/>
              <w:spacing w:before="0" w:after="283"/>
              <w:jc w:val="left"/>
              <w:rPr/>
            </w:pPr>
            <w:r>
              <w:rPr/>
              <w:t>) </w:t>
            </w:r>
          </w:p>
        </w:tc>
      </w:tr>
      <w:tr>
        <w:trPr/>
        <w:tc>
          <w:tcPr>
            <w:tcW w:w="4865" w:type="dxa"/>
            <w:tcBorders/>
            <w:shd w:fill="CCEEFF" w:val="clear"/>
            <w:vAlign w:val="center"/>
          </w:tcPr>
          <w:p>
            <w:pPr>
              <w:pStyle w:val="TableContents"/>
              <w:bidi w:val="0"/>
              <w:spacing w:before="0" w:after="0"/>
              <w:ind w:left="0" w:right="0" w:hanging="144"/>
              <w:jc w:val="left"/>
              <w:rPr/>
            </w:pPr>
            <w:r>
              <w:rPr/>
              <w:t xml:space="preserve">Net cash used in financing activities </w:t>
            </w:r>
          </w:p>
        </w:tc>
        <w:tc>
          <w:tcPr>
            <w:tcW w:w="90" w:type="dxa"/>
            <w:tcBorders/>
            <w:shd w:fill="CCEEFF" w:val="clear"/>
            <w:vAlign w:val="center"/>
          </w:tcPr>
          <w:p>
            <w:pPr>
              <w:pStyle w:val="TableContents"/>
              <w:bidi w:val="0"/>
              <w:spacing w:before="0" w:after="283"/>
              <w:jc w:val="right"/>
              <w:rPr/>
            </w:pPr>
            <w:r>
              <w:rPr/>
              <w:t> </w:t>
            </w:r>
          </w:p>
        </w:tc>
        <w:tc>
          <w:tcPr>
            <w:tcW w:w="25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22" w:type="dxa"/>
            <w:tcBorders>
              <w:bottom w:val="single" w:sz="12" w:space="0" w:color="000000"/>
            </w:tcBorders>
            <w:shd w:fill="CCEEFF" w:val="clear"/>
            <w:tcMar>
              <w:bottom w:w="28" w:type="dxa"/>
            </w:tcMar>
            <w:vAlign w:val="center"/>
          </w:tcPr>
          <w:p>
            <w:pPr>
              <w:pStyle w:val="TableContents"/>
              <w:bidi w:val="0"/>
              <w:spacing w:before="0" w:after="283"/>
              <w:jc w:val="right"/>
              <w:rPr/>
            </w:pPr>
            <w:r>
              <w:rPr/>
              <w:t>(10,130</w:t>
            </w:r>
          </w:p>
        </w:tc>
        <w:tc>
          <w:tcPr>
            <w:tcW w:w="272" w:type="dxa"/>
            <w:tcBorders/>
            <w:shd w:fill="CCEEFF" w:val="clear"/>
            <w:vAlign w:val="center"/>
          </w:tcPr>
          <w:p>
            <w:pPr>
              <w:pStyle w:val="TableContents"/>
              <w:bidi w:val="0"/>
              <w:spacing w:before="0" w:after="283"/>
              <w:jc w:val="left"/>
              <w:rPr/>
            </w:pPr>
            <w:r>
              <w:rPr/>
              <w:t>) </w:t>
            </w:r>
          </w:p>
        </w:tc>
        <w:tc>
          <w:tcPr>
            <w:tcW w:w="132" w:type="dxa"/>
            <w:tcBorders/>
            <w:shd w:fill="CCEEFF" w:val="clear"/>
            <w:vAlign w:val="center"/>
          </w:tcPr>
          <w:p>
            <w:pPr>
              <w:pStyle w:val="TableContents"/>
              <w:bidi w:val="0"/>
              <w:spacing w:before="0" w:after="283"/>
              <w:jc w:val="right"/>
              <w:rPr/>
            </w:pPr>
            <w:r>
              <w:rPr/>
              <w:t> </w:t>
            </w:r>
          </w:p>
        </w:tc>
        <w:tc>
          <w:tcPr>
            <w:tcW w:w="25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22" w:type="dxa"/>
            <w:tcBorders>
              <w:bottom w:val="single" w:sz="12" w:space="0" w:color="000000"/>
            </w:tcBorders>
            <w:shd w:fill="CCEEFF" w:val="clear"/>
            <w:tcMar>
              <w:bottom w:w="28" w:type="dxa"/>
            </w:tcMar>
            <w:vAlign w:val="center"/>
          </w:tcPr>
          <w:p>
            <w:pPr>
              <w:pStyle w:val="TableContents"/>
              <w:bidi w:val="0"/>
              <w:spacing w:before="0" w:after="283"/>
              <w:jc w:val="right"/>
              <w:rPr/>
            </w:pPr>
            <w:r>
              <w:rPr/>
              <w:t>(7,127</w:t>
            </w:r>
          </w:p>
        </w:tc>
        <w:tc>
          <w:tcPr>
            <w:tcW w:w="230" w:type="dxa"/>
            <w:tcBorders/>
            <w:shd w:fill="CCEEFF" w:val="clear"/>
            <w:vAlign w:val="center"/>
          </w:tcPr>
          <w:p>
            <w:pPr>
              <w:pStyle w:val="TableContents"/>
              <w:bidi w:val="0"/>
              <w:spacing w:before="0" w:after="283"/>
              <w:jc w:val="left"/>
              <w:rPr/>
            </w:pPr>
            <w:r>
              <w:rPr/>
              <w:t>) </w:t>
            </w:r>
          </w:p>
        </w:tc>
      </w:tr>
      <w:tr>
        <w:trPr/>
        <w:tc>
          <w:tcPr>
            <w:tcW w:w="4865" w:type="dxa"/>
            <w:tcBorders/>
            <w:vAlign w:val="center"/>
          </w:tcPr>
          <w:p>
            <w:pPr>
              <w:pStyle w:val="TableContents"/>
              <w:bidi w:val="0"/>
              <w:spacing w:before="0" w:after="0"/>
              <w:ind w:left="0" w:right="0" w:hanging="144"/>
              <w:jc w:val="left"/>
              <w:rPr/>
            </w:pPr>
            <w:r>
              <w:rPr/>
              <w:t xml:space="preserve">Net change in cash and cash equivalents </w:t>
            </w:r>
          </w:p>
        </w:tc>
        <w:tc>
          <w:tcPr>
            <w:tcW w:w="90" w:type="dxa"/>
            <w:tcBorders/>
            <w:vAlign w:val="center"/>
          </w:tcPr>
          <w:p>
            <w:pPr>
              <w:pStyle w:val="TableContents"/>
              <w:bidi w:val="0"/>
              <w:spacing w:before="0" w:after="283"/>
              <w:jc w:val="right"/>
              <w:rPr/>
            </w:pPr>
            <w:r>
              <w:rPr/>
              <w:t> </w:t>
            </w:r>
          </w:p>
        </w:tc>
        <w:tc>
          <w:tcPr>
            <w:tcW w:w="250" w:type="dxa"/>
            <w:tcBorders/>
            <w:vAlign w:val="center"/>
          </w:tcPr>
          <w:p>
            <w:pPr>
              <w:pStyle w:val="TableContents"/>
              <w:bidi w:val="0"/>
              <w:spacing w:before="0" w:after="283"/>
              <w:jc w:val="left"/>
              <w:rPr/>
            </w:pPr>
            <w:r>
              <w:rPr/>
              <w:t> </w:t>
            </w:r>
          </w:p>
        </w:tc>
        <w:tc>
          <w:tcPr>
            <w:tcW w:w="1222" w:type="dxa"/>
            <w:tcBorders/>
            <w:vAlign w:val="center"/>
          </w:tcPr>
          <w:p>
            <w:pPr>
              <w:pStyle w:val="TableContents"/>
              <w:bidi w:val="0"/>
              <w:spacing w:before="0" w:after="283"/>
              <w:jc w:val="right"/>
              <w:rPr/>
            </w:pPr>
            <w:r>
              <w:rPr/>
              <w:t>50,523</w:t>
            </w:r>
          </w:p>
        </w:tc>
        <w:tc>
          <w:tcPr>
            <w:tcW w:w="272" w:type="dxa"/>
            <w:tcBorders/>
            <w:vAlign w:val="center"/>
          </w:tcPr>
          <w:p>
            <w:pPr>
              <w:pStyle w:val="TableContents"/>
              <w:bidi w:val="0"/>
              <w:spacing w:before="0" w:after="283"/>
              <w:jc w:val="left"/>
              <w:rPr/>
            </w:pPr>
            <w:r>
              <w:rPr/>
              <w:t> </w:t>
            </w:r>
          </w:p>
        </w:tc>
        <w:tc>
          <w:tcPr>
            <w:tcW w:w="132" w:type="dxa"/>
            <w:tcBorders/>
            <w:vAlign w:val="center"/>
          </w:tcPr>
          <w:p>
            <w:pPr>
              <w:pStyle w:val="TableContents"/>
              <w:bidi w:val="0"/>
              <w:spacing w:before="0" w:after="283"/>
              <w:jc w:val="right"/>
              <w:rPr/>
            </w:pPr>
            <w:r>
              <w:rPr/>
              <w:t> </w:t>
            </w:r>
          </w:p>
        </w:tc>
        <w:tc>
          <w:tcPr>
            <w:tcW w:w="250" w:type="dxa"/>
            <w:tcBorders>
              <w:bottom w:val="single" w:sz="12" w:space="0" w:color="000000"/>
            </w:tcBorders>
            <w:tcMar>
              <w:bottom w:w="28" w:type="dxa"/>
            </w:tcMar>
            <w:vAlign w:val="center"/>
          </w:tcPr>
          <w:p>
            <w:pPr>
              <w:pStyle w:val="TableContents"/>
              <w:bidi w:val="0"/>
              <w:spacing w:before="0" w:after="283"/>
              <w:jc w:val="left"/>
              <w:rPr/>
            </w:pPr>
            <w:r>
              <w:rPr/>
              <w:t> </w:t>
            </w:r>
          </w:p>
        </w:tc>
        <w:tc>
          <w:tcPr>
            <w:tcW w:w="1222" w:type="dxa"/>
            <w:tcBorders>
              <w:bottom w:val="single" w:sz="12" w:space="0" w:color="000000"/>
            </w:tcBorders>
            <w:tcMar>
              <w:bottom w:w="28" w:type="dxa"/>
            </w:tcMar>
            <w:vAlign w:val="center"/>
          </w:tcPr>
          <w:p>
            <w:pPr>
              <w:pStyle w:val="TableContents"/>
              <w:bidi w:val="0"/>
              <w:spacing w:before="0" w:after="283"/>
              <w:jc w:val="right"/>
              <w:rPr/>
            </w:pPr>
            <w:r>
              <w:rPr/>
              <w:t>(31,522</w:t>
            </w:r>
          </w:p>
        </w:tc>
        <w:tc>
          <w:tcPr>
            <w:tcW w:w="230" w:type="dxa"/>
            <w:tcBorders>
              <w:bottom w:val="single" w:sz="12" w:space="0" w:color="000000"/>
            </w:tcBorders>
            <w:tcMar>
              <w:bottom w:w="28" w:type="dxa"/>
            </w:tcMar>
            <w:vAlign w:val="center"/>
          </w:tcPr>
          <w:p>
            <w:pPr>
              <w:pStyle w:val="TableContents"/>
              <w:bidi w:val="0"/>
              <w:spacing w:before="0" w:after="283"/>
              <w:jc w:val="left"/>
              <w:rPr/>
            </w:pPr>
            <w:r>
              <w:rPr/>
              <w:t>) </w:t>
            </w:r>
          </w:p>
        </w:tc>
      </w:tr>
      <w:tr>
        <w:trPr/>
        <w:tc>
          <w:tcPr>
            <w:tcW w:w="486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50" w:type="dxa"/>
            <w:tcBorders/>
            <w:shd w:fill="CCEEFF" w:val="clear"/>
            <w:vAlign w:val="center"/>
          </w:tcPr>
          <w:p>
            <w:pPr>
              <w:pStyle w:val="TableContents"/>
              <w:bidi w:val="0"/>
              <w:spacing w:before="0" w:after="283"/>
              <w:jc w:val="left"/>
              <w:rPr/>
            </w:pPr>
            <w:r>
              <w:rPr/>
              <w:t> </w:t>
            </w:r>
          </w:p>
        </w:tc>
        <w:tc>
          <w:tcPr>
            <w:tcW w:w="1222" w:type="dxa"/>
            <w:tcBorders/>
            <w:shd w:fill="CCEEFF" w:val="clear"/>
            <w:vAlign w:val="center"/>
          </w:tcPr>
          <w:p>
            <w:pPr>
              <w:pStyle w:val="TableContents"/>
              <w:bidi w:val="0"/>
              <w:spacing w:before="0" w:after="283"/>
              <w:jc w:val="left"/>
              <w:rPr/>
            </w:pPr>
            <w:r>
              <w:rPr/>
              <w:t> </w:t>
            </w:r>
          </w:p>
        </w:tc>
        <w:tc>
          <w:tcPr>
            <w:tcW w:w="272" w:type="dxa"/>
            <w:tcBorders/>
            <w:shd w:fill="CCEEFF" w:val="clear"/>
            <w:vAlign w:val="center"/>
          </w:tcPr>
          <w:p>
            <w:pPr>
              <w:pStyle w:val="TableContents"/>
              <w:bidi w:val="0"/>
              <w:spacing w:before="0" w:after="283"/>
              <w:jc w:val="left"/>
              <w:rPr/>
            </w:pPr>
            <w:r>
              <w:rPr/>
              <w:t> </w:t>
            </w:r>
          </w:p>
        </w:tc>
        <w:tc>
          <w:tcPr>
            <w:tcW w:w="132" w:type="dxa"/>
            <w:tcBorders/>
            <w:shd w:fill="CCEEFF" w:val="clear"/>
            <w:vAlign w:val="center"/>
          </w:tcPr>
          <w:p>
            <w:pPr>
              <w:pStyle w:val="TableContents"/>
              <w:bidi w:val="0"/>
              <w:spacing w:before="0" w:after="283"/>
              <w:jc w:val="left"/>
              <w:rPr/>
            </w:pPr>
            <w:r>
              <w:rPr/>
              <w:t> </w:t>
            </w:r>
          </w:p>
        </w:tc>
        <w:tc>
          <w:tcPr>
            <w:tcW w:w="250" w:type="dxa"/>
            <w:tcBorders/>
            <w:shd w:fill="CCEEFF" w:val="clear"/>
            <w:vAlign w:val="center"/>
          </w:tcPr>
          <w:p>
            <w:pPr>
              <w:pStyle w:val="TableContents"/>
              <w:bidi w:val="0"/>
              <w:spacing w:before="0" w:after="283"/>
              <w:jc w:val="left"/>
              <w:rPr/>
            </w:pPr>
            <w:r>
              <w:rPr/>
              <w:t> </w:t>
            </w:r>
          </w:p>
        </w:tc>
        <w:tc>
          <w:tcPr>
            <w:tcW w:w="1222" w:type="dxa"/>
            <w:tcBorders/>
            <w:shd w:fill="CCEEFF" w:val="clear"/>
            <w:vAlign w:val="center"/>
          </w:tcPr>
          <w:p>
            <w:pPr>
              <w:pStyle w:val="TableContents"/>
              <w:bidi w:val="0"/>
              <w:spacing w:before="0" w:after="283"/>
              <w:jc w:val="left"/>
              <w:rPr/>
            </w:pPr>
            <w:r>
              <w:rPr/>
              <w:t> </w:t>
            </w:r>
          </w:p>
        </w:tc>
        <w:tc>
          <w:tcPr>
            <w:tcW w:w="230" w:type="dxa"/>
            <w:tcBorders/>
            <w:shd w:fill="CCEEFF" w:val="clear"/>
            <w:vAlign w:val="center"/>
          </w:tcPr>
          <w:p>
            <w:pPr>
              <w:pStyle w:val="TableContents"/>
              <w:bidi w:val="0"/>
              <w:spacing w:before="0" w:after="283"/>
              <w:jc w:val="left"/>
              <w:rPr/>
            </w:pPr>
            <w:r>
              <w:rPr/>
              <w:t> </w:t>
            </w:r>
          </w:p>
        </w:tc>
      </w:tr>
      <w:tr>
        <w:trPr/>
        <w:tc>
          <w:tcPr>
            <w:tcW w:w="4865" w:type="dxa"/>
            <w:tcBorders/>
            <w:vAlign w:val="center"/>
          </w:tcPr>
          <w:p>
            <w:pPr>
              <w:pStyle w:val="TableContents"/>
              <w:bidi w:val="0"/>
              <w:spacing w:before="0" w:after="0"/>
              <w:ind w:left="0" w:right="0" w:hanging="144"/>
              <w:jc w:val="left"/>
              <w:rPr/>
            </w:pPr>
            <w:r>
              <w:rPr/>
              <w:t xml:space="preserve">Cash and cash equivalents - beginning of period </w:t>
            </w:r>
          </w:p>
        </w:tc>
        <w:tc>
          <w:tcPr>
            <w:tcW w:w="90" w:type="dxa"/>
            <w:tcBorders/>
            <w:vAlign w:val="center"/>
          </w:tcPr>
          <w:p>
            <w:pPr>
              <w:pStyle w:val="TableContents"/>
              <w:bidi w:val="0"/>
              <w:spacing w:before="0" w:after="283"/>
              <w:jc w:val="right"/>
              <w:rPr/>
            </w:pPr>
            <w:r>
              <w:rPr/>
              <w:t> </w:t>
            </w:r>
          </w:p>
        </w:tc>
        <w:tc>
          <w:tcPr>
            <w:tcW w:w="250" w:type="dxa"/>
            <w:tcBorders>
              <w:bottom w:val="single" w:sz="12" w:space="0" w:color="000000"/>
            </w:tcBorders>
            <w:tcMar>
              <w:bottom w:w="28" w:type="dxa"/>
            </w:tcMar>
            <w:vAlign w:val="center"/>
          </w:tcPr>
          <w:p>
            <w:pPr>
              <w:pStyle w:val="TableContents"/>
              <w:bidi w:val="0"/>
              <w:spacing w:before="0" w:after="283"/>
              <w:jc w:val="left"/>
              <w:rPr/>
            </w:pPr>
            <w:r>
              <w:rPr/>
              <w:t> </w:t>
            </w:r>
          </w:p>
        </w:tc>
        <w:tc>
          <w:tcPr>
            <w:tcW w:w="1222" w:type="dxa"/>
            <w:tcBorders>
              <w:bottom w:val="single" w:sz="12" w:space="0" w:color="000000"/>
            </w:tcBorders>
            <w:tcMar>
              <w:bottom w:w="28" w:type="dxa"/>
            </w:tcMar>
            <w:vAlign w:val="center"/>
          </w:tcPr>
          <w:p>
            <w:pPr>
              <w:pStyle w:val="TableContents"/>
              <w:bidi w:val="0"/>
              <w:spacing w:before="0" w:after="283"/>
              <w:jc w:val="right"/>
              <w:rPr/>
            </w:pPr>
            <w:r>
              <w:rPr/>
              <w:t>87,630</w:t>
            </w:r>
          </w:p>
        </w:tc>
        <w:tc>
          <w:tcPr>
            <w:tcW w:w="272" w:type="dxa"/>
            <w:tcBorders/>
            <w:vAlign w:val="center"/>
          </w:tcPr>
          <w:p>
            <w:pPr>
              <w:pStyle w:val="TableContents"/>
              <w:bidi w:val="0"/>
              <w:spacing w:before="0" w:after="283"/>
              <w:jc w:val="left"/>
              <w:rPr/>
            </w:pPr>
            <w:r>
              <w:rPr/>
              <w:t> </w:t>
            </w:r>
          </w:p>
        </w:tc>
        <w:tc>
          <w:tcPr>
            <w:tcW w:w="132" w:type="dxa"/>
            <w:tcBorders/>
            <w:vAlign w:val="center"/>
          </w:tcPr>
          <w:p>
            <w:pPr>
              <w:pStyle w:val="TableContents"/>
              <w:bidi w:val="0"/>
              <w:spacing w:before="0" w:after="283"/>
              <w:jc w:val="right"/>
              <w:rPr/>
            </w:pPr>
            <w:r>
              <w:rPr/>
              <w:t> </w:t>
            </w:r>
          </w:p>
        </w:tc>
        <w:tc>
          <w:tcPr>
            <w:tcW w:w="250" w:type="dxa"/>
            <w:tcBorders>
              <w:bottom w:val="single" w:sz="12" w:space="0" w:color="000000"/>
            </w:tcBorders>
            <w:tcMar>
              <w:bottom w:w="28" w:type="dxa"/>
            </w:tcMar>
            <w:vAlign w:val="center"/>
          </w:tcPr>
          <w:p>
            <w:pPr>
              <w:pStyle w:val="TableContents"/>
              <w:bidi w:val="0"/>
              <w:spacing w:before="0" w:after="283"/>
              <w:jc w:val="left"/>
              <w:rPr/>
            </w:pPr>
            <w:r>
              <w:rPr/>
              <w:t> </w:t>
            </w:r>
          </w:p>
        </w:tc>
        <w:tc>
          <w:tcPr>
            <w:tcW w:w="1222" w:type="dxa"/>
            <w:tcBorders>
              <w:bottom w:val="single" w:sz="12" w:space="0" w:color="000000"/>
            </w:tcBorders>
            <w:tcMar>
              <w:bottom w:w="28" w:type="dxa"/>
            </w:tcMar>
            <w:vAlign w:val="center"/>
          </w:tcPr>
          <w:p>
            <w:pPr>
              <w:pStyle w:val="TableContents"/>
              <w:bidi w:val="0"/>
              <w:spacing w:before="0" w:after="283"/>
              <w:jc w:val="right"/>
              <w:rPr/>
            </w:pPr>
            <w:r>
              <w:rPr/>
              <w:t>103,147</w:t>
            </w:r>
          </w:p>
        </w:tc>
        <w:tc>
          <w:tcPr>
            <w:tcW w:w="230" w:type="dxa"/>
            <w:tcBorders/>
            <w:vAlign w:val="center"/>
          </w:tcPr>
          <w:p>
            <w:pPr>
              <w:pStyle w:val="TableContents"/>
              <w:bidi w:val="0"/>
              <w:spacing w:before="0" w:after="283"/>
              <w:jc w:val="left"/>
              <w:rPr/>
            </w:pPr>
            <w:r>
              <w:rPr/>
              <w:t> </w:t>
            </w:r>
          </w:p>
        </w:tc>
      </w:tr>
      <w:tr>
        <w:trPr/>
        <w:tc>
          <w:tcPr>
            <w:tcW w:w="4865" w:type="dxa"/>
            <w:tcBorders/>
            <w:shd w:fill="CCEEFF" w:val="clear"/>
            <w:vAlign w:val="center"/>
          </w:tcPr>
          <w:p>
            <w:pPr>
              <w:pStyle w:val="TableContents"/>
              <w:bidi w:val="0"/>
              <w:spacing w:before="0" w:after="0"/>
              <w:ind w:left="0" w:right="0" w:hanging="144"/>
              <w:jc w:val="left"/>
              <w:rPr/>
            </w:pPr>
            <w:r>
              <w:rPr/>
              <w:t xml:space="preserve">Cash and cash equivalents - end of period </w:t>
            </w:r>
          </w:p>
        </w:tc>
        <w:tc>
          <w:tcPr>
            <w:tcW w:w="90" w:type="dxa"/>
            <w:tcBorders/>
            <w:shd w:fill="CCEEFF" w:val="clear"/>
            <w:vAlign w:val="center"/>
          </w:tcPr>
          <w:p>
            <w:pPr>
              <w:pStyle w:val="TableContents"/>
              <w:bidi w:val="0"/>
              <w:spacing w:before="0" w:after="283"/>
              <w:jc w:val="right"/>
              <w:rPr/>
            </w:pPr>
            <w:r>
              <w:rPr/>
              <w:t> </w:t>
            </w:r>
          </w:p>
        </w:tc>
        <w:tc>
          <w:tcPr>
            <w:tcW w:w="250" w:type="dxa"/>
            <w:tcBorders>
              <w:bottom w:val="single" w:sz="12" w:space="0" w:color="000000"/>
            </w:tcBorders>
            <w:shd w:fill="CCEEFF" w:val="clear"/>
            <w:tcMar>
              <w:bottom w:w="28" w:type="dxa"/>
            </w:tcMar>
            <w:vAlign w:val="center"/>
          </w:tcPr>
          <w:p>
            <w:pPr>
              <w:pStyle w:val="TableContents"/>
              <w:bidi w:val="0"/>
              <w:spacing w:before="0" w:after="283"/>
              <w:jc w:val="left"/>
              <w:rPr/>
            </w:pPr>
            <w:r>
              <w:rPr/>
              <w:t>$</w:t>
            </w:r>
          </w:p>
        </w:tc>
        <w:tc>
          <w:tcPr>
            <w:tcW w:w="1222" w:type="dxa"/>
            <w:tcBorders>
              <w:bottom w:val="single" w:sz="12" w:space="0" w:color="000000"/>
            </w:tcBorders>
            <w:shd w:fill="CCEEFF" w:val="clear"/>
            <w:tcMar>
              <w:bottom w:w="28" w:type="dxa"/>
            </w:tcMar>
            <w:vAlign w:val="center"/>
          </w:tcPr>
          <w:p>
            <w:pPr>
              <w:pStyle w:val="TableContents"/>
              <w:bidi w:val="0"/>
              <w:spacing w:before="0" w:after="283"/>
              <w:jc w:val="right"/>
              <w:rPr/>
            </w:pPr>
            <w:r>
              <w:rPr/>
              <w:t>138,153</w:t>
            </w:r>
          </w:p>
        </w:tc>
        <w:tc>
          <w:tcPr>
            <w:tcW w:w="272"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32" w:type="dxa"/>
            <w:tcBorders/>
            <w:shd w:fill="CCEEFF" w:val="clear"/>
            <w:vAlign w:val="center"/>
          </w:tcPr>
          <w:p>
            <w:pPr>
              <w:pStyle w:val="TableContents"/>
              <w:bidi w:val="0"/>
              <w:spacing w:before="0" w:after="283"/>
              <w:jc w:val="right"/>
              <w:rPr/>
            </w:pPr>
            <w:r>
              <w:rPr/>
              <w:t> </w:t>
            </w:r>
          </w:p>
        </w:tc>
        <w:tc>
          <w:tcPr>
            <w:tcW w:w="250" w:type="dxa"/>
            <w:tcBorders>
              <w:bottom w:val="single" w:sz="12" w:space="0" w:color="000000"/>
            </w:tcBorders>
            <w:shd w:fill="CCEEFF" w:val="clear"/>
            <w:tcMar>
              <w:bottom w:w="28" w:type="dxa"/>
            </w:tcMar>
            <w:vAlign w:val="center"/>
          </w:tcPr>
          <w:p>
            <w:pPr>
              <w:pStyle w:val="TableContents"/>
              <w:bidi w:val="0"/>
              <w:spacing w:before="0" w:after="283"/>
              <w:jc w:val="left"/>
              <w:rPr/>
            </w:pPr>
            <w:r>
              <w:rPr/>
              <w:t>$</w:t>
            </w:r>
          </w:p>
        </w:tc>
        <w:tc>
          <w:tcPr>
            <w:tcW w:w="1222" w:type="dxa"/>
            <w:tcBorders>
              <w:bottom w:val="single" w:sz="12" w:space="0" w:color="000000"/>
            </w:tcBorders>
            <w:shd w:fill="CCEEFF" w:val="clear"/>
            <w:tcMar>
              <w:bottom w:w="28" w:type="dxa"/>
            </w:tcMar>
            <w:vAlign w:val="center"/>
          </w:tcPr>
          <w:p>
            <w:pPr>
              <w:pStyle w:val="TableContents"/>
              <w:bidi w:val="0"/>
              <w:spacing w:before="0" w:after="283"/>
              <w:jc w:val="right"/>
              <w:rPr/>
            </w:pPr>
            <w:r>
              <w:rPr/>
              <w:t>71,625</w:t>
            </w:r>
          </w:p>
        </w:tc>
        <w:tc>
          <w:tcPr>
            <w:tcW w:w="23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r>
    </w:tbl>
    <w:p>
      <w:pPr>
        <w:pStyle w:val="TextBody"/>
        <w:bidi w:val="0"/>
        <w:spacing w:before="0" w:after="0"/>
        <w:jc w:val="left"/>
        <w:rPr/>
      </w:pPr>
      <w:r>
        <w:rPr/>
        <w:t xml:space="preserve">  </w:t>
      </w:r>
    </w:p>
    <w:p>
      <w:pPr>
        <w:pStyle w:val="TextBody"/>
        <w:bidi w:val="0"/>
        <w:spacing w:before="0" w:after="0"/>
        <w:jc w:val="left"/>
        <w:rPr>
          <w:rFonts w:ascii="Times New Roman" w:hAnsi="Times New Roman"/>
          <w:b/>
          <w:sz w:val="24"/>
        </w:rPr>
      </w:pPr>
      <w:r>
        <w:rPr>
          <w:rFonts w:ascii="Times New Roman" w:hAnsi="Times New Roman"/>
          <w:b/>
          <w:i/>
          <w:sz w:val="20"/>
        </w:rPr>
        <w:t>Net Cash Used in Operating Activities</w:t>
      </w:r>
      <w:r>
        <w:rPr>
          <w:rFonts w:ascii="Times New Roman" w:hAnsi="Times New Roman"/>
          <w:b/>
          <w:sz w:val="24"/>
        </w:rPr>
        <w:t xml:space="preserve"> </w:t>
      </w:r>
    </w:p>
    <w:p>
      <w:pPr>
        <w:pStyle w:val="TextBody"/>
        <w:bidi w:val="0"/>
        <w:spacing w:before="0" w:after="0"/>
        <w:jc w:val="left"/>
        <w:rPr/>
      </w:pPr>
      <w:r>
        <w:rPr/>
        <w:t xml:space="preserve">  </w:t>
      </w:r>
    </w:p>
    <w:p>
      <w:pPr>
        <w:pStyle w:val="TextBody"/>
        <w:bidi w:val="0"/>
        <w:spacing w:before="0" w:after="0"/>
        <w:ind w:left="0" w:right="0" w:firstLine="720"/>
        <w:jc w:val="both"/>
        <w:rPr>
          <w:rFonts w:ascii="Times New Roman" w:hAnsi="Times New Roman"/>
          <w:b/>
          <w:sz w:val="24"/>
        </w:rPr>
      </w:pPr>
      <w:r>
        <w:rPr>
          <w:rFonts w:ascii="Times New Roman" w:hAnsi="Times New Roman"/>
          <w:b w:val="false"/>
          <w:sz w:val="20"/>
        </w:rPr>
        <w:t>Cash provided in operations for the three months ended March 31, 2026 was $58.2 million, an increase of $77.9 million from the same period of a year ago, primarily due to the favorable impact of collections of sales and higher net income partially offset by inventory investments. The following table illustrates the primary components of our cash flows from operations:</w:t>
      </w:r>
      <w:r>
        <w:rPr>
          <w:rFonts w:ascii="Times New Roman" w:hAnsi="Times New Roman"/>
          <w:b/>
          <w:sz w:val="24"/>
        </w:rPr>
        <w:t xml:space="preserve"> </w:t>
      </w:r>
    </w:p>
    <w:p>
      <w:pPr>
        <w:pStyle w:val="TextBody"/>
        <w:bidi w:val="0"/>
        <w:spacing w:before="0" w:after="0"/>
        <w:jc w:val="left"/>
        <w:rPr/>
      </w:pPr>
      <w:r>
        <w:rPr/>
        <w:t xml:space="preserve">  </w:t>
      </w:r>
    </w:p>
    <w:tbl>
      <w:tblPr>
        <w:tblW w:w="8773" w:type="dxa"/>
        <w:jc w:val="left"/>
        <w:tblInd w:w="0" w:type="dxa"/>
        <w:tblLayout w:type="fixed"/>
        <w:tblCellMar>
          <w:top w:w="0" w:type="dxa"/>
          <w:left w:w="0" w:type="dxa"/>
          <w:bottom w:w="0" w:type="dxa"/>
          <w:right w:w="0" w:type="dxa"/>
        </w:tblCellMar>
      </w:tblPr>
      <w:tblGrid>
        <w:gridCol w:w="5045"/>
        <w:gridCol w:w="90"/>
        <w:gridCol w:w="265"/>
        <w:gridCol w:w="1225"/>
        <w:gridCol w:w="288"/>
        <w:gridCol w:w="140"/>
        <w:gridCol w:w="265"/>
        <w:gridCol w:w="1225"/>
        <w:gridCol w:w="230"/>
      </w:tblGrid>
      <w:tr>
        <w:trPr/>
        <w:tc>
          <w:tcPr>
            <w:tcW w:w="504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65" w:type="dxa"/>
            <w:tcBorders/>
            <w:vAlign w:val="center"/>
          </w:tcPr>
          <w:p>
            <w:pPr>
              <w:pStyle w:val="TableContents"/>
              <w:bidi w:val="0"/>
              <w:spacing w:before="0" w:after="283"/>
              <w:jc w:val="left"/>
              <w:rPr/>
            </w:pPr>
            <w:r>
              <w:rPr/>
              <w:t> </w:t>
            </w:r>
          </w:p>
        </w:tc>
        <w:tc>
          <w:tcPr>
            <w:tcW w:w="1225" w:type="dxa"/>
            <w:tcBorders/>
            <w:vAlign w:val="center"/>
          </w:tcPr>
          <w:p>
            <w:pPr>
              <w:pStyle w:val="TableContents"/>
              <w:bidi w:val="0"/>
              <w:spacing w:before="0" w:after="283"/>
              <w:jc w:val="left"/>
              <w:rPr/>
            </w:pPr>
            <w:r>
              <w:rPr/>
              <w:t> </w:t>
            </w:r>
          </w:p>
        </w:tc>
        <w:tc>
          <w:tcPr>
            <w:tcW w:w="288"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265" w:type="dxa"/>
            <w:tcBorders/>
            <w:vAlign w:val="center"/>
          </w:tcPr>
          <w:p>
            <w:pPr>
              <w:pStyle w:val="TableContents"/>
              <w:bidi w:val="0"/>
              <w:spacing w:before="0" w:after="283"/>
              <w:jc w:val="left"/>
              <w:rPr/>
            </w:pPr>
            <w:r>
              <w:rPr/>
              <w:t> </w:t>
            </w:r>
          </w:p>
        </w:tc>
        <w:tc>
          <w:tcPr>
            <w:tcW w:w="122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 </w:t>
            </w:r>
          </w:p>
        </w:tc>
      </w:tr>
      <w:tr>
        <w:trPr/>
        <w:tc>
          <w:tcPr>
            <w:tcW w:w="504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center"/>
              <w:rPr/>
            </w:pPr>
            <w:r>
              <w:rPr/>
              <w:t> </w:t>
            </w:r>
          </w:p>
        </w:tc>
        <w:tc>
          <w:tcPr>
            <w:tcW w:w="3408" w:type="dxa"/>
            <w:gridSpan w:val="6"/>
            <w:tcBorders/>
            <w:vAlign w:val="center"/>
          </w:tcPr>
          <w:p>
            <w:pPr>
              <w:pStyle w:val="TableContents"/>
              <w:bidi w:val="0"/>
              <w:spacing w:before="0" w:after="283"/>
              <w:jc w:val="center"/>
              <w:rPr/>
            </w:pPr>
            <w:r>
              <w:rPr>
                <w:b/>
                <w:spacing w:val="0"/>
              </w:rPr>
              <w:t>Three Months Ended March 31,</w:t>
            </w:r>
            <w:r>
              <w:rPr/>
              <w:t xml:space="preserve"> </w:t>
            </w:r>
          </w:p>
        </w:tc>
        <w:tc>
          <w:tcPr>
            <w:tcW w:w="230" w:type="dxa"/>
            <w:tcBorders/>
            <w:vAlign w:val="center"/>
          </w:tcPr>
          <w:p>
            <w:pPr>
              <w:pStyle w:val="TableContents"/>
              <w:bidi w:val="0"/>
              <w:spacing w:before="0" w:after="283"/>
              <w:jc w:val="center"/>
              <w:rPr/>
            </w:pPr>
            <w:r>
              <w:rPr/>
              <w:t> </w:t>
            </w:r>
          </w:p>
        </w:tc>
      </w:tr>
      <w:tr>
        <w:trPr/>
        <w:tc>
          <w:tcPr>
            <w:tcW w:w="5045" w:type="dxa"/>
            <w:tcBorders/>
            <w:vAlign w:val="center"/>
          </w:tcPr>
          <w:p>
            <w:pPr>
              <w:pStyle w:val="TableContents"/>
              <w:bidi w:val="0"/>
              <w:spacing w:before="0" w:after="0"/>
              <w:jc w:val="left"/>
              <w:rPr/>
            </w:pPr>
            <w:r>
              <w:rPr>
                <w:i/>
              </w:rPr>
              <w:t>(in thousands)</w:t>
            </w:r>
            <w:r>
              <w:rPr/>
              <w:t xml:space="preserve"> </w:t>
            </w:r>
          </w:p>
        </w:tc>
        <w:tc>
          <w:tcPr>
            <w:tcW w:w="90" w:type="dxa"/>
            <w:tcBorders/>
            <w:vAlign w:val="center"/>
          </w:tcPr>
          <w:p>
            <w:pPr>
              <w:pStyle w:val="TableContents"/>
              <w:bidi w:val="0"/>
              <w:spacing w:before="0" w:after="283"/>
              <w:jc w:val="center"/>
              <w:rPr/>
            </w:pPr>
            <w:r>
              <w:rPr/>
              <w:t> </w:t>
            </w:r>
          </w:p>
        </w:tc>
        <w:tc>
          <w:tcPr>
            <w:tcW w:w="265" w:type="dxa"/>
            <w:tcBorders>
              <w:bottom w:val="single" w:sz="12" w:space="0" w:color="000000"/>
            </w:tcBorders>
            <w:tcMar>
              <w:bottom w:w="28" w:type="dxa"/>
            </w:tcMar>
            <w:vAlign w:val="center"/>
          </w:tcPr>
          <w:p>
            <w:pPr>
              <w:pStyle w:val="TableContents"/>
              <w:bidi w:val="0"/>
              <w:spacing w:before="0" w:after="283"/>
              <w:jc w:val="center"/>
              <w:rPr/>
            </w:pPr>
            <w:r>
              <w:rPr/>
              <w:t> </w:t>
            </w:r>
          </w:p>
        </w:tc>
        <w:tc>
          <w:tcPr>
            <w:tcW w:w="1225" w:type="dxa"/>
            <w:tcBorders>
              <w:bottom w:val="single" w:sz="12" w:space="0" w:color="000000"/>
            </w:tcBorders>
            <w:tcMar>
              <w:bottom w:w="28" w:type="dxa"/>
            </w:tcMar>
            <w:vAlign w:val="center"/>
          </w:tcPr>
          <w:p>
            <w:pPr>
              <w:pStyle w:val="TableContents"/>
              <w:bidi w:val="0"/>
              <w:spacing w:before="0" w:after="283"/>
              <w:jc w:val="center"/>
              <w:rPr/>
            </w:pPr>
            <w:r>
              <w:rPr>
                <w:b/>
              </w:rPr>
              <w:t>2026</w:t>
            </w:r>
            <w:r>
              <w:rPr/>
              <w:t xml:space="preserve"> </w:t>
            </w:r>
          </w:p>
        </w:tc>
        <w:tc>
          <w:tcPr>
            <w:tcW w:w="288" w:type="dxa"/>
            <w:tcBorders/>
            <w:vAlign w:val="center"/>
          </w:tcPr>
          <w:p>
            <w:pPr>
              <w:pStyle w:val="TableContents"/>
              <w:bidi w:val="0"/>
              <w:spacing w:before="0" w:after="283"/>
              <w:jc w:val="center"/>
              <w:rPr/>
            </w:pPr>
            <w:r>
              <w:rPr/>
              <w:t> </w:t>
            </w:r>
          </w:p>
        </w:tc>
        <w:tc>
          <w:tcPr>
            <w:tcW w:w="140" w:type="dxa"/>
            <w:tcBorders/>
            <w:vAlign w:val="center"/>
          </w:tcPr>
          <w:p>
            <w:pPr>
              <w:pStyle w:val="TableContents"/>
              <w:bidi w:val="0"/>
              <w:spacing w:before="0" w:after="283"/>
              <w:jc w:val="center"/>
              <w:rPr/>
            </w:pPr>
            <w:r>
              <w:rPr/>
              <w:t> </w:t>
            </w:r>
          </w:p>
        </w:tc>
        <w:tc>
          <w:tcPr>
            <w:tcW w:w="265" w:type="dxa"/>
            <w:tcBorders>
              <w:bottom w:val="single" w:sz="12" w:space="0" w:color="000000"/>
            </w:tcBorders>
            <w:tcMar>
              <w:bottom w:w="28" w:type="dxa"/>
            </w:tcMar>
            <w:vAlign w:val="center"/>
          </w:tcPr>
          <w:p>
            <w:pPr>
              <w:pStyle w:val="TableContents"/>
              <w:bidi w:val="0"/>
              <w:spacing w:before="0" w:after="283"/>
              <w:jc w:val="center"/>
              <w:rPr/>
            </w:pPr>
            <w:r>
              <w:rPr/>
              <w:t> </w:t>
            </w:r>
          </w:p>
        </w:tc>
        <w:tc>
          <w:tcPr>
            <w:tcW w:w="1225" w:type="dxa"/>
            <w:tcBorders>
              <w:bottom w:val="single" w:sz="12" w:space="0" w:color="000000"/>
            </w:tcBorders>
            <w:tcMar>
              <w:bottom w:w="28" w:type="dxa"/>
            </w:tcMar>
            <w:vAlign w:val="center"/>
          </w:tcPr>
          <w:p>
            <w:pPr>
              <w:pStyle w:val="TableContents"/>
              <w:bidi w:val="0"/>
              <w:spacing w:before="0" w:after="283"/>
              <w:jc w:val="center"/>
              <w:rPr/>
            </w:pPr>
            <w:r>
              <w:rPr>
                <w:b/>
              </w:rPr>
              <w:t>2025</w:t>
            </w:r>
            <w:r>
              <w:rPr/>
              <w:t xml:space="preserve"> </w:t>
            </w:r>
          </w:p>
        </w:tc>
        <w:tc>
          <w:tcPr>
            <w:tcW w:w="230" w:type="dxa"/>
            <w:tcBorders/>
            <w:vAlign w:val="center"/>
          </w:tcPr>
          <w:p>
            <w:pPr>
              <w:pStyle w:val="TableContents"/>
              <w:bidi w:val="0"/>
              <w:spacing w:before="0" w:after="283"/>
              <w:jc w:val="center"/>
              <w:rPr/>
            </w:pPr>
            <w:r>
              <w:rPr/>
              <w:t> </w:t>
            </w:r>
          </w:p>
        </w:tc>
      </w:tr>
      <w:tr>
        <w:trPr/>
        <w:tc>
          <w:tcPr>
            <w:tcW w:w="5045" w:type="dxa"/>
            <w:tcBorders/>
            <w:shd w:fill="CCEEFF" w:val="clear"/>
            <w:vAlign w:val="center"/>
          </w:tcPr>
          <w:p>
            <w:pPr>
              <w:pStyle w:val="TableContents"/>
              <w:bidi w:val="0"/>
              <w:spacing w:before="0" w:after="0"/>
              <w:jc w:val="left"/>
              <w:rPr/>
            </w:pPr>
            <w:r>
              <w:rPr/>
              <w:t xml:space="preserve">Net income </w:t>
            </w:r>
          </w:p>
        </w:tc>
        <w:tc>
          <w:tcPr>
            <w:tcW w:w="90" w:type="dxa"/>
            <w:tcBorders/>
            <w:shd w:fill="CCEEFF" w:val="clear"/>
            <w:vAlign w:val="center"/>
          </w:tcPr>
          <w:p>
            <w:pPr>
              <w:pStyle w:val="TableContents"/>
              <w:bidi w:val="0"/>
              <w:spacing w:before="0" w:after="283"/>
              <w:jc w:val="right"/>
              <w:rPr/>
            </w:pPr>
            <w:r>
              <w:rPr/>
              <w:t> </w:t>
            </w:r>
          </w:p>
        </w:tc>
        <w:tc>
          <w:tcPr>
            <w:tcW w:w="265" w:type="dxa"/>
            <w:tcBorders/>
            <w:shd w:fill="CCEEFF" w:val="clear"/>
            <w:vAlign w:val="center"/>
          </w:tcPr>
          <w:p>
            <w:pPr>
              <w:pStyle w:val="TableContents"/>
              <w:bidi w:val="0"/>
              <w:spacing w:before="0" w:after="283"/>
              <w:jc w:val="left"/>
              <w:rPr/>
            </w:pPr>
            <w:r>
              <w:rPr/>
              <w:t>$</w:t>
            </w:r>
          </w:p>
        </w:tc>
        <w:tc>
          <w:tcPr>
            <w:tcW w:w="1225" w:type="dxa"/>
            <w:tcBorders/>
            <w:shd w:fill="CCEEFF" w:val="clear"/>
            <w:vAlign w:val="center"/>
          </w:tcPr>
          <w:p>
            <w:pPr>
              <w:pStyle w:val="TableContents"/>
              <w:bidi w:val="0"/>
              <w:spacing w:before="0" w:after="283"/>
              <w:jc w:val="right"/>
              <w:rPr/>
            </w:pPr>
            <w:r>
              <w:rPr/>
              <w:t>45,328</w:t>
            </w:r>
          </w:p>
        </w:tc>
        <w:tc>
          <w:tcPr>
            <w:tcW w:w="288"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right"/>
              <w:rPr/>
            </w:pPr>
            <w:r>
              <w:rPr/>
              <w:t> </w:t>
            </w:r>
          </w:p>
        </w:tc>
        <w:tc>
          <w:tcPr>
            <w:tcW w:w="265" w:type="dxa"/>
            <w:tcBorders/>
            <w:shd w:fill="CCEEFF" w:val="clear"/>
            <w:vAlign w:val="center"/>
          </w:tcPr>
          <w:p>
            <w:pPr>
              <w:pStyle w:val="TableContents"/>
              <w:bidi w:val="0"/>
              <w:spacing w:before="0" w:after="283"/>
              <w:jc w:val="left"/>
              <w:rPr/>
            </w:pPr>
            <w:r>
              <w:rPr/>
              <w:t>$</w:t>
            </w:r>
          </w:p>
        </w:tc>
        <w:tc>
          <w:tcPr>
            <w:tcW w:w="1225" w:type="dxa"/>
            <w:tcBorders/>
            <w:shd w:fill="CCEEFF" w:val="clear"/>
            <w:vAlign w:val="center"/>
          </w:tcPr>
          <w:p>
            <w:pPr>
              <w:pStyle w:val="TableContents"/>
              <w:bidi w:val="0"/>
              <w:spacing w:before="0" w:after="283"/>
              <w:jc w:val="right"/>
              <w:rPr/>
            </w:pPr>
            <w:r>
              <w:rPr/>
              <w:t>26,904</w:t>
            </w:r>
          </w:p>
        </w:tc>
        <w:tc>
          <w:tcPr>
            <w:tcW w:w="230" w:type="dxa"/>
            <w:tcBorders/>
            <w:shd w:fill="CCEEFF" w:val="clear"/>
            <w:vAlign w:val="center"/>
          </w:tcPr>
          <w:p>
            <w:pPr>
              <w:pStyle w:val="TableContents"/>
              <w:bidi w:val="0"/>
              <w:spacing w:before="0" w:after="283"/>
              <w:jc w:val="left"/>
              <w:rPr/>
            </w:pPr>
            <w:r>
              <w:rPr/>
              <w:t> </w:t>
            </w:r>
          </w:p>
        </w:tc>
      </w:tr>
      <w:tr>
        <w:trPr/>
        <w:tc>
          <w:tcPr>
            <w:tcW w:w="5045" w:type="dxa"/>
            <w:tcBorders/>
            <w:vAlign w:val="center"/>
          </w:tcPr>
          <w:p>
            <w:pPr>
              <w:pStyle w:val="TableContents"/>
              <w:bidi w:val="0"/>
              <w:spacing w:before="0" w:after="0"/>
              <w:jc w:val="left"/>
              <w:rPr/>
            </w:pPr>
            <w:r>
              <w:rPr/>
              <w:t xml:space="preserve">Non-cash expenses, gains and losses </w:t>
            </w:r>
          </w:p>
        </w:tc>
        <w:tc>
          <w:tcPr>
            <w:tcW w:w="90" w:type="dxa"/>
            <w:tcBorders/>
            <w:vAlign w:val="center"/>
          </w:tcPr>
          <w:p>
            <w:pPr>
              <w:pStyle w:val="TableContents"/>
              <w:bidi w:val="0"/>
              <w:spacing w:before="0" w:after="283"/>
              <w:jc w:val="right"/>
              <w:rPr/>
            </w:pPr>
            <w:r>
              <w:rPr/>
              <w:t> </w:t>
            </w:r>
          </w:p>
        </w:tc>
        <w:tc>
          <w:tcPr>
            <w:tcW w:w="265" w:type="dxa"/>
            <w:tcBorders/>
            <w:vAlign w:val="center"/>
          </w:tcPr>
          <w:p>
            <w:pPr>
              <w:pStyle w:val="TableContents"/>
              <w:bidi w:val="0"/>
              <w:spacing w:before="0" w:after="283"/>
              <w:jc w:val="left"/>
              <w:rPr/>
            </w:pPr>
            <w:r>
              <w:rPr/>
              <w:t> </w:t>
            </w:r>
          </w:p>
        </w:tc>
        <w:tc>
          <w:tcPr>
            <w:tcW w:w="1225" w:type="dxa"/>
            <w:tcBorders/>
            <w:vAlign w:val="center"/>
          </w:tcPr>
          <w:p>
            <w:pPr>
              <w:pStyle w:val="TableContents"/>
              <w:bidi w:val="0"/>
              <w:spacing w:before="0" w:after="283"/>
              <w:jc w:val="right"/>
              <w:rPr/>
            </w:pPr>
            <w:r>
              <w:rPr/>
              <w:t>3,677</w:t>
            </w:r>
          </w:p>
        </w:tc>
        <w:tc>
          <w:tcPr>
            <w:tcW w:w="288"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right"/>
              <w:rPr/>
            </w:pPr>
            <w:r>
              <w:rPr/>
              <w:t> </w:t>
            </w:r>
          </w:p>
        </w:tc>
        <w:tc>
          <w:tcPr>
            <w:tcW w:w="265" w:type="dxa"/>
            <w:tcBorders/>
            <w:vAlign w:val="center"/>
          </w:tcPr>
          <w:p>
            <w:pPr>
              <w:pStyle w:val="TableContents"/>
              <w:bidi w:val="0"/>
              <w:spacing w:before="0" w:after="283"/>
              <w:jc w:val="left"/>
              <w:rPr/>
            </w:pPr>
            <w:r>
              <w:rPr/>
              <w:t> </w:t>
            </w:r>
          </w:p>
        </w:tc>
        <w:tc>
          <w:tcPr>
            <w:tcW w:w="1225" w:type="dxa"/>
            <w:tcBorders/>
            <w:vAlign w:val="center"/>
          </w:tcPr>
          <w:p>
            <w:pPr>
              <w:pStyle w:val="TableContents"/>
              <w:bidi w:val="0"/>
              <w:spacing w:before="0" w:after="283"/>
              <w:jc w:val="right"/>
              <w:rPr/>
            </w:pPr>
            <w:r>
              <w:rPr/>
              <w:t>10,172</w:t>
            </w:r>
          </w:p>
        </w:tc>
        <w:tc>
          <w:tcPr>
            <w:tcW w:w="230" w:type="dxa"/>
            <w:tcBorders/>
            <w:vAlign w:val="center"/>
          </w:tcPr>
          <w:p>
            <w:pPr>
              <w:pStyle w:val="TableContents"/>
              <w:bidi w:val="0"/>
              <w:spacing w:before="0" w:after="283"/>
              <w:jc w:val="left"/>
              <w:rPr/>
            </w:pPr>
            <w:r>
              <w:rPr/>
              <w:t> </w:t>
            </w:r>
          </w:p>
        </w:tc>
      </w:tr>
      <w:tr>
        <w:trPr/>
        <w:tc>
          <w:tcPr>
            <w:tcW w:w="5045" w:type="dxa"/>
            <w:tcBorders/>
            <w:shd w:fill="CCEEFF" w:val="clear"/>
            <w:vAlign w:val="center"/>
          </w:tcPr>
          <w:p>
            <w:pPr>
              <w:pStyle w:val="TableContents"/>
              <w:bidi w:val="0"/>
              <w:spacing w:before="0" w:after="0"/>
              <w:jc w:val="left"/>
              <w:rPr/>
            </w:pPr>
            <w:r>
              <w:rPr/>
              <w:t xml:space="preserve">Changes in accounts receivable </w:t>
            </w:r>
          </w:p>
        </w:tc>
        <w:tc>
          <w:tcPr>
            <w:tcW w:w="90" w:type="dxa"/>
            <w:tcBorders/>
            <w:shd w:fill="CCEEFF" w:val="clear"/>
            <w:vAlign w:val="center"/>
          </w:tcPr>
          <w:p>
            <w:pPr>
              <w:pStyle w:val="TableContents"/>
              <w:bidi w:val="0"/>
              <w:spacing w:before="0" w:after="283"/>
              <w:jc w:val="right"/>
              <w:rPr/>
            </w:pPr>
            <w:r>
              <w:rPr/>
              <w:t> </w:t>
            </w:r>
          </w:p>
        </w:tc>
        <w:tc>
          <w:tcPr>
            <w:tcW w:w="265" w:type="dxa"/>
            <w:tcBorders/>
            <w:shd w:fill="CCEEFF" w:val="clear"/>
            <w:vAlign w:val="center"/>
          </w:tcPr>
          <w:p>
            <w:pPr>
              <w:pStyle w:val="TableContents"/>
              <w:bidi w:val="0"/>
              <w:spacing w:before="0" w:after="283"/>
              <w:jc w:val="left"/>
              <w:rPr/>
            </w:pPr>
            <w:r>
              <w:rPr/>
              <w:t> </w:t>
            </w:r>
          </w:p>
        </w:tc>
        <w:tc>
          <w:tcPr>
            <w:tcW w:w="1225" w:type="dxa"/>
            <w:tcBorders/>
            <w:shd w:fill="CCEEFF" w:val="clear"/>
            <w:vAlign w:val="center"/>
          </w:tcPr>
          <w:p>
            <w:pPr>
              <w:pStyle w:val="TableContents"/>
              <w:bidi w:val="0"/>
              <w:spacing w:before="0" w:after="283"/>
              <w:jc w:val="right"/>
              <w:rPr/>
            </w:pPr>
            <w:r>
              <w:rPr/>
              <w:t>22,567</w:t>
            </w:r>
          </w:p>
        </w:tc>
        <w:tc>
          <w:tcPr>
            <w:tcW w:w="288"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right"/>
              <w:rPr/>
            </w:pPr>
            <w:r>
              <w:rPr/>
              <w:t> </w:t>
            </w:r>
          </w:p>
        </w:tc>
        <w:tc>
          <w:tcPr>
            <w:tcW w:w="265" w:type="dxa"/>
            <w:tcBorders/>
            <w:shd w:fill="CCEEFF" w:val="clear"/>
            <w:vAlign w:val="center"/>
          </w:tcPr>
          <w:p>
            <w:pPr>
              <w:pStyle w:val="TableContents"/>
              <w:bidi w:val="0"/>
              <w:spacing w:before="0" w:after="283"/>
              <w:jc w:val="left"/>
              <w:rPr/>
            </w:pPr>
            <w:r>
              <w:rPr/>
              <w:t> </w:t>
            </w:r>
          </w:p>
        </w:tc>
        <w:tc>
          <w:tcPr>
            <w:tcW w:w="1225" w:type="dxa"/>
            <w:tcBorders/>
            <w:shd w:fill="CCEEFF" w:val="clear"/>
            <w:vAlign w:val="center"/>
          </w:tcPr>
          <w:p>
            <w:pPr>
              <w:pStyle w:val="TableContents"/>
              <w:bidi w:val="0"/>
              <w:spacing w:before="0" w:after="283"/>
              <w:jc w:val="right"/>
              <w:rPr/>
            </w:pPr>
            <w:r>
              <w:rPr/>
              <w:t>(49,413</w:t>
            </w:r>
          </w:p>
        </w:tc>
        <w:tc>
          <w:tcPr>
            <w:tcW w:w="230" w:type="dxa"/>
            <w:tcBorders/>
            <w:shd w:fill="CCEEFF" w:val="clear"/>
            <w:vAlign w:val="center"/>
          </w:tcPr>
          <w:p>
            <w:pPr>
              <w:pStyle w:val="TableContents"/>
              <w:bidi w:val="0"/>
              <w:spacing w:before="0" w:after="283"/>
              <w:jc w:val="left"/>
              <w:rPr/>
            </w:pPr>
            <w:r>
              <w:rPr/>
              <w:t>) </w:t>
            </w:r>
          </w:p>
        </w:tc>
      </w:tr>
      <w:tr>
        <w:trPr/>
        <w:tc>
          <w:tcPr>
            <w:tcW w:w="5045" w:type="dxa"/>
            <w:tcBorders/>
            <w:vAlign w:val="center"/>
          </w:tcPr>
          <w:p>
            <w:pPr>
              <w:pStyle w:val="TableContents"/>
              <w:bidi w:val="0"/>
              <w:spacing w:before="0" w:after="0"/>
              <w:jc w:val="left"/>
              <w:rPr/>
            </w:pPr>
            <w:r>
              <w:rPr/>
              <w:t xml:space="preserve">Changes in inventories </w:t>
            </w:r>
          </w:p>
        </w:tc>
        <w:tc>
          <w:tcPr>
            <w:tcW w:w="90" w:type="dxa"/>
            <w:tcBorders/>
            <w:vAlign w:val="center"/>
          </w:tcPr>
          <w:p>
            <w:pPr>
              <w:pStyle w:val="TableContents"/>
              <w:bidi w:val="0"/>
              <w:spacing w:before="0" w:after="283"/>
              <w:jc w:val="right"/>
              <w:rPr/>
            </w:pPr>
            <w:r>
              <w:rPr/>
              <w:t> </w:t>
            </w:r>
          </w:p>
        </w:tc>
        <w:tc>
          <w:tcPr>
            <w:tcW w:w="265" w:type="dxa"/>
            <w:tcBorders/>
            <w:vAlign w:val="center"/>
          </w:tcPr>
          <w:p>
            <w:pPr>
              <w:pStyle w:val="TableContents"/>
              <w:bidi w:val="0"/>
              <w:spacing w:before="0" w:after="283"/>
              <w:jc w:val="left"/>
              <w:rPr/>
            </w:pPr>
            <w:r>
              <w:rPr/>
              <w:t> </w:t>
            </w:r>
          </w:p>
        </w:tc>
        <w:tc>
          <w:tcPr>
            <w:tcW w:w="1225" w:type="dxa"/>
            <w:tcBorders/>
            <w:vAlign w:val="center"/>
          </w:tcPr>
          <w:p>
            <w:pPr>
              <w:pStyle w:val="TableContents"/>
              <w:bidi w:val="0"/>
              <w:spacing w:before="0" w:after="283"/>
              <w:jc w:val="right"/>
              <w:rPr/>
            </w:pPr>
            <w:r>
              <w:rPr/>
              <w:t>(15,633</w:t>
            </w:r>
          </w:p>
        </w:tc>
        <w:tc>
          <w:tcPr>
            <w:tcW w:w="288"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right"/>
              <w:rPr/>
            </w:pPr>
            <w:r>
              <w:rPr/>
              <w:t> </w:t>
            </w:r>
          </w:p>
        </w:tc>
        <w:tc>
          <w:tcPr>
            <w:tcW w:w="265" w:type="dxa"/>
            <w:tcBorders/>
            <w:vAlign w:val="center"/>
          </w:tcPr>
          <w:p>
            <w:pPr>
              <w:pStyle w:val="TableContents"/>
              <w:bidi w:val="0"/>
              <w:spacing w:before="0" w:after="283"/>
              <w:jc w:val="left"/>
              <w:rPr/>
            </w:pPr>
            <w:r>
              <w:rPr/>
              <w:t> </w:t>
            </w:r>
          </w:p>
        </w:tc>
        <w:tc>
          <w:tcPr>
            <w:tcW w:w="1225" w:type="dxa"/>
            <w:tcBorders/>
            <w:vAlign w:val="center"/>
          </w:tcPr>
          <w:p>
            <w:pPr>
              <w:pStyle w:val="TableContents"/>
              <w:bidi w:val="0"/>
              <w:spacing w:before="0" w:after="283"/>
              <w:jc w:val="right"/>
              <w:rPr/>
            </w:pPr>
            <w:r>
              <w:rPr/>
              <w:t>(1,953</w:t>
            </w:r>
          </w:p>
        </w:tc>
        <w:tc>
          <w:tcPr>
            <w:tcW w:w="230" w:type="dxa"/>
            <w:tcBorders/>
            <w:vAlign w:val="center"/>
          </w:tcPr>
          <w:p>
            <w:pPr>
              <w:pStyle w:val="TableContents"/>
              <w:bidi w:val="0"/>
              <w:spacing w:before="0" w:after="283"/>
              <w:jc w:val="left"/>
              <w:rPr/>
            </w:pPr>
            <w:r>
              <w:rPr/>
              <w:t>) </w:t>
            </w:r>
          </w:p>
        </w:tc>
      </w:tr>
      <w:tr>
        <w:trPr/>
        <w:tc>
          <w:tcPr>
            <w:tcW w:w="5045" w:type="dxa"/>
            <w:tcBorders/>
            <w:shd w:fill="CCEEFF" w:val="clear"/>
            <w:vAlign w:val="center"/>
          </w:tcPr>
          <w:p>
            <w:pPr>
              <w:pStyle w:val="TableContents"/>
              <w:bidi w:val="0"/>
              <w:spacing w:before="0" w:after="0"/>
              <w:jc w:val="left"/>
              <w:rPr/>
            </w:pPr>
            <w:r>
              <w:rPr/>
              <w:t xml:space="preserve">Change in prepaid expenses and other current assets </w:t>
            </w:r>
          </w:p>
        </w:tc>
        <w:tc>
          <w:tcPr>
            <w:tcW w:w="90" w:type="dxa"/>
            <w:tcBorders/>
            <w:shd w:fill="CCEEFF" w:val="clear"/>
            <w:vAlign w:val="center"/>
          </w:tcPr>
          <w:p>
            <w:pPr>
              <w:pStyle w:val="TableContents"/>
              <w:bidi w:val="0"/>
              <w:spacing w:before="0" w:after="283"/>
              <w:jc w:val="right"/>
              <w:rPr/>
            </w:pPr>
            <w:r>
              <w:rPr/>
              <w:t> </w:t>
            </w:r>
          </w:p>
        </w:tc>
        <w:tc>
          <w:tcPr>
            <w:tcW w:w="265" w:type="dxa"/>
            <w:tcBorders/>
            <w:shd w:fill="CCEEFF" w:val="clear"/>
            <w:vAlign w:val="center"/>
          </w:tcPr>
          <w:p>
            <w:pPr>
              <w:pStyle w:val="TableContents"/>
              <w:bidi w:val="0"/>
              <w:spacing w:before="0" w:after="283"/>
              <w:jc w:val="left"/>
              <w:rPr/>
            </w:pPr>
            <w:r>
              <w:rPr/>
              <w:t> </w:t>
            </w:r>
          </w:p>
        </w:tc>
        <w:tc>
          <w:tcPr>
            <w:tcW w:w="1225" w:type="dxa"/>
            <w:tcBorders/>
            <w:shd w:fill="CCEEFF" w:val="clear"/>
            <w:vAlign w:val="center"/>
          </w:tcPr>
          <w:p>
            <w:pPr>
              <w:pStyle w:val="TableContents"/>
              <w:bidi w:val="0"/>
              <w:spacing w:before="0" w:after="283"/>
              <w:jc w:val="right"/>
              <w:rPr/>
            </w:pPr>
            <w:r>
              <w:rPr/>
              <w:t>(1,601</w:t>
            </w:r>
          </w:p>
        </w:tc>
        <w:tc>
          <w:tcPr>
            <w:tcW w:w="288"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right"/>
              <w:rPr/>
            </w:pPr>
            <w:r>
              <w:rPr/>
              <w:t> </w:t>
            </w:r>
          </w:p>
        </w:tc>
        <w:tc>
          <w:tcPr>
            <w:tcW w:w="265" w:type="dxa"/>
            <w:tcBorders/>
            <w:shd w:fill="CCEEFF" w:val="clear"/>
            <w:vAlign w:val="center"/>
          </w:tcPr>
          <w:p>
            <w:pPr>
              <w:pStyle w:val="TableContents"/>
              <w:bidi w:val="0"/>
              <w:spacing w:before="0" w:after="283"/>
              <w:jc w:val="left"/>
              <w:rPr/>
            </w:pPr>
            <w:r>
              <w:rPr/>
              <w:t> </w:t>
            </w:r>
          </w:p>
        </w:tc>
        <w:tc>
          <w:tcPr>
            <w:tcW w:w="1225" w:type="dxa"/>
            <w:tcBorders/>
            <w:shd w:fill="CCEEFF" w:val="clear"/>
            <w:vAlign w:val="center"/>
          </w:tcPr>
          <w:p>
            <w:pPr>
              <w:pStyle w:val="TableContents"/>
              <w:bidi w:val="0"/>
              <w:spacing w:before="0" w:after="283"/>
              <w:jc w:val="right"/>
              <w:rPr/>
            </w:pPr>
            <w:r>
              <w:rPr/>
              <w:t>(2,476</w:t>
            </w:r>
          </w:p>
        </w:tc>
        <w:tc>
          <w:tcPr>
            <w:tcW w:w="230" w:type="dxa"/>
            <w:tcBorders/>
            <w:shd w:fill="CCEEFF" w:val="clear"/>
            <w:vAlign w:val="center"/>
          </w:tcPr>
          <w:p>
            <w:pPr>
              <w:pStyle w:val="TableContents"/>
              <w:bidi w:val="0"/>
              <w:spacing w:before="0" w:after="283"/>
              <w:jc w:val="left"/>
              <w:rPr/>
            </w:pPr>
            <w:r>
              <w:rPr/>
              <w:t>) </w:t>
            </w:r>
          </w:p>
        </w:tc>
      </w:tr>
      <w:tr>
        <w:trPr/>
        <w:tc>
          <w:tcPr>
            <w:tcW w:w="5045" w:type="dxa"/>
            <w:tcBorders/>
            <w:vAlign w:val="center"/>
          </w:tcPr>
          <w:p>
            <w:pPr>
              <w:pStyle w:val="TableContents"/>
              <w:bidi w:val="0"/>
              <w:spacing w:before="0" w:after="0"/>
              <w:jc w:val="left"/>
              <w:rPr/>
            </w:pPr>
            <w:r>
              <w:rPr/>
              <w:t xml:space="preserve">Changes in accounts payable and accrued expenses </w:t>
            </w:r>
          </w:p>
        </w:tc>
        <w:tc>
          <w:tcPr>
            <w:tcW w:w="90" w:type="dxa"/>
            <w:tcBorders/>
            <w:vAlign w:val="center"/>
          </w:tcPr>
          <w:p>
            <w:pPr>
              <w:pStyle w:val="TableContents"/>
              <w:bidi w:val="0"/>
              <w:spacing w:before="0" w:after="283"/>
              <w:jc w:val="right"/>
              <w:rPr/>
            </w:pPr>
            <w:r>
              <w:rPr/>
              <w:t> </w:t>
            </w:r>
          </w:p>
        </w:tc>
        <w:tc>
          <w:tcPr>
            <w:tcW w:w="265" w:type="dxa"/>
            <w:tcBorders/>
            <w:vAlign w:val="center"/>
          </w:tcPr>
          <w:p>
            <w:pPr>
              <w:pStyle w:val="TableContents"/>
              <w:bidi w:val="0"/>
              <w:spacing w:before="0" w:after="283"/>
              <w:jc w:val="left"/>
              <w:rPr/>
            </w:pPr>
            <w:r>
              <w:rPr/>
              <w:t> </w:t>
            </w:r>
          </w:p>
        </w:tc>
        <w:tc>
          <w:tcPr>
            <w:tcW w:w="1225" w:type="dxa"/>
            <w:tcBorders/>
            <w:vAlign w:val="center"/>
          </w:tcPr>
          <w:p>
            <w:pPr>
              <w:pStyle w:val="TableContents"/>
              <w:bidi w:val="0"/>
              <w:spacing w:before="0" w:after="283"/>
              <w:jc w:val="right"/>
              <w:rPr/>
            </w:pPr>
            <w:r>
              <w:rPr/>
              <w:t>3,872</w:t>
            </w:r>
          </w:p>
        </w:tc>
        <w:tc>
          <w:tcPr>
            <w:tcW w:w="288"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right"/>
              <w:rPr/>
            </w:pPr>
            <w:r>
              <w:rPr/>
              <w:t> </w:t>
            </w:r>
          </w:p>
        </w:tc>
        <w:tc>
          <w:tcPr>
            <w:tcW w:w="265" w:type="dxa"/>
            <w:tcBorders/>
            <w:vAlign w:val="center"/>
          </w:tcPr>
          <w:p>
            <w:pPr>
              <w:pStyle w:val="TableContents"/>
              <w:bidi w:val="0"/>
              <w:spacing w:before="0" w:after="283"/>
              <w:jc w:val="left"/>
              <w:rPr/>
            </w:pPr>
            <w:r>
              <w:rPr/>
              <w:t> </w:t>
            </w:r>
          </w:p>
        </w:tc>
        <w:tc>
          <w:tcPr>
            <w:tcW w:w="1225" w:type="dxa"/>
            <w:tcBorders/>
            <w:vAlign w:val="center"/>
          </w:tcPr>
          <w:p>
            <w:pPr>
              <w:pStyle w:val="TableContents"/>
              <w:bidi w:val="0"/>
              <w:spacing w:before="0" w:after="283"/>
              <w:jc w:val="right"/>
              <w:rPr/>
            </w:pPr>
            <w:r>
              <w:rPr/>
              <w:t>(2,259</w:t>
            </w:r>
          </w:p>
        </w:tc>
        <w:tc>
          <w:tcPr>
            <w:tcW w:w="230" w:type="dxa"/>
            <w:tcBorders/>
            <w:vAlign w:val="center"/>
          </w:tcPr>
          <w:p>
            <w:pPr>
              <w:pStyle w:val="TableContents"/>
              <w:bidi w:val="0"/>
              <w:spacing w:before="0" w:after="283"/>
              <w:jc w:val="left"/>
              <w:rPr/>
            </w:pPr>
            <w:r>
              <w:rPr/>
              <w:t>) </w:t>
            </w:r>
          </w:p>
        </w:tc>
      </w:tr>
      <w:tr>
        <w:trPr/>
        <w:tc>
          <w:tcPr>
            <w:tcW w:w="5045" w:type="dxa"/>
            <w:tcBorders/>
            <w:shd w:fill="CCEEFF" w:val="clear"/>
            <w:vAlign w:val="center"/>
          </w:tcPr>
          <w:p>
            <w:pPr>
              <w:pStyle w:val="TableContents"/>
              <w:bidi w:val="0"/>
              <w:spacing w:before="0" w:after="0"/>
              <w:jc w:val="left"/>
              <w:rPr/>
            </w:pPr>
            <w:r>
              <w:rPr/>
              <w:t xml:space="preserve">Other </w:t>
            </w:r>
          </w:p>
        </w:tc>
        <w:tc>
          <w:tcPr>
            <w:tcW w:w="90" w:type="dxa"/>
            <w:tcBorders/>
            <w:shd w:fill="CCEEFF" w:val="clear"/>
            <w:vAlign w:val="center"/>
          </w:tcPr>
          <w:p>
            <w:pPr>
              <w:pStyle w:val="TableContents"/>
              <w:bidi w:val="0"/>
              <w:spacing w:before="0" w:after="283"/>
              <w:jc w:val="right"/>
              <w:rPr/>
            </w:pPr>
            <w:r>
              <w:rPr/>
              <w:t> </w:t>
            </w:r>
          </w:p>
        </w:tc>
        <w:tc>
          <w:tcPr>
            <w:tcW w:w="26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25" w:type="dxa"/>
            <w:tcBorders>
              <w:bottom w:val="single" w:sz="12" w:space="0" w:color="000000"/>
            </w:tcBorders>
            <w:shd w:fill="CCEEFF" w:val="clear"/>
            <w:tcMar>
              <w:bottom w:w="28" w:type="dxa"/>
            </w:tcMar>
            <w:vAlign w:val="center"/>
          </w:tcPr>
          <w:p>
            <w:pPr>
              <w:pStyle w:val="TableContents"/>
              <w:bidi w:val="0"/>
              <w:spacing w:before="0" w:after="283"/>
              <w:jc w:val="right"/>
              <w:rPr/>
            </w:pPr>
            <w:r>
              <w:rPr/>
              <w:t>39</w:t>
            </w:r>
          </w:p>
        </w:tc>
        <w:tc>
          <w:tcPr>
            <w:tcW w:w="288"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right"/>
              <w:rPr/>
            </w:pPr>
            <w:r>
              <w:rPr/>
              <w:t> </w:t>
            </w:r>
          </w:p>
        </w:tc>
        <w:tc>
          <w:tcPr>
            <w:tcW w:w="26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25" w:type="dxa"/>
            <w:tcBorders>
              <w:bottom w:val="single" w:sz="12" w:space="0" w:color="000000"/>
            </w:tcBorders>
            <w:shd w:fill="CCEEFF" w:val="clear"/>
            <w:tcMar>
              <w:bottom w:w="28" w:type="dxa"/>
            </w:tcMar>
            <w:vAlign w:val="center"/>
          </w:tcPr>
          <w:p>
            <w:pPr>
              <w:pStyle w:val="TableContents"/>
              <w:bidi w:val="0"/>
              <w:spacing w:before="0" w:after="283"/>
              <w:jc w:val="right"/>
              <w:rPr/>
            </w:pPr>
            <w:r>
              <w:rPr/>
              <w:t>(650</w:t>
            </w:r>
          </w:p>
        </w:tc>
        <w:tc>
          <w:tcPr>
            <w:tcW w:w="230" w:type="dxa"/>
            <w:tcBorders/>
            <w:shd w:fill="CCEEFF" w:val="clear"/>
            <w:vAlign w:val="center"/>
          </w:tcPr>
          <w:p>
            <w:pPr>
              <w:pStyle w:val="TableContents"/>
              <w:bidi w:val="0"/>
              <w:spacing w:before="0" w:after="283"/>
              <w:jc w:val="left"/>
              <w:rPr/>
            </w:pPr>
            <w:r>
              <w:rPr/>
              <w:t>) </w:t>
            </w:r>
          </w:p>
        </w:tc>
      </w:tr>
      <w:tr>
        <w:trPr/>
        <w:tc>
          <w:tcPr>
            <w:tcW w:w="5045" w:type="dxa"/>
            <w:tcBorders/>
            <w:vAlign w:val="center"/>
          </w:tcPr>
          <w:p>
            <w:pPr>
              <w:pStyle w:val="TableContents"/>
              <w:bidi w:val="0"/>
              <w:spacing w:before="0" w:after="0"/>
              <w:jc w:val="left"/>
              <w:rPr/>
            </w:pPr>
            <w:r>
              <w:rPr/>
              <w:t xml:space="preserve">Net cash provided by (used in) operating activities </w:t>
            </w:r>
          </w:p>
        </w:tc>
        <w:tc>
          <w:tcPr>
            <w:tcW w:w="90" w:type="dxa"/>
            <w:tcBorders/>
            <w:vAlign w:val="center"/>
          </w:tcPr>
          <w:p>
            <w:pPr>
              <w:pStyle w:val="TableContents"/>
              <w:bidi w:val="0"/>
              <w:spacing w:before="0" w:after="283"/>
              <w:jc w:val="right"/>
              <w:rPr/>
            </w:pPr>
            <w:r>
              <w:rPr/>
              <w:t> </w:t>
            </w:r>
          </w:p>
        </w:tc>
        <w:tc>
          <w:tcPr>
            <w:tcW w:w="265" w:type="dxa"/>
            <w:tcBorders>
              <w:bottom w:val="single" w:sz="12" w:space="0" w:color="000000"/>
            </w:tcBorders>
            <w:tcMar>
              <w:bottom w:w="28" w:type="dxa"/>
            </w:tcMar>
            <w:vAlign w:val="center"/>
          </w:tcPr>
          <w:p>
            <w:pPr>
              <w:pStyle w:val="TableContents"/>
              <w:bidi w:val="0"/>
              <w:spacing w:before="0" w:after="283"/>
              <w:jc w:val="left"/>
              <w:rPr/>
            </w:pPr>
            <w:r>
              <w:rPr/>
              <w:t>$</w:t>
            </w:r>
          </w:p>
        </w:tc>
        <w:tc>
          <w:tcPr>
            <w:tcW w:w="1225" w:type="dxa"/>
            <w:tcBorders>
              <w:bottom w:val="single" w:sz="12" w:space="0" w:color="000000"/>
            </w:tcBorders>
            <w:tcMar>
              <w:bottom w:w="28" w:type="dxa"/>
            </w:tcMar>
            <w:vAlign w:val="center"/>
          </w:tcPr>
          <w:p>
            <w:pPr>
              <w:pStyle w:val="TableContents"/>
              <w:bidi w:val="0"/>
              <w:spacing w:before="0" w:after="283"/>
              <w:jc w:val="right"/>
              <w:rPr/>
            </w:pPr>
            <w:r>
              <w:rPr/>
              <w:t>58,249</w:t>
            </w:r>
          </w:p>
        </w:tc>
        <w:tc>
          <w:tcPr>
            <w:tcW w:w="288" w:type="dxa"/>
            <w:tcBorders>
              <w:bottom w:val="single" w:sz="12" w:space="0" w:color="000000"/>
            </w:tcBorders>
            <w:tcMar>
              <w:bottom w:w="28" w:type="dxa"/>
            </w:tcMar>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right"/>
              <w:rPr/>
            </w:pPr>
            <w:r>
              <w:rPr/>
              <w:t> </w:t>
            </w:r>
          </w:p>
        </w:tc>
        <w:tc>
          <w:tcPr>
            <w:tcW w:w="265" w:type="dxa"/>
            <w:tcBorders>
              <w:bottom w:val="single" w:sz="12" w:space="0" w:color="000000"/>
            </w:tcBorders>
            <w:tcMar>
              <w:bottom w:w="28" w:type="dxa"/>
            </w:tcMar>
            <w:vAlign w:val="center"/>
          </w:tcPr>
          <w:p>
            <w:pPr>
              <w:pStyle w:val="TableContents"/>
              <w:bidi w:val="0"/>
              <w:spacing w:before="0" w:after="283"/>
              <w:jc w:val="left"/>
              <w:rPr/>
            </w:pPr>
            <w:r>
              <w:rPr/>
              <w:t>$</w:t>
            </w:r>
          </w:p>
        </w:tc>
        <w:tc>
          <w:tcPr>
            <w:tcW w:w="1225" w:type="dxa"/>
            <w:tcBorders>
              <w:bottom w:val="single" w:sz="12" w:space="0" w:color="000000"/>
            </w:tcBorders>
            <w:tcMar>
              <w:bottom w:w="28" w:type="dxa"/>
            </w:tcMar>
            <w:vAlign w:val="center"/>
          </w:tcPr>
          <w:p>
            <w:pPr>
              <w:pStyle w:val="TableContents"/>
              <w:bidi w:val="0"/>
              <w:spacing w:before="0" w:after="283"/>
              <w:jc w:val="right"/>
              <w:rPr/>
            </w:pPr>
            <w:r>
              <w:rPr/>
              <w:t>(19,675</w:t>
            </w:r>
          </w:p>
        </w:tc>
        <w:tc>
          <w:tcPr>
            <w:tcW w:w="230" w:type="dxa"/>
            <w:tcBorders>
              <w:bottom w:val="single" w:sz="12" w:space="0" w:color="000000"/>
            </w:tcBorders>
            <w:tcMar>
              <w:bottom w:w="28" w:type="dxa"/>
            </w:tcMar>
            <w:vAlign w:val="center"/>
          </w:tcPr>
          <w:p>
            <w:pPr>
              <w:pStyle w:val="TableContents"/>
              <w:bidi w:val="0"/>
              <w:spacing w:before="0" w:after="283"/>
              <w:jc w:val="left"/>
              <w:rPr/>
            </w:pPr>
            <w:r>
              <w:rPr/>
              <w:t>) </w:t>
            </w:r>
          </w:p>
        </w:tc>
      </w:tr>
    </w:tbl>
    <w:p>
      <w:pPr>
        <w:pStyle w:val="TextBody"/>
        <w:bidi w:val="0"/>
        <w:spacing w:before="0" w:after="0"/>
        <w:jc w:val="center"/>
        <w:rPr/>
      </w:pPr>
      <w:r>
        <w:rPr/>
        <w:t xml:space="preserve">  </w:t>
      </w:r>
    </w:p>
    <w:p>
      <w:pPr>
        <w:pStyle w:val="TextBody"/>
        <w:bidi w:val="0"/>
        <w:spacing w:before="0" w:after="0"/>
        <w:jc w:val="left"/>
        <w:rPr>
          <w:rFonts w:ascii="Times New Roman" w:hAnsi="Times New Roman"/>
          <w:sz w:val="24"/>
        </w:rPr>
      </w:pPr>
      <w:r>
        <w:rPr>
          <w:rFonts w:ascii="Times New Roman" w:hAnsi="Times New Roman"/>
          <w:b/>
          <w:i/>
          <w:sz w:val="20"/>
        </w:rPr>
        <w:t>Net Cash Used in Investing Activities</w:t>
      </w:r>
      <w:r>
        <w:rPr>
          <w:rFonts w:ascii="Times New Roman" w:hAnsi="Times New Roman"/>
          <w:sz w:val="24"/>
        </w:rPr>
        <w:t xml:space="preserve"> </w:t>
      </w:r>
    </w:p>
    <w:p>
      <w:pPr>
        <w:pStyle w:val="TextBody"/>
        <w:bidi w:val="0"/>
        <w:spacing w:before="0" w:after="0"/>
        <w:jc w:val="left"/>
        <w:rPr/>
      </w:pPr>
      <w:r>
        <w:rPr/>
        <w:t xml:space="preserve">  </w:t>
      </w:r>
    </w:p>
    <w:p>
      <w:pPr>
        <w:pStyle w:val="TextBody"/>
        <w:bidi w:val="0"/>
        <w:spacing w:before="0" w:after="0"/>
        <w:ind w:left="0" w:right="0" w:firstLine="720"/>
        <w:jc w:val="both"/>
        <w:rPr>
          <w:rFonts w:ascii="Times New Roman" w:hAnsi="Times New Roman"/>
          <w:sz w:val="24"/>
        </w:rPr>
      </w:pPr>
      <w:r>
        <w:rPr>
          <w:rFonts w:ascii="Times New Roman" w:hAnsi="Times New Roman"/>
          <w:sz w:val="20"/>
        </w:rPr>
        <w:t>Net cash provided by investing activities for the three months ended March 31, 2026 increased by $7.1 million from the same period of a year ago. The increase is primarily due to the proceeds received from the sale of the three of our plasma centers.</w:t>
      </w:r>
      <w:r>
        <w:rPr>
          <w:rFonts w:ascii="Times New Roman" w:hAnsi="Times New Roman"/>
          <w:sz w:val="24"/>
        </w:rPr>
        <w:t xml:space="preserve"> </w:t>
      </w:r>
    </w:p>
    <w:p>
      <w:pPr>
        <w:pStyle w:val="TextBody"/>
        <w:bidi w:val="0"/>
        <w:spacing w:before="0" w:after="0"/>
        <w:jc w:val="left"/>
        <w:rPr/>
      </w:pPr>
      <w:r>
        <w:rPr/>
        <w:t xml:space="preserve">  </w:t>
      </w:r>
    </w:p>
    <w:p>
      <w:pPr>
        <w:pStyle w:val="TextBody"/>
        <w:bidi w:val="0"/>
        <w:spacing w:before="0" w:after="0"/>
        <w:jc w:val="left"/>
        <w:rPr>
          <w:rFonts w:ascii="Times New Roman" w:hAnsi="Times New Roman"/>
          <w:b/>
          <w:sz w:val="24"/>
        </w:rPr>
      </w:pPr>
      <w:r>
        <w:rPr>
          <w:rFonts w:ascii="Times New Roman" w:hAnsi="Times New Roman"/>
          <w:b/>
          <w:i/>
          <w:sz w:val="20"/>
        </w:rPr>
        <w:t>Net Cash Used in Financing Activities</w:t>
      </w:r>
      <w:r>
        <w:rPr>
          <w:rFonts w:ascii="Times New Roman" w:hAnsi="Times New Roman"/>
          <w:b/>
          <w:sz w:val="24"/>
        </w:rPr>
        <w:t xml:space="preserve"> </w:t>
      </w:r>
    </w:p>
    <w:p>
      <w:pPr>
        <w:pStyle w:val="TextBody"/>
        <w:bidi w:val="0"/>
        <w:spacing w:before="0" w:after="0"/>
        <w:jc w:val="left"/>
        <w:rPr/>
      </w:pPr>
      <w:r>
        <w:rPr/>
        <w:t xml:space="preserve">  </w:t>
      </w:r>
    </w:p>
    <w:p>
      <w:pPr>
        <w:pStyle w:val="TextBody"/>
        <w:bidi w:val="0"/>
        <w:spacing w:before="0" w:after="0"/>
        <w:ind w:left="0" w:right="0" w:firstLine="720"/>
        <w:jc w:val="both"/>
        <w:rPr>
          <w:rFonts w:ascii="Times New Roman" w:hAnsi="Times New Roman"/>
          <w:sz w:val="24"/>
        </w:rPr>
      </w:pPr>
      <w:r>
        <w:rPr>
          <w:rFonts w:ascii="Times New Roman" w:hAnsi="Times New Roman"/>
          <w:sz w:val="20"/>
        </w:rPr>
        <w:t>Net cash used in financing activities was $10.1 million and $7.1 million for the three months ended March 31, 2026 and 2025, respectively. The increase is primarily driven by share repurchases made during the three months ended March 31, 2026, partially offset by lower taxes paid on vested restricted stock units.</w:t>
      </w:r>
      <w:r>
        <w:rPr>
          <w:rFonts w:ascii="Times New Roman" w:hAnsi="Times New Roman"/>
          <w:sz w:val="24"/>
        </w:rPr>
        <w:t xml:space="preserve"> </w:t>
      </w:r>
    </w:p>
    <w:p>
      <w:pPr>
        <w:pStyle w:val="TextBody"/>
        <w:bidi w:val="0"/>
        <w:spacing w:before="0" w:after="0"/>
        <w:jc w:val="left"/>
        <w:rPr/>
      </w:pPr>
      <w:r>
        <w:rPr/>
        <w:t xml:space="preserve">  </w:t>
      </w:r>
    </w:p>
    <w:p>
      <w:pPr>
        <w:pStyle w:val="TextBody"/>
        <w:bidi w:val="0"/>
        <w:spacing w:before="0" w:after="0"/>
        <w:jc w:val="left"/>
        <w:rPr>
          <w:rFonts w:ascii="Times New Roman" w:hAnsi="Times New Roman"/>
          <w:sz w:val="20"/>
        </w:rPr>
      </w:pPr>
      <w:r>
        <w:rPr>
          <w:rFonts w:ascii="Times New Roman" w:hAnsi="Times New Roman"/>
          <w:b/>
          <w:sz w:val="20"/>
        </w:rPr>
        <w:t>Effect of Inflation</w:t>
      </w:r>
      <w:r>
        <w:rPr>
          <w:rFonts w:ascii="Times New Roman" w:hAnsi="Times New Roman"/>
          <w:sz w:val="20"/>
        </w:rPr>
        <w:t xml:space="preserve"> </w:t>
      </w:r>
    </w:p>
    <w:p>
      <w:pPr>
        <w:pStyle w:val="TextBody"/>
        <w:bidi w:val="0"/>
        <w:spacing w:before="0" w:after="0"/>
        <w:jc w:val="left"/>
        <w:rPr/>
      </w:pPr>
      <w:r>
        <w:rPr/>
        <w:t xml:space="preserve">  </w:t>
      </w:r>
    </w:p>
    <w:p>
      <w:pPr>
        <w:pStyle w:val="TextBody"/>
        <w:bidi w:val="0"/>
        <w:spacing w:before="0" w:after="0"/>
        <w:ind w:left="0" w:right="0" w:firstLine="720"/>
        <w:jc w:val="both"/>
        <w:rPr>
          <w:rFonts w:ascii="Times New Roman" w:hAnsi="Times New Roman"/>
          <w:sz w:val="20"/>
        </w:rPr>
      </w:pPr>
      <w:r>
        <w:rPr>
          <w:rFonts w:ascii="Times New Roman" w:hAnsi="Times New Roman"/>
          <w:sz w:val="20"/>
        </w:rPr>
        <w:t xml:space="preserve">Inflation impacted a number of facets of our business during the three months ended March 31, 2026 and 2025 at each of our business segments. Disruptions in the global economy have impeded global supply chains, resulted in longer lead times and delays in procuring certain raw materials, and resulted in inflationary cost increases in certain raw materials, labor and transportation. We also experienced price increases for, among other items, consumable supplies, services for repairs and maintenance of our facilities, utilities, shipping and freight charges, fuel surcharges and labor costs, among other expenses. Based upon the macroeconomic environment, publicly available information and reports from the U.S. government, we expect this trend to continue in 2026. Although we cannot predict the extent to which future domestic and global economic conditions, including, but not limited to, supply chain constraints, tariffs or trade wars, changes in federal regulatory policies or priorities, general economic and geopolitical conditions, or the continuing conflicts in Europe, the Middle East and surrounding areas will impact us, such factors could have a significant impact on our future results of operations. In addition, some of our third-party inventory purchase agreements provide for scheduled price increases that are tied to various consumer price indices, which have resulted in higher than historical percentage price increases and could result in higher source plasma and other raw material and supplies costs throughout 2026 and beyond. Also, in a higher inflationary environment, we may not be able to raise the prices of our products to maintain the rate of inflation and this may affect our product margins. </w:t>
      </w:r>
    </w:p>
    <w:p>
      <w:pPr>
        <w:pStyle w:val="TextBody"/>
        <w:bidi w:val="0"/>
        <w:spacing w:before="0" w:after="0"/>
        <w:jc w:val="both"/>
        <w:rPr/>
      </w:pPr>
      <w:r>
        <w:rPr/>
        <w:t xml:space="preserve">  </w:t>
      </w:r>
    </w:p>
    <w:p>
      <w:pPr>
        <w:pStyle w:val="TextBody"/>
        <w:bidi w:val="0"/>
        <w:spacing w:before="150" w:after="15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t>29</w:t>
      </w:r>
    </w:p>
    <w:p>
      <w:pPr>
        <w:pStyle w:val="HorizontalLine"/>
        <w:bidi w:val="0"/>
        <w:spacing w:before="150" w:after="150"/>
        <w:jc w:val="left"/>
        <w:rPr/>
      </w:pPr>
      <w:r>
        <w:rPr/>
      </w:r>
    </w:p>
    <w:p>
      <w:pPr>
        <w:pStyle w:val="TextBody"/>
        <w:bidi w:val="0"/>
        <w:spacing w:before="150" w:after="150"/>
        <w:jc w:val="left"/>
        <w:rPr/>
      </w:pPr>
      <w:hyperlink w:anchor="index">
        <w:r>
          <w:rPr>
            <w:rStyle w:val="InternetLink"/>
            <w:rFonts w:ascii="TimesNewRoman;Times New Roman;Times;Baskerville;Georgia;serif" w:hAnsi="TimesNewRoman;Times New Roman;Times;Baskerville;Georgia;serif"/>
            <w:b w:val="false"/>
            <w:i/>
            <w:caps w:val="false"/>
            <w:smallCaps w:val="false"/>
            <w:strike w:val="false"/>
            <w:dstrike w:val="false"/>
            <w:sz w:val="16"/>
            <w:u w:val="none"/>
            <w:effect w:val="none"/>
          </w:rPr>
          <w:t>Index</w:t>
        </w:r>
      </w:hyperlink>
    </w:p>
    <w:p>
      <w:pPr>
        <w:pStyle w:val="TextBody"/>
        <w:bidi w:val="0"/>
        <w:spacing w:before="0" w:after="0"/>
        <w:jc w:val="left"/>
        <w:rPr>
          <w:rFonts w:ascii="Times New Roman" w:hAnsi="Times New Roman"/>
          <w:sz w:val="20"/>
        </w:rPr>
      </w:pPr>
      <w:r>
        <w:rPr>
          <w:rFonts w:ascii="Times New Roman" w:hAnsi="Times New Roman"/>
          <w:b/>
          <w:sz w:val="20"/>
        </w:rPr>
        <w:t>Off-Balance Sheet Arrangements</w:t>
      </w:r>
      <w:r>
        <w:rPr>
          <w:rFonts w:ascii="Times New Roman" w:hAnsi="Times New Roman"/>
          <w:sz w:val="20"/>
        </w:rPr>
        <w:t xml:space="preserve"> </w:t>
      </w:r>
    </w:p>
    <w:p>
      <w:pPr>
        <w:pStyle w:val="TextBody"/>
        <w:bidi w:val="0"/>
        <w:spacing w:before="0" w:after="0"/>
        <w:jc w:val="left"/>
        <w:rPr/>
      </w:pPr>
      <w:r>
        <w:rPr/>
        <w:t xml:space="preserve">  </w:t>
      </w:r>
    </w:p>
    <w:p>
      <w:pPr>
        <w:pStyle w:val="TextBody"/>
        <w:bidi w:val="0"/>
        <w:spacing w:before="0" w:after="0"/>
        <w:ind w:left="0" w:right="0" w:firstLine="720"/>
        <w:jc w:val="left"/>
        <w:rPr>
          <w:rFonts w:ascii="Times New Roman" w:hAnsi="Times New Roman"/>
          <w:sz w:val="20"/>
        </w:rPr>
      </w:pPr>
      <w:r>
        <w:rPr>
          <w:rFonts w:ascii="Times New Roman" w:hAnsi="Times New Roman"/>
          <w:sz w:val="20"/>
        </w:rPr>
        <w:t xml:space="preserve">None. </w:t>
      </w:r>
    </w:p>
    <w:p>
      <w:pPr>
        <w:pStyle w:val="TextBody"/>
        <w:bidi w:val="0"/>
        <w:spacing w:before="0" w:after="0"/>
        <w:ind w:left="1440" w:right="0" w:hanging="0"/>
        <w:jc w:val="left"/>
        <w:rPr/>
      </w:pPr>
      <w:r>
        <w:rPr/>
        <w:t xml:space="preserve">  </w:t>
      </w:r>
    </w:p>
    <w:p>
      <w:pPr>
        <w:pStyle w:val="TextBody"/>
        <w:bidi w:val="0"/>
        <w:spacing w:before="0" w:after="0"/>
        <w:ind w:left="0" w:right="0" w:hanging="1440"/>
        <w:jc w:val="left"/>
        <w:rPr>
          <w:rFonts w:ascii="Times New Roman" w:hAnsi="Times New Roman"/>
          <w:b/>
          <w:sz w:val="20"/>
        </w:rPr>
      </w:pPr>
      <w:bookmarkStart w:id="11" w:name="itm3"/>
      <w:bookmarkEnd w:id="11"/>
      <w:r>
        <w:rPr>
          <w:rFonts w:ascii="Times New Roman" w:hAnsi="Times New Roman"/>
          <w:b/>
          <w:sz w:val="20"/>
        </w:rPr>
        <w:t xml:space="preserve">Quantitative and Qualitative Disclosures About Market Risk. </w:t>
      </w:r>
      <w:r>
        <mc:AlternateContent>
          <mc:Choice Requires="wps">
            <w:drawing>
              <wp:anchor behindDoc="0" distT="0" distB="0" distL="0" distR="0" simplePos="0" locked="0" layoutInCell="1" allowOverlap="1" relativeHeight="68">
                <wp:simplePos x="0" y="0"/>
                <wp:positionH relativeFrom="column">
                  <wp:align>left</wp:align>
                </wp:positionH>
                <wp:positionV relativeFrom="line">
                  <wp:posOffset>635</wp:posOffset>
                </wp:positionV>
                <wp:extent cx="914400" cy="175260"/>
                <wp:effectExtent l="0" t="0" r="0" b="0"/>
                <wp:wrapSquare wrapText="right"/>
                <wp:docPr id="67" name="Frame67"/>
                <a:graphic xmlns:a="http://schemas.openxmlformats.org/drawingml/2006/main">
                  <a:graphicData uri="http://schemas.microsoft.com/office/word/2010/wordprocessingShape">
                    <wps:wsp>
                      <wps:cNvSpPr txBox="1"/>
                      <wps:spPr>
                        <a:xfrm>
                          <a:off x="0" y="0"/>
                          <a:ext cx="914400" cy="175260"/>
                        </a:xfrm>
                        <a:prstGeom prst="rect"/>
                        <a:solidFill>
                          <a:srgbClr val="FFFFFF"/>
                        </a:solidFill>
                      </wps:spPr>
                      <wps:txbx>
                        <w:txbxContent>
                          <w:p>
                            <w:pPr>
                              <w:pStyle w:val="TextBody"/>
                              <w:bidi w:val="0"/>
                              <w:spacing w:before="0" w:after="283"/>
                              <w:jc w:val="left"/>
                              <w:rPr/>
                            </w:pPr>
                            <w:r>
                              <w:rPr/>
                              <w:t xml:space="preserve">Item 3. </w:t>
                            </w:r>
                          </w:p>
                        </w:txbxContent>
                      </wps:txbx>
                      <wps:bodyPr anchor="t" lIns="0" tIns="0" rIns="0" bIns="0">
                        <a:noAutofit/>
                      </wps:bodyPr>
                    </wps:wsp>
                  </a:graphicData>
                </a:graphic>
              </wp:anchor>
            </w:drawing>
          </mc:Choice>
          <mc:Fallback>
            <w:pict>
              <v:rect style="position:absolute;rotation:-0;width:7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 xml:space="preserve">Item 3. </w:t>
                      </w:r>
                    </w:p>
                  </w:txbxContent>
                </v:textbox>
                <w10:wrap type="square" side="right"/>
              </v:rect>
            </w:pict>
          </mc:Fallback>
        </mc:AlternateContent>
      </w:r>
    </w:p>
    <w:p>
      <w:pPr>
        <w:pStyle w:val="TextBody"/>
        <w:bidi w:val="0"/>
        <w:spacing w:before="0" w:after="0"/>
        <w:ind w:left="1440" w:right="0" w:hanging="0"/>
        <w:jc w:val="left"/>
        <w:rPr/>
      </w:pPr>
      <w:r>
        <w:rPr/>
        <w:t xml:space="preserve">  </w:t>
      </w:r>
    </w:p>
    <w:p>
      <w:pPr>
        <w:pStyle w:val="TextBody"/>
        <w:bidi w:val="0"/>
        <w:spacing w:before="0" w:after="0"/>
        <w:ind w:left="0" w:right="0" w:firstLine="720"/>
        <w:jc w:val="both"/>
        <w:rPr>
          <w:rFonts w:ascii="Times New Roman" w:hAnsi="Times New Roman"/>
          <w:sz w:val="20"/>
        </w:rPr>
      </w:pPr>
      <w:r>
        <w:rPr>
          <w:rFonts w:ascii="Times New Roman" w:hAnsi="Times New Roman"/>
          <w:sz w:val="20"/>
        </w:rPr>
        <w:t xml:space="preserve">We are exposed to market risk as the result of changes in interest rates. The JPM Credit Agreement requires monthly payments of interest based on the adjusted Term SOFR plus the applicable margin. We currently do not utilize any derivative financial instruments, such as interest rate swaps or caps, to mitigate this risk. As of March 31, 2026, we had $196.9 million outstanding under our JPM Credit Agreement that was subject to a variable interest rate. The effect of a hypothetical, instantaneous and unfavorable change of 100 basis points in the interest rate would have an approximate $2.0 million annualized negative impact on our earnings and cash flows. </w:t>
      </w:r>
    </w:p>
    <w:p>
      <w:pPr>
        <w:pStyle w:val="TextBody"/>
        <w:bidi w:val="0"/>
        <w:spacing w:before="0" w:after="0"/>
        <w:jc w:val="both"/>
        <w:rPr/>
      </w:pPr>
      <w:r>
        <w:rPr/>
        <w:t xml:space="preserve">  </w:t>
      </w:r>
    </w:p>
    <w:p>
      <w:pPr>
        <w:pStyle w:val="TextBody"/>
        <w:bidi w:val="0"/>
        <w:spacing w:before="0" w:after="0"/>
        <w:ind w:left="0" w:right="0" w:hanging="1440"/>
        <w:jc w:val="left"/>
        <w:rPr>
          <w:rFonts w:ascii="Times New Roman" w:hAnsi="Times New Roman"/>
          <w:b/>
          <w:sz w:val="20"/>
        </w:rPr>
      </w:pPr>
      <w:bookmarkStart w:id="12" w:name="itm4"/>
      <w:bookmarkEnd w:id="12"/>
      <w:r>
        <w:rPr>
          <w:rFonts w:ascii="Times New Roman" w:hAnsi="Times New Roman"/>
          <w:b/>
          <w:sz w:val="20"/>
        </w:rPr>
        <w:t xml:space="preserve">Controls and Procedures. </w:t>
      </w:r>
      <w:r>
        <mc:AlternateContent>
          <mc:Choice Requires="wps">
            <w:drawing>
              <wp:anchor behindDoc="0" distT="0" distB="0" distL="0" distR="0" simplePos="0" locked="0" layoutInCell="1" allowOverlap="1" relativeHeight="69">
                <wp:simplePos x="0" y="0"/>
                <wp:positionH relativeFrom="column">
                  <wp:align>left</wp:align>
                </wp:positionH>
                <wp:positionV relativeFrom="line">
                  <wp:posOffset>635</wp:posOffset>
                </wp:positionV>
                <wp:extent cx="914400" cy="175260"/>
                <wp:effectExtent l="0" t="0" r="0" b="0"/>
                <wp:wrapSquare wrapText="right"/>
                <wp:docPr id="68" name="Frame68"/>
                <a:graphic xmlns:a="http://schemas.openxmlformats.org/drawingml/2006/main">
                  <a:graphicData uri="http://schemas.microsoft.com/office/word/2010/wordprocessingShape">
                    <wps:wsp>
                      <wps:cNvSpPr txBox="1"/>
                      <wps:spPr>
                        <a:xfrm>
                          <a:off x="0" y="0"/>
                          <a:ext cx="914400" cy="175260"/>
                        </a:xfrm>
                        <a:prstGeom prst="rect"/>
                        <a:solidFill>
                          <a:srgbClr val="FFFFFF"/>
                        </a:solidFill>
                      </wps:spPr>
                      <wps:txbx>
                        <w:txbxContent>
                          <w:p>
                            <w:pPr>
                              <w:pStyle w:val="TextBody"/>
                              <w:bidi w:val="0"/>
                              <w:spacing w:before="0" w:after="283"/>
                              <w:jc w:val="left"/>
                              <w:rPr/>
                            </w:pPr>
                            <w:r>
                              <w:rPr/>
                              <w:t xml:space="preserve">Item 4. </w:t>
                            </w:r>
                          </w:p>
                        </w:txbxContent>
                      </wps:txbx>
                      <wps:bodyPr anchor="t" lIns="0" tIns="0" rIns="0" bIns="0">
                        <a:noAutofit/>
                      </wps:bodyPr>
                    </wps:wsp>
                  </a:graphicData>
                </a:graphic>
              </wp:anchor>
            </w:drawing>
          </mc:Choice>
          <mc:Fallback>
            <w:pict>
              <v:rect style="position:absolute;rotation:-0;width:7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 xml:space="preserve">Item 4. </w:t>
                      </w:r>
                    </w:p>
                  </w:txbxContent>
                </v:textbox>
                <w10:wrap type="square" side="right"/>
              </v:rect>
            </w:pict>
          </mc:Fallback>
        </mc:AlternateContent>
      </w:r>
    </w:p>
    <w:p>
      <w:pPr>
        <w:pStyle w:val="TextBody"/>
        <w:bidi w:val="0"/>
        <w:spacing w:before="0" w:after="0"/>
        <w:ind w:left="1440" w:right="0" w:hanging="0"/>
        <w:jc w:val="left"/>
        <w:rPr/>
      </w:pPr>
      <w:r>
        <w:rPr/>
        <w:t xml:space="preserve">  </w:t>
      </w:r>
    </w:p>
    <w:p>
      <w:pPr>
        <w:pStyle w:val="TextBody"/>
        <w:bidi w:val="0"/>
        <w:spacing w:before="0" w:after="0"/>
        <w:jc w:val="left"/>
        <w:rPr>
          <w:rFonts w:ascii="Times New Roman" w:hAnsi="Times New Roman"/>
          <w:b/>
          <w:sz w:val="20"/>
        </w:rPr>
      </w:pPr>
      <w:r>
        <w:rPr>
          <w:rFonts w:ascii="Times New Roman" w:hAnsi="Times New Roman"/>
          <w:b/>
          <w:sz w:val="20"/>
        </w:rPr>
        <w:t xml:space="preserve">Evaluation of Disclosure Controls and Procedures </w:t>
      </w:r>
    </w:p>
    <w:p>
      <w:pPr>
        <w:pStyle w:val="TextBody"/>
        <w:bidi w:val="0"/>
        <w:spacing w:before="0" w:after="0"/>
        <w:jc w:val="left"/>
        <w:rPr/>
      </w:pPr>
      <w:r>
        <w:rPr/>
        <w:t xml:space="preserve">  </w:t>
      </w:r>
    </w:p>
    <w:p>
      <w:pPr>
        <w:pStyle w:val="TextBody"/>
        <w:bidi w:val="0"/>
        <w:spacing w:before="0" w:after="0"/>
        <w:ind w:left="0" w:right="0" w:firstLine="720"/>
        <w:jc w:val="both"/>
        <w:rPr>
          <w:rFonts w:ascii="Times New Roman" w:hAnsi="Times New Roman"/>
          <w:sz w:val="20"/>
        </w:rPr>
      </w:pPr>
      <w:r>
        <w:rPr>
          <w:rFonts w:ascii="Times New Roman" w:hAnsi="Times New Roman"/>
          <w:sz w:val="20"/>
        </w:rPr>
        <w:t xml:space="preserve">We designed our disclosure controls and procedures, as such term is defined in Rules 13a-15(e) and 15d-15(e) under the Securities Exchange Act of 1934, as amended (the “Exchange Act”), to provide reasonable assurance that information required to be disclosed by us in reports we file or submit under the Exchange Act is (i) recorded, processed, summarized and reported within the time periods specified in the SEC’s rules and forms, and (ii) accumulated and communicated to our management, including our principal executive officer and principal financial officer, as appropriate to allow timely decisions regarding required disclosures. </w:t>
      </w:r>
    </w:p>
    <w:p>
      <w:pPr>
        <w:pStyle w:val="TextBody"/>
        <w:bidi w:val="0"/>
        <w:spacing w:before="0" w:after="0"/>
        <w:jc w:val="both"/>
        <w:rPr/>
      </w:pPr>
      <w:r>
        <w:rPr/>
        <w:t xml:space="preserve">  </w:t>
      </w:r>
    </w:p>
    <w:p>
      <w:pPr>
        <w:pStyle w:val="TextBody"/>
        <w:bidi w:val="0"/>
        <w:spacing w:before="0" w:after="0"/>
        <w:ind w:left="0" w:right="0" w:firstLine="720"/>
        <w:jc w:val="both"/>
        <w:rPr>
          <w:rFonts w:ascii="Times New Roman" w:hAnsi="Times New Roman"/>
          <w:sz w:val="20"/>
        </w:rPr>
      </w:pPr>
      <w:r>
        <w:rPr>
          <w:rFonts w:ascii="Times New Roman" w:hAnsi="Times New Roman"/>
          <w:sz w:val="20"/>
        </w:rPr>
        <w:t xml:space="preserve">Under the supervision of and with the participation of our management, including our principal executive officer and principal financial officer, we conducted an evaluation of our disclosure controls and procedures as of March 31, 2026. Based on this evaluation, our principal executive officer and principal financial officer concluded that our disclosure controls and procedures as of March 31, 2026 were effective to provide reasonable assurance that the information required to be disclosed by us in reports filed under the Exchange Act is (i) recorded, processed, summarized and reported within the time periods specified in the SEC’s rules and forms, and (ii) accumulated and communicated to our management, including our principal executive officer and principal financial officer, as appropriate to allow timely decisions regarding disclosures. </w:t>
      </w:r>
    </w:p>
    <w:p>
      <w:pPr>
        <w:pStyle w:val="TextBody"/>
        <w:bidi w:val="0"/>
        <w:spacing w:before="0" w:after="0"/>
        <w:jc w:val="both"/>
        <w:rPr/>
      </w:pPr>
      <w:r>
        <w:rPr/>
        <w:t xml:space="preserve">  </w:t>
      </w:r>
    </w:p>
    <w:p>
      <w:pPr>
        <w:pStyle w:val="TextBody"/>
        <w:bidi w:val="0"/>
        <w:spacing w:before="0" w:after="0"/>
        <w:ind w:left="0" w:right="0" w:firstLine="720"/>
        <w:jc w:val="both"/>
        <w:rPr>
          <w:rFonts w:ascii="Times New Roman" w:hAnsi="Times New Roman"/>
          <w:sz w:val="20"/>
        </w:rPr>
      </w:pPr>
      <w:r>
        <w:rPr>
          <w:rFonts w:ascii="Times New Roman" w:hAnsi="Times New Roman"/>
          <w:sz w:val="20"/>
        </w:rPr>
        <w:t xml:space="preserve">A control system, no matter how well designed and operated, cannot provide absolute assurance that the objectives of the control system are met, and no evaluation of controls can provide absolute assurance that all control issues and instances of fraud, if any, within a company have been detected. We do not expect that our disclosure controls and procedures or our internal control over financial reporting are able to prevent with certainty all errors and all fraud. </w:t>
      </w:r>
    </w:p>
    <w:p>
      <w:pPr>
        <w:pStyle w:val="TextBody"/>
        <w:bidi w:val="0"/>
        <w:spacing w:before="0" w:after="0"/>
        <w:jc w:val="left"/>
        <w:rPr/>
      </w:pPr>
      <w:r>
        <w:rPr/>
        <w:t xml:space="preserve">  </w:t>
      </w:r>
    </w:p>
    <w:p>
      <w:pPr>
        <w:pStyle w:val="TextBody"/>
        <w:bidi w:val="0"/>
        <w:spacing w:before="0" w:after="0"/>
        <w:jc w:val="left"/>
        <w:rPr>
          <w:rFonts w:ascii="Times New Roman" w:hAnsi="Times New Roman"/>
          <w:b/>
          <w:sz w:val="24"/>
        </w:rPr>
      </w:pPr>
      <w:r>
        <w:rPr>
          <w:rFonts w:ascii="Times New Roman" w:hAnsi="Times New Roman"/>
          <w:b/>
          <w:sz w:val="20"/>
        </w:rPr>
        <w:t>Changes in Internal Control Over Financial Reporting</w:t>
      </w:r>
      <w:r>
        <w:rPr>
          <w:rFonts w:ascii="Times New Roman" w:hAnsi="Times New Roman"/>
          <w:b/>
          <w:sz w:val="24"/>
        </w:rPr>
        <w:t xml:space="preserve"> </w:t>
      </w:r>
    </w:p>
    <w:p>
      <w:pPr>
        <w:pStyle w:val="TextBody"/>
        <w:bidi w:val="0"/>
        <w:spacing w:before="0" w:after="0"/>
        <w:jc w:val="left"/>
        <w:rPr/>
      </w:pPr>
      <w:r>
        <w:rPr/>
        <w:t xml:space="preserve">  </w:t>
      </w:r>
    </w:p>
    <w:p>
      <w:pPr>
        <w:pStyle w:val="TextBody"/>
        <w:bidi w:val="0"/>
        <w:spacing w:before="0" w:after="0"/>
        <w:ind w:left="0" w:right="0" w:firstLine="720"/>
        <w:jc w:val="both"/>
        <w:rPr>
          <w:rFonts w:ascii="Times New Roman" w:hAnsi="Times New Roman"/>
          <w:sz w:val="20"/>
        </w:rPr>
      </w:pPr>
      <w:r>
        <w:rPr>
          <w:rFonts w:ascii="Times New Roman" w:hAnsi="Times New Roman"/>
          <w:sz w:val="20"/>
        </w:rPr>
        <w:t>There have been no changes in our internal control over financial reporting during the quarter ended March 31, 2026 that have materially affected, or are reasonably likely to materially affect, our internal control over financial reporting.</w:t>
      </w:r>
    </w:p>
    <w:p>
      <w:pPr>
        <w:pStyle w:val="TextBody"/>
        <w:bidi w:val="0"/>
        <w:spacing w:before="0" w:after="0"/>
        <w:ind w:left="0" w:right="0" w:firstLine="720"/>
        <w:jc w:val="both"/>
        <w:rPr/>
      </w:pPr>
      <w:r>
        <w:rPr/>
        <w:t> </w:t>
      </w:r>
    </w:p>
    <w:p>
      <w:pPr>
        <w:pStyle w:val="TextBody"/>
        <w:bidi w:val="0"/>
        <w:spacing w:before="150" w:after="15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t>30</w:t>
      </w:r>
    </w:p>
    <w:p>
      <w:pPr>
        <w:pStyle w:val="HorizontalLine"/>
        <w:bidi w:val="0"/>
        <w:spacing w:before="150" w:after="150"/>
        <w:jc w:val="left"/>
        <w:rPr/>
      </w:pPr>
      <w:r>
        <w:rPr/>
      </w:r>
    </w:p>
    <w:p>
      <w:pPr>
        <w:pStyle w:val="TextBody"/>
        <w:bidi w:val="0"/>
        <w:spacing w:before="150" w:after="150"/>
        <w:jc w:val="left"/>
        <w:rPr/>
      </w:pPr>
      <w:hyperlink w:anchor="index">
        <w:r>
          <w:rPr>
            <w:rStyle w:val="InternetLink"/>
            <w:rFonts w:ascii="TimesNewRoman;Times New Roman;Times;Baskerville;Georgia;serif" w:hAnsi="TimesNewRoman;Times New Roman;Times;Baskerville;Georgia;serif"/>
            <w:b w:val="false"/>
            <w:i/>
            <w:caps w:val="false"/>
            <w:smallCaps w:val="false"/>
            <w:strike w:val="false"/>
            <w:dstrike w:val="false"/>
            <w:sz w:val="16"/>
            <w:u w:val="none"/>
            <w:effect w:val="none"/>
          </w:rPr>
          <w:t>Index</w:t>
        </w:r>
      </w:hyperlink>
    </w:p>
    <w:p>
      <w:pPr>
        <w:pStyle w:val="TextBody"/>
        <w:bidi w:val="0"/>
        <w:spacing w:before="0" w:after="0"/>
        <w:jc w:val="center"/>
        <w:rPr>
          <w:rFonts w:ascii="Times New Roman" w:hAnsi="Times New Roman"/>
          <w:b/>
          <w:sz w:val="20"/>
        </w:rPr>
      </w:pPr>
      <w:bookmarkStart w:id="13" w:name="p2"/>
      <w:bookmarkEnd w:id="13"/>
      <w:r>
        <w:rPr>
          <w:rFonts w:ascii="Times New Roman" w:hAnsi="Times New Roman"/>
          <w:b/>
          <w:sz w:val="20"/>
        </w:rPr>
        <w:t xml:space="preserve">PART II </w:t>
      </w:r>
    </w:p>
    <w:p>
      <w:pPr>
        <w:pStyle w:val="TextBody"/>
        <w:bidi w:val="0"/>
        <w:spacing w:before="0" w:after="0"/>
        <w:jc w:val="center"/>
        <w:rPr/>
      </w:pPr>
      <w:r>
        <w:rPr/>
        <w:t xml:space="preserve">  </w:t>
      </w:r>
    </w:p>
    <w:p>
      <w:pPr>
        <w:pStyle w:val="TextBody"/>
        <w:bidi w:val="0"/>
        <w:spacing w:before="0" w:after="0"/>
        <w:jc w:val="center"/>
        <w:rPr>
          <w:rFonts w:ascii="Times New Roman" w:hAnsi="Times New Roman"/>
          <w:b/>
          <w:sz w:val="20"/>
        </w:rPr>
      </w:pPr>
      <w:r>
        <w:rPr>
          <w:rFonts w:ascii="Times New Roman" w:hAnsi="Times New Roman"/>
          <w:b/>
          <w:sz w:val="20"/>
        </w:rPr>
        <w:t xml:space="preserve">OTHER INFORMATION </w:t>
      </w:r>
    </w:p>
    <w:p>
      <w:pPr>
        <w:pStyle w:val="TextBody"/>
        <w:bidi w:val="0"/>
        <w:spacing w:before="0" w:after="0"/>
        <w:jc w:val="center"/>
        <w:rPr/>
      </w:pPr>
      <w:r>
        <w:rPr/>
        <w:t xml:space="preserve">  </w:t>
      </w:r>
    </w:p>
    <w:p>
      <w:pPr>
        <w:pStyle w:val="TextBody"/>
        <w:bidi w:val="0"/>
        <w:spacing w:before="0" w:after="0"/>
        <w:ind w:left="0" w:right="0" w:hanging="1440"/>
        <w:jc w:val="left"/>
        <w:rPr>
          <w:rFonts w:ascii="Times New Roman" w:hAnsi="Times New Roman"/>
          <w:b/>
          <w:sz w:val="20"/>
        </w:rPr>
      </w:pPr>
      <w:bookmarkStart w:id="14" w:name="a1"/>
      <w:bookmarkEnd w:id="14"/>
      <w:r>
        <w:rPr>
          <w:rFonts w:ascii="Times New Roman" w:hAnsi="Times New Roman"/>
          <w:b/>
          <w:sz w:val="20"/>
        </w:rPr>
        <w:t xml:space="preserve">Legal Proceedings. </w:t>
      </w:r>
      <w:r>
        <mc:AlternateContent>
          <mc:Choice Requires="wps">
            <w:drawing>
              <wp:anchor behindDoc="0" distT="0" distB="0" distL="0" distR="0" simplePos="0" locked="0" layoutInCell="1" allowOverlap="1" relativeHeight="70">
                <wp:simplePos x="0" y="0"/>
                <wp:positionH relativeFrom="column">
                  <wp:align>left</wp:align>
                </wp:positionH>
                <wp:positionV relativeFrom="line">
                  <wp:posOffset>635</wp:posOffset>
                </wp:positionV>
                <wp:extent cx="914400" cy="175260"/>
                <wp:effectExtent l="0" t="0" r="0" b="0"/>
                <wp:wrapSquare wrapText="right"/>
                <wp:docPr id="69" name="Frame69"/>
                <a:graphic xmlns:a="http://schemas.openxmlformats.org/drawingml/2006/main">
                  <a:graphicData uri="http://schemas.microsoft.com/office/word/2010/wordprocessingShape">
                    <wps:wsp>
                      <wps:cNvSpPr txBox="1"/>
                      <wps:spPr>
                        <a:xfrm>
                          <a:off x="0" y="0"/>
                          <a:ext cx="914400" cy="175260"/>
                        </a:xfrm>
                        <a:prstGeom prst="rect"/>
                        <a:solidFill>
                          <a:srgbClr val="FFFFFF"/>
                        </a:solidFill>
                      </wps:spPr>
                      <wps:txbx>
                        <w:txbxContent>
                          <w:p>
                            <w:pPr>
                              <w:pStyle w:val="TextBody"/>
                              <w:bidi w:val="0"/>
                              <w:spacing w:before="0" w:after="283"/>
                              <w:jc w:val="left"/>
                              <w:rPr/>
                            </w:pPr>
                            <w:r>
                              <w:rPr/>
                              <w:t xml:space="preserve">Item 1. </w:t>
                            </w:r>
                          </w:p>
                        </w:txbxContent>
                      </wps:txbx>
                      <wps:bodyPr anchor="t" lIns="0" tIns="0" rIns="0" bIns="0">
                        <a:noAutofit/>
                      </wps:bodyPr>
                    </wps:wsp>
                  </a:graphicData>
                </a:graphic>
              </wp:anchor>
            </w:drawing>
          </mc:Choice>
          <mc:Fallback>
            <w:pict>
              <v:rect style="position:absolute;rotation:-0;width:7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 xml:space="preserve">Item 1. </w:t>
                      </w:r>
                    </w:p>
                  </w:txbxContent>
                </v:textbox>
                <w10:wrap type="square" side="right"/>
              </v:rect>
            </w:pict>
          </mc:Fallback>
        </mc:AlternateContent>
      </w:r>
    </w:p>
    <w:p>
      <w:pPr>
        <w:pStyle w:val="TextBody"/>
        <w:bidi w:val="0"/>
        <w:spacing w:before="0" w:after="0"/>
        <w:jc w:val="both"/>
        <w:rPr/>
      </w:pPr>
      <w:r>
        <w:rPr/>
        <w:t xml:space="preserve">  </w:t>
      </w:r>
    </w:p>
    <w:p>
      <w:pPr>
        <w:pStyle w:val="TextBody"/>
        <w:bidi w:val="0"/>
        <w:spacing w:before="0" w:after="0"/>
        <w:ind w:left="0" w:right="0" w:firstLine="720"/>
        <w:jc w:val="both"/>
        <w:rPr>
          <w:rFonts w:ascii="Times New Roman" w:hAnsi="Times New Roman"/>
          <w:sz w:val="20"/>
        </w:rPr>
      </w:pPr>
      <w:r>
        <w:rPr>
          <w:rFonts w:ascii="Times New Roman" w:hAnsi="Times New Roman"/>
          <w:sz w:val="20"/>
        </w:rPr>
        <w:t xml:space="preserve">We may become subject to certain legal proceedings and claims arising in connection with the normal course of our business. In the opinion of management, there are currently no material pending legal proceedings that would have a material adverse effect on our consolidated financial position, results of operations or cash flows. </w:t>
      </w:r>
    </w:p>
    <w:p>
      <w:pPr>
        <w:pStyle w:val="TextBody"/>
        <w:bidi w:val="0"/>
        <w:spacing w:before="0" w:after="0"/>
        <w:ind w:left="1440" w:right="0" w:hanging="0"/>
        <w:jc w:val="left"/>
        <w:rPr/>
      </w:pPr>
      <w:r>
        <w:rPr/>
        <w:t xml:space="preserve">  </w:t>
      </w:r>
    </w:p>
    <w:p>
      <w:pPr>
        <w:pStyle w:val="TextBody"/>
        <w:bidi w:val="0"/>
        <w:spacing w:before="0" w:after="0"/>
        <w:jc w:val="left"/>
        <w:rPr>
          <w:rFonts w:ascii="Times New Roman" w:hAnsi="Times New Roman"/>
          <w:sz w:val="20"/>
        </w:rPr>
      </w:pPr>
      <w:bookmarkStart w:id="15" w:name="a1a"/>
      <w:bookmarkEnd w:id="15"/>
      <w:r>
        <w:rPr>
          <w:rFonts w:ascii="Times New Roman" w:hAnsi="Times New Roman"/>
          <w:b/>
          <w:sz w:val="20"/>
        </w:rPr>
        <w:t>Risk Factors</w:t>
      </w:r>
      <w:r>
        <w:rPr>
          <w:rFonts w:ascii="Times New Roman" w:hAnsi="Times New Roman"/>
          <w:sz w:val="20"/>
        </w:rPr>
        <w:t xml:space="preserve"> </w:t>
      </w:r>
      <w:r>
        <mc:AlternateContent>
          <mc:Choice Requires="wps">
            <w:drawing>
              <wp:anchor behindDoc="0" distT="0" distB="0" distL="0" distR="0" simplePos="0" locked="0" layoutInCell="1" allowOverlap="1" relativeHeight="71">
                <wp:simplePos x="0" y="0"/>
                <wp:positionH relativeFrom="column">
                  <wp:align>left</wp:align>
                </wp:positionH>
                <wp:positionV relativeFrom="line">
                  <wp:posOffset>635</wp:posOffset>
                </wp:positionV>
                <wp:extent cx="914400" cy="175260"/>
                <wp:effectExtent l="0" t="0" r="0" b="0"/>
                <wp:wrapSquare wrapText="right"/>
                <wp:docPr id="70" name="Frame70"/>
                <a:graphic xmlns:a="http://schemas.openxmlformats.org/drawingml/2006/main">
                  <a:graphicData uri="http://schemas.microsoft.com/office/word/2010/wordprocessingShape">
                    <wps:wsp>
                      <wps:cNvSpPr txBox="1"/>
                      <wps:spPr>
                        <a:xfrm>
                          <a:off x="0" y="0"/>
                          <a:ext cx="914400" cy="175260"/>
                        </a:xfrm>
                        <a:prstGeom prst="rect"/>
                        <a:solidFill>
                          <a:srgbClr val="FFFFFF"/>
                        </a:solidFill>
                      </wps:spPr>
                      <wps:txbx>
                        <w:txbxContent>
                          <w:p>
                            <w:pPr>
                              <w:pStyle w:val="TextBody"/>
                              <w:bidi w:val="0"/>
                              <w:spacing w:before="0" w:after="283"/>
                              <w:jc w:val="left"/>
                              <w:rPr/>
                            </w:pPr>
                            <w:r>
                              <w:rPr>
                                <w:b/>
                              </w:rPr>
                              <w:t>Item 1A.</w:t>
                            </w:r>
                            <w:r>
                              <w:rPr/>
                              <w:t xml:space="preserve"> </w:t>
                            </w:r>
                          </w:p>
                        </w:txbxContent>
                      </wps:txbx>
                      <wps:bodyPr anchor="t" lIns="0" tIns="0" rIns="0" bIns="0">
                        <a:noAutofit/>
                      </wps:bodyPr>
                    </wps:wsp>
                  </a:graphicData>
                </a:graphic>
              </wp:anchor>
            </w:drawing>
          </mc:Choice>
          <mc:Fallback>
            <w:pict>
              <v:rect style="position:absolute;rotation:-0;width:7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b/>
                        </w:rPr>
                        <w:t>Item 1A.</w:t>
                      </w:r>
                      <w:r>
                        <w:rPr/>
                        <w:t xml:space="preserve"> </w:t>
                      </w:r>
                    </w:p>
                  </w:txbxContent>
                </v:textbox>
                <w10:wrap type="square" side="right"/>
              </v:rect>
            </w:pict>
          </mc:Fallback>
        </mc:AlternateContent>
      </w:r>
    </w:p>
    <w:p>
      <w:pPr>
        <w:pStyle w:val="TextBody"/>
        <w:bidi w:val="0"/>
        <w:spacing w:before="0" w:after="0"/>
        <w:jc w:val="left"/>
        <w:rPr/>
      </w:pPr>
      <w:r>
        <w:rPr/>
        <w:t xml:space="preserve">  </w:t>
      </w:r>
    </w:p>
    <w:p>
      <w:pPr>
        <w:pStyle w:val="TextBody"/>
        <w:bidi w:val="0"/>
        <w:spacing w:before="0" w:after="0"/>
        <w:jc w:val="left"/>
        <w:rPr>
          <w:rFonts w:ascii="Times New Roman" w:hAnsi="Times New Roman"/>
          <w:sz w:val="20"/>
        </w:rPr>
      </w:pPr>
      <w:r>
        <w:rPr>
          <w:rFonts w:ascii="Times New Roman" w:hAnsi="Times New Roman"/>
          <w:b/>
          <w:sz w:val="20"/>
        </w:rPr>
        <w:t>Summary of Risk Factors</w:t>
      </w:r>
      <w:r>
        <w:rPr>
          <w:rFonts w:ascii="Times New Roman" w:hAnsi="Times New Roman"/>
          <w:sz w:val="20"/>
        </w:rPr>
        <w:t xml:space="preserve"> </w:t>
      </w:r>
    </w:p>
    <w:p>
      <w:pPr>
        <w:pStyle w:val="TextBody"/>
        <w:bidi w:val="0"/>
        <w:spacing w:before="0" w:after="0"/>
        <w:jc w:val="left"/>
        <w:rPr/>
      </w:pPr>
      <w:r>
        <w:rPr/>
        <w:t xml:space="preserve">  </w:t>
      </w:r>
    </w:p>
    <w:p>
      <w:pPr>
        <w:pStyle w:val="TextBody"/>
        <w:bidi w:val="0"/>
        <w:spacing w:before="0" w:after="0"/>
        <w:jc w:val="both"/>
        <w:rPr>
          <w:rFonts w:ascii="Times New Roman" w:hAnsi="Times New Roman"/>
          <w:sz w:val="20"/>
        </w:rPr>
      </w:pPr>
      <w:r>
        <w:rPr>
          <w:rFonts w:ascii="Times New Roman" w:hAnsi="Times New Roman"/>
          <w:i/>
          <w:sz w:val="20"/>
        </w:rPr>
        <w:t>Below is a summary of the principal factors that make an investment in our common stock speculative or risky. This summary does not address all of the risks that we face. Additional discussion of the risks summarized in this risk factor summary, and other risks that we face, can be found below under the heading “Risk Factors” and should be carefully considered, together with other information in this Quarterly Report on Form 10-Q, the 2025 10-K and our other filings with the SEC, before making an investment decision regarding our common stock.</w:t>
      </w:r>
      <w:r>
        <w:rPr>
          <w:rFonts w:ascii="Times New Roman" w:hAnsi="Times New Roman"/>
          <w:sz w:val="20"/>
        </w:rPr>
        <w:t xml:space="preserve"> </w:t>
      </w:r>
    </w:p>
    <w:p>
      <w:pPr>
        <w:pStyle w:val="TextBody"/>
        <w:bidi w:val="0"/>
        <w:spacing w:before="0" w:after="0"/>
        <w:jc w:val="left"/>
        <w:rPr/>
      </w:pPr>
      <w:r>
        <w:rPr/>
        <w:t xml:space="preserve">  </w:t>
      </w:r>
    </w:p>
    <w:p>
      <w:pPr>
        <w:pStyle w:val="TextBody"/>
        <w:bidi w:val="0"/>
        <w:spacing w:before="0" w:after="0"/>
        <w:ind w:left="0" w:right="0" w:hanging="360"/>
        <w:jc w:val="both"/>
        <w:rPr>
          <w:rFonts w:ascii="Times New Roman" w:hAnsi="Times New Roman"/>
          <w:sz w:val="20"/>
        </w:rPr>
      </w:pPr>
      <w:r>
        <w:rPr>
          <w:rFonts w:ascii="Times New Roman" w:hAnsi="Times New Roman"/>
          <w:sz w:val="20"/>
        </w:rPr>
        <w:t xml:space="preserve">Although we achieved net income on a GAAP basis for the fiscal years ended December 31, 2025 and 2024, we may not be able to maintain profitability and continue to generate positive cash flows in the future. </w:t>
      </w:r>
      <w:r>
        <mc:AlternateContent>
          <mc:Choice Requires="wps">
            <w:drawing>
              <wp:anchor behindDoc="0" distT="0" distB="0" distL="0" distR="0" simplePos="0" locked="0" layoutInCell="1" allowOverlap="1" relativeHeight="72">
                <wp:simplePos x="0" y="0"/>
                <wp:positionH relativeFrom="column">
                  <wp:align>left</wp:align>
                </wp:positionH>
                <wp:positionV relativeFrom="line">
                  <wp:posOffset>635</wp:posOffset>
                </wp:positionV>
                <wp:extent cx="228600" cy="175260"/>
                <wp:effectExtent l="0" t="0" r="0" b="0"/>
                <wp:wrapSquare wrapText="right"/>
                <wp:docPr id="71" name="Frame71"/>
                <a:graphic xmlns:a="http://schemas.openxmlformats.org/drawingml/2006/main">
                  <a:graphicData uri="http://schemas.microsoft.com/office/word/2010/wordprocessingShape">
                    <wps:wsp>
                      <wps:cNvSpPr txBox="1"/>
                      <wps:spPr>
                        <a:xfrm>
                          <a:off x="0" y="0"/>
                          <a:ext cx="228600" cy="175260"/>
                        </a:xfrm>
                        <a:prstGeom prst="rect"/>
                        <a:solidFill>
                          <a:srgbClr val="FFFFFF"/>
                        </a:solidFill>
                      </wps:spPr>
                      <wps:txbx>
                        <w:txbxContent>
                          <w:p>
                            <w:pPr>
                              <w:pStyle w:val="TextBody"/>
                              <w:bidi w:val="0"/>
                              <w:spacing w:before="0" w:after="283"/>
                              <w:jc w:val="left"/>
                              <w:rPr/>
                            </w:pPr>
                            <w:r>
                              <w:rPr/>
                              <w:t xml:space="preserve">● </w:t>
                            </w:r>
                          </w:p>
                        </w:txbxContent>
                      </wps:txbx>
                      <wps:bodyPr anchor="t" lIns="0" tIns="0" rIns="0" bIns="0">
                        <a:noAutofit/>
                      </wps:bodyPr>
                    </wps:wsp>
                  </a:graphicData>
                </a:graphic>
              </wp:anchor>
            </w:drawing>
          </mc:Choice>
          <mc:Fallback>
            <w:pict>
              <v:rect style="position:absolute;rotation:-0;width: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 xml:space="preserve">● </w:t>
                      </w:r>
                    </w:p>
                  </w:txbxContent>
                </v:textbox>
                <w10:wrap type="square" side="right"/>
              </v:rect>
            </w:pict>
          </mc:Fallback>
        </mc:AlternateContent>
      </w:r>
    </w:p>
    <w:p>
      <w:pPr>
        <w:pStyle w:val="TextBody"/>
        <w:bidi w:val="0"/>
        <w:spacing w:before="0" w:after="0"/>
        <w:ind w:left="720" w:right="0" w:hanging="0"/>
        <w:jc w:val="both"/>
        <w:rPr/>
      </w:pPr>
      <w:r>
        <w:rPr/>
        <w:t xml:space="preserve">  </w:t>
      </w:r>
    </w:p>
    <w:p>
      <w:pPr>
        <w:pStyle w:val="TextBody"/>
        <w:bidi w:val="0"/>
        <w:spacing w:before="0" w:after="0"/>
        <w:ind w:left="0" w:right="0" w:hanging="360"/>
        <w:jc w:val="both"/>
        <w:rPr>
          <w:rFonts w:ascii="Times New Roman" w:hAnsi="Times New Roman"/>
          <w:sz w:val="20"/>
        </w:rPr>
      </w:pPr>
      <w:r>
        <w:rPr>
          <w:rFonts w:ascii="Times New Roman" w:hAnsi="Times New Roman"/>
          <w:sz w:val="20"/>
        </w:rPr>
        <w:t xml:space="preserve">We contract with third parties for the filling, packaging, testing and labeling of the drug substance we manufacture, and we also obtain source plasma from certain third parties. This reliance on third parties carries the risk that the services and raw materials upon which we rely may not be performed in a timely manner, in sufficient quantities or according to our specifications, which could delay the availability of our finished drug product and could adversely affect our commercialization efforts and our revenues. </w:t>
      </w:r>
      <w:r>
        <mc:AlternateContent>
          <mc:Choice Requires="wps">
            <w:drawing>
              <wp:anchor behindDoc="0" distT="0" distB="0" distL="0" distR="0" simplePos="0" locked="0" layoutInCell="1" allowOverlap="1" relativeHeight="73">
                <wp:simplePos x="0" y="0"/>
                <wp:positionH relativeFrom="column">
                  <wp:align>left</wp:align>
                </wp:positionH>
                <wp:positionV relativeFrom="line">
                  <wp:posOffset>635</wp:posOffset>
                </wp:positionV>
                <wp:extent cx="228600" cy="175260"/>
                <wp:effectExtent l="0" t="0" r="0" b="0"/>
                <wp:wrapSquare wrapText="right"/>
                <wp:docPr id="72" name="Frame72"/>
                <a:graphic xmlns:a="http://schemas.openxmlformats.org/drawingml/2006/main">
                  <a:graphicData uri="http://schemas.microsoft.com/office/word/2010/wordprocessingShape">
                    <wps:wsp>
                      <wps:cNvSpPr txBox="1"/>
                      <wps:spPr>
                        <a:xfrm>
                          <a:off x="0" y="0"/>
                          <a:ext cx="228600" cy="175260"/>
                        </a:xfrm>
                        <a:prstGeom prst="rect"/>
                        <a:solidFill>
                          <a:srgbClr val="FFFFFF"/>
                        </a:solidFill>
                      </wps:spPr>
                      <wps:txbx>
                        <w:txbxContent>
                          <w:p>
                            <w:pPr>
                              <w:pStyle w:val="TextBody"/>
                              <w:bidi w:val="0"/>
                              <w:spacing w:before="0" w:after="283"/>
                              <w:jc w:val="left"/>
                              <w:rPr/>
                            </w:pPr>
                            <w:r>
                              <w:rPr/>
                              <w:t xml:space="preserve">● </w:t>
                            </w:r>
                          </w:p>
                        </w:txbxContent>
                      </wps:txbx>
                      <wps:bodyPr anchor="t" lIns="0" tIns="0" rIns="0" bIns="0">
                        <a:noAutofit/>
                      </wps:bodyPr>
                    </wps:wsp>
                  </a:graphicData>
                </a:graphic>
              </wp:anchor>
            </w:drawing>
          </mc:Choice>
          <mc:Fallback>
            <w:pict>
              <v:rect style="position:absolute;rotation:-0;width: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 xml:space="preserve">● </w:t>
                      </w:r>
                    </w:p>
                  </w:txbxContent>
                </v:textbox>
                <w10:wrap type="square" side="right"/>
              </v:rect>
            </w:pict>
          </mc:Fallback>
        </mc:AlternateContent>
      </w:r>
    </w:p>
    <w:p>
      <w:pPr>
        <w:pStyle w:val="TextBody"/>
        <w:bidi w:val="0"/>
        <w:spacing w:before="0" w:after="0"/>
        <w:ind w:left="720" w:right="0" w:hanging="0"/>
        <w:jc w:val="both"/>
        <w:rPr/>
      </w:pPr>
      <w:r>
        <w:rPr/>
        <w:t xml:space="preserve">  </w:t>
      </w:r>
    </w:p>
    <w:p>
      <w:pPr>
        <w:pStyle w:val="TextBody"/>
        <w:bidi w:val="0"/>
        <w:spacing w:before="0" w:after="0"/>
        <w:ind w:left="0" w:right="0" w:hanging="360"/>
        <w:jc w:val="both"/>
        <w:rPr>
          <w:rFonts w:ascii="Times New Roman" w:hAnsi="Times New Roman"/>
          <w:sz w:val="20"/>
        </w:rPr>
      </w:pPr>
      <w:r>
        <w:rPr>
          <w:rFonts w:ascii="Times New Roman" w:hAnsi="Times New Roman"/>
          <w:sz w:val="20"/>
        </w:rPr>
        <w:t xml:space="preserve">The estimates of market opportunity and forecasts of market and revenue growth included in our filings may prove to be inaccurate, and even if the markets in which we compete achieve the forecasted growth, our business could fail to grow at similar rates, if at all. </w:t>
      </w:r>
      <w:r>
        <mc:AlternateContent>
          <mc:Choice Requires="wps">
            <w:drawing>
              <wp:anchor behindDoc="0" distT="0" distB="0" distL="0" distR="0" simplePos="0" locked="0" layoutInCell="1" allowOverlap="1" relativeHeight="74">
                <wp:simplePos x="0" y="0"/>
                <wp:positionH relativeFrom="column">
                  <wp:align>left</wp:align>
                </wp:positionH>
                <wp:positionV relativeFrom="line">
                  <wp:posOffset>635</wp:posOffset>
                </wp:positionV>
                <wp:extent cx="228600" cy="175260"/>
                <wp:effectExtent l="0" t="0" r="0" b="0"/>
                <wp:wrapSquare wrapText="right"/>
                <wp:docPr id="73" name="Frame73"/>
                <a:graphic xmlns:a="http://schemas.openxmlformats.org/drawingml/2006/main">
                  <a:graphicData uri="http://schemas.microsoft.com/office/word/2010/wordprocessingShape">
                    <wps:wsp>
                      <wps:cNvSpPr txBox="1"/>
                      <wps:spPr>
                        <a:xfrm>
                          <a:off x="0" y="0"/>
                          <a:ext cx="228600" cy="175260"/>
                        </a:xfrm>
                        <a:prstGeom prst="rect"/>
                        <a:solidFill>
                          <a:srgbClr val="FFFFFF"/>
                        </a:solidFill>
                      </wps:spPr>
                      <wps:txbx>
                        <w:txbxContent>
                          <w:p>
                            <w:pPr>
                              <w:pStyle w:val="TextBody"/>
                              <w:bidi w:val="0"/>
                              <w:spacing w:before="0" w:after="283"/>
                              <w:jc w:val="left"/>
                              <w:rPr/>
                            </w:pPr>
                            <w:r>
                              <w:rPr/>
                              <w:t xml:space="preserve">● </w:t>
                            </w:r>
                          </w:p>
                        </w:txbxContent>
                      </wps:txbx>
                      <wps:bodyPr anchor="t" lIns="0" tIns="0" rIns="0" bIns="0">
                        <a:noAutofit/>
                      </wps:bodyPr>
                    </wps:wsp>
                  </a:graphicData>
                </a:graphic>
              </wp:anchor>
            </w:drawing>
          </mc:Choice>
          <mc:Fallback>
            <w:pict>
              <v:rect style="position:absolute;rotation:-0;width: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 xml:space="preserve">● </w:t>
                      </w:r>
                    </w:p>
                  </w:txbxContent>
                </v:textbox>
                <w10:wrap type="square" side="right"/>
              </v:rect>
            </w:pict>
          </mc:Fallback>
        </mc:AlternateContent>
      </w:r>
    </w:p>
    <w:p>
      <w:pPr>
        <w:pStyle w:val="TextBody"/>
        <w:bidi w:val="0"/>
        <w:spacing w:before="0" w:after="0"/>
        <w:ind w:left="720" w:right="0" w:hanging="0"/>
        <w:jc w:val="both"/>
        <w:rPr/>
      </w:pPr>
      <w:r>
        <w:rPr/>
        <w:t xml:space="preserve">  </w:t>
      </w:r>
    </w:p>
    <w:p>
      <w:pPr>
        <w:pStyle w:val="TextBody"/>
        <w:bidi w:val="0"/>
        <w:spacing w:before="0" w:after="0"/>
        <w:ind w:left="0" w:right="0" w:hanging="360"/>
        <w:jc w:val="both"/>
        <w:rPr>
          <w:rFonts w:ascii="Times New Roman" w:hAnsi="Times New Roman"/>
          <w:sz w:val="20"/>
        </w:rPr>
      </w:pPr>
      <w:r>
        <w:rPr>
          <w:rFonts w:ascii="Times New Roman" w:hAnsi="Times New Roman"/>
          <w:sz w:val="20"/>
        </w:rPr>
        <w:t xml:space="preserve">Both of our business segments and our facilities, as well as our suppliers and contractors, are subject to periodic inspections by the FDA and other regulatory authorities, which, depending on the outcome of such inspections, could result in certain regulatory actions, including the issuance of observations, notices, citations, warning letters or other enforcement actions. </w:t>
      </w:r>
      <w:r>
        <mc:AlternateContent>
          <mc:Choice Requires="wps">
            <w:drawing>
              <wp:anchor behindDoc="0" distT="0" distB="0" distL="0" distR="0" simplePos="0" locked="0" layoutInCell="1" allowOverlap="1" relativeHeight="75">
                <wp:simplePos x="0" y="0"/>
                <wp:positionH relativeFrom="column">
                  <wp:align>left</wp:align>
                </wp:positionH>
                <wp:positionV relativeFrom="line">
                  <wp:posOffset>635</wp:posOffset>
                </wp:positionV>
                <wp:extent cx="228600" cy="175260"/>
                <wp:effectExtent l="0" t="0" r="0" b="0"/>
                <wp:wrapSquare wrapText="right"/>
                <wp:docPr id="74" name="Frame74"/>
                <a:graphic xmlns:a="http://schemas.openxmlformats.org/drawingml/2006/main">
                  <a:graphicData uri="http://schemas.microsoft.com/office/word/2010/wordprocessingShape">
                    <wps:wsp>
                      <wps:cNvSpPr txBox="1"/>
                      <wps:spPr>
                        <a:xfrm>
                          <a:off x="0" y="0"/>
                          <a:ext cx="228600" cy="175260"/>
                        </a:xfrm>
                        <a:prstGeom prst="rect"/>
                        <a:solidFill>
                          <a:srgbClr val="FFFFFF"/>
                        </a:solidFill>
                      </wps:spPr>
                      <wps:txbx>
                        <w:txbxContent>
                          <w:p>
                            <w:pPr>
                              <w:pStyle w:val="TextBody"/>
                              <w:bidi w:val="0"/>
                              <w:spacing w:before="0" w:after="283"/>
                              <w:jc w:val="left"/>
                              <w:rPr/>
                            </w:pPr>
                            <w:r>
                              <w:rPr/>
                              <w:t xml:space="preserve">● </w:t>
                            </w:r>
                          </w:p>
                        </w:txbxContent>
                      </wps:txbx>
                      <wps:bodyPr anchor="t" lIns="0" tIns="0" rIns="0" bIns="0">
                        <a:noAutofit/>
                      </wps:bodyPr>
                    </wps:wsp>
                  </a:graphicData>
                </a:graphic>
              </wp:anchor>
            </w:drawing>
          </mc:Choice>
          <mc:Fallback>
            <w:pict>
              <v:rect style="position:absolute;rotation:-0;width: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 xml:space="preserve">● </w:t>
                      </w:r>
                    </w:p>
                  </w:txbxContent>
                </v:textbox>
                <w10:wrap type="square" side="right"/>
              </v:rect>
            </w:pict>
          </mc:Fallback>
        </mc:AlternateContent>
      </w:r>
    </w:p>
    <w:p>
      <w:pPr>
        <w:pStyle w:val="TextBody"/>
        <w:bidi w:val="0"/>
        <w:spacing w:before="0" w:after="0"/>
        <w:ind w:left="720" w:right="0" w:hanging="0"/>
        <w:jc w:val="both"/>
        <w:rPr/>
      </w:pPr>
      <w:r>
        <w:rPr/>
        <w:t xml:space="preserve">  </w:t>
      </w:r>
    </w:p>
    <w:p>
      <w:pPr>
        <w:pStyle w:val="TextBody"/>
        <w:bidi w:val="0"/>
        <w:spacing w:before="0" w:after="0"/>
        <w:ind w:left="0" w:right="0" w:hanging="360"/>
        <w:jc w:val="both"/>
        <w:rPr>
          <w:rFonts w:ascii="Times New Roman" w:hAnsi="Times New Roman"/>
          <w:sz w:val="20"/>
        </w:rPr>
      </w:pPr>
      <w:r>
        <w:rPr>
          <w:rFonts w:ascii="Times New Roman" w:hAnsi="Times New Roman"/>
          <w:sz w:val="20"/>
        </w:rPr>
        <w:t xml:space="preserve">Business interruptions could adversely affect our business. </w:t>
      </w:r>
      <w:r>
        <mc:AlternateContent>
          <mc:Choice Requires="wps">
            <w:drawing>
              <wp:anchor behindDoc="0" distT="0" distB="0" distL="0" distR="0" simplePos="0" locked="0" layoutInCell="1" allowOverlap="1" relativeHeight="76">
                <wp:simplePos x="0" y="0"/>
                <wp:positionH relativeFrom="column">
                  <wp:align>left</wp:align>
                </wp:positionH>
                <wp:positionV relativeFrom="line">
                  <wp:posOffset>635</wp:posOffset>
                </wp:positionV>
                <wp:extent cx="228600" cy="175260"/>
                <wp:effectExtent l="0" t="0" r="0" b="0"/>
                <wp:wrapSquare wrapText="right"/>
                <wp:docPr id="75" name="Frame75"/>
                <a:graphic xmlns:a="http://schemas.openxmlformats.org/drawingml/2006/main">
                  <a:graphicData uri="http://schemas.microsoft.com/office/word/2010/wordprocessingShape">
                    <wps:wsp>
                      <wps:cNvSpPr txBox="1"/>
                      <wps:spPr>
                        <a:xfrm>
                          <a:off x="0" y="0"/>
                          <a:ext cx="228600" cy="175260"/>
                        </a:xfrm>
                        <a:prstGeom prst="rect"/>
                        <a:solidFill>
                          <a:srgbClr val="FFFFFF"/>
                        </a:solidFill>
                      </wps:spPr>
                      <wps:txbx>
                        <w:txbxContent>
                          <w:p>
                            <w:pPr>
                              <w:pStyle w:val="TextBody"/>
                              <w:bidi w:val="0"/>
                              <w:spacing w:before="0" w:after="283"/>
                              <w:jc w:val="left"/>
                              <w:rPr/>
                            </w:pPr>
                            <w:r>
                              <w:rPr/>
                              <w:t xml:space="preserve">● </w:t>
                            </w:r>
                          </w:p>
                        </w:txbxContent>
                      </wps:txbx>
                      <wps:bodyPr anchor="t" lIns="0" tIns="0" rIns="0" bIns="0">
                        <a:noAutofit/>
                      </wps:bodyPr>
                    </wps:wsp>
                  </a:graphicData>
                </a:graphic>
              </wp:anchor>
            </w:drawing>
          </mc:Choice>
          <mc:Fallback>
            <w:pict>
              <v:rect style="position:absolute;rotation:-0;width: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 xml:space="preserve">● </w:t>
                      </w:r>
                    </w:p>
                  </w:txbxContent>
                </v:textbox>
                <w10:wrap type="square" side="right"/>
              </v:rect>
            </w:pict>
          </mc:Fallback>
        </mc:AlternateContent>
      </w:r>
    </w:p>
    <w:p>
      <w:pPr>
        <w:pStyle w:val="TextBody"/>
        <w:bidi w:val="0"/>
        <w:spacing w:before="0" w:after="0"/>
        <w:ind w:left="720" w:right="0" w:hanging="0"/>
        <w:jc w:val="both"/>
        <w:rPr/>
      </w:pPr>
      <w:r>
        <w:rPr/>
        <w:t xml:space="preserve">  </w:t>
      </w:r>
    </w:p>
    <w:p>
      <w:pPr>
        <w:pStyle w:val="TextBody"/>
        <w:bidi w:val="0"/>
        <w:spacing w:before="0" w:after="0"/>
        <w:ind w:left="0" w:right="0" w:hanging="360"/>
        <w:jc w:val="both"/>
        <w:rPr>
          <w:rFonts w:ascii="Times New Roman" w:hAnsi="Times New Roman"/>
          <w:sz w:val="20"/>
        </w:rPr>
      </w:pPr>
      <w:r>
        <w:rPr>
          <w:rFonts w:ascii="Times New Roman" w:hAnsi="Times New Roman"/>
          <w:sz w:val="20"/>
        </w:rPr>
        <w:t xml:space="preserve">Issues in the development and use of AI may result in reputational harm and increased liability exposure. </w:t>
      </w:r>
      <w:r>
        <mc:AlternateContent>
          <mc:Choice Requires="wps">
            <w:drawing>
              <wp:anchor behindDoc="0" distT="0" distB="0" distL="0" distR="0" simplePos="0" locked="0" layoutInCell="1" allowOverlap="1" relativeHeight="77">
                <wp:simplePos x="0" y="0"/>
                <wp:positionH relativeFrom="column">
                  <wp:align>left</wp:align>
                </wp:positionH>
                <wp:positionV relativeFrom="line">
                  <wp:posOffset>635</wp:posOffset>
                </wp:positionV>
                <wp:extent cx="228600" cy="175260"/>
                <wp:effectExtent l="0" t="0" r="0" b="0"/>
                <wp:wrapSquare wrapText="right"/>
                <wp:docPr id="76" name="Frame76"/>
                <a:graphic xmlns:a="http://schemas.openxmlformats.org/drawingml/2006/main">
                  <a:graphicData uri="http://schemas.microsoft.com/office/word/2010/wordprocessingShape">
                    <wps:wsp>
                      <wps:cNvSpPr txBox="1"/>
                      <wps:spPr>
                        <a:xfrm>
                          <a:off x="0" y="0"/>
                          <a:ext cx="228600" cy="175260"/>
                        </a:xfrm>
                        <a:prstGeom prst="rect"/>
                        <a:solidFill>
                          <a:srgbClr val="FFFFFF"/>
                        </a:solidFill>
                      </wps:spPr>
                      <wps:txbx>
                        <w:txbxContent>
                          <w:p>
                            <w:pPr>
                              <w:pStyle w:val="TextBody"/>
                              <w:bidi w:val="0"/>
                              <w:spacing w:before="0" w:after="283"/>
                              <w:jc w:val="left"/>
                              <w:rPr/>
                            </w:pPr>
                            <w:r>
                              <w:rPr/>
                              <w:t xml:space="preserve">● </w:t>
                            </w:r>
                          </w:p>
                        </w:txbxContent>
                      </wps:txbx>
                      <wps:bodyPr anchor="t" lIns="0" tIns="0" rIns="0" bIns="0">
                        <a:noAutofit/>
                      </wps:bodyPr>
                    </wps:wsp>
                  </a:graphicData>
                </a:graphic>
              </wp:anchor>
            </w:drawing>
          </mc:Choice>
          <mc:Fallback>
            <w:pict>
              <v:rect style="position:absolute;rotation:-0;width: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 xml:space="preserve">● </w:t>
                      </w:r>
                    </w:p>
                  </w:txbxContent>
                </v:textbox>
                <w10:wrap type="square" side="right"/>
              </v:rect>
            </w:pict>
          </mc:Fallback>
        </mc:AlternateContent>
      </w:r>
    </w:p>
    <w:p>
      <w:pPr>
        <w:pStyle w:val="TextBody"/>
        <w:bidi w:val="0"/>
        <w:spacing w:before="0" w:after="0"/>
        <w:ind w:left="720" w:right="0" w:hanging="0"/>
        <w:jc w:val="both"/>
        <w:rPr/>
      </w:pPr>
      <w:r>
        <w:rPr/>
        <w:t xml:space="preserve">  </w:t>
      </w:r>
    </w:p>
    <w:p>
      <w:pPr>
        <w:pStyle w:val="TextBody"/>
        <w:bidi w:val="0"/>
        <w:spacing w:before="0" w:after="0"/>
        <w:ind w:left="0" w:right="0" w:hanging="360"/>
        <w:jc w:val="both"/>
        <w:rPr>
          <w:rFonts w:ascii="Times New Roman" w:hAnsi="Times New Roman"/>
          <w:sz w:val="20"/>
        </w:rPr>
      </w:pPr>
      <w:r>
        <w:rPr>
          <w:rFonts w:ascii="Times New Roman" w:hAnsi="Times New Roman"/>
          <w:sz w:val="20"/>
        </w:rPr>
        <w:t xml:space="preserve">Although we have received approval from the FDA to market ASCENIV as a treatment for PIDD, our ability to market or seek approval for ASCENIV for alternative indications could be limited unless additional clinical trials are conducted successfully and the FDA approves a Biologics License Application (“BLA”) or other required submission for review. </w:t>
      </w:r>
      <w:r>
        <mc:AlternateContent>
          <mc:Choice Requires="wps">
            <w:drawing>
              <wp:anchor behindDoc="0" distT="0" distB="0" distL="0" distR="0" simplePos="0" locked="0" layoutInCell="1" allowOverlap="1" relativeHeight="78">
                <wp:simplePos x="0" y="0"/>
                <wp:positionH relativeFrom="column">
                  <wp:align>left</wp:align>
                </wp:positionH>
                <wp:positionV relativeFrom="line">
                  <wp:posOffset>635</wp:posOffset>
                </wp:positionV>
                <wp:extent cx="228600" cy="175260"/>
                <wp:effectExtent l="0" t="0" r="0" b="0"/>
                <wp:wrapSquare wrapText="right"/>
                <wp:docPr id="77" name="Frame77"/>
                <a:graphic xmlns:a="http://schemas.openxmlformats.org/drawingml/2006/main">
                  <a:graphicData uri="http://schemas.microsoft.com/office/word/2010/wordprocessingShape">
                    <wps:wsp>
                      <wps:cNvSpPr txBox="1"/>
                      <wps:spPr>
                        <a:xfrm>
                          <a:off x="0" y="0"/>
                          <a:ext cx="228600" cy="175260"/>
                        </a:xfrm>
                        <a:prstGeom prst="rect"/>
                        <a:solidFill>
                          <a:srgbClr val="FFFFFF"/>
                        </a:solidFill>
                      </wps:spPr>
                      <wps:txbx>
                        <w:txbxContent>
                          <w:p>
                            <w:pPr>
                              <w:pStyle w:val="TextBody"/>
                              <w:bidi w:val="0"/>
                              <w:spacing w:before="0" w:after="283"/>
                              <w:jc w:val="left"/>
                              <w:rPr/>
                            </w:pPr>
                            <w:r>
                              <w:rPr/>
                              <w:t xml:space="preserve">● </w:t>
                            </w:r>
                          </w:p>
                        </w:txbxContent>
                      </wps:txbx>
                      <wps:bodyPr anchor="t" lIns="0" tIns="0" rIns="0" bIns="0">
                        <a:noAutofit/>
                      </wps:bodyPr>
                    </wps:wsp>
                  </a:graphicData>
                </a:graphic>
              </wp:anchor>
            </w:drawing>
          </mc:Choice>
          <mc:Fallback>
            <w:pict>
              <v:rect style="position:absolute;rotation:-0;width: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 xml:space="preserve">● </w:t>
                      </w:r>
                    </w:p>
                  </w:txbxContent>
                </v:textbox>
                <w10:wrap type="square" side="right"/>
              </v:rect>
            </w:pict>
          </mc:Fallback>
        </mc:AlternateContent>
      </w:r>
    </w:p>
    <w:p>
      <w:pPr>
        <w:pStyle w:val="TextBody"/>
        <w:bidi w:val="0"/>
        <w:spacing w:before="0" w:after="0"/>
        <w:ind w:left="720" w:right="0" w:hanging="0"/>
        <w:jc w:val="both"/>
        <w:rPr/>
      </w:pPr>
      <w:r>
        <w:rPr/>
        <w:t xml:space="preserve">  </w:t>
      </w:r>
    </w:p>
    <w:p>
      <w:pPr>
        <w:pStyle w:val="TextBody"/>
        <w:bidi w:val="0"/>
        <w:spacing w:before="0" w:after="0"/>
        <w:ind w:left="0" w:right="0" w:hanging="360"/>
        <w:jc w:val="both"/>
        <w:rPr>
          <w:rFonts w:ascii="Times New Roman" w:hAnsi="Times New Roman"/>
          <w:sz w:val="20"/>
        </w:rPr>
      </w:pPr>
      <w:r>
        <w:rPr>
          <w:rFonts w:ascii="Times New Roman" w:hAnsi="Times New Roman"/>
          <w:sz w:val="20"/>
        </w:rPr>
        <w:t xml:space="preserve">With the approval of ASCENIV, there can be no assurance that we will be successful in further developing and expanding commercial operations, collecting and procuring an adequate supply of high-titer antibody RSV plasma or balancing our research and development activities with our commercialization activities. </w:t>
      </w:r>
      <w:r>
        <mc:AlternateContent>
          <mc:Choice Requires="wps">
            <w:drawing>
              <wp:anchor behindDoc="0" distT="0" distB="0" distL="0" distR="0" simplePos="0" locked="0" layoutInCell="1" allowOverlap="1" relativeHeight="79">
                <wp:simplePos x="0" y="0"/>
                <wp:positionH relativeFrom="column">
                  <wp:align>left</wp:align>
                </wp:positionH>
                <wp:positionV relativeFrom="line">
                  <wp:posOffset>635</wp:posOffset>
                </wp:positionV>
                <wp:extent cx="228600" cy="175260"/>
                <wp:effectExtent l="0" t="0" r="0" b="0"/>
                <wp:wrapSquare wrapText="right"/>
                <wp:docPr id="78" name="Frame78"/>
                <a:graphic xmlns:a="http://schemas.openxmlformats.org/drawingml/2006/main">
                  <a:graphicData uri="http://schemas.microsoft.com/office/word/2010/wordprocessingShape">
                    <wps:wsp>
                      <wps:cNvSpPr txBox="1"/>
                      <wps:spPr>
                        <a:xfrm>
                          <a:off x="0" y="0"/>
                          <a:ext cx="228600" cy="175260"/>
                        </a:xfrm>
                        <a:prstGeom prst="rect"/>
                        <a:solidFill>
                          <a:srgbClr val="FFFFFF"/>
                        </a:solidFill>
                      </wps:spPr>
                      <wps:txbx>
                        <w:txbxContent>
                          <w:p>
                            <w:pPr>
                              <w:pStyle w:val="TextBody"/>
                              <w:bidi w:val="0"/>
                              <w:spacing w:before="0" w:after="283"/>
                              <w:jc w:val="left"/>
                              <w:rPr/>
                            </w:pPr>
                            <w:r>
                              <w:rPr/>
                              <w:t xml:space="preserve">● </w:t>
                            </w:r>
                          </w:p>
                        </w:txbxContent>
                      </wps:txbx>
                      <wps:bodyPr anchor="t" lIns="0" tIns="0" rIns="0" bIns="0">
                        <a:noAutofit/>
                      </wps:bodyPr>
                    </wps:wsp>
                  </a:graphicData>
                </a:graphic>
              </wp:anchor>
            </w:drawing>
          </mc:Choice>
          <mc:Fallback>
            <w:pict>
              <v:rect style="position:absolute;rotation:-0;width: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 xml:space="preserve">● </w:t>
                      </w:r>
                    </w:p>
                  </w:txbxContent>
                </v:textbox>
                <w10:wrap type="square" side="right"/>
              </v:rect>
            </w:pict>
          </mc:Fallback>
        </mc:AlternateContent>
      </w:r>
    </w:p>
    <w:p>
      <w:pPr>
        <w:pStyle w:val="TextBody"/>
        <w:bidi w:val="0"/>
        <w:spacing w:before="0" w:after="0"/>
        <w:ind w:left="720" w:right="0" w:hanging="0"/>
        <w:jc w:val="both"/>
        <w:rPr/>
      </w:pPr>
      <w:r>
        <w:rPr/>
        <w:t xml:space="preserve">  </w:t>
      </w:r>
    </w:p>
    <w:p>
      <w:pPr>
        <w:pStyle w:val="TextBody"/>
        <w:bidi w:val="0"/>
        <w:spacing w:before="0" w:after="0"/>
        <w:ind w:left="0" w:right="0" w:hanging="360"/>
        <w:jc w:val="both"/>
        <w:rPr>
          <w:rFonts w:ascii="Times New Roman" w:hAnsi="Times New Roman"/>
          <w:sz w:val="20"/>
        </w:rPr>
      </w:pPr>
      <w:r>
        <w:rPr>
          <w:rFonts w:ascii="Times New Roman" w:hAnsi="Times New Roman"/>
          <w:sz w:val="20"/>
        </w:rPr>
        <w:t xml:space="preserve">We depend on third-party researchers, developers and vendors to develop, manufacture, supply materials for or test our products and product candidates, as well as for other pre-and post-approval services, and such parties’ performance is, to some extent, outside of our control. </w:t>
      </w:r>
      <w:r>
        <mc:AlternateContent>
          <mc:Choice Requires="wps">
            <w:drawing>
              <wp:anchor behindDoc="0" distT="0" distB="0" distL="0" distR="0" simplePos="0" locked="0" layoutInCell="1" allowOverlap="1" relativeHeight="80">
                <wp:simplePos x="0" y="0"/>
                <wp:positionH relativeFrom="column">
                  <wp:align>left</wp:align>
                </wp:positionH>
                <wp:positionV relativeFrom="line">
                  <wp:posOffset>635</wp:posOffset>
                </wp:positionV>
                <wp:extent cx="228600" cy="175260"/>
                <wp:effectExtent l="0" t="0" r="0" b="0"/>
                <wp:wrapSquare wrapText="right"/>
                <wp:docPr id="79" name="Frame79"/>
                <a:graphic xmlns:a="http://schemas.openxmlformats.org/drawingml/2006/main">
                  <a:graphicData uri="http://schemas.microsoft.com/office/word/2010/wordprocessingShape">
                    <wps:wsp>
                      <wps:cNvSpPr txBox="1"/>
                      <wps:spPr>
                        <a:xfrm>
                          <a:off x="0" y="0"/>
                          <a:ext cx="228600" cy="175260"/>
                        </a:xfrm>
                        <a:prstGeom prst="rect"/>
                        <a:solidFill>
                          <a:srgbClr val="FFFFFF"/>
                        </a:solidFill>
                      </wps:spPr>
                      <wps:txbx>
                        <w:txbxContent>
                          <w:p>
                            <w:pPr>
                              <w:pStyle w:val="TextBody"/>
                              <w:bidi w:val="0"/>
                              <w:spacing w:before="0" w:after="283"/>
                              <w:jc w:val="left"/>
                              <w:rPr/>
                            </w:pPr>
                            <w:r>
                              <w:rPr/>
                              <w:t xml:space="preserve">● </w:t>
                            </w:r>
                          </w:p>
                        </w:txbxContent>
                      </wps:txbx>
                      <wps:bodyPr anchor="t" lIns="0" tIns="0" rIns="0" bIns="0">
                        <a:noAutofit/>
                      </wps:bodyPr>
                    </wps:wsp>
                  </a:graphicData>
                </a:graphic>
              </wp:anchor>
            </w:drawing>
          </mc:Choice>
          <mc:Fallback>
            <w:pict>
              <v:rect style="position:absolute;rotation:-0;width: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 xml:space="preserve">● </w:t>
                      </w:r>
                    </w:p>
                  </w:txbxContent>
                </v:textbox>
                <w10:wrap type="square" side="right"/>
              </v:rect>
            </w:pict>
          </mc:Fallback>
        </mc:AlternateContent>
      </w:r>
    </w:p>
    <w:p>
      <w:pPr>
        <w:pStyle w:val="TextBody"/>
        <w:bidi w:val="0"/>
        <w:spacing w:before="0" w:after="0"/>
        <w:ind w:left="720" w:right="0" w:hanging="0"/>
        <w:jc w:val="both"/>
        <w:rPr/>
      </w:pPr>
      <w:r>
        <w:rPr/>
        <w:t xml:space="preserve">  </w:t>
      </w:r>
    </w:p>
    <w:p>
      <w:pPr>
        <w:pStyle w:val="TextBody"/>
        <w:bidi w:val="0"/>
        <w:spacing w:before="0" w:after="0"/>
        <w:ind w:left="0" w:right="0" w:hanging="360"/>
        <w:jc w:val="both"/>
        <w:rPr>
          <w:rFonts w:ascii="Times New Roman" w:hAnsi="Times New Roman"/>
          <w:sz w:val="20"/>
        </w:rPr>
      </w:pPr>
      <w:r>
        <w:rPr>
          <w:rFonts w:ascii="Times New Roman" w:hAnsi="Times New Roman"/>
          <w:sz w:val="20"/>
        </w:rPr>
        <w:t xml:space="preserve">We may be unable to successfully expand our manufacturing processes to fulfill demand for our products or increase our production capabilities through the addition of new equipment, including if we do not obtain requisite approval from the FDA. </w:t>
      </w:r>
      <w:r>
        <mc:AlternateContent>
          <mc:Choice Requires="wps">
            <w:drawing>
              <wp:anchor behindDoc="0" distT="0" distB="0" distL="0" distR="0" simplePos="0" locked="0" layoutInCell="1" allowOverlap="1" relativeHeight="81">
                <wp:simplePos x="0" y="0"/>
                <wp:positionH relativeFrom="column">
                  <wp:align>left</wp:align>
                </wp:positionH>
                <wp:positionV relativeFrom="line">
                  <wp:posOffset>635</wp:posOffset>
                </wp:positionV>
                <wp:extent cx="228600" cy="175260"/>
                <wp:effectExtent l="0" t="0" r="0" b="0"/>
                <wp:wrapSquare wrapText="right"/>
                <wp:docPr id="80" name="Frame80"/>
                <a:graphic xmlns:a="http://schemas.openxmlformats.org/drawingml/2006/main">
                  <a:graphicData uri="http://schemas.microsoft.com/office/word/2010/wordprocessingShape">
                    <wps:wsp>
                      <wps:cNvSpPr txBox="1"/>
                      <wps:spPr>
                        <a:xfrm>
                          <a:off x="0" y="0"/>
                          <a:ext cx="228600" cy="175260"/>
                        </a:xfrm>
                        <a:prstGeom prst="rect"/>
                        <a:solidFill>
                          <a:srgbClr val="FFFFFF"/>
                        </a:solidFill>
                      </wps:spPr>
                      <wps:txbx>
                        <w:txbxContent>
                          <w:p>
                            <w:pPr>
                              <w:pStyle w:val="TextBody"/>
                              <w:bidi w:val="0"/>
                              <w:spacing w:before="0" w:after="283"/>
                              <w:jc w:val="left"/>
                              <w:rPr/>
                            </w:pPr>
                            <w:r>
                              <w:rPr/>
                              <w:t xml:space="preserve">● </w:t>
                            </w:r>
                          </w:p>
                        </w:txbxContent>
                      </wps:txbx>
                      <wps:bodyPr anchor="t" lIns="0" tIns="0" rIns="0" bIns="0">
                        <a:noAutofit/>
                      </wps:bodyPr>
                    </wps:wsp>
                  </a:graphicData>
                </a:graphic>
              </wp:anchor>
            </w:drawing>
          </mc:Choice>
          <mc:Fallback>
            <w:pict>
              <v:rect style="position:absolute;rotation:-0;width: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 xml:space="preserve">● </w:t>
                      </w:r>
                    </w:p>
                  </w:txbxContent>
                </v:textbox>
                <w10:wrap type="square" side="right"/>
              </v:rect>
            </w:pict>
          </mc:Fallback>
        </mc:AlternateContent>
      </w:r>
    </w:p>
    <w:p>
      <w:pPr>
        <w:pStyle w:val="TextBody"/>
        <w:bidi w:val="0"/>
        <w:spacing w:before="0" w:after="0"/>
        <w:ind w:left="720" w:right="0" w:hanging="0"/>
        <w:jc w:val="both"/>
        <w:rPr/>
      </w:pPr>
      <w:r>
        <w:rPr/>
        <w:t xml:space="preserve">  </w:t>
      </w:r>
    </w:p>
    <w:p>
      <w:pPr>
        <w:pStyle w:val="TextBody"/>
        <w:bidi w:val="0"/>
        <w:spacing w:before="150" w:after="15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t>31</w:t>
      </w:r>
    </w:p>
    <w:p>
      <w:pPr>
        <w:pStyle w:val="HorizontalLine"/>
        <w:bidi w:val="0"/>
        <w:spacing w:before="150" w:after="150"/>
        <w:jc w:val="left"/>
        <w:rPr/>
      </w:pPr>
      <w:r>
        <w:rPr/>
      </w:r>
    </w:p>
    <w:p>
      <w:pPr>
        <w:pStyle w:val="TextBody"/>
        <w:bidi w:val="0"/>
        <w:spacing w:before="150" w:after="150"/>
        <w:jc w:val="left"/>
        <w:rPr/>
      </w:pPr>
      <w:hyperlink w:anchor="index">
        <w:r>
          <w:rPr>
            <w:rStyle w:val="InternetLink"/>
            <w:rFonts w:ascii="TimesNewRoman;Times New Roman;Times;Baskerville;Georgia;serif" w:hAnsi="TimesNewRoman;Times New Roman;Times;Baskerville;Georgia;serif"/>
            <w:b w:val="false"/>
            <w:i/>
            <w:caps w:val="false"/>
            <w:smallCaps w:val="false"/>
            <w:strike w:val="false"/>
            <w:dstrike w:val="false"/>
            <w:sz w:val="16"/>
            <w:u w:val="none"/>
            <w:effect w:val="none"/>
          </w:rPr>
          <w:t>Index</w:t>
        </w:r>
      </w:hyperlink>
    </w:p>
    <w:p>
      <w:pPr>
        <w:pStyle w:val="TextBody"/>
        <w:bidi w:val="0"/>
        <w:spacing w:before="0" w:after="0"/>
        <w:ind w:left="0" w:right="0" w:hanging="360"/>
        <w:jc w:val="both"/>
        <w:rPr>
          <w:rFonts w:ascii="Times New Roman" w:hAnsi="Times New Roman"/>
          <w:sz w:val="20"/>
        </w:rPr>
      </w:pPr>
      <w:r>
        <w:rPr>
          <w:rFonts w:ascii="Times New Roman" w:hAnsi="Times New Roman"/>
          <w:sz w:val="20"/>
        </w:rPr>
        <w:t xml:space="preserve">Our products, and any additional products for which we may obtain marketing approval in the future, could be subject to post-marketing restrictions or withdrawal from the market and we could be subject to substantial penalties if we fail to comply with regulatory requirements or if we experience unanticipated problems with our products following approval. </w:t>
      </w:r>
      <w:r>
        <mc:AlternateContent>
          <mc:Choice Requires="wps">
            <w:drawing>
              <wp:anchor behindDoc="0" distT="0" distB="0" distL="0" distR="0" simplePos="0" locked="0" layoutInCell="1" allowOverlap="1" relativeHeight="82">
                <wp:simplePos x="0" y="0"/>
                <wp:positionH relativeFrom="column">
                  <wp:align>left</wp:align>
                </wp:positionH>
                <wp:positionV relativeFrom="line">
                  <wp:posOffset>635</wp:posOffset>
                </wp:positionV>
                <wp:extent cx="228600" cy="175260"/>
                <wp:effectExtent l="0" t="0" r="0" b="0"/>
                <wp:wrapSquare wrapText="right"/>
                <wp:docPr id="81" name="Frame81"/>
                <a:graphic xmlns:a="http://schemas.openxmlformats.org/drawingml/2006/main">
                  <a:graphicData uri="http://schemas.microsoft.com/office/word/2010/wordprocessingShape">
                    <wps:wsp>
                      <wps:cNvSpPr txBox="1"/>
                      <wps:spPr>
                        <a:xfrm>
                          <a:off x="0" y="0"/>
                          <a:ext cx="228600" cy="175260"/>
                        </a:xfrm>
                        <a:prstGeom prst="rect"/>
                        <a:solidFill>
                          <a:srgbClr val="FFFFFF"/>
                        </a:solidFill>
                      </wps:spPr>
                      <wps:txbx>
                        <w:txbxContent>
                          <w:p>
                            <w:pPr>
                              <w:pStyle w:val="TextBody"/>
                              <w:bidi w:val="0"/>
                              <w:spacing w:before="0" w:after="283"/>
                              <w:jc w:val="left"/>
                              <w:rPr/>
                            </w:pPr>
                            <w:r>
                              <w:rPr/>
                              <w:t xml:space="preserve">● </w:t>
                            </w:r>
                          </w:p>
                        </w:txbxContent>
                      </wps:txbx>
                      <wps:bodyPr anchor="t" lIns="0" tIns="0" rIns="0" bIns="0">
                        <a:noAutofit/>
                      </wps:bodyPr>
                    </wps:wsp>
                  </a:graphicData>
                </a:graphic>
              </wp:anchor>
            </w:drawing>
          </mc:Choice>
          <mc:Fallback>
            <w:pict>
              <v:rect style="position:absolute;rotation:-0;width: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 xml:space="preserve">● </w:t>
                      </w:r>
                    </w:p>
                  </w:txbxContent>
                </v:textbox>
                <w10:wrap type="square" side="right"/>
              </v:rect>
            </w:pict>
          </mc:Fallback>
        </mc:AlternateContent>
      </w:r>
    </w:p>
    <w:p>
      <w:pPr>
        <w:pStyle w:val="TextBody"/>
        <w:bidi w:val="0"/>
        <w:spacing w:before="0" w:after="0"/>
        <w:ind w:left="720" w:right="0" w:hanging="0"/>
        <w:jc w:val="both"/>
        <w:rPr/>
      </w:pPr>
      <w:r>
        <w:rPr/>
        <w:t xml:space="preserve">  </w:t>
      </w:r>
    </w:p>
    <w:p>
      <w:pPr>
        <w:pStyle w:val="TextBody"/>
        <w:bidi w:val="0"/>
        <w:spacing w:before="0" w:after="0"/>
        <w:ind w:left="0" w:right="0" w:hanging="360"/>
        <w:jc w:val="both"/>
        <w:rPr>
          <w:rFonts w:ascii="Times New Roman" w:hAnsi="Times New Roman"/>
          <w:sz w:val="20"/>
        </w:rPr>
      </w:pPr>
      <w:r>
        <w:rPr>
          <w:rFonts w:ascii="Times New Roman" w:hAnsi="Times New Roman"/>
          <w:sz w:val="20"/>
        </w:rPr>
        <w:t xml:space="preserve">Historically, a few customers have accounted for a significant amount of our total revenue and accounts receivable and the loss of any of these customers could have a material adverse effect on our business, results of operations and financial condition. </w:t>
      </w:r>
      <w:r>
        <mc:AlternateContent>
          <mc:Choice Requires="wps">
            <w:drawing>
              <wp:anchor behindDoc="0" distT="0" distB="0" distL="0" distR="0" simplePos="0" locked="0" layoutInCell="1" allowOverlap="1" relativeHeight="83">
                <wp:simplePos x="0" y="0"/>
                <wp:positionH relativeFrom="column">
                  <wp:align>left</wp:align>
                </wp:positionH>
                <wp:positionV relativeFrom="line">
                  <wp:posOffset>635</wp:posOffset>
                </wp:positionV>
                <wp:extent cx="228600" cy="175260"/>
                <wp:effectExtent l="0" t="0" r="0" b="0"/>
                <wp:wrapSquare wrapText="right"/>
                <wp:docPr id="82" name="Frame82"/>
                <a:graphic xmlns:a="http://schemas.openxmlformats.org/drawingml/2006/main">
                  <a:graphicData uri="http://schemas.microsoft.com/office/word/2010/wordprocessingShape">
                    <wps:wsp>
                      <wps:cNvSpPr txBox="1"/>
                      <wps:spPr>
                        <a:xfrm>
                          <a:off x="0" y="0"/>
                          <a:ext cx="228600" cy="175260"/>
                        </a:xfrm>
                        <a:prstGeom prst="rect"/>
                        <a:solidFill>
                          <a:srgbClr val="FFFFFF"/>
                        </a:solidFill>
                      </wps:spPr>
                      <wps:txbx>
                        <w:txbxContent>
                          <w:p>
                            <w:pPr>
                              <w:pStyle w:val="TextBody"/>
                              <w:bidi w:val="0"/>
                              <w:spacing w:before="0" w:after="283"/>
                              <w:jc w:val="left"/>
                              <w:rPr/>
                            </w:pPr>
                            <w:r>
                              <w:rPr/>
                              <w:t xml:space="preserve">● </w:t>
                            </w:r>
                          </w:p>
                        </w:txbxContent>
                      </wps:txbx>
                      <wps:bodyPr anchor="t" lIns="0" tIns="0" rIns="0" bIns="0">
                        <a:noAutofit/>
                      </wps:bodyPr>
                    </wps:wsp>
                  </a:graphicData>
                </a:graphic>
              </wp:anchor>
            </w:drawing>
          </mc:Choice>
          <mc:Fallback>
            <w:pict>
              <v:rect style="position:absolute;rotation:-0;width: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 xml:space="preserve">● </w:t>
                      </w:r>
                    </w:p>
                  </w:txbxContent>
                </v:textbox>
                <w10:wrap type="square" side="right"/>
              </v:rect>
            </w:pict>
          </mc:Fallback>
        </mc:AlternateContent>
      </w:r>
    </w:p>
    <w:p>
      <w:pPr>
        <w:pStyle w:val="TextBody"/>
        <w:bidi w:val="0"/>
        <w:spacing w:before="0" w:after="0"/>
        <w:ind w:left="720" w:right="0" w:hanging="0"/>
        <w:jc w:val="both"/>
        <w:rPr/>
      </w:pPr>
      <w:r>
        <w:rPr/>
        <w:t xml:space="preserve">  </w:t>
      </w:r>
    </w:p>
    <w:p>
      <w:pPr>
        <w:pStyle w:val="TextBody"/>
        <w:bidi w:val="0"/>
        <w:spacing w:before="0" w:after="0"/>
        <w:ind w:left="0" w:right="0" w:hanging="360"/>
        <w:jc w:val="both"/>
        <w:rPr>
          <w:rFonts w:ascii="Times New Roman" w:hAnsi="Times New Roman"/>
          <w:sz w:val="20"/>
        </w:rPr>
      </w:pPr>
      <w:r>
        <w:rPr>
          <w:rFonts w:ascii="Times New Roman" w:hAnsi="Times New Roman"/>
          <w:sz w:val="20"/>
        </w:rPr>
        <w:t xml:space="preserve">Issues with product quality and compliance could have a material adverse effect upon our business, subject us to regulatory actions and cause a loss of customer confidence in us or our products. </w:t>
      </w:r>
      <w:r>
        <mc:AlternateContent>
          <mc:Choice Requires="wps">
            <w:drawing>
              <wp:anchor behindDoc="0" distT="0" distB="0" distL="0" distR="0" simplePos="0" locked="0" layoutInCell="1" allowOverlap="1" relativeHeight="84">
                <wp:simplePos x="0" y="0"/>
                <wp:positionH relativeFrom="column">
                  <wp:align>left</wp:align>
                </wp:positionH>
                <wp:positionV relativeFrom="line">
                  <wp:posOffset>635</wp:posOffset>
                </wp:positionV>
                <wp:extent cx="228600" cy="175260"/>
                <wp:effectExtent l="0" t="0" r="0" b="0"/>
                <wp:wrapSquare wrapText="right"/>
                <wp:docPr id="83" name="Frame83"/>
                <a:graphic xmlns:a="http://schemas.openxmlformats.org/drawingml/2006/main">
                  <a:graphicData uri="http://schemas.microsoft.com/office/word/2010/wordprocessingShape">
                    <wps:wsp>
                      <wps:cNvSpPr txBox="1"/>
                      <wps:spPr>
                        <a:xfrm>
                          <a:off x="0" y="0"/>
                          <a:ext cx="228600" cy="175260"/>
                        </a:xfrm>
                        <a:prstGeom prst="rect"/>
                        <a:solidFill>
                          <a:srgbClr val="FFFFFF"/>
                        </a:solidFill>
                      </wps:spPr>
                      <wps:txbx>
                        <w:txbxContent>
                          <w:p>
                            <w:pPr>
                              <w:pStyle w:val="TextBody"/>
                              <w:bidi w:val="0"/>
                              <w:spacing w:before="0" w:after="283"/>
                              <w:jc w:val="left"/>
                              <w:rPr/>
                            </w:pPr>
                            <w:r>
                              <w:rPr/>
                              <w:t xml:space="preserve">● </w:t>
                            </w:r>
                          </w:p>
                        </w:txbxContent>
                      </wps:txbx>
                      <wps:bodyPr anchor="t" lIns="0" tIns="0" rIns="0" bIns="0">
                        <a:noAutofit/>
                      </wps:bodyPr>
                    </wps:wsp>
                  </a:graphicData>
                </a:graphic>
              </wp:anchor>
            </w:drawing>
          </mc:Choice>
          <mc:Fallback>
            <w:pict>
              <v:rect style="position:absolute;rotation:-0;width: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 xml:space="preserve">● </w:t>
                      </w:r>
                    </w:p>
                  </w:txbxContent>
                </v:textbox>
                <w10:wrap type="square" side="right"/>
              </v:rect>
            </w:pict>
          </mc:Fallback>
        </mc:AlternateContent>
      </w:r>
    </w:p>
    <w:p>
      <w:pPr>
        <w:pStyle w:val="TextBody"/>
        <w:bidi w:val="0"/>
        <w:spacing w:before="0" w:after="0"/>
        <w:ind w:left="720" w:right="0" w:hanging="0"/>
        <w:jc w:val="both"/>
        <w:rPr/>
      </w:pPr>
      <w:r>
        <w:rPr/>
        <w:t xml:space="preserve">  </w:t>
      </w:r>
    </w:p>
    <w:p>
      <w:pPr>
        <w:pStyle w:val="TextBody"/>
        <w:bidi w:val="0"/>
        <w:spacing w:before="0" w:after="0"/>
        <w:ind w:left="0" w:right="0" w:hanging="360"/>
        <w:jc w:val="both"/>
        <w:rPr>
          <w:rFonts w:ascii="Times New Roman" w:hAnsi="Times New Roman"/>
          <w:sz w:val="20"/>
        </w:rPr>
      </w:pPr>
      <w:r>
        <w:rPr>
          <w:rFonts w:ascii="Times New Roman" w:hAnsi="Times New Roman"/>
          <w:sz w:val="20"/>
        </w:rPr>
        <w:t xml:space="preserve">If physicians, payers and patients do not accept and use our current products or our future product candidates, our ability to generate revenue from these products will be materially impaired. </w:t>
      </w:r>
      <w:r>
        <mc:AlternateContent>
          <mc:Choice Requires="wps">
            <w:drawing>
              <wp:anchor behindDoc="0" distT="0" distB="0" distL="0" distR="0" simplePos="0" locked="0" layoutInCell="1" allowOverlap="1" relativeHeight="85">
                <wp:simplePos x="0" y="0"/>
                <wp:positionH relativeFrom="column">
                  <wp:align>left</wp:align>
                </wp:positionH>
                <wp:positionV relativeFrom="line">
                  <wp:posOffset>635</wp:posOffset>
                </wp:positionV>
                <wp:extent cx="228600" cy="175260"/>
                <wp:effectExtent l="0" t="0" r="0" b="0"/>
                <wp:wrapSquare wrapText="right"/>
                <wp:docPr id="84" name="Frame84"/>
                <a:graphic xmlns:a="http://schemas.openxmlformats.org/drawingml/2006/main">
                  <a:graphicData uri="http://schemas.microsoft.com/office/word/2010/wordprocessingShape">
                    <wps:wsp>
                      <wps:cNvSpPr txBox="1"/>
                      <wps:spPr>
                        <a:xfrm>
                          <a:off x="0" y="0"/>
                          <a:ext cx="228600" cy="175260"/>
                        </a:xfrm>
                        <a:prstGeom prst="rect"/>
                        <a:solidFill>
                          <a:srgbClr val="FFFFFF"/>
                        </a:solidFill>
                      </wps:spPr>
                      <wps:txbx>
                        <w:txbxContent>
                          <w:p>
                            <w:pPr>
                              <w:pStyle w:val="TextBody"/>
                              <w:bidi w:val="0"/>
                              <w:spacing w:before="0" w:after="283"/>
                              <w:jc w:val="left"/>
                              <w:rPr/>
                            </w:pPr>
                            <w:r>
                              <w:rPr/>
                              <w:t xml:space="preserve">● </w:t>
                            </w:r>
                          </w:p>
                        </w:txbxContent>
                      </wps:txbx>
                      <wps:bodyPr anchor="t" lIns="0" tIns="0" rIns="0" bIns="0">
                        <a:noAutofit/>
                      </wps:bodyPr>
                    </wps:wsp>
                  </a:graphicData>
                </a:graphic>
              </wp:anchor>
            </w:drawing>
          </mc:Choice>
          <mc:Fallback>
            <w:pict>
              <v:rect style="position:absolute;rotation:-0;width: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 xml:space="preserve">● </w:t>
                      </w:r>
                    </w:p>
                  </w:txbxContent>
                </v:textbox>
                <w10:wrap type="square" side="right"/>
              </v:rect>
            </w:pict>
          </mc:Fallback>
        </mc:AlternateContent>
      </w:r>
    </w:p>
    <w:p>
      <w:pPr>
        <w:pStyle w:val="TextBody"/>
        <w:bidi w:val="0"/>
        <w:spacing w:before="0" w:after="0"/>
        <w:ind w:left="720" w:right="0" w:hanging="0"/>
        <w:jc w:val="both"/>
        <w:rPr/>
      </w:pPr>
      <w:r>
        <w:rPr/>
        <w:t xml:space="preserve">  </w:t>
      </w:r>
    </w:p>
    <w:p>
      <w:pPr>
        <w:pStyle w:val="TextBody"/>
        <w:bidi w:val="0"/>
        <w:spacing w:before="0" w:after="0"/>
        <w:ind w:left="0" w:right="0" w:hanging="360"/>
        <w:jc w:val="both"/>
        <w:rPr>
          <w:rFonts w:ascii="Times New Roman" w:hAnsi="Times New Roman"/>
          <w:sz w:val="20"/>
        </w:rPr>
      </w:pPr>
      <w:r>
        <w:rPr>
          <w:rFonts w:ascii="Times New Roman" w:hAnsi="Times New Roman"/>
          <w:sz w:val="20"/>
        </w:rPr>
        <w:t xml:space="preserve">Our accruals for U.S. Medicaid rebates and other liabilities related to the sale of our immunoglobulin products are estimates based on historical experience and other assumptions. These estimates are subject to change based on actual results and other factors. Any such change could have a material effect on our business, financial position and operating results. </w:t>
      </w:r>
      <w:r>
        <mc:AlternateContent>
          <mc:Choice Requires="wps">
            <w:drawing>
              <wp:anchor behindDoc="0" distT="0" distB="0" distL="0" distR="0" simplePos="0" locked="0" layoutInCell="1" allowOverlap="1" relativeHeight="86">
                <wp:simplePos x="0" y="0"/>
                <wp:positionH relativeFrom="column">
                  <wp:align>left</wp:align>
                </wp:positionH>
                <wp:positionV relativeFrom="line">
                  <wp:posOffset>635</wp:posOffset>
                </wp:positionV>
                <wp:extent cx="228600" cy="175260"/>
                <wp:effectExtent l="0" t="0" r="0" b="0"/>
                <wp:wrapSquare wrapText="right"/>
                <wp:docPr id="85" name="Frame85"/>
                <a:graphic xmlns:a="http://schemas.openxmlformats.org/drawingml/2006/main">
                  <a:graphicData uri="http://schemas.microsoft.com/office/word/2010/wordprocessingShape">
                    <wps:wsp>
                      <wps:cNvSpPr txBox="1"/>
                      <wps:spPr>
                        <a:xfrm>
                          <a:off x="0" y="0"/>
                          <a:ext cx="228600" cy="175260"/>
                        </a:xfrm>
                        <a:prstGeom prst="rect"/>
                        <a:solidFill>
                          <a:srgbClr val="FFFFFF"/>
                        </a:solidFill>
                      </wps:spPr>
                      <wps:txbx>
                        <w:txbxContent>
                          <w:p>
                            <w:pPr>
                              <w:pStyle w:val="TextBody"/>
                              <w:bidi w:val="0"/>
                              <w:spacing w:before="0" w:after="283"/>
                              <w:jc w:val="left"/>
                              <w:rPr/>
                            </w:pPr>
                            <w:r>
                              <w:rPr/>
                              <w:t xml:space="preserve">● </w:t>
                            </w:r>
                          </w:p>
                        </w:txbxContent>
                      </wps:txbx>
                      <wps:bodyPr anchor="t" lIns="0" tIns="0" rIns="0" bIns="0">
                        <a:noAutofit/>
                      </wps:bodyPr>
                    </wps:wsp>
                  </a:graphicData>
                </a:graphic>
              </wp:anchor>
            </w:drawing>
          </mc:Choice>
          <mc:Fallback>
            <w:pict>
              <v:rect style="position:absolute;rotation:-0;width: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 xml:space="preserve">● </w:t>
                      </w:r>
                    </w:p>
                  </w:txbxContent>
                </v:textbox>
                <w10:wrap type="square" side="right"/>
              </v:rect>
            </w:pict>
          </mc:Fallback>
        </mc:AlternateContent>
      </w:r>
    </w:p>
    <w:p>
      <w:pPr>
        <w:pStyle w:val="TextBody"/>
        <w:bidi w:val="0"/>
        <w:spacing w:before="0" w:after="0"/>
        <w:ind w:left="720" w:right="0" w:hanging="0"/>
        <w:jc w:val="both"/>
        <w:rPr/>
      </w:pPr>
      <w:r>
        <w:rPr/>
        <w:t xml:space="preserve">  </w:t>
      </w:r>
    </w:p>
    <w:p>
      <w:pPr>
        <w:pStyle w:val="TextBody"/>
        <w:bidi w:val="0"/>
        <w:spacing w:before="0" w:after="0"/>
        <w:ind w:left="0" w:right="0" w:hanging="360"/>
        <w:jc w:val="both"/>
        <w:rPr>
          <w:rFonts w:ascii="Times New Roman" w:hAnsi="Times New Roman"/>
          <w:sz w:val="20"/>
        </w:rPr>
      </w:pPr>
      <w:r>
        <w:rPr>
          <w:rFonts w:ascii="Times New Roman" w:hAnsi="Times New Roman"/>
          <w:sz w:val="20"/>
        </w:rPr>
        <w:t xml:space="preserve">Our long-term success may depend on our ability to supplement our existing product portfolio through new product development or the in-license or acquisition of other new products, product candidates and label expansion of existing products, and if our business development efforts are not successful, our ability to maintain profitability may be adversely impacted. </w:t>
      </w:r>
      <w:r>
        <mc:AlternateContent>
          <mc:Choice Requires="wps">
            <w:drawing>
              <wp:anchor behindDoc="0" distT="0" distB="0" distL="0" distR="0" simplePos="0" locked="0" layoutInCell="1" allowOverlap="1" relativeHeight="87">
                <wp:simplePos x="0" y="0"/>
                <wp:positionH relativeFrom="column">
                  <wp:align>left</wp:align>
                </wp:positionH>
                <wp:positionV relativeFrom="line">
                  <wp:posOffset>635</wp:posOffset>
                </wp:positionV>
                <wp:extent cx="228600" cy="175260"/>
                <wp:effectExtent l="0" t="0" r="0" b="0"/>
                <wp:wrapSquare wrapText="right"/>
                <wp:docPr id="86" name="Frame86"/>
                <a:graphic xmlns:a="http://schemas.openxmlformats.org/drawingml/2006/main">
                  <a:graphicData uri="http://schemas.microsoft.com/office/word/2010/wordprocessingShape">
                    <wps:wsp>
                      <wps:cNvSpPr txBox="1"/>
                      <wps:spPr>
                        <a:xfrm>
                          <a:off x="0" y="0"/>
                          <a:ext cx="228600" cy="175260"/>
                        </a:xfrm>
                        <a:prstGeom prst="rect"/>
                        <a:solidFill>
                          <a:srgbClr val="FFFFFF"/>
                        </a:solidFill>
                      </wps:spPr>
                      <wps:txbx>
                        <w:txbxContent>
                          <w:p>
                            <w:pPr>
                              <w:pStyle w:val="TextBody"/>
                              <w:bidi w:val="0"/>
                              <w:spacing w:before="0" w:after="283"/>
                              <w:jc w:val="left"/>
                              <w:rPr/>
                            </w:pPr>
                            <w:r>
                              <w:rPr/>
                              <w:t xml:space="preserve">● </w:t>
                            </w:r>
                          </w:p>
                        </w:txbxContent>
                      </wps:txbx>
                      <wps:bodyPr anchor="t" lIns="0" tIns="0" rIns="0" bIns="0">
                        <a:noAutofit/>
                      </wps:bodyPr>
                    </wps:wsp>
                  </a:graphicData>
                </a:graphic>
              </wp:anchor>
            </w:drawing>
          </mc:Choice>
          <mc:Fallback>
            <w:pict>
              <v:rect style="position:absolute;rotation:-0;width: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 xml:space="preserve">● </w:t>
                      </w:r>
                    </w:p>
                  </w:txbxContent>
                </v:textbox>
                <w10:wrap type="square" side="right"/>
              </v:rect>
            </w:pict>
          </mc:Fallback>
        </mc:AlternateContent>
      </w:r>
    </w:p>
    <w:p>
      <w:pPr>
        <w:pStyle w:val="TextBody"/>
        <w:bidi w:val="0"/>
        <w:spacing w:before="0" w:after="0"/>
        <w:ind w:left="720" w:right="0" w:hanging="0"/>
        <w:jc w:val="both"/>
        <w:rPr/>
      </w:pPr>
      <w:r>
        <w:rPr/>
        <w:t xml:space="preserve">  </w:t>
      </w:r>
    </w:p>
    <w:p>
      <w:pPr>
        <w:pStyle w:val="TextBody"/>
        <w:bidi w:val="0"/>
        <w:spacing w:before="0" w:after="0"/>
        <w:ind w:left="0" w:right="0" w:hanging="360"/>
        <w:jc w:val="both"/>
        <w:rPr>
          <w:rFonts w:ascii="Times New Roman" w:hAnsi="Times New Roman"/>
          <w:sz w:val="20"/>
        </w:rPr>
      </w:pPr>
      <w:r>
        <w:rPr>
          <w:rFonts w:ascii="Times New Roman" w:hAnsi="Times New Roman"/>
          <w:sz w:val="20"/>
        </w:rPr>
        <w:t xml:space="preserve">Our ADMA BioCenters operations collect information from donors in the United States that subjects us to consumer and health privacy laws, which could create enforcement and litigation exposure if we fail to meet their requirements. </w:t>
      </w:r>
      <w:r>
        <mc:AlternateContent>
          <mc:Choice Requires="wps">
            <w:drawing>
              <wp:anchor behindDoc="0" distT="0" distB="0" distL="0" distR="0" simplePos="0" locked="0" layoutInCell="1" allowOverlap="1" relativeHeight="88">
                <wp:simplePos x="0" y="0"/>
                <wp:positionH relativeFrom="column">
                  <wp:align>left</wp:align>
                </wp:positionH>
                <wp:positionV relativeFrom="line">
                  <wp:posOffset>635</wp:posOffset>
                </wp:positionV>
                <wp:extent cx="228600" cy="175260"/>
                <wp:effectExtent l="0" t="0" r="0" b="0"/>
                <wp:wrapSquare wrapText="right"/>
                <wp:docPr id="87" name="Frame87"/>
                <a:graphic xmlns:a="http://schemas.openxmlformats.org/drawingml/2006/main">
                  <a:graphicData uri="http://schemas.microsoft.com/office/word/2010/wordprocessingShape">
                    <wps:wsp>
                      <wps:cNvSpPr txBox="1"/>
                      <wps:spPr>
                        <a:xfrm>
                          <a:off x="0" y="0"/>
                          <a:ext cx="228600" cy="175260"/>
                        </a:xfrm>
                        <a:prstGeom prst="rect"/>
                        <a:solidFill>
                          <a:srgbClr val="FFFFFF"/>
                        </a:solidFill>
                      </wps:spPr>
                      <wps:txbx>
                        <w:txbxContent>
                          <w:p>
                            <w:pPr>
                              <w:pStyle w:val="TextBody"/>
                              <w:bidi w:val="0"/>
                              <w:spacing w:before="0" w:after="283"/>
                              <w:jc w:val="left"/>
                              <w:rPr/>
                            </w:pPr>
                            <w:r>
                              <w:rPr/>
                              <w:t xml:space="preserve">● </w:t>
                            </w:r>
                          </w:p>
                        </w:txbxContent>
                      </wps:txbx>
                      <wps:bodyPr anchor="t" lIns="0" tIns="0" rIns="0" bIns="0">
                        <a:noAutofit/>
                      </wps:bodyPr>
                    </wps:wsp>
                  </a:graphicData>
                </a:graphic>
              </wp:anchor>
            </w:drawing>
          </mc:Choice>
          <mc:Fallback>
            <w:pict>
              <v:rect style="position:absolute;rotation:-0;width: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 xml:space="preserve">● </w:t>
                      </w:r>
                    </w:p>
                  </w:txbxContent>
                </v:textbox>
                <w10:wrap type="square" side="right"/>
              </v:rect>
            </w:pict>
          </mc:Fallback>
        </mc:AlternateContent>
      </w:r>
    </w:p>
    <w:p>
      <w:pPr>
        <w:pStyle w:val="TextBody"/>
        <w:bidi w:val="0"/>
        <w:spacing w:before="0" w:after="0"/>
        <w:ind w:left="720" w:right="0" w:hanging="0"/>
        <w:jc w:val="both"/>
        <w:rPr/>
      </w:pPr>
      <w:r>
        <w:rPr/>
        <w:t xml:space="preserve">  </w:t>
      </w:r>
    </w:p>
    <w:p>
      <w:pPr>
        <w:pStyle w:val="TextBody"/>
        <w:bidi w:val="0"/>
        <w:spacing w:before="0" w:after="0"/>
        <w:ind w:left="0" w:right="0" w:hanging="360"/>
        <w:jc w:val="both"/>
        <w:rPr>
          <w:rFonts w:ascii="Times New Roman" w:hAnsi="Times New Roman"/>
          <w:sz w:val="20"/>
        </w:rPr>
      </w:pPr>
      <w:r>
        <w:rPr>
          <w:rFonts w:ascii="Times New Roman" w:hAnsi="Times New Roman"/>
          <w:sz w:val="20"/>
        </w:rPr>
        <w:t xml:space="preserve">Our senior secured credit facility with JPMorgan Chase Bank, N.A. and certain other lenders party thereto (collectively “JPMorgan”) is subject to acceleration in specified circumstances, which may result in JPMorgan taking possession and disposing of any collateral. </w:t>
      </w:r>
      <w:r>
        <mc:AlternateContent>
          <mc:Choice Requires="wps">
            <w:drawing>
              <wp:anchor behindDoc="0" distT="0" distB="0" distL="0" distR="0" simplePos="0" locked="0" layoutInCell="1" allowOverlap="1" relativeHeight="89">
                <wp:simplePos x="0" y="0"/>
                <wp:positionH relativeFrom="column">
                  <wp:align>left</wp:align>
                </wp:positionH>
                <wp:positionV relativeFrom="line">
                  <wp:posOffset>635</wp:posOffset>
                </wp:positionV>
                <wp:extent cx="228600" cy="175260"/>
                <wp:effectExtent l="0" t="0" r="0" b="0"/>
                <wp:wrapSquare wrapText="right"/>
                <wp:docPr id="88" name="Frame88"/>
                <a:graphic xmlns:a="http://schemas.openxmlformats.org/drawingml/2006/main">
                  <a:graphicData uri="http://schemas.microsoft.com/office/word/2010/wordprocessingShape">
                    <wps:wsp>
                      <wps:cNvSpPr txBox="1"/>
                      <wps:spPr>
                        <a:xfrm>
                          <a:off x="0" y="0"/>
                          <a:ext cx="228600" cy="175260"/>
                        </a:xfrm>
                        <a:prstGeom prst="rect"/>
                        <a:solidFill>
                          <a:srgbClr val="FFFFFF"/>
                        </a:solidFill>
                      </wps:spPr>
                      <wps:txbx>
                        <w:txbxContent>
                          <w:p>
                            <w:pPr>
                              <w:pStyle w:val="TextBody"/>
                              <w:bidi w:val="0"/>
                              <w:spacing w:before="0" w:after="283"/>
                              <w:jc w:val="left"/>
                              <w:rPr/>
                            </w:pPr>
                            <w:r>
                              <w:rPr/>
                              <w:t xml:space="preserve">● </w:t>
                            </w:r>
                          </w:p>
                        </w:txbxContent>
                      </wps:txbx>
                      <wps:bodyPr anchor="t" lIns="0" tIns="0" rIns="0" bIns="0">
                        <a:noAutofit/>
                      </wps:bodyPr>
                    </wps:wsp>
                  </a:graphicData>
                </a:graphic>
              </wp:anchor>
            </w:drawing>
          </mc:Choice>
          <mc:Fallback>
            <w:pict>
              <v:rect style="position:absolute;rotation:-0;width: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 xml:space="preserve">● </w:t>
                      </w:r>
                    </w:p>
                  </w:txbxContent>
                </v:textbox>
                <w10:wrap type="square" side="right"/>
              </v:rect>
            </w:pict>
          </mc:Fallback>
        </mc:AlternateContent>
      </w:r>
    </w:p>
    <w:p>
      <w:pPr>
        <w:pStyle w:val="TextBody"/>
        <w:bidi w:val="0"/>
        <w:spacing w:before="0" w:after="0"/>
        <w:ind w:left="720" w:right="0" w:hanging="0"/>
        <w:jc w:val="both"/>
        <w:rPr/>
      </w:pPr>
      <w:r>
        <w:rPr/>
        <w:t xml:space="preserve">  </w:t>
      </w:r>
    </w:p>
    <w:p>
      <w:pPr>
        <w:pStyle w:val="TextBody"/>
        <w:bidi w:val="0"/>
        <w:spacing w:before="0" w:after="0"/>
        <w:ind w:left="0" w:right="0" w:hanging="360"/>
        <w:jc w:val="both"/>
        <w:rPr>
          <w:rFonts w:ascii="Times New Roman" w:hAnsi="Times New Roman"/>
          <w:sz w:val="20"/>
        </w:rPr>
      </w:pPr>
      <w:r>
        <w:rPr>
          <w:rFonts w:ascii="Times New Roman" w:hAnsi="Times New Roman"/>
          <w:sz w:val="20"/>
        </w:rPr>
        <w:t xml:space="preserve">If we are unable to protect our patents, trade secrets or other proprietary rights, if our patents are challenged or if our provisional patent applications do not get approved, our competitiveness and business prospects may be materially damaged. </w:t>
      </w:r>
      <w:r>
        <mc:AlternateContent>
          <mc:Choice Requires="wps">
            <w:drawing>
              <wp:anchor behindDoc="0" distT="0" distB="0" distL="0" distR="0" simplePos="0" locked="0" layoutInCell="1" allowOverlap="1" relativeHeight="90">
                <wp:simplePos x="0" y="0"/>
                <wp:positionH relativeFrom="column">
                  <wp:align>left</wp:align>
                </wp:positionH>
                <wp:positionV relativeFrom="line">
                  <wp:posOffset>635</wp:posOffset>
                </wp:positionV>
                <wp:extent cx="228600" cy="175260"/>
                <wp:effectExtent l="0" t="0" r="0" b="0"/>
                <wp:wrapSquare wrapText="right"/>
                <wp:docPr id="89" name="Frame89"/>
                <a:graphic xmlns:a="http://schemas.openxmlformats.org/drawingml/2006/main">
                  <a:graphicData uri="http://schemas.microsoft.com/office/word/2010/wordprocessingShape">
                    <wps:wsp>
                      <wps:cNvSpPr txBox="1"/>
                      <wps:spPr>
                        <a:xfrm>
                          <a:off x="0" y="0"/>
                          <a:ext cx="228600" cy="175260"/>
                        </a:xfrm>
                        <a:prstGeom prst="rect"/>
                        <a:solidFill>
                          <a:srgbClr val="FFFFFF"/>
                        </a:solidFill>
                      </wps:spPr>
                      <wps:txbx>
                        <w:txbxContent>
                          <w:p>
                            <w:pPr>
                              <w:pStyle w:val="TextBody"/>
                              <w:bidi w:val="0"/>
                              <w:spacing w:before="0" w:after="283"/>
                              <w:jc w:val="left"/>
                              <w:rPr/>
                            </w:pPr>
                            <w:r>
                              <w:rPr/>
                              <w:t xml:space="preserve">● </w:t>
                            </w:r>
                          </w:p>
                        </w:txbxContent>
                      </wps:txbx>
                      <wps:bodyPr anchor="t" lIns="0" tIns="0" rIns="0" bIns="0">
                        <a:noAutofit/>
                      </wps:bodyPr>
                    </wps:wsp>
                  </a:graphicData>
                </a:graphic>
              </wp:anchor>
            </w:drawing>
          </mc:Choice>
          <mc:Fallback>
            <w:pict>
              <v:rect style="position:absolute;rotation:-0;width: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 xml:space="preserve">● </w:t>
                      </w:r>
                    </w:p>
                  </w:txbxContent>
                </v:textbox>
                <w10:wrap type="square" side="right"/>
              </v:rect>
            </w:pict>
          </mc:Fallback>
        </mc:AlternateContent>
      </w:r>
    </w:p>
    <w:p>
      <w:pPr>
        <w:pStyle w:val="TextBody"/>
        <w:bidi w:val="0"/>
        <w:spacing w:before="0" w:after="0"/>
        <w:ind w:left="720" w:right="0" w:hanging="0"/>
        <w:jc w:val="both"/>
        <w:rPr/>
      </w:pPr>
      <w:r>
        <w:rPr/>
        <w:t xml:space="preserve">  </w:t>
      </w:r>
    </w:p>
    <w:p>
      <w:pPr>
        <w:pStyle w:val="TextBody"/>
        <w:bidi w:val="0"/>
        <w:spacing w:before="0" w:after="0"/>
        <w:ind w:left="0" w:right="0" w:hanging="360"/>
        <w:jc w:val="both"/>
        <w:rPr>
          <w:rFonts w:ascii="Times New Roman" w:hAnsi="Times New Roman"/>
          <w:sz w:val="20"/>
        </w:rPr>
      </w:pPr>
      <w:r>
        <w:rPr>
          <w:rFonts w:ascii="Times New Roman" w:hAnsi="Times New Roman"/>
          <w:sz w:val="20"/>
        </w:rPr>
        <w:t xml:space="preserve">Cyberattacks and other security breaches could compromise our proprietary and confidential information or otherwise penetrate our network, which could harm our business and reputation. </w:t>
      </w:r>
      <w:r>
        <mc:AlternateContent>
          <mc:Choice Requires="wps">
            <w:drawing>
              <wp:anchor behindDoc="0" distT="0" distB="0" distL="0" distR="0" simplePos="0" locked="0" layoutInCell="1" allowOverlap="1" relativeHeight="91">
                <wp:simplePos x="0" y="0"/>
                <wp:positionH relativeFrom="column">
                  <wp:align>left</wp:align>
                </wp:positionH>
                <wp:positionV relativeFrom="line">
                  <wp:posOffset>635</wp:posOffset>
                </wp:positionV>
                <wp:extent cx="228600" cy="175260"/>
                <wp:effectExtent l="0" t="0" r="0" b="0"/>
                <wp:wrapSquare wrapText="right"/>
                <wp:docPr id="90" name="Frame90"/>
                <a:graphic xmlns:a="http://schemas.openxmlformats.org/drawingml/2006/main">
                  <a:graphicData uri="http://schemas.microsoft.com/office/word/2010/wordprocessingShape">
                    <wps:wsp>
                      <wps:cNvSpPr txBox="1"/>
                      <wps:spPr>
                        <a:xfrm>
                          <a:off x="0" y="0"/>
                          <a:ext cx="228600" cy="175260"/>
                        </a:xfrm>
                        <a:prstGeom prst="rect"/>
                        <a:solidFill>
                          <a:srgbClr val="FFFFFF"/>
                        </a:solidFill>
                      </wps:spPr>
                      <wps:txbx>
                        <w:txbxContent>
                          <w:p>
                            <w:pPr>
                              <w:pStyle w:val="TextBody"/>
                              <w:bidi w:val="0"/>
                              <w:spacing w:before="0" w:after="283"/>
                              <w:jc w:val="left"/>
                              <w:rPr/>
                            </w:pPr>
                            <w:r>
                              <w:rPr/>
                              <w:t xml:space="preserve">● </w:t>
                            </w:r>
                          </w:p>
                        </w:txbxContent>
                      </wps:txbx>
                      <wps:bodyPr anchor="t" lIns="0" tIns="0" rIns="0" bIns="0">
                        <a:noAutofit/>
                      </wps:bodyPr>
                    </wps:wsp>
                  </a:graphicData>
                </a:graphic>
              </wp:anchor>
            </w:drawing>
          </mc:Choice>
          <mc:Fallback>
            <w:pict>
              <v:rect style="position:absolute;rotation:-0;width: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 xml:space="preserve">● </w:t>
                      </w:r>
                    </w:p>
                  </w:txbxContent>
                </v:textbox>
                <w10:wrap type="square" side="right"/>
              </v:rect>
            </w:pict>
          </mc:Fallback>
        </mc:AlternateContent>
      </w:r>
    </w:p>
    <w:p>
      <w:pPr>
        <w:pStyle w:val="TextBody"/>
        <w:bidi w:val="0"/>
        <w:spacing w:before="0" w:after="0"/>
        <w:ind w:left="720" w:right="0" w:hanging="0"/>
        <w:jc w:val="both"/>
        <w:rPr/>
      </w:pPr>
      <w:r>
        <w:rPr/>
        <w:t xml:space="preserve">  </w:t>
      </w:r>
    </w:p>
    <w:p>
      <w:pPr>
        <w:pStyle w:val="TextBody"/>
        <w:bidi w:val="0"/>
        <w:spacing w:before="0" w:after="0"/>
        <w:ind w:left="0" w:right="0" w:hanging="360"/>
        <w:jc w:val="both"/>
        <w:rPr>
          <w:rFonts w:ascii="Times New Roman" w:hAnsi="Times New Roman"/>
          <w:sz w:val="20"/>
        </w:rPr>
      </w:pPr>
      <w:r>
        <w:rPr>
          <w:rFonts w:ascii="Times New Roman" w:hAnsi="Times New Roman"/>
          <w:sz w:val="20"/>
        </w:rPr>
        <w:t xml:space="preserve">Our ability to continue to produce safe and effective products depends on the safety of our plasma supply, testing by third parties and the timing of receiving the testing results, and the manufacturing processes we have in place to counter transmittable diseases. </w:t>
      </w:r>
      <w:r>
        <mc:AlternateContent>
          <mc:Choice Requires="wps">
            <w:drawing>
              <wp:anchor behindDoc="0" distT="0" distB="0" distL="0" distR="0" simplePos="0" locked="0" layoutInCell="1" allowOverlap="1" relativeHeight="92">
                <wp:simplePos x="0" y="0"/>
                <wp:positionH relativeFrom="column">
                  <wp:align>left</wp:align>
                </wp:positionH>
                <wp:positionV relativeFrom="line">
                  <wp:posOffset>635</wp:posOffset>
                </wp:positionV>
                <wp:extent cx="228600" cy="175260"/>
                <wp:effectExtent l="0" t="0" r="0" b="0"/>
                <wp:wrapSquare wrapText="right"/>
                <wp:docPr id="91" name="Frame91"/>
                <a:graphic xmlns:a="http://schemas.openxmlformats.org/drawingml/2006/main">
                  <a:graphicData uri="http://schemas.microsoft.com/office/word/2010/wordprocessingShape">
                    <wps:wsp>
                      <wps:cNvSpPr txBox="1"/>
                      <wps:spPr>
                        <a:xfrm>
                          <a:off x="0" y="0"/>
                          <a:ext cx="228600" cy="175260"/>
                        </a:xfrm>
                        <a:prstGeom prst="rect"/>
                        <a:solidFill>
                          <a:srgbClr val="FFFFFF"/>
                        </a:solidFill>
                      </wps:spPr>
                      <wps:txbx>
                        <w:txbxContent>
                          <w:p>
                            <w:pPr>
                              <w:pStyle w:val="TextBody"/>
                              <w:bidi w:val="0"/>
                              <w:spacing w:before="0" w:after="283"/>
                              <w:jc w:val="left"/>
                              <w:rPr/>
                            </w:pPr>
                            <w:r>
                              <w:rPr/>
                              <w:t xml:space="preserve">● </w:t>
                            </w:r>
                          </w:p>
                        </w:txbxContent>
                      </wps:txbx>
                      <wps:bodyPr anchor="t" lIns="0" tIns="0" rIns="0" bIns="0">
                        <a:noAutofit/>
                      </wps:bodyPr>
                    </wps:wsp>
                  </a:graphicData>
                </a:graphic>
              </wp:anchor>
            </w:drawing>
          </mc:Choice>
          <mc:Fallback>
            <w:pict>
              <v:rect style="position:absolute;rotation:-0;width: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 xml:space="preserve">● </w:t>
                      </w:r>
                    </w:p>
                  </w:txbxContent>
                </v:textbox>
                <w10:wrap type="square" side="right"/>
              </v:rect>
            </w:pict>
          </mc:Fallback>
        </mc:AlternateContent>
      </w:r>
    </w:p>
    <w:p>
      <w:pPr>
        <w:pStyle w:val="TextBody"/>
        <w:bidi w:val="0"/>
        <w:spacing w:before="0" w:after="0"/>
        <w:ind w:left="720" w:right="0" w:hanging="0"/>
        <w:jc w:val="both"/>
        <w:rPr/>
      </w:pPr>
      <w:r>
        <w:rPr/>
        <w:t xml:space="preserve">  </w:t>
      </w:r>
    </w:p>
    <w:p>
      <w:pPr>
        <w:pStyle w:val="TextBody"/>
        <w:bidi w:val="0"/>
        <w:spacing w:before="0" w:after="0"/>
        <w:ind w:left="0" w:right="0" w:hanging="360"/>
        <w:jc w:val="both"/>
        <w:rPr>
          <w:rFonts w:ascii="Times New Roman" w:hAnsi="Times New Roman"/>
          <w:sz w:val="20"/>
        </w:rPr>
      </w:pPr>
      <w:r>
        <w:rPr>
          <w:rFonts w:ascii="Times New Roman" w:hAnsi="Times New Roman"/>
          <w:sz w:val="20"/>
        </w:rPr>
        <w:t xml:space="preserve">We could become supply-constrained and our financial performance would suffer if we cannot obtain adequate quantities of FDA-approved source and high-titer plasma with proper specifications or other necessary raw materials. </w:t>
      </w:r>
      <w:r>
        <mc:AlternateContent>
          <mc:Choice Requires="wps">
            <w:drawing>
              <wp:anchor behindDoc="0" distT="0" distB="0" distL="0" distR="0" simplePos="0" locked="0" layoutInCell="1" allowOverlap="1" relativeHeight="93">
                <wp:simplePos x="0" y="0"/>
                <wp:positionH relativeFrom="column">
                  <wp:align>left</wp:align>
                </wp:positionH>
                <wp:positionV relativeFrom="line">
                  <wp:posOffset>635</wp:posOffset>
                </wp:positionV>
                <wp:extent cx="228600" cy="175260"/>
                <wp:effectExtent l="0" t="0" r="0" b="0"/>
                <wp:wrapSquare wrapText="right"/>
                <wp:docPr id="92" name="Frame92"/>
                <a:graphic xmlns:a="http://schemas.openxmlformats.org/drawingml/2006/main">
                  <a:graphicData uri="http://schemas.microsoft.com/office/word/2010/wordprocessingShape">
                    <wps:wsp>
                      <wps:cNvSpPr txBox="1"/>
                      <wps:spPr>
                        <a:xfrm>
                          <a:off x="0" y="0"/>
                          <a:ext cx="228600" cy="175260"/>
                        </a:xfrm>
                        <a:prstGeom prst="rect"/>
                        <a:solidFill>
                          <a:srgbClr val="FFFFFF"/>
                        </a:solidFill>
                      </wps:spPr>
                      <wps:txbx>
                        <w:txbxContent>
                          <w:p>
                            <w:pPr>
                              <w:pStyle w:val="TextBody"/>
                              <w:bidi w:val="0"/>
                              <w:spacing w:before="0" w:after="283"/>
                              <w:jc w:val="left"/>
                              <w:rPr/>
                            </w:pPr>
                            <w:r>
                              <w:rPr/>
                              <w:t xml:space="preserve">● </w:t>
                            </w:r>
                          </w:p>
                        </w:txbxContent>
                      </wps:txbx>
                      <wps:bodyPr anchor="t" lIns="0" tIns="0" rIns="0" bIns="0">
                        <a:noAutofit/>
                      </wps:bodyPr>
                    </wps:wsp>
                  </a:graphicData>
                </a:graphic>
              </wp:anchor>
            </w:drawing>
          </mc:Choice>
          <mc:Fallback>
            <w:pict>
              <v:rect style="position:absolute;rotation:-0;width: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 xml:space="preserve">● </w:t>
                      </w:r>
                    </w:p>
                  </w:txbxContent>
                </v:textbox>
                <w10:wrap type="square" side="right"/>
              </v:rect>
            </w:pict>
          </mc:Fallback>
        </mc:AlternateContent>
      </w:r>
    </w:p>
    <w:p>
      <w:pPr>
        <w:pStyle w:val="TextBody"/>
        <w:bidi w:val="0"/>
        <w:spacing w:before="0" w:after="0"/>
        <w:ind w:left="720" w:right="0" w:hanging="0"/>
        <w:jc w:val="both"/>
        <w:rPr/>
      </w:pPr>
      <w:r>
        <w:rPr/>
        <w:t xml:space="preserve">  </w:t>
      </w:r>
    </w:p>
    <w:p>
      <w:pPr>
        <w:pStyle w:val="TextBody"/>
        <w:bidi w:val="0"/>
        <w:spacing w:before="0" w:after="0"/>
        <w:ind w:left="0" w:right="0" w:hanging="360"/>
        <w:jc w:val="both"/>
        <w:rPr>
          <w:rFonts w:ascii="Times New Roman" w:hAnsi="Times New Roman"/>
          <w:sz w:val="20"/>
        </w:rPr>
      </w:pPr>
      <w:r>
        <w:rPr>
          <w:rFonts w:ascii="Times New Roman" w:hAnsi="Times New Roman"/>
          <w:sz w:val="20"/>
        </w:rPr>
        <w:t xml:space="preserve">Our ability to use our net operating loss carryforwards (“NOLs”) may be limited. </w:t>
      </w:r>
      <w:r>
        <mc:AlternateContent>
          <mc:Choice Requires="wps">
            <w:drawing>
              <wp:anchor behindDoc="0" distT="0" distB="0" distL="0" distR="0" simplePos="0" locked="0" layoutInCell="1" allowOverlap="1" relativeHeight="94">
                <wp:simplePos x="0" y="0"/>
                <wp:positionH relativeFrom="column">
                  <wp:align>left</wp:align>
                </wp:positionH>
                <wp:positionV relativeFrom="line">
                  <wp:posOffset>635</wp:posOffset>
                </wp:positionV>
                <wp:extent cx="228600" cy="175260"/>
                <wp:effectExtent l="0" t="0" r="0" b="0"/>
                <wp:wrapSquare wrapText="right"/>
                <wp:docPr id="93" name="Frame93"/>
                <a:graphic xmlns:a="http://schemas.openxmlformats.org/drawingml/2006/main">
                  <a:graphicData uri="http://schemas.microsoft.com/office/word/2010/wordprocessingShape">
                    <wps:wsp>
                      <wps:cNvSpPr txBox="1"/>
                      <wps:spPr>
                        <a:xfrm>
                          <a:off x="0" y="0"/>
                          <a:ext cx="228600" cy="175260"/>
                        </a:xfrm>
                        <a:prstGeom prst="rect"/>
                        <a:solidFill>
                          <a:srgbClr val="FFFFFF"/>
                        </a:solidFill>
                      </wps:spPr>
                      <wps:txbx>
                        <w:txbxContent>
                          <w:p>
                            <w:pPr>
                              <w:pStyle w:val="TextBody"/>
                              <w:bidi w:val="0"/>
                              <w:spacing w:before="0" w:after="283"/>
                              <w:jc w:val="left"/>
                              <w:rPr/>
                            </w:pPr>
                            <w:r>
                              <w:rPr/>
                              <w:t xml:space="preserve">● </w:t>
                            </w:r>
                          </w:p>
                        </w:txbxContent>
                      </wps:txbx>
                      <wps:bodyPr anchor="t" lIns="0" tIns="0" rIns="0" bIns="0">
                        <a:noAutofit/>
                      </wps:bodyPr>
                    </wps:wsp>
                  </a:graphicData>
                </a:graphic>
              </wp:anchor>
            </w:drawing>
          </mc:Choice>
          <mc:Fallback>
            <w:pict>
              <v:rect style="position:absolute;rotation:-0;width: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 xml:space="preserve">● </w:t>
                      </w:r>
                    </w:p>
                  </w:txbxContent>
                </v:textbox>
                <w10:wrap type="square" side="right"/>
              </v:rect>
            </w:pict>
          </mc:Fallback>
        </mc:AlternateContent>
      </w:r>
    </w:p>
    <w:p>
      <w:pPr>
        <w:pStyle w:val="TextBody"/>
        <w:bidi w:val="0"/>
        <w:spacing w:before="0" w:after="0"/>
        <w:ind w:left="720" w:right="0" w:hanging="0"/>
        <w:jc w:val="both"/>
        <w:rPr/>
      </w:pPr>
      <w:r>
        <w:rPr/>
        <w:t xml:space="preserve">  </w:t>
      </w:r>
    </w:p>
    <w:p>
      <w:pPr>
        <w:pStyle w:val="TextBody"/>
        <w:bidi w:val="0"/>
        <w:spacing w:before="0" w:after="0"/>
        <w:ind w:left="0" w:right="0" w:hanging="360"/>
        <w:jc w:val="both"/>
        <w:rPr>
          <w:rFonts w:ascii="Times New Roman" w:hAnsi="Times New Roman"/>
          <w:sz w:val="20"/>
        </w:rPr>
      </w:pPr>
      <w:r>
        <w:rPr>
          <w:rFonts w:ascii="Times New Roman" w:hAnsi="Times New Roman"/>
          <w:sz w:val="20"/>
        </w:rPr>
        <w:t xml:space="preserve">Fluctuations in our tax obligations and effective tax rate and realization of our net deferred tax assets may result in volatility of our operating results and materially impact our financial condition or financial results. </w:t>
      </w:r>
      <w:r>
        <mc:AlternateContent>
          <mc:Choice Requires="wps">
            <w:drawing>
              <wp:anchor behindDoc="0" distT="0" distB="0" distL="0" distR="0" simplePos="0" locked="0" layoutInCell="1" allowOverlap="1" relativeHeight="95">
                <wp:simplePos x="0" y="0"/>
                <wp:positionH relativeFrom="column">
                  <wp:align>left</wp:align>
                </wp:positionH>
                <wp:positionV relativeFrom="line">
                  <wp:posOffset>635</wp:posOffset>
                </wp:positionV>
                <wp:extent cx="228600" cy="175260"/>
                <wp:effectExtent l="0" t="0" r="0" b="0"/>
                <wp:wrapSquare wrapText="right"/>
                <wp:docPr id="94" name="Frame94"/>
                <a:graphic xmlns:a="http://schemas.openxmlformats.org/drawingml/2006/main">
                  <a:graphicData uri="http://schemas.microsoft.com/office/word/2010/wordprocessingShape">
                    <wps:wsp>
                      <wps:cNvSpPr txBox="1"/>
                      <wps:spPr>
                        <a:xfrm>
                          <a:off x="0" y="0"/>
                          <a:ext cx="228600" cy="175260"/>
                        </a:xfrm>
                        <a:prstGeom prst="rect"/>
                        <a:solidFill>
                          <a:srgbClr val="FFFFFF"/>
                        </a:solidFill>
                      </wps:spPr>
                      <wps:txbx>
                        <w:txbxContent>
                          <w:p>
                            <w:pPr>
                              <w:pStyle w:val="TextBody"/>
                              <w:bidi w:val="0"/>
                              <w:spacing w:before="0" w:after="283"/>
                              <w:jc w:val="left"/>
                              <w:rPr/>
                            </w:pPr>
                            <w:r>
                              <w:rPr/>
                              <w:t xml:space="preserve">● </w:t>
                            </w:r>
                          </w:p>
                        </w:txbxContent>
                      </wps:txbx>
                      <wps:bodyPr anchor="t" lIns="0" tIns="0" rIns="0" bIns="0">
                        <a:noAutofit/>
                      </wps:bodyPr>
                    </wps:wsp>
                  </a:graphicData>
                </a:graphic>
              </wp:anchor>
            </w:drawing>
          </mc:Choice>
          <mc:Fallback>
            <w:pict>
              <v:rect style="position:absolute;rotation:-0;width: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 xml:space="preserve">● </w:t>
                      </w:r>
                    </w:p>
                  </w:txbxContent>
                </v:textbox>
                <w10:wrap type="square" side="right"/>
              </v:rect>
            </w:pict>
          </mc:Fallback>
        </mc:AlternateContent>
      </w:r>
    </w:p>
    <w:p>
      <w:pPr>
        <w:pStyle w:val="TextBody"/>
        <w:bidi w:val="0"/>
        <w:spacing w:before="0" w:after="0"/>
        <w:ind w:left="720" w:right="0" w:hanging="0"/>
        <w:jc w:val="both"/>
        <w:rPr/>
      </w:pPr>
      <w:r>
        <w:rPr/>
        <w:t xml:space="preserve">  </w:t>
      </w:r>
    </w:p>
    <w:p>
      <w:pPr>
        <w:pStyle w:val="TextBody"/>
        <w:bidi w:val="0"/>
        <w:spacing w:before="0" w:after="0"/>
        <w:ind w:left="0" w:right="0" w:hanging="360"/>
        <w:jc w:val="both"/>
        <w:rPr>
          <w:rFonts w:ascii="Times New Roman" w:hAnsi="Times New Roman"/>
          <w:sz w:val="20"/>
        </w:rPr>
      </w:pPr>
      <w:r>
        <w:rPr>
          <w:rFonts w:ascii="Times New Roman" w:hAnsi="Times New Roman"/>
          <w:sz w:val="20"/>
        </w:rPr>
        <w:t xml:space="preserve">The market price of our common stock may be volatile and may fluctuate in a way that is disproportionate to our operating performance. </w:t>
      </w:r>
      <w:r>
        <mc:AlternateContent>
          <mc:Choice Requires="wps">
            <w:drawing>
              <wp:anchor behindDoc="0" distT="0" distB="0" distL="0" distR="0" simplePos="0" locked="0" layoutInCell="1" allowOverlap="1" relativeHeight="96">
                <wp:simplePos x="0" y="0"/>
                <wp:positionH relativeFrom="column">
                  <wp:align>left</wp:align>
                </wp:positionH>
                <wp:positionV relativeFrom="line">
                  <wp:posOffset>635</wp:posOffset>
                </wp:positionV>
                <wp:extent cx="228600" cy="175260"/>
                <wp:effectExtent l="0" t="0" r="0" b="0"/>
                <wp:wrapSquare wrapText="right"/>
                <wp:docPr id="95" name="Frame95"/>
                <a:graphic xmlns:a="http://schemas.openxmlformats.org/drawingml/2006/main">
                  <a:graphicData uri="http://schemas.microsoft.com/office/word/2010/wordprocessingShape">
                    <wps:wsp>
                      <wps:cNvSpPr txBox="1"/>
                      <wps:spPr>
                        <a:xfrm>
                          <a:off x="0" y="0"/>
                          <a:ext cx="228600" cy="175260"/>
                        </a:xfrm>
                        <a:prstGeom prst="rect"/>
                        <a:solidFill>
                          <a:srgbClr val="FFFFFF"/>
                        </a:solidFill>
                      </wps:spPr>
                      <wps:txbx>
                        <w:txbxContent>
                          <w:p>
                            <w:pPr>
                              <w:pStyle w:val="TextBody"/>
                              <w:bidi w:val="0"/>
                              <w:spacing w:before="0" w:after="283"/>
                              <w:jc w:val="left"/>
                              <w:rPr/>
                            </w:pPr>
                            <w:r>
                              <w:rPr/>
                              <w:t xml:space="preserve">● </w:t>
                            </w:r>
                          </w:p>
                        </w:txbxContent>
                      </wps:txbx>
                      <wps:bodyPr anchor="t" lIns="0" tIns="0" rIns="0" bIns="0">
                        <a:noAutofit/>
                      </wps:bodyPr>
                    </wps:wsp>
                  </a:graphicData>
                </a:graphic>
              </wp:anchor>
            </w:drawing>
          </mc:Choice>
          <mc:Fallback>
            <w:pict>
              <v:rect style="position:absolute;rotation:-0;width: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 xml:space="preserve">● </w:t>
                      </w:r>
                    </w:p>
                  </w:txbxContent>
                </v:textbox>
                <w10:wrap type="square" side="right"/>
              </v:rect>
            </w:pict>
          </mc:Fallback>
        </mc:AlternateContent>
      </w:r>
    </w:p>
    <w:p>
      <w:pPr>
        <w:pStyle w:val="TextBody"/>
        <w:bidi w:val="0"/>
        <w:spacing w:before="0" w:after="0"/>
        <w:jc w:val="left"/>
        <w:rPr/>
      </w:pPr>
      <w:r>
        <w:rPr/>
        <w:t xml:space="preserve">  </w:t>
      </w:r>
    </w:p>
    <w:p>
      <w:pPr>
        <w:pStyle w:val="TextBody"/>
        <w:bidi w:val="0"/>
        <w:spacing w:before="0" w:after="0"/>
        <w:jc w:val="left"/>
        <w:rPr>
          <w:rFonts w:ascii="Times New Roman" w:hAnsi="Times New Roman"/>
          <w:sz w:val="20"/>
        </w:rPr>
      </w:pPr>
      <w:r>
        <w:rPr>
          <w:rFonts w:ascii="Times New Roman" w:hAnsi="Times New Roman"/>
          <w:b/>
          <w:sz w:val="20"/>
        </w:rPr>
        <w:t>Risk Factors</w:t>
      </w:r>
      <w:r>
        <w:rPr>
          <w:rFonts w:ascii="Times New Roman" w:hAnsi="Times New Roman"/>
          <w:sz w:val="20"/>
        </w:rPr>
        <w:t xml:space="preserve"> </w:t>
      </w:r>
    </w:p>
    <w:p>
      <w:pPr>
        <w:pStyle w:val="TextBody"/>
        <w:bidi w:val="0"/>
        <w:spacing w:before="0" w:after="0"/>
        <w:jc w:val="left"/>
        <w:rPr/>
      </w:pPr>
      <w:r>
        <w:rPr/>
        <w:t xml:space="preserve">  </w:t>
      </w:r>
    </w:p>
    <w:p>
      <w:pPr>
        <w:pStyle w:val="TextBody"/>
        <w:bidi w:val="0"/>
        <w:spacing w:before="0" w:after="0"/>
        <w:jc w:val="both"/>
        <w:rPr>
          <w:rFonts w:ascii="Times New Roman" w:hAnsi="Times New Roman"/>
          <w:sz w:val="20"/>
        </w:rPr>
      </w:pPr>
      <w:r>
        <w:rPr>
          <w:rFonts w:ascii="Times New Roman" w:hAnsi="Times New Roman"/>
          <w:i/>
          <w:sz w:val="20"/>
        </w:rPr>
        <w:t>Described below are various risks and uncertainties that may affect our business. These risks and uncertainties are not the only ones we face. You should recognize that other significant risks and uncertainties may arise in the future, which we cannot foresee at this time. Also, the risks that we now foresee might affect us to a greater or different degree than expected. Certain risks and uncertainties, including ones that we currently deem immaterial or that are similar to those faced by other companies in our industry or business in general, may also affect our business. If any of the risks described below actually occur, our business, financial condition or results of operations could be materially and adversely affected. You should carefully consider the following risk factors and the section entitled “Special Note Regarding Forward-Looking Statements” before you decide to invest in our securities.</w:t>
      </w:r>
      <w:r>
        <w:rPr>
          <w:rFonts w:ascii="Times New Roman" w:hAnsi="Times New Roman"/>
          <w:sz w:val="20"/>
        </w:rPr>
        <w:t xml:space="preserve"> </w:t>
      </w:r>
    </w:p>
    <w:p>
      <w:pPr>
        <w:pStyle w:val="TextBody"/>
        <w:bidi w:val="0"/>
        <w:spacing w:before="0" w:after="0"/>
        <w:jc w:val="left"/>
        <w:rPr/>
      </w:pPr>
      <w:r>
        <w:rPr/>
        <w:t xml:space="preserve">  </w:t>
      </w:r>
    </w:p>
    <w:p>
      <w:pPr>
        <w:pStyle w:val="TextBody"/>
        <w:bidi w:val="0"/>
        <w:spacing w:before="150" w:after="15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t>32</w:t>
      </w:r>
    </w:p>
    <w:p>
      <w:pPr>
        <w:pStyle w:val="HorizontalLine"/>
        <w:bidi w:val="0"/>
        <w:spacing w:before="150" w:after="150"/>
        <w:jc w:val="left"/>
        <w:rPr/>
      </w:pPr>
      <w:r>
        <w:rPr/>
      </w:r>
    </w:p>
    <w:p>
      <w:pPr>
        <w:pStyle w:val="TextBody"/>
        <w:bidi w:val="0"/>
        <w:spacing w:before="150" w:after="150"/>
        <w:jc w:val="left"/>
        <w:rPr/>
      </w:pPr>
      <w:hyperlink w:anchor="index">
        <w:r>
          <w:rPr>
            <w:rStyle w:val="InternetLink"/>
            <w:rFonts w:ascii="TimesNewRoman;Times New Roman;Times;Baskerville;Georgia;serif" w:hAnsi="TimesNewRoman;Times New Roman;Times;Baskerville;Georgia;serif"/>
            <w:b w:val="false"/>
            <w:i/>
            <w:caps w:val="false"/>
            <w:smallCaps w:val="false"/>
            <w:strike w:val="false"/>
            <w:dstrike w:val="false"/>
            <w:sz w:val="16"/>
            <w:u w:val="none"/>
            <w:effect w:val="none"/>
          </w:rPr>
          <w:t>Index</w:t>
        </w:r>
      </w:hyperlink>
    </w:p>
    <w:p>
      <w:pPr>
        <w:pStyle w:val="TextBody"/>
        <w:bidi w:val="0"/>
        <w:spacing w:before="0" w:after="0"/>
        <w:jc w:val="left"/>
        <w:rPr>
          <w:rFonts w:ascii="Times New Roman" w:hAnsi="Times New Roman"/>
          <w:sz w:val="20"/>
        </w:rPr>
      </w:pPr>
      <w:r>
        <w:rPr>
          <w:rFonts w:ascii="Times New Roman" w:hAnsi="Times New Roman"/>
          <w:b/>
          <w:sz w:val="20"/>
        </w:rPr>
        <w:t>Risks Relating to our Business</w:t>
      </w:r>
      <w:r>
        <w:rPr>
          <w:rFonts w:ascii="Times New Roman" w:hAnsi="Times New Roman"/>
          <w:sz w:val="20"/>
        </w:rPr>
        <w:t xml:space="preserve"> </w:t>
      </w:r>
    </w:p>
    <w:p>
      <w:pPr>
        <w:pStyle w:val="TextBody"/>
        <w:bidi w:val="0"/>
        <w:spacing w:before="0" w:after="0"/>
        <w:jc w:val="left"/>
        <w:rPr/>
      </w:pPr>
      <w:r>
        <w:rPr/>
        <w:t xml:space="preserve">  </w:t>
      </w:r>
    </w:p>
    <w:p>
      <w:pPr>
        <w:pStyle w:val="TextBody"/>
        <w:bidi w:val="0"/>
        <w:spacing w:before="0" w:after="0"/>
        <w:jc w:val="both"/>
        <w:rPr>
          <w:rFonts w:ascii="Times New Roman" w:hAnsi="Times New Roman"/>
          <w:sz w:val="20"/>
        </w:rPr>
      </w:pPr>
      <w:r>
        <w:rPr>
          <w:rFonts w:ascii="Times New Roman" w:hAnsi="Times New Roman"/>
          <w:b/>
          <w:i/>
          <w:sz w:val="20"/>
        </w:rPr>
        <w:t>Although we achieved net income on a GAAP basis for the years ended December 31, 2024 and 2025, we may not be able to maintain profitability and continue to generate positive cash flows in the future.</w:t>
      </w:r>
      <w:r>
        <w:rPr>
          <w:rFonts w:ascii="Times New Roman" w:hAnsi="Times New Roman"/>
          <w:sz w:val="20"/>
        </w:rPr>
        <w:t xml:space="preserve"> </w:t>
      </w:r>
    </w:p>
    <w:p>
      <w:pPr>
        <w:pStyle w:val="TextBody"/>
        <w:bidi w:val="0"/>
        <w:spacing w:before="0" w:after="0"/>
        <w:jc w:val="both"/>
        <w:rPr/>
      </w:pPr>
      <w:r>
        <w:rPr/>
        <w:t xml:space="preserve">  </w:t>
      </w:r>
    </w:p>
    <w:p>
      <w:pPr>
        <w:pStyle w:val="TextBody"/>
        <w:bidi w:val="0"/>
        <w:spacing w:before="0" w:after="0"/>
        <w:ind w:left="0" w:right="0" w:firstLine="720"/>
        <w:jc w:val="both"/>
        <w:rPr>
          <w:rFonts w:ascii="Times New Roman" w:hAnsi="Times New Roman"/>
          <w:sz w:val="20"/>
        </w:rPr>
      </w:pPr>
      <w:r>
        <w:rPr>
          <w:rFonts w:ascii="Times New Roman" w:hAnsi="Times New Roman"/>
          <w:sz w:val="20"/>
        </w:rPr>
        <w:t xml:space="preserve">Although we achieved net income of $197.7 million and $146.9 million for the years ended December 31, 2024 and 2025, respectively, for the year ended December 31, 2023 we incurred a net loss of $28.2 million. From our inception in 2004 through December 31, 2025, we have incurred an accumulated deficit of $161.7 million. We may not be able to maintain profitability in the future, and if we are unable to continue to consistently achieve positive cash flows we may need to finance our operations through additional equity or debt financings or corporate collaboration and licensing agreements. If, in the future, our operating or financial results for a particular period do not meet our guidance, analyst estimates or the expectations of investors, or if we reduce our guidance for future periods, our stock price may decline. Any sustained or increased profitability or financial performance may contribute to increased scrutiny from the investment community and applicable federal, state and foreign regulatory authorities and government bodies. We also expect to continue to incur significant operating and capital expenditures and anticipate that as our business continues to grow our operating expenses will increase accordingly as we: </w:t>
      </w:r>
    </w:p>
    <w:p>
      <w:pPr>
        <w:pStyle w:val="TextBody"/>
        <w:bidi w:val="0"/>
        <w:spacing w:before="0" w:after="0"/>
        <w:jc w:val="both"/>
        <w:rPr/>
      </w:pPr>
      <w:r>
        <w:rPr/>
        <w:t xml:space="preserve">  </w:t>
      </w:r>
    </w:p>
    <w:p>
      <w:pPr>
        <w:pStyle w:val="TextBody"/>
        <w:bidi w:val="0"/>
        <w:spacing w:before="0" w:after="0"/>
        <w:ind w:left="0" w:right="0" w:hanging="360"/>
        <w:jc w:val="left"/>
        <w:rPr>
          <w:rFonts w:ascii="Times New Roman" w:hAnsi="Times New Roman"/>
          <w:sz w:val="20"/>
        </w:rPr>
      </w:pPr>
      <w:r>
        <w:rPr>
          <w:rFonts w:ascii="Times New Roman" w:hAnsi="Times New Roman"/>
          <w:sz w:val="20"/>
        </w:rPr>
        <w:t xml:space="preserve">expand commercialization and marketing efforts; </w:t>
      </w:r>
      <w:r>
        <mc:AlternateContent>
          <mc:Choice Requires="wps">
            <w:drawing>
              <wp:anchor behindDoc="0" distT="0" distB="0" distL="0" distR="0" simplePos="0" locked="0" layoutInCell="1" allowOverlap="1" relativeHeight="97">
                <wp:simplePos x="0" y="0"/>
                <wp:positionH relativeFrom="column">
                  <wp:align>left</wp:align>
                </wp:positionH>
                <wp:positionV relativeFrom="line">
                  <wp:posOffset>635</wp:posOffset>
                </wp:positionV>
                <wp:extent cx="228600" cy="175260"/>
                <wp:effectExtent l="0" t="0" r="0" b="0"/>
                <wp:wrapSquare wrapText="right"/>
                <wp:docPr id="96" name="Frame96"/>
                <a:graphic xmlns:a="http://schemas.openxmlformats.org/drawingml/2006/main">
                  <a:graphicData uri="http://schemas.microsoft.com/office/word/2010/wordprocessingShape">
                    <wps:wsp>
                      <wps:cNvSpPr txBox="1"/>
                      <wps:spPr>
                        <a:xfrm>
                          <a:off x="0" y="0"/>
                          <a:ext cx="228600" cy="175260"/>
                        </a:xfrm>
                        <a:prstGeom prst="rect"/>
                        <a:solidFill>
                          <a:srgbClr val="FFFFFF"/>
                        </a:solidFill>
                      </wps:spPr>
                      <wps:txbx>
                        <w:txbxContent>
                          <w:p>
                            <w:pPr>
                              <w:pStyle w:val="TextBody"/>
                              <w:bidi w:val="0"/>
                              <w:spacing w:before="0" w:after="283"/>
                              <w:jc w:val="left"/>
                              <w:rPr/>
                            </w:pPr>
                            <w:r>
                              <w:rPr/>
                              <w:t xml:space="preserve">• </w:t>
                            </w:r>
                          </w:p>
                        </w:txbxContent>
                      </wps:txbx>
                      <wps:bodyPr anchor="t" lIns="0" tIns="0" rIns="0" bIns="0">
                        <a:noAutofit/>
                      </wps:bodyPr>
                    </wps:wsp>
                  </a:graphicData>
                </a:graphic>
              </wp:anchor>
            </w:drawing>
          </mc:Choice>
          <mc:Fallback>
            <w:pict>
              <v:rect style="position:absolute;rotation:-0;width: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 xml:space="preserve">• </w:t>
                      </w:r>
                    </w:p>
                  </w:txbxContent>
                </v:textbox>
                <w10:wrap type="square" side="right"/>
              </v:rect>
            </w:pict>
          </mc:Fallback>
        </mc:AlternateContent>
      </w:r>
    </w:p>
    <w:p>
      <w:pPr>
        <w:pStyle w:val="TextBody"/>
        <w:bidi w:val="0"/>
        <w:spacing w:before="0" w:after="0"/>
        <w:ind w:left="720" w:right="0" w:hanging="0"/>
        <w:jc w:val="left"/>
        <w:rPr/>
      </w:pPr>
      <w:r>
        <w:rPr/>
        <w:t xml:space="preserve">  </w:t>
      </w:r>
    </w:p>
    <w:p>
      <w:pPr>
        <w:pStyle w:val="TextBody"/>
        <w:bidi w:val="0"/>
        <w:spacing w:before="0" w:after="0"/>
        <w:ind w:left="0" w:right="0" w:hanging="360"/>
        <w:jc w:val="left"/>
        <w:rPr>
          <w:rFonts w:ascii="Times New Roman" w:hAnsi="Times New Roman"/>
          <w:sz w:val="20"/>
        </w:rPr>
      </w:pPr>
      <w:r>
        <w:rPr>
          <w:rFonts w:ascii="Times New Roman" w:hAnsi="Times New Roman"/>
          <w:sz w:val="20"/>
        </w:rPr>
        <w:t xml:space="preserve">expand our research and development programs; </w:t>
      </w:r>
      <w:r>
        <mc:AlternateContent>
          <mc:Choice Requires="wps">
            <w:drawing>
              <wp:anchor behindDoc="0" distT="0" distB="0" distL="0" distR="0" simplePos="0" locked="0" layoutInCell="1" allowOverlap="1" relativeHeight="98">
                <wp:simplePos x="0" y="0"/>
                <wp:positionH relativeFrom="column">
                  <wp:align>left</wp:align>
                </wp:positionH>
                <wp:positionV relativeFrom="line">
                  <wp:posOffset>635</wp:posOffset>
                </wp:positionV>
                <wp:extent cx="228600" cy="175260"/>
                <wp:effectExtent l="0" t="0" r="0" b="0"/>
                <wp:wrapSquare wrapText="right"/>
                <wp:docPr id="97" name="Frame97"/>
                <a:graphic xmlns:a="http://schemas.openxmlformats.org/drawingml/2006/main">
                  <a:graphicData uri="http://schemas.microsoft.com/office/word/2010/wordprocessingShape">
                    <wps:wsp>
                      <wps:cNvSpPr txBox="1"/>
                      <wps:spPr>
                        <a:xfrm>
                          <a:off x="0" y="0"/>
                          <a:ext cx="228600" cy="175260"/>
                        </a:xfrm>
                        <a:prstGeom prst="rect"/>
                        <a:solidFill>
                          <a:srgbClr val="FFFFFF"/>
                        </a:solidFill>
                      </wps:spPr>
                      <wps:txbx>
                        <w:txbxContent>
                          <w:p>
                            <w:pPr>
                              <w:pStyle w:val="TextBody"/>
                              <w:bidi w:val="0"/>
                              <w:spacing w:before="0" w:after="283"/>
                              <w:jc w:val="left"/>
                              <w:rPr/>
                            </w:pPr>
                            <w:r>
                              <w:rPr/>
                              <w:t xml:space="preserve">• </w:t>
                            </w:r>
                          </w:p>
                        </w:txbxContent>
                      </wps:txbx>
                      <wps:bodyPr anchor="t" lIns="0" tIns="0" rIns="0" bIns="0">
                        <a:noAutofit/>
                      </wps:bodyPr>
                    </wps:wsp>
                  </a:graphicData>
                </a:graphic>
              </wp:anchor>
            </w:drawing>
          </mc:Choice>
          <mc:Fallback>
            <w:pict>
              <v:rect style="position:absolute;rotation:-0;width: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 xml:space="preserve">• </w:t>
                      </w:r>
                    </w:p>
                  </w:txbxContent>
                </v:textbox>
                <w10:wrap type="square" side="right"/>
              </v:rect>
            </w:pict>
          </mc:Fallback>
        </mc:AlternateContent>
      </w:r>
    </w:p>
    <w:p>
      <w:pPr>
        <w:pStyle w:val="TextBody"/>
        <w:bidi w:val="0"/>
        <w:spacing w:before="0" w:after="0"/>
        <w:ind w:left="0" w:right="0" w:hanging="360"/>
        <w:jc w:val="left"/>
        <w:rPr/>
      </w:pPr>
      <w:r>
        <w:rPr/>
        <w:t xml:space="preserve">  </w:t>
      </w:r>
    </w:p>
    <w:p>
      <w:pPr>
        <w:pStyle w:val="TextBody"/>
        <w:bidi w:val="0"/>
        <w:spacing w:before="0" w:after="0"/>
        <w:ind w:left="0" w:right="0" w:hanging="360"/>
        <w:jc w:val="left"/>
        <w:rPr>
          <w:rFonts w:ascii="Times New Roman" w:hAnsi="Times New Roman"/>
          <w:sz w:val="20"/>
        </w:rPr>
      </w:pPr>
      <w:r>
        <w:rPr>
          <w:rFonts w:ascii="Times New Roman" w:hAnsi="Times New Roman"/>
          <w:sz w:val="20"/>
        </w:rPr>
        <w:t xml:space="preserve">implement additional internal systems, controls and infrastructure; </w:t>
      </w:r>
      <w:r>
        <mc:AlternateContent>
          <mc:Choice Requires="wps">
            <w:drawing>
              <wp:anchor behindDoc="0" distT="0" distB="0" distL="0" distR="0" simplePos="0" locked="0" layoutInCell="1" allowOverlap="1" relativeHeight="99">
                <wp:simplePos x="0" y="0"/>
                <wp:positionH relativeFrom="column">
                  <wp:align>left</wp:align>
                </wp:positionH>
                <wp:positionV relativeFrom="line">
                  <wp:posOffset>635</wp:posOffset>
                </wp:positionV>
                <wp:extent cx="228600" cy="175260"/>
                <wp:effectExtent l="0" t="0" r="0" b="0"/>
                <wp:wrapSquare wrapText="right"/>
                <wp:docPr id="98" name="Frame98"/>
                <a:graphic xmlns:a="http://schemas.openxmlformats.org/drawingml/2006/main">
                  <a:graphicData uri="http://schemas.microsoft.com/office/word/2010/wordprocessingShape">
                    <wps:wsp>
                      <wps:cNvSpPr txBox="1"/>
                      <wps:spPr>
                        <a:xfrm>
                          <a:off x="0" y="0"/>
                          <a:ext cx="228600" cy="175260"/>
                        </a:xfrm>
                        <a:prstGeom prst="rect"/>
                        <a:solidFill>
                          <a:srgbClr val="FFFFFF"/>
                        </a:solidFill>
                      </wps:spPr>
                      <wps:txbx>
                        <w:txbxContent>
                          <w:p>
                            <w:pPr>
                              <w:pStyle w:val="TextBody"/>
                              <w:bidi w:val="0"/>
                              <w:spacing w:before="0" w:after="283"/>
                              <w:jc w:val="left"/>
                              <w:rPr/>
                            </w:pPr>
                            <w:r>
                              <w:rPr/>
                              <w:t xml:space="preserve">• </w:t>
                            </w:r>
                          </w:p>
                        </w:txbxContent>
                      </wps:txbx>
                      <wps:bodyPr anchor="t" lIns="0" tIns="0" rIns="0" bIns="0">
                        <a:noAutofit/>
                      </wps:bodyPr>
                    </wps:wsp>
                  </a:graphicData>
                </a:graphic>
              </wp:anchor>
            </w:drawing>
          </mc:Choice>
          <mc:Fallback>
            <w:pict>
              <v:rect style="position:absolute;rotation:-0;width: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 xml:space="preserve">• </w:t>
                      </w:r>
                    </w:p>
                  </w:txbxContent>
                </v:textbox>
                <w10:wrap type="square" side="right"/>
              </v:rect>
            </w:pict>
          </mc:Fallback>
        </mc:AlternateContent>
      </w:r>
    </w:p>
    <w:p>
      <w:pPr>
        <w:pStyle w:val="TextBody"/>
        <w:bidi w:val="0"/>
        <w:spacing w:before="0" w:after="0"/>
        <w:ind w:left="720" w:right="0" w:hanging="0"/>
        <w:jc w:val="left"/>
        <w:rPr/>
      </w:pPr>
      <w:r>
        <w:rPr/>
        <w:t xml:space="preserve">  </w:t>
      </w:r>
    </w:p>
    <w:p>
      <w:pPr>
        <w:pStyle w:val="TextBody"/>
        <w:bidi w:val="0"/>
        <w:spacing w:before="0" w:after="0"/>
        <w:ind w:left="0" w:right="0" w:hanging="360"/>
        <w:jc w:val="left"/>
        <w:rPr>
          <w:rFonts w:ascii="Times New Roman" w:hAnsi="Times New Roman"/>
          <w:sz w:val="20"/>
        </w:rPr>
      </w:pPr>
      <w:r>
        <w:rPr>
          <w:rFonts w:ascii="Times New Roman" w:hAnsi="Times New Roman"/>
          <w:sz w:val="20"/>
        </w:rPr>
        <w:t xml:space="preserve">hire additional personnel; and </w:t>
      </w:r>
      <w:r>
        <mc:AlternateContent>
          <mc:Choice Requires="wps">
            <w:drawing>
              <wp:anchor behindDoc="0" distT="0" distB="0" distL="0" distR="0" simplePos="0" locked="0" layoutInCell="1" allowOverlap="1" relativeHeight="100">
                <wp:simplePos x="0" y="0"/>
                <wp:positionH relativeFrom="column">
                  <wp:align>left</wp:align>
                </wp:positionH>
                <wp:positionV relativeFrom="line">
                  <wp:posOffset>635</wp:posOffset>
                </wp:positionV>
                <wp:extent cx="228600" cy="175260"/>
                <wp:effectExtent l="0" t="0" r="0" b="0"/>
                <wp:wrapSquare wrapText="right"/>
                <wp:docPr id="99" name="Frame99"/>
                <a:graphic xmlns:a="http://schemas.openxmlformats.org/drawingml/2006/main">
                  <a:graphicData uri="http://schemas.microsoft.com/office/word/2010/wordprocessingShape">
                    <wps:wsp>
                      <wps:cNvSpPr txBox="1"/>
                      <wps:spPr>
                        <a:xfrm>
                          <a:off x="0" y="0"/>
                          <a:ext cx="228600" cy="175260"/>
                        </a:xfrm>
                        <a:prstGeom prst="rect"/>
                        <a:solidFill>
                          <a:srgbClr val="FFFFFF"/>
                        </a:solidFill>
                      </wps:spPr>
                      <wps:txbx>
                        <w:txbxContent>
                          <w:p>
                            <w:pPr>
                              <w:pStyle w:val="TextBody"/>
                              <w:bidi w:val="0"/>
                              <w:spacing w:before="0" w:after="283"/>
                              <w:jc w:val="left"/>
                              <w:rPr/>
                            </w:pPr>
                            <w:r>
                              <w:rPr/>
                              <w:t xml:space="preserve">• </w:t>
                            </w:r>
                          </w:p>
                        </w:txbxContent>
                      </wps:txbx>
                      <wps:bodyPr anchor="t" lIns="0" tIns="0" rIns="0" bIns="0">
                        <a:noAutofit/>
                      </wps:bodyPr>
                    </wps:wsp>
                  </a:graphicData>
                </a:graphic>
              </wp:anchor>
            </w:drawing>
          </mc:Choice>
          <mc:Fallback>
            <w:pict>
              <v:rect style="position:absolute;rotation:-0;width: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 xml:space="preserve">• </w:t>
                      </w:r>
                    </w:p>
                  </w:txbxContent>
                </v:textbox>
                <w10:wrap type="square" side="right"/>
              </v:rect>
            </w:pict>
          </mc:Fallback>
        </mc:AlternateContent>
      </w:r>
    </w:p>
    <w:p>
      <w:pPr>
        <w:pStyle w:val="TextBody"/>
        <w:bidi w:val="0"/>
        <w:spacing w:before="0" w:after="0"/>
        <w:ind w:left="720" w:right="0" w:hanging="0"/>
        <w:jc w:val="left"/>
        <w:rPr/>
      </w:pPr>
      <w:r>
        <w:rPr/>
        <w:t xml:space="preserve">  </w:t>
      </w:r>
    </w:p>
    <w:p>
      <w:pPr>
        <w:pStyle w:val="TextBody"/>
        <w:bidi w:val="0"/>
        <w:spacing w:before="0" w:after="0"/>
        <w:ind w:left="0" w:right="0" w:hanging="360"/>
        <w:jc w:val="left"/>
        <w:rPr>
          <w:rFonts w:ascii="Times New Roman" w:hAnsi="Times New Roman"/>
          <w:sz w:val="20"/>
        </w:rPr>
      </w:pPr>
      <w:r>
        <w:rPr>
          <w:rFonts w:ascii="Times New Roman" w:hAnsi="Times New Roman"/>
          <w:sz w:val="20"/>
        </w:rPr>
        <w:t xml:space="preserve">expand production capacity at the Boca Facility. </w:t>
      </w:r>
      <w:r>
        <mc:AlternateContent>
          <mc:Choice Requires="wps">
            <w:drawing>
              <wp:anchor behindDoc="0" distT="0" distB="0" distL="0" distR="0" simplePos="0" locked="0" layoutInCell="1" allowOverlap="1" relativeHeight="101">
                <wp:simplePos x="0" y="0"/>
                <wp:positionH relativeFrom="column">
                  <wp:align>left</wp:align>
                </wp:positionH>
                <wp:positionV relativeFrom="line">
                  <wp:posOffset>635</wp:posOffset>
                </wp:positionV>
                <wp:extent cx="228600" cy="175260"/>
                <wp:effectExtent l="0" t="0" r="0" b="0"/>
                <wp:wrapSquare wrapText="right"/>
                <wp:docPr id="100" name="Frame100"/>
                <a:graphic xmlns:a="http://schemas.openxmlformats.org/drawingml/2006/main">
                  <a:graphicData uri="http://schemas.microsoft.com/office/word/2010/wordprocessingShape">
                    <wps:wsp>
                      <wps:cNvSpPr txBox="1"/>
                      <wps:spPr>
                        <a:xfrm>
                          <a:off x="0" y="0"/>
                          <a:ext cx="228600" cy="175260"/>
                        </a:xfrm>
                        <a:prstGeom prst="rect"/>
                        <a:solidFill>
                          <a:srgbClr val="FFFFFF"/>
                        </a:solidFill>
                      </wps:spPr>
                      <wps:txbx>
                        <w:txbxContent>
                          <w:p>
                            <w:pPr>
                              <w:pStyle w:val="TextBody"/>
                              <w:bidi w:val="0"/>
                              <w:spacing w:before="0" w:after="283"/>
                              <w:jc w:val="left"/>
                              <w:rPr/>
                            </w:pPr>
                            <w:r>
                              <w:rPr/>
                              <w:t xml:space="preserve">• </w:t>
                            </w:r>
                          </w:p>
                        </w:txbxContent>
                      </wps:txbx>
                      <wps:bodyPr anchor="t" lIns="0" tIns="0" rIns="0" bIns="0">
                        <a:noAutofit/>
                      </wps:bodyPr>
                    </wps:wsp>
                  </a:graphicData>
                </a:graphic>
              </wp:anchor>
            </w:drawing>
          </mc:Choice>
          <mc:Fallback>
            <w:pict>
              <v:rect style="position:absolute;rotation:-0;width: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 xml:space="preserve">• </w:t>
                      </w:r>
                    </w:p>
                  </w:txbxContent>
                </v:textbox>
                <w10:wrap type="square" side="right"/>
              </v:rect>
            </w:pict>
          </mc:Fallback>
        </mc:AlternateContent>
      </w:r>
    </w:p>
    <w:p>
      <w:pPr>
        <w:pStyle w:val="TextBody"/>
        <w:bidi w:val="0"/>
        <w:spacing w:before="0" w:after="0"/>
        <w:jc w:val="left"/>
        <w:rPr/>
      </w:pPr>
      <w:r>
        <w:rPr/>
        <w:t xml:space="preserve">  </w:t>
      </w:r>
    </w:p>
    <w:p>
      <w:pPr>
        <w:pStyle w:val="TextBody"/>
        <w:bidi w:val="0"/>
        <w:spacing w:before="0" w:after="0"/>
        <w:ind w:left="0" w:right="0" w:firstLine="720"/>
        <w:jc w:val="left"/>
        <w:rPr>
          <w:rFonts w:ascii="Times New Roman" w:hAnsi="Times New Roman"/>
          <w:sz w:val="20"/>
        </w:rPr>
      </w:pPr>
      <w:r>
        <w:rPr>
          <w:rFonts w:ascii="Times New Roman" w:hAnsi="Times New Roman"/>
          <w:sz w:val="20"/>
        </w:rPr>
        <w:t xml:space="preserve">As a result, we will need to continue to generate significant revenues in order to maintain profitability. We may not be able to generate these revenues or maintain profitability in the future. </w:t>
      </w:r>
    </w:p>
    <w:p>
      <w:pPr>
        <w:pStyle w:val="TextBody"/>
        <w:bidi w:val="0"/>
        <w:spacing w:before="0" w:after="0"/>
        <w:jc w:val="left"/>
        <w:rPr/>
      </w:pPr>
      <w:r>
        <w:rPr/>
        <w:t xml:space="preserve">  </w:t>
      </w:r>
    </w:p>
    <w:p>
      <w:pPr>
        <w:pStyle w:val="TextBody"/>
        <w:bidi w:val="0"/>
        <w:spacing w:before="0" w:after="0"/>
        <w:jc w:val="both"/>
        <w:rPr>
          <w:rFonts w:ascii="Times New Roman" w:hAnsi="Times New Roman"/>
          <w:sz w:val="20"/>
        </w:rPr>
      </w:pPr>
      <w:r>
        <w:rPr>
          <w:rFonts w:ascii="Times New Roman" w:hAnsi="Times New Roman"/>
          <w:b/>
          <w:i/>
          <w:sz w:val="20"/>
        </w:rPr>
        <w:t>Our business may be adversely affected by a pandemic, epidemic, or outbreak of an unknown or emerging infections disease.</w:t>
      </w:r>
      <w:r>
        <w:rPr>
          <w:rFonts w:ascii="Times New Roman" w:hAnsi="Times New Roman"/>
          <w:sz w:val="20"/>
        </w:rPr>
        <w:t xml:space="preserve"> </w:t>
      </w:r>
    </w:p>
    <w:p>
      <w:pPr>
        <w:pStyle w:val="TextBody"/>
        <w:bidi w:val="0"/>
        <w:spacing w:before="0" w:after="0"/>
        <w:jc w:val="both"/>
        <w:rPr/>
      </w:pPr>
      <w:r>
        <w:rPr/>
        <w:t xml:space="preserve">  </w:t>
      </w:r>
    </w:p>
    <w:p>
      <w:pPr>
        <w:pStyle w:val="TextBody"/>
        <w:bidi w:val="0"/>
        <w:spacing w:before="0" w:after="0"/>
        <w:ind w:left="0" w:right="0" w:firstLine="720"/>
        <w:jc w:val="both"/>
        <w:rPr>
          <w:rFonts w:ascii="Times New Roman" w:hAnsi="Times New Roman"/>
          <w:sz w:val="20"/>
        </w:rPr>
      </w:pPr>
      <w:r>
        <w:rPr>
          <w:rFonts w:ascii="Times New Roman" w:hAnsi="Times New Roman"/>
          <w:sz w:val="20"/>
        </w:rPr>
        <w:t xml:space="preserve">Our business could be adversely affected by health epidemics in regions where we have concentrations of business activities and such epidemics could cause significant disruption in the operations of third-party service providers upon whom we rely. The occurrence of a global pandemic or health epidemic could adversely affect our business, financial condition, liquidity or results of operations. These adverse effects include, but are not limited to, the potential adverse effects on the global economy, our manufacturing processes, including our supply chain, our submissions or applications to the FDA and our employees. The ultimate impact will depend on the severity and duration of the pandemic and actions taken by governmental authorities and other third parties in response, each of which is unforeseeable and difficult to predict. </w:t>
      </w:r>
    </w:p>
    <w:p>
      <w:pPr>
        <w:pStyle w:val="TextBody"/>
        <w:bidi w:val="0"/>
        <w:spacing w:before="0" w:after="0"/>
        <w:jc w:val="both"/>
        <w:rPr/>
      </w:pPr>
      <w:r>
        <w:rPr/>
        <w:t xml:space="preserve">  </w:t>
      </w:r>
    </w:p>
    <w:p>
      <w:pPr>
        <w:pStyle w:val="TextBody"/>
        <w:bidi w:val="0"/>
        <w:spacing w:before="0" w:after="0"/>
        <w:jc w:val="both"/>
        <w:rPr>
          <w:rFonts w:ascii="Times New Roman" w:hAnsi="Times New Roman"/>
          <w:sz w:val="20"/>
        </w:rPr>
      </w:pPr>
      <w:r>
        <w:rPr>
          <w:rFonts w:ascii="Times New Roman" w:hAnsi="Times New Roman"/>
          <w:b/>
          <w:i/>
          <w:sz w:val="20"/>
        </w:rPr>
        <w:t>We contract with third parties for a portion of the filling, packaging, testing and labeling of the drug substance we manufacture, and also obtain plasma from certain third parties. This reliance on third parties carries the risk that the services and raw materials upon which we rely may not be performed in a timely manner, in sufficient quantities or according to our specifications, which could delay the availability of our finished drug product and could adversely affect our commercialization efforts and our revenues.</w:t>
      </w:r>
      <w:r>
        <w:rPr>
          <w:rFonts w:ascii="Times New Roman" w:hAnsi="Times New Roman"/>
          <w:sz w:val="20"/>
        </w:rPr>
        <w:t xml:space="preserve"> </w:t>
      </w:r>
    </w:p>
    <w:p>
      <w:pPr>
        <w:pStyle w:val="TextBody"/>
        <w:bidi w:val="0"/>
        <w:spacing w:before="0" w:after="0"/>
        <w:jc w:val="both"/>
        <w:rPr/>
      </w:pPr>
      <w:r>
        <w:rPr/>
        <w:t xml:space="preserve">  </w:t>
      </w:r>
    </w:p>
    <w:p>
      <w:pPr>
        <w:pStyle w:val="TextBody"/>
        <w:bidi w:val="0"/>
        <w:spacing w:before="0" w:after="0"/>
        <w:ind w:left="0" w:right="0" w:firstLine="720"/>
        <w:jc w:val="both"/>
        <w:rPr>
          <w:rFonts w:ascii="Times New Roman" w:hAnsi="Times New Roman"/>
          <w:sz w:val="20"/>
        </w:rPr>
      </w:pPr>
      <w:r>
        <w:rPr>
          <w:rFonts w:ascii="Times New Roman" w:hAnsi="Times New Roman"/>
          <w:sz w:val="20"/>
        </w:rPr>
        <w:t xml:space="preserve">Third parties may not perform as agreed or in accordance with FDA requirements. Any significant problem that our third-party providers experience could delay or interrupt our supply of finished drug product until the service provider cures the problem or until we locate, negotiate for, validate and receive FDA approval for an alternative provider (when necessary), if one is available, which may be time consuming and costly. Failure to obtain the needed services, raw materials and products meeting the necessary quality standards, in sufficient quantities or at all could have a material and adverse effect on our products, business, financial condition and results from operations. </w:t>
      </w:r>
    </w:p>
    <w:p>
      <w:pPr>
        <w:pStyle w:val="TextBody"/>
        <w:bidi w:val="0"/>
        <w:spacing w:before="0" w:after="0"/>
        <w:jc w:val="both"/>
        <w:rPr/>
      </w:pPr>
      <w:r>
        <w:rPr/>
        <w:t xml:space="preserve">  </w:t>
      </w:r>
    </w:p>
    <w:p>
      <w:pPr>
        <w:pStyle w:val="TextBody"/>
        <w:bidi w:val="0"/>
        <w:spacing w:before="150" w:after="15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t>33</w:t>
      </w:r>
    </w:p>
    <w:p>
      <w:pPr>
        <w:pStyle w:val="HorizontalLine"/>
        <w:bidi w:val="0"/>
        <w:spacing w:before="150" w:after="150"/>
        <w:jc w:val="left"/>
        <w:rPr/>
      </w:pPr>
      <w:r>
        <w:rPr/>
      </w:r>
    </w:p>
    <w:p>
      <w:pPr>
        <w:pStyle w:val="TextBody"/>
        <w:bidi w:val="0"/>
        <w:spacing w:before="150" w:after="150"/>
        <w:jc w:val="left"/>
        <w:rPr/>
      </w:pPr>
      <w:hyperlink w:anchor="index">
        <w:r>
          <w:rPr>
            <w:rStyle w:val="InternetLink"/>
            <w:rFonts w:ascii="TimesNewRoman;Times New Roman;Times;Baskerville;Georgia;serif" w:hAnsi="TimesNewRoman;Times New Roman;Times;Baskerville;Georgia;serif"/>
            <w:b w:val="false"/>
            <w:i/>
            <w:caps w:val="false"/>
            <w:smallCaps w:val="false"/>
            <w:strike w:val="false"/>
            <w:dstrike w:val="false"/>
            <w:sz w:val="16"/>
            <w:u w:val="none"/>
            <w:effect w:val="none"/>
          </w:rPr>
          <w:t>Index</w:t>
        </w:r>
      </w:hyperlink>
    </w:p>
    <w:p>
      <w:pPr>
        <w:pStyle w:val="TextBody"/>
        <w:bidi w:val="0"/>
        <w:spacing w:before="0" w:after="0"/>
        <w:ind w:left="0" w:right="0" w:firstLine="720"/>
        <w:jc w:val="both"/>
        <w:rPr>
          <w:rFonts w:ascii="Times New Roman" w:hAnsi="Times New Roman"/>
          <w:sz w:val="20"/>
        </w:rPr>
      </w:pPr>
      <w:r>
        <w:rPr>
          <w:rFonts w:ascii="Times New Roman" w:hAnsi="Times New Roman"/>
          <w:sz w:val="20"/>
        </w:rPr>
        <w:t xml:space="preserve">Although we are utilizing our FDA-approved fill/finish suite that we built at the Boca Facility for a portion of our finished drug product and although we receive raw material plasma from our ADMA BioCenters plasma collection facilities, we also intend to continue to utilize third parties to supplement our fill/finish process for final drug product and to supply raw material source and high-titer RSV plasma. Any failure by us, our contract fill/finishers, or other third parties involved in the process for producing our products or product candidates to comply with the applicable manufacturing and regulatory requirements, including quality requirements, could place us and them at risk of regulatory enforcement actions, recalls and other adverse consequences, could adversely impact our products, and could adversely impact patients receiving our products, which may negatively impact our business and our ability to produce and supply products to meet commercial and clinical needs. </w:t>
      </w:r>
    </w:p>
    <w:p>
      <w:pPr>
        <w:pStyle w:val="TextBody"/>
        <w:bidi w:val="0"/>
        <w:spacing w:before="0" w:after="0"/>
        <w:jc w:val="left"/>
        <w:rPr/>
      </w:pPr>
      <w:r>
        <w:rPr/>
        <w:t xml:space="preserve">  </w:t>
      </w:r>
    </w:p>
    <w:p>
      <w:pPr>
        <w:pStyle w:val="TextBody"/>
        <w:bidi w:val="0"/>
        <w:spacing w:before="0" w:after="0"/>
        <w:ind w:left="0" w:right="0" w:firstLine="720"/>
        <w:jc w:val="both"/>
        <w:rPr>
          <w:rFonts w:ascii="Times New Roman" w:hAnsi="Times New Roman"/>
          <w:sz w:val="20"/>
        </w:rPr>
      </w:pPr>
      <w:r>
        <w:rPr>
          <w:rFonts w:ascii="Times New Roman" w:hAnsi="Times New Roman"/>
          <w:sz w:val="20"/>
        </w:rPr>
        <w:t xml:space="preserve">Our anticipated reliance on a limited number of third-party contractors exposes us to the following risks: </w:t>
      </w:r>
    </w:p>
    <w:p>
      <w:pPr>
        <w:pStyle w:val="TextBody"/>
        <w:bidi w:val="0"/>
        <w:spacing w:before="0" w:after="0"/>
        <w:jc w:val="both"/>
        <w:rPr/>
      </w:pPr>
      <w:r>
        <w:rPr/>
        <w:t xml:space="preserve">  </w:t>
      </w:r>
    </w:p>
    <w:p>
      <w:pPr>
        <w:pStyle w:val="TextBody"/>
        <w:bidi w:val="0"/>
        <w:spacing w:before="0" w:after="0"/>
        <w:ind w:left="0" w:right="0" w:hanging="720"/>
        <w:jc w:val="both"/>
        <w:rPr>
          <w:rFonts w:ascii="Times New Roman" w:hAnsi="Times New Roman"/>
          <w:sz w:val="20"/>
        </w:rPr>
      </w:pPr>
      <w:r>
        <w:rPr>
          <w:rFonts w:ascii="Times New Roman" w:hAnsi="Times New Roman"/>
          <w:sz w:val="20"/>
        </w:rPr>
        <w:t xml:space="preserve">we may be unable to identify contractors on acceptable terms or at all because the number of potential service providers is limited and the FDA must inspect and qualify any contract manufacturers for current cGMP compliance as part of our marketing application; </w:t>
      </w:r>
      <w:r>
        <mc:AlternateContent>
          <mc:Choice Requires="wps">
            <w:drawing>
              <wp:anchor behindDoc="0" distT="0" distB="0" distL="0" distR="0" simplePos="0" locked="0" layoutInCell="1" allowOverlap="1" relativeHeight="102">
                <wp:simplePos x="0" y="0"/>
                <wp:positionH relativeFrom="column">
                  <wp:align>left</wp:align>
                </wp:positionH>
                <wp:positionV relativeFrom="line">
                  <wp:posOffset>635</wp:posOffset>
                </wp:positionV>
                <wp:extent cx="457200" cy="175260"/>
                <wp:effectExtent l="0" t="0" r="0" b="0"/>
                <wp:wrapSquare wrapText="right"/>
                <wp:docPr id="101" name="Frame101"/>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 xml:space="preserve">• </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 xml:space="preserve">• </w:t>
                      </w:r>
                    </w:p>
                  </w:txbxContent>
                </v:textbox>
                <w10:wrap type="square" side="right"/>
              </v:rect>
            </w:pict>
          </mc:Fallback>
        </mc:AlternateContent>
      </w:r>
    </w:p>
    <w:p>
      <w:pPr>
        <w:pStyle w:val="TextBody"/>
        <w:bidi w:val="0"/>
        <w:spacing w:before="0" w:after="0"/>
        <w:ind w:left="720" w:right="0" w:hanging="0"/>
        <w:jc w:val="left"/>
        <w:rPr/>
      </w:pPr>
      <w:r>
        <w:rPr/>
        <w:t xml:space="preserve">  </w:t>
      </w:r>
    </w:p>
    <w:p>
      <w:pPr>
        <w:pStyle w:val="TextBody"/>
        <w:bidi w:val="0"/>
        <w:spacing w:before="0" w:after="0"/>
        <w:ind w:left="0" w:right="0" w:hanging="720"/>
        <w:jc w:val="both"/>
        <w:rPr>
          <w:rFonts w:ascii="Times New Roman" w:hAnsi="Times New Roman"/>
          <w:sz w:val="20"/>
        </w:rPr>
      </w:pPr>
      <w:r>
        <w:rPr>
          <w:rFonts w:ascii="Times New Roman" w:hAnsi="Times New Roman"/>
          <w:sz w:val="20"/>
        </w:rPr>
        <w:t xml:space="preserve">a new fill/finisher would have to be educated in, or develop substantially equivalent processes for, the production of our products and product candidates; </w:t>
      </w:r>
      <w:r>
        <mc:AlternateContent>
          <mc:Choice Requires="wps">
            <w:drawing>
              <wp:anchor behindDoc="0" distT="0" distB="0" distL="0" distR="0" simplePos="0" locked="0" layoutInCell="1" allowOverlap="1" relativeHeight="103">
                <wp:simplePos x="0" y="0"/>
                <wp:positionH relativeFrom="column">
                  <wp:align>left</wp:align>
                </wp:positionH>
                <wp:positionV relativeFrom="line">
                  <wp:posOffset>635</wp:posOffset>
                </wp:positionV>
                <wp:extent cx="457200" cy="175260"/>
                <wp:effectExtent l="0" t="0" r="0" b="0"/>
                <wp:wrapSquare wrapText="right"/>
                <wp:docPr id="102" name="Frame102"/>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 xml:space="preserve">• </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 xml:space="preserve">• </w:t>
                      </w:r>
                    </w:p>
                  </w:txbxContent>
                </v:textbox>
                <w10:wrap type="square" side="right"/>
              </v:rect>
            </w:pict>
          </mc:Fallback>
        </mc:AlternateContent>
      </w:r>
    </w:p>
    <w:p>
      <w:pPr>
        <w:pStyle w:val="TextBody"/>
        <w:bidi w:val="0"/>
        <w:spacing w:before="0" w:after="0"/>
        <w:ind w:left="720" w:right="0" w:hanging="0"/>
        <w:jc w:val="left"/>
        <w:rPr/>
      </w:pPr>
      <w:r>
        <w:rPr/>
        <w:t xml:space="preserve">  </w:t>
      </w:r>
    </w:p>
    <w:p>
      <w:pPr>
        <w:pStyle w:val="TextBody"/>
        <w:bidi w:val="0"/>
        <w:spacing w:before="0" w:after="0"/>
        <w:ind w:left="0" w:right="0" w:hanging="720"/>
        <w:jc w:val="both"/>
        <w:rPr>
          <w:rFonts w:ascii="Times New Roman" w:hAnsi="Times New Roman"/>
          <w:sz w:val="20"/>
        </w:rPr>
      </w:pPr>
      <w:r>
        <w:rPr>
          <w:rFonts w:ascii="Times New Roman" w:hAnsi="Times New Roman"/>
          <w:sz w:val="20"/>
        </w:rPr>
        <w:t xml:space="preserve">a pandemic, or the resurgence of a pandemic such as the COVID-19 pandemic, or a cyberattack or data breach, could adversely affect our contractors’ operations, supply chain or workforce; </w:t>
      </w:r>
      <w:r>
        <mc:AlternateContent>
          <mc:Choice Requires="wps">
            <w:drawing>
              <wp:anchor behindDoc="0" distT="0" distB="0" distL="0" distR="0" simplePos="0" locked="0" layoutInCell="1" allowOverlap="1" relativeHeight="104">
                <wp:simplePos x="0" y="0"/>
                <wp:positionH relativeFrom="column">
                  <wp:align>left</wp:align>
                </wp:positionH>
                <wp:positionV relativeFrom="line">
                  <wp:posOffset>635</wp:posOffset>
                </wp:positionV>
                <wp:extent cx="457200" cy="175260"/>
                <wp:effectExtent l="0" t="0" r="0" b="0"/>
                <wp:wrapSquare wrapText="right"/>
                <wp:docPr id="103" name="Frame103"/>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 xml:space="preserve">• </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 xml:space="preserve">• </w:t>
                      </w:r>
                    </w:p>
                  </w:txbxContent>
                </v:textbox>
                <w10:wrap type="square" side="right"/>
              </v:rect>
            </w:pict>
          </mc:Fallback>
        </mc:AlternateContent>
      </w:r>
    </w:p>
    <w:p>
      <w:pPr>
        <w:pStyle w:val="TextBody"/>
        <w:bidi w:val="0"/>
        <w:spacing w:before="0" w:after="0"/>
        <w:ind w:left="720" w:right="0" w:hanging="0"/>
        <w:jc w:val="left"/>
        <w:rPr/>
      </w:pPr>
      <w:r>
        <w:rPr/>
        <w:t xml:space="preserve">  </w:t>
      </w:r>
    </w:p>
    <w:p>
      <w:pPr>
        <w:pStyle w:val="TextBody"/>
        <w:bidi w:val="0"/>
        <w:spacing w:before="0" w:after="0"/>
        <w:ind w:left="0" w:right="0" w:hanging="720"/>
        <w:jc w:val="both"/>
        <w:rPr>
          <w:rFonts w:ascii="Times New Roman" w:hAnsi="Times New Roman"/>
          <w:sz w:val="20"/>
        </w:rPr>
      </w:pPr>
      <w:r>
        <w:rPr>
          <w:rFonts w:ascii="Times New Roman" w:hAnsi="Times New Roman"/>
          <w:sz w:val="20"/>
        </w:rPr>
        <w:t xml:space="preserve">our contracted fill/finishers’ resources and level of expertise with plasma-derived biologics may be limited, therefore they may require a significant amount of support from us in order to implement and maintain the infrastructure and processes required to deliver our finished drug product; </w:t>
      </w:r>
      <w:r>
        <mc:AlternateContent>
          <mc:Choice Requires="wps">
            <w:drawing>
              <wp:anchor behindDoc="0" distT="0" distB="0" distL="0" distR="0" simplePos="0" locked="0" layoutInCell="1" allowOverlap="1" relativeHeight="105">
                <wp:simplePos x="0" y="0"/>
                <wp:positionH relativeFrom="column">
                  <wp:align>left</wp:align>
                </wp:positionH>
                <wp:positionV relativeFrom="line">
                  <wp:posOffset>635</wp:posOffset>
                </wp:positionV>
                <wp:extent cx="457200" cy="175260"/>
                <wp:effectExtent l="0" t="0" r="0" b="0"/>
                <wp:wrapSquare wrapText="right"/>
                <wp:docPr id="104" name="Frame104"/>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 xml:space="preserve">• </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 xml:space="preserve">• </w:t>
                      </w:r>
                    </w:p>
                  </w:txbxContent>
                </v:textbox>
                <w10:wrap type="square" side="right"/>
              </v:rect>
            </w:pict>
          </mc:Fallback>
        </mc:AlternateContent>
      </w:r>
    </w:p>
    <w:p>
      <w:pPr>
        <w:pStyle w:val="TextBody"/>
        <w:bidi w:val="0"/>
        <w:spacing w:before="0" w:after="0"/>
        <w:ind w:left="720" w:right="0" w:hanging="0"/>
        <w:jc w:val="left"/>
        <w:rPr/>
      </w:pPr>
      <w:r>
        <w:rPr/>
        <w:t xml:space="preserve">  </w:t>
      </w:r>
    </w:p>
    <w:p>
      <w:pPr>
        <w:pStyle w:val="TextBody"/>
        <w:bidi w:val="0"/>
        <w:spacing w:before="0" w:after="0"/>
        <w:ind w:left="0" w:right="0" w:hanging="720"/>
        <w:jc w:val="both"/>
        <w:rPr>
          <w:rFonts w:ascii="Times New Roman" w:hAnsi="Times New Roman"/>
          <w:sz w:val="20"/>
        </w:rPr>
      </w:pPr>
      <w:r>
        <w:rPr>
          <w:rFonts w:ascii="Times New Roman" w:hAnsi="Times New Roman"/>
          <w:sz w:val="20"/>
        </w:rPr>
        <w:t xml:space="preserve">our third-party contractors might be unable to timely provide finished drug product or raw material plasma in sufficient quantity or in accordance with our specifications to meet our commercial needs; </w:t>
      </w:r>
      <w:r>
        <mc:AlternateContent>
          <mc:Choice Requires="wps">
            <w:drawing>
              <wp:anchor behindDoc="0" distT="0" distB="0" distL="0" distR="0" simplePos="0" locked="0" layoutInCell="1" allowOverlap="1" relativeHeight="106">
                <wp:simplePos x="0" y="0"/>
                <wp:positionH relativeFrom="column">
                  <wp:align>left</wp:align>
                </wp:positionH>
                <wp:positionV relativeFrom="line">
                  <wp:posOffset>635</wp:posOffset>
                </wp:positionV>
                <wp:extent cx="457200" cy="175260"/>
                <wp:effectExtent l="0" t="0" r="0" b="0"/>
                <wp:wrapSquare wrapText="right"/>
                <wp:docPr id="105" name="Frame105"/>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 xml:space="preserve">• </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 xml:space="preserve">• </w:t>
                      </w:r>
                    </w:p>
                  </w:txbxContent>
                </v:textbox>
                <w10:wrap type="square" side="right"/>
              </v:rect>
            </w:pict>
          </mc:Fallback>
        </mc:AlternateContent>
      </w:r>
    </w:p>
    <w:p>
      <w:pPr>
        <w:pStyle w:val="TextBody"/>
        <w:bidi w:val="0"/>
        <w:spacing w:before="0" w:after="0"/>
        <w:ind w:left="720" w:right="0" w:hanging="0"/>
        <w:jc w:val="left"/>
        <w:rPr/>
      </w:pPr>
      <w:r>
        <w:rPr/>
        <w:t xml:space="preserve">  </w:t>
      </w:r>
    </w:p>
    <w:p>
      <w:pPr>
        <w:pStyle w:val="TextBody"/>
        <w:bidi w:val="0"/>
        <w:spacing w:before="0" w:after="0"/>
        <w:ind w:left="0" w:right="0" w:hanging="720"/>
        <w:jc w:val="both"/>
        <w:rPr>
          <w:rFonts w:ascii="Times New Roman" w:hAnsi="Times New Roman"/>
          <w:sz w:val="20"/>
        </w:rPr>
      </w:pPr>
      <w:r>
        <w:rPr>
          <w:rFonts w:ascii="Times New Roman" w:hAnsi="Times New Roman"/>
          <w:sz w:val="20"/>
        </w:rPr>
        <w:t xml:space="preserve">contractors may not be able to execute our inspection procedures and required tests appropriately; </w:t>
      </w:r>
      <w:r>
        <mc:AlternateContent>
          <mc:Choice Requires="wps">
            <w:drawing>
              <wp:anchor behindDoc="0" distT="0" distB="0" distL="0" distR="0" simplePos="0" locked="0" layoutInCell="1" allowOverlap="1" relativeHeight="107">
                <wp:simplePos x="0" y="0"/>
                <wp:positionH relativeFrom="column">
                  <wp:align>left</wp:align>
                </wp:positionH>
                <wp:positionV relativeFrom="line">
                  <wp:posOffset>635</wp:posOffset>
                </wp:positionV>
                <wp:extent cx="457200" cy="175260"/>
                <wp:effectExtent l="0" t="0" r="0" b="0"/>
                <wp:wrapSquare wrapText="right"/>
                <wp:docPr id="106" name="Frame106"/>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 xml:space="preserve">• </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 xml:space="preserve">• </w:t>
                      </w:r>
                    </w:p>
                  </w:txbxContent>
                </v:textbox>
                <w10:wrap type="square" side="right"/>
              </v:rect>
            </w:pict>
          </mc:Fallback>
        </mc:AlternateContent>
      </w:r>
    </w:p>
    <w:p>
      <w:pPr>
        <w:pStyle w:val="TextBody"/>
        <w:bidi w:val="0"/>
        <w:spacing w:before="0" w:after="0"/>
        <w:ind w:left="720" w:right="0" w:hanging="0"/>
        <w:jc w:val="left"/>
        <w:rPr/>
      </w:pPr>
      <w:r>
        <w:rPr/>
        <w:t xml:space="preserve">  </w:t>
      </w:r>
    </w:p>
    <w:p>
      <w:pPr>
        <w:pStyle w:val="TextBody"/>
        <w:bidi w:val="0"/>
        <w:spacing w:before="0" w:after="0"/>
        <w:ind w:left="0" w:right="0" w:hanging="720"/>
        <w:jc w:val="both"/>
        <w:rPr>
          <w:rFonts w:ascii="Times New Roman" w:hAnsi="Times New Roman"/>
          <w:sz w:val="20"/>
        </w:rPr>
      </w:pPr>
      <w:r>
        <w:rPr>
          <w:rFonts w:ascii="Times New Roman" w:hAnsi="Times New Roman"/>
          <w:sz w:val="20"/>
        </w:rPr>
        <w:t xml:space="preserve">contractors are subject to ongoing periodic unannounced inspection by the FDA and corresponding state agencies to ensure strict compliance with cGMP and other government regulations, and we do not have control over third-party providers’ compliance with these regulations; </w:t>
      </w:r>
      <w:r>
        <mc:AlternateContent>
          <mc:Choice Requires="wps">
            <w:drawing>
              <wp:anchor behindDoc="0" distT="0" distB="0" distL="0" distR="0" simplePos="0" locked="0" layoutInCell="1" allowOverlap="1" relativeHeight="108">
                <wp:simplePos x="0" y="0"/>
                <wp:positionH relativeFrom="column">
                  <wp:align>left</wp:align>
                </wp:positionH>
                <wp:positionV relativeFrom="line">
                  <wp:posOffset>635</wp:posOffset>
                </wp:positionV>
                <wp:extent cx="457200" cy="175260"/>
                <wp:effectExtent l="0" t="0" r="0" b="0"/>
                <wp:wrapSquare wrapText="right"/>
                <wp:docPr id="107" name="Frame107"/>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 xml:space="preserve">• </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 xml:space="preserve">• </w:t>
                      </w:r>
                    </w:p>
                  </w:txbxContent>
                </v:textbox>
                <w10:wrap type="square" side="right"/>
              </v:rect>
            </w:pict>
          </mc:Fallback>
        </mc:AlternateContent>
      </w:r>
    </w:p>
    <w:p>
      <w:pPr>
        <w:pStyle w:val="TextBody"/>
        <w:bidi w:val="0"/>
        <w:spacing w:before="0" w:after="0"/>
        <w:ind w:left="720" w:right="0" w:hanging="0"/>
        <w:jc w:val="left"/>
        <w:rPr/>
      </w:pPr>
      <w:r>
        <w:rPr/>
        <w:t xml:space="preserve">  </w:t>
      </w:r>
    </w:p>
    <w:p>
      <w:pPr>
        <w:pStyle w:val="TextBody"/>
        <w:bidi w:val="0"/>
        <w:spacing w:before="0" w:after="0"/>
        <w:ind w:left="0" w:right="0" w:hanging="720"/>
        <w:jc w:val="both"/>
        <w:rPr>
          <w:rFonts w:ascii="Times New Roman" w:hAnsi="Times New Roman"/>
          <w:sz w:val="20"/>
        </w:rPr>
      </w:pPr>
      <w:r>
        <w:rPr>
          <w:rFonts w:ascii="Times New Roman" w:hAnsi="Times New Roman"/>
          <w:sz w:val="20"/>
        </w:rPr>
        <w:t xml:space="preserve">contractors may fail to comply with applicable regulatory requirements, placing them and us at risk of regulatory enforcement actions, recalls and other adverse consequences, and which place our patients at risk, which may negatively impact our business and their ability to supply products to meet our development, clinical and commercial needs; </w:t>
      </w:r>
      <w:r>
        <mc:AlternateContent>
          <mc:Choice Requires="wps">
            <w:drawing>
              <wp:anchor behindDoc="0" distT="0" distB="0" distL="0" distR="0" simplePos="0" locked="0" layoutInCell="1" allowOverlap="1" relativeHeight="109">
                <wp:simplePos x="0" y="0"/>
                <wp:positionH relativeFrom="column">
                  <wp:align>left</wp:align>
                </wp:positionH>
                <wp:positionV relativeFrom="line">
                  <wp:posOffset>635</wp:posOffset>
                </wp:positionV>
                <wp:extent cx="457200" cy="175260"/>
                <wp:effectExtent l="0" t="0" r="0" b="0"/>
                <wp:wrapSquare wrapText="right"/>
                <wp:docPr id="108" name="Frame108"/>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 xml:space="preserve">• </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 xml:space="preserve">• </w:t>
                      </w:r>
                    </w:p>
                  </w:txbxContent>
                </v:textbox>
                <w10:wrap type="square" side="right"/>
              </v:rect>
            </w:pict>
          </mc:Fallback>
        </mc:AlternateContent>
      </w:r>
    </w:p>
    <w:p>
      <w:pPr>
        <w:pStyle w:val="TextBody"/>
        <w:bidi w:val="0"/>
        <w:spacing w:before="0" w:after="0"/>
        <w:ind w:left="720" w:right="0" w:hanging="0"/>
        <w:jc w:val="left"/>
        <w:rPr/>
      </w:pPr>
      <w:r>
        <w:rPr/>
        <w:t xml:space="preserve">  </w:t>
      </w:r>
    </w:p>
    <w:p>
      <w:pPr>
        <w:pStyle w:val="TextBody"/>
        <w:bidi w:val="0"/>
        <w:spacing w:before="0" w:after="0"/>
        <w:ind w:left="0" w:right="0" w:hanging="720"/>
        <w:jc w:val="both"/>
        <w:rPr>
          <w:rFonts w:ascii="Times New Roman" w:hAnsi="Times New Roman"/>
          <w:sz w:val="20"/>
        </w:rPr>
      </w:pPr>
      <w:r>
        <w:rPr>
          <w:rFonts w:ascii="Times New Roman" w:hAnsi="Times New Roman"/>
          <w:sz w:val="20"/>
        </w:rPr>
        <w:t xml:space="preserve">our third parties could breach or terminate their agreements with us; and </w:t>
      </w:r>
      <w:r>
        <mc:AlternateContent>
          <mc:Choice Requires="wps">
            <w:drawing>
              <wp:anchor behindDoc="0" distT="0" distB="0" distL="0" distR="0" simplePos="0" locked="0" layoutInCell="1" allowOverlap="1" relativeHeight="110">
                <wp:simplePos x="0" y="0"/>
                <wp:positionH relativeFrom="column">
                  <wp:align>left</wp:align>
                </wp:positionH>
                <wp:positionV relativeFrom="line">
                  <wp:posOffset>635</wp:posOffset>
                </wp:positionV>
                <wp:extent cx="457200" cy="175260"/>
                <wp:effectExtent l="0" t="0" r="0" b="0"/>
                <wp:wrapSquare wrapText="right"/>
                <wp:docPr id="109" name="Frame109"/>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 xml:space="preserve">• </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 xml:space="preserve">• </w:t>
                      </w:r>
                    </w:p>
                  </w:txbxContent>
                </v:textbox>
                <w10:wrap type="square" side="right"/>
              </v:rect>
            </w:pict>
          </mc:Fallback>
        </mc:AlternateContent>
      </w:r>
    </w:p>
    <w:p>
      <w:pPr>
        <w:pStyle w:val="TextBody"/>
        <w:bidi w:val="0"/>
        <w:spacing w:before="0" w:after="0"/>
        <w:ind w:left="720" w:right="0" w:hanging="0"/>
        <w:jc w:val="left"/>
        <w:rPr/>
      </w:pPr>
      <w:r>
        <w:rPr/>
        <w:t xml:space="preserve">  </w:t>
      </w:r>
    </w:p>
    <w:p>
      <w:pPr>
        <w:pStyle w:val="TextBody"/>
        <w:bidi w:val="0"/>
        <w:spacing w:before="0" w:after="0"/>
        <w:ind w:left="0" w:right="0" w:hanging="720"/>
        <w:jc w:val="left"/>
        <w:rPr>
          <w:rFonts w:ascii="Times New Roman" w:hAnsi="Times New Roman"/>
          <w:sz w:val="20"/>
        </w:rPr>
      </w:pPr>
      <w:r>
        <w:rPr>
          <w:rFonts w:ascii="Times New Roman" w:hAnsi="Times New Roman"/>
          <w:sz w:val="20"/>
        </w:rPr>
        <w:t xml:space="preserve">our contract fill/finishers may have unacceptable or inconsistent drug product quality success rates and yields, and we have no direct control over our contract fill/finishers’ ability to maintain adequate quality control, quality assurance and qualified personnel. </w:t>
      </w:r>
      <w:r>
        <mc:AlternateContent>
          <mc:Choice Requires="wps">
            <w:drawing>
              <wp:anchor behindDoc="0" distT="0" distB="0" distL="0" distR="0" simplePos="0" locked="0" layoutInCell="1" allowOverlap="1" relativeHeight="111">
                <wp:simplePos x="0" y="0"/>
                <wp:positionH relativeFrom="column">
                  <wp:align>left</wp:align>
                </wp:positionH>
                <wp:positionV relativeFrom="line">
                  <wp:posOffset>635</wp:posOffset>
                </wp:positionV>
                <wp:extent cx="457200" cy="175260"/>
                <wp:effectExtent l="0" t="0" r="0" b="0"/>
                <wp:wrapSquare wrapText="right"/>
                <wp:docPr id="110" name="Frame110"/>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 xml:space="preserve">• </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 xml:space="preserve">• </w:t>
                      </w:r>
                    </w:p>
                  </w:txbxContent>
                </v:textbox>
                <w10:wrap type="square" side="right"/>
              </v:rect>
            </w:pict>
          </mc:Fallback>
        </mc:AlternateContent>
      </w:r>
    </w:p>
    <w:p>
      <w:pPr>
        <w:pStyle w:val="TextBody"/>
        <w:bidi w:val="0"/>
        <w:spacing w:before="0" w:after="0"/>
        <w:jc w:val="left"/>
        <w:rPr/>
      </w:pPr>
      <w:r>
        <w:rPr/>
        <w:t xml:space="preserve">  </w:t>
      </w:r>
    </w:p>
    <w:p>
      <w:pPr>
        <w:pStyle w:val="TextBody"/>
        <w:bidi w:val="0"/>
        <w:spacing w:before="150" w:after="15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t>34</w:t>
      </w:r>
    </w:p>
    <w:p>
      <w:pPr>
        <w:pStyle w:val="HorizontalLine"/>
        <w:bidi w:val="0"/>
        <w:spacing w:before="150" w:after="150"/>
        <w:jc w:val="left"/>
        <w:rPr/>
      </w:pPr>
      <w:r>
        <w:rPr/>
      </w:r>
    </w:p>
    <w:p>
      <w:pPr>
        <w:pStyle w:val="TextBody"/>
        <w:bidi w:val="0"/>
        <w:spacing w:before="150" w:after="150"/>
        <w:jc w:val="left"/>
        <w:rPr/>
      </w:pPr>
      <w:hyperlink w:anchor="index">
        <w:r>
          <w:rPr>
            <w:rStyle w:val="InternetLink"/>
            <w:rFonts w:ascii="TimesNewRoman;Times New Roman;Times;Baskerville;Georgia;serif" w:hAnsi="TimesNewRoman;Times New Roman;Times;Baskerville;Georgia;serif"/>
            <w:b w:val="false"/>
            <w:i/>
            <w:caps w:val="false"/>
            <w:smallCaps w:val="false"/>
            <w:strike w:val="false"/>
            <w:dstrike w:val="false"/>
            <w:sz w:val="16"/>
            <w:u w:val="none"/>
            <w:effect w:val="none"/>
          </w:rPr>
          <w:t>Index</w:t>
        </w:r>
      </w:hyperlink>
    </w:p>
    <w:p>
      <w:pPr>
        <w:pStyle w:val="TextBody"/>
        <w:bidi w:val="0"/>
        <w:spacing w:before="0" w:after="0"/>
        <w:ind w:left="0" w:right="0" w:firstLine="720"/>
        <w:jc w:val="both"/>
        <w:rPr>
          <w:rFonts w:ascii="Times New Roman" w:hAnsi="Times New Roman"/>
          <w:sz w:val="20"/>
        </w:rPr>
      </w:pPr>
      <w:r>
        <w:rPr>
          <w:rFonts w:ascii="Times New Roman" w:hAnsi="Times New Roman"/>
          <w:sz w:val="20"/>
        </w:rPr>
        <w:t xml:space="preserve">Each of these risks could delay or prevent production, the completion of our finished drug product and the release of finished drug product by us or the FDA, which could result in higher costs or adversely impact our revenues. These risks could also result in the delay in obtaining clinical supplies, which would delay our development programs, or could result in the need to repeat clinical or preclinical studies. Any failure of any third parties to meet the applicable regulatory requirements could also result in the need for time-consuming and costly corrective actions. In addition, our contract fill/finishers and our other third-party vendors may source their materials and supplies globally and are therefore subject to potential tariffs, which could be passed along to us in whole or in part and adversely impact our results of operations, and supply disruptions in the event of fire, weather related events such as hurricanes, wind and rain, international conflicts, strikes, embargoes, trade and sanction requirements and limits, other acts of God or force majeure events or global health occurrences and emergencies. </w:t>
      </w:r>
    </w:p>
    <w:p>
      <w:pPr>
        <w:pStyle w:val="TextBody"/>
        <w:bidi w:val="0"/>
        <w:spacing w:before="0" w:after="0"/>
        <w:jc w:val="left"/>
        <w:rPr/>
      </w:pPr>
      <w:r>
        <w:rPr/>
        <w:t xml:space="preserve">  </w:t>
      </w:r>
    </w:p>
    <w:p>
      <w:pPr>
        <w:pStyle w:val="TextBody"/>
        <w:bidi w:val="0"/>
        <w:spacing w:before="0" w:after="0"/>
        <w:jc w:val="both"/>
        <w:rPr>
          <w:rFonts w:ascii="Times New Roman" w:hAnsi="Times New Roman"/>
          <w:sz w:val="20"/>
        </w:rPr>
      </w:pPr>
      <w:r>
        <w:rPr>
          <w:rFonts w:ascii="Times New Roman" w:hAnsi="Times New Roman"/>
          <w:b/>
          <w:i/>
          <w:sz w:val="20"/>
        </w:rPr>
        <w:t>The estimates of market opportunity and forecasts of market and revenue growth included in our filings may prove to be inaccurate, and even if the markets in which we compete achieve the forecasted growth, our business could fail to grow at similar rates, if at all.</w:t>
      </w:r>
      <w:r>
        <w:rPr>
          <w:rFonts w:ascii="Times New Roman" w:hAnsi="Times New Roman"/>
          <w:sz w:val="20"/>
        </w:rPr>
        <w:t xml:space="preserve"> </w:t>
      </w:r>
    </w:p>
    <w:p>
      <w:pPr>
        <w:pStyle w:val="TextBody"/>
        <w:bidi w:val="0"/>
        <w:spacing w:before="0" w:after="0"/>
        <w:jc w:val="left"/>
        <w:rPr/>
      </w:pPr>
      <w:r>
        <w:rPr/>
        <w:t xml:space="preserve">  </w:t>
      </w:r>
    </w:p>
    <w:p>
      <w:pPr>
        <w:pStyle w:val="TextBody"/>
        <w:bidi w:val="0"/>
        <w:spacing w:before="0" w:after="0"/>
        <w:ind w:left="0" w:right="0" w:firstLine="720"/>
        <w:jc w:val="both"/>
        <w:rPr>
          <w:rFonts w:ascii="Times New Roman" w:hAnsi="Times New Roman"/>
          <w:sz w:val="20"/>
        </w:rPr>
      </w:pPr>
      <w:r>
        <w:rPr>
          <w:rFonts w:ascii="Times New Roman" w:hAnsi="Times New Roman"/>
          <w:sz w:val="20"/>
        </w:rPr>
        <w:t xml:space="preserve">Our market opportunity estimates and growth forecasts are subject to significant uncertainty and are based on assumptions and estimates that may not prove to be accurate. In particular, the size and growth of the overall U.S. IVIG and source plasma markets and the potential market opportunity for our products and product candidates, including an </w:t>
      </w:r>
      <w:r>
        <w:rPr>
          <w:rFonts w:ascii="Times New Roman" w:hAnsi="Times New Roman"/>
          <w:i/>
          <w:sz w:val="20"/>
        </w:rPr>
        <w:t>S. pneumoniae</w:t>
      </w:r>
      <w:r>
        <w:rPr>
          <w:rFonts w:ascii="Times New Roman" w:hAnsi="Times New Roman"/>
          <w:sz w:val="20"/>
        </w:rPr>
        <w:t xml:space="preserve"> hyperimmune globulin are subject to significant variables that can be difficult to measure, estimate or quantify. </w:t>
      </w:r>
    </w:p>
    <w:p>
      <w:pPr>
        <w:pStyle w:val="TextBody"/>
        <w:bidi w:val="0"/>
        <w:spacing w:before="0" w:after="0"/>
        <w:jc w:val="both"/>
        <w:rPr/>
      </w:pPr>
      <w:r>
        <w:rPr/>
        <w:t xml:space="preserve">  </w:t>
      </w:r>
    </w:p>
    <w:p>
      <w:pPr>
        <w:pStyle w:val="TextBody"/>
        <w:bidi w:val="0"/>
        <w:spacing w:before="0" w:after="0"/>
        <w:ind w:left="0" w:right="0" w:firstLine="720"/>
        <w:jc w:val="both"/>
        <w:rPr>
          <w:rFonts w:ascii="Times New Roman" w:hAnsi="Times New Roman"/>
          <w:sz w:val="20"/>
        </w:rPr>
      </w:pPr>
      <w:r>
        <w:rPr>
          <w:rFonts w:ascii="Times New Roman" w:hAnsi="Times New Roman"/>
          <w:sz w:val="20"/>
        </w:rPr>
        <w:t xml:space="preserve">Our business depends on, among other things, successful manufacturing and commercialization of our existing products, strong payer access to our products, successful medical education initiatives, market acceptance of such products and ensuring that our products are safe and effective. Further, there can be no assurance that we will be able to generate the revenue that we believe our products and plasma collection facilities are capable of generating, including but not limited to our current expectations with respect to our yield enhancement production process, which received FDA approval in April 2025. We generate our opportunity estimates and growth forecasts from independent and paid market research, as well as industry and general publications obtained from third parties. Additionally, we purchase data from our authorized distributors and end-user customers in the ordinary course and rely on this data as inputs informing our opportunity estimates and growth forecasts. As a result, we may not be able to accurately forecast or predict revenue. For these reasons, the estimates and forecasts in our filings relating to revenue generation and growth may prove to be inaccurate. Even if the markets in which we compete meet our size estimates and forecasted growth, our business could fail to grow at similar rates, if at all. </w:t>
      </w:r>
    </w:p>
    <w:p>
      <w:pPr>
        <w:pStyle w:val="TextBody"/>
        <w:bidi w:val="0"/>
        <w:spacing w:before="0" w:after="0"/>
        <w:jc w:val="left"/>
        <w:rPr/>
      </w:pPr>
      <w:r>
        <w:rPr/>
        <w:t xml:space="preserve">  </w:t>
      </w:r>
    </w:p>
    <w:p>
      <w:pPr>
        <w:pStyle w:val="TextBody"/>
        <w:bidi w:val="0"/>
        <w:spacing w:before="0" w:after="0"/>
        <w:jc w:val="left"/>
        <w:rPr>
          <w:rFonts w:ascii="Times New Roman" w:hAnsi="Times New Roman"/>
          <w:sz w:val="20"/>
        </w:rPr>
      </w:pPr>
      <w:r>
        <w:rPr>
          <w:rFonts w:ascii="Times New Roman" w:hAnsi="Times New Roman"/>
          <w:b/>
          <w:i/>
          <w:sz w:val="20"/>
        </w:rPr>
        <w:t>Geopolitical and economic conditions, war, terrorism or other military actions may have a material adverse effect on our business.</w:t>
      </w:r>
      <w:r>
        <w:rPr>
          <w:rFonts w:ascii="Times New Roman" w:hAnsi="Times New Roman"/>
          <w:sz w:val="20"/>
        </w:rPr>
        <w:t xml:space="preserve"> </w:t>
      </w:r>
    </w:p>
    <w:p>
      <w:pPr>
        <w:pStyle w:val="TextBody"/>
        <w:bidi w:val="0"/>
        <w:spacing w:before="0" w:after="0"/>
        <w:jc w:val="left"/>
        <w:rPr/>
      </w:pPr>
      <w:r>
        <w:rPr/>
        <w:t xml:space="preserve">  </w:t>
      </w:r>
    </w:p>
    <w:p>
      <w:pPr>
        <w:pStyle w:val="TextBody"/>
        <w:bidi w:val="0"/>
        <w:spacing w:before="0" w:after="0"/>
        <w:ind w:left="0" w:right="0" w:firstLine="720"/>
        <w:jc w:val="both"/>
        <w:rPr>
          <w:rFonts w:ascii="Times New Roman" w:hAnsi="Times New Roman"/>
          <w:sz w:val="20"/>
        </w:rPr>
      </w:pPr>
      <w:r>
        <w:rPr>
          <w:rFonts w:ascii="Times New Roman" w:hAnsi="Times New Roman"/>
          <w:sz w:val="20"/>
        </w:rPr>
        <w:t xml:space="preserve">Geopolitical conflicts, war or other military action or international acts of terrorism may cause significant disruption to commerce throughout the world. To the extent that such disruptions result in disruptions to our supply chain, delays or cancellations of customer orders, a general decrease in consumer spending, our inability to effectively market and distribute our products and/or our inability to access the capital markets, our business and results of operations could be materially and adversely affected. For example, in response to the ongoing conflict between Russia and Ukraine, the United States has imposed and may further impose, and other countries may additionally impose, broad sanctions or other restrictive actions against governmental and other entities in Russia. Additionally, further escalation of geopolitical tensions, such as ongoing conflicts in certain countries in South America, Northern Africa and in the Middle East and the surrounding areas could have a broader impact that extends into other markets where we do business. We are unable to predict whether geopolitical or economic conditions, acts of international terrorism or the involvement in a war or other military actions will result in any long-term commercial disruptions or if such involvement or responses will have any long-term material adverse effect on our business, results of operations, or financial condition. </w:t>
      </w:r>
    </w:p>
    <w:p>
      <w:pPr>
        <w:pStyle w:val="TextBody"/>
        <w:bidi w:val="0"/>
        <w:spacing w:before="0" w:after="0"/>
        <w:jc w:val="both"/>
        <w:rPr/>
      </w:pPr>
      <w:r>
        <w:rPr/>
        <w:t xml:space="preserve">  </w:t>
      </w:r>
    </w:p>
    <w:p>
      <w:pPr>
        <w:pStyle w:val="TextBody"/>
        <w:bidi w:val="0"/>
        <w:spacing w:before="0" w:after="0"/>
        <w:jc w:val="both"/>
        <w:rPr>
          <w:rFonts w:ascii="Times New Roman" w:hAnsi="Times New Roman"/>
          <w:sz w:val="20"/>
        </w:rPr>
      </w:pPr>
      <w:r>
        <w:rPr>
          <w:rFonts w:ascii="Times New Roman" w:hAnsi="Times New Roman"/>
          <w:b/>
          <w:i/>
          <w:sz w:val="20"/>
        </w:rPr>
        <w:t>Both of our business segments and our facilities, as well as our suppliers and contractors, are subject to periodic inspections by the FDA and other regulatory authorities, which, depending on the outcome of such inspections, could result in certain regulatory actions, including the issuance of observations, notices, citations, warning letters or other enforcement actions.</w:t>
      </w:r>
      <w:r>
        <w:rPr>
          <w:rFonts w:ascii="Times New Roman" w:hAnsi="Times New Roman"/>
          <w:sz w:val="20"/>
        </w:rPr>
        <w:t xml:space="preserve"> </w:t>
      </w:r>
    </w:p>
    <w:p>
      <w:pPr>
        <w:pStyle w:val="TextBody"/>
        <w:bidi w:val="0"/>
        <w:spacing w:before="0" w:after="0"/>
        <w:jc w:val="left"/>
        <w:rPr/>
      </w:pPr>
      <w:r>
        <w:rPr/>
        <w:t xml:space="preserve">  </w:t>
      </w:r>
    </w:p>
    <w:p>
      <w:pPr>
        <w:pStyle w:val="TextBody"/>
        <w:bidi w:val="0"/>
        <w:spacing w:before="150" w:after="15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t>35</w:t>
      </w:r>
    </w:p>
    <w:p>
      <w:pPr>
        <w:pStyle w:val="HorizontalLine"/>
        <w:bidi w:val="0"/>
        <w:spacing w:before="150" w:after="150"/>
        <w:jc w:val="left"/>
        <w:rPr/>
      </w:pPr>
      <w:r>
        <w:rPr/>
      </w:r>
    </w:p>
    <w:p>
      <w:pPr>
        <w:pStyle w:val="TextBody"/>
        <w:bidi w:val="0"/>
        <w:spacing w:before="150" w:after="150"/>
        <w:jc w:val="left"/>
        <w:rPr/>
      </w:pPr>
      <w:hyperlink w:anchor="index">
        <w:r>
          <w:rPr>
            <w:rStyle w:val="InternetLink"/>
            <w:rFonts w:ascii="TimesNewRoman;Times New Roman;Times;Baskerville;Georgia;serif" w:hAnsi="TimesNewRoman;Times New Roman;Times;Baskerville;Georgia;serif"/>
            <w:b w:val="false"/>
            <w:i/>
            <w:caps w:val="false"/>
            <w:smallCaps w:val="false"/>
            <w:strike w:val="false"/>
            <w:dstrike w:val="false"/>
            <w:sz w:val="16"/>
            <w:u w:val="none"/>
            <w:effect w:val="none"/>
          </w:rPr>
          <w:t>Index</w:t>
        </w:r>
      </w:hyperlink>
    </w:p>
    <w:p>
      <w:pPr>
        <w:pStyle w:val="TextBody"/>
        <w:bidi w:val="0"/>
        <w:spacing w:before="0" w:after="0"/>
        <w:ind w:left="0" w:right="0" w:firstLine="720"/>
        <w:jc w:val="both"/>
        <w:rPr>
          <w:rFonts w:ascii="Times New Roman" w:hAnsi="Times New Roman"/>
          <w:sz w:val="20"/>
        </w:rPr>
      </w:pPr>
      <w:r>
        <w:rPr>
          <w:rFonts w:ascii="Times New Roman" w:hAnsi="Times New Roman"/>
          <w:sz w:val="20"/>
        </w:rPr>
        <w:t xml:space="preserve">We and our suppliers and contractors may be unable to comply with our specifications, cGMP requirements and with other FDA, state, and foreign regulatory requirements for commercial and clinical supply. They and us may need to maintain certain licenses that we or they may not be able to maintain. The FDA and other regulatory authorities are authorized to perform inspections (remotely and in person) of our and our suppliers’ facilities, including the Boca Facility. The FDA and other regulatory authorities also may inspect and approve our and our third-parties’ facilities before they may be used for commercial production. If we or our suppliers are not able to comply with the applicable regulatory requirements, we or they may be subject to regulatory enforcement actions, which can materially impact our business. For instance, at the end of such an inspection, the FDA could issue a Form 483 Notice of Inspectional Observations, which could cause the FDA to not approve the use of the facility and cause us to modify certain activities identified during the inspection. Following such inspections, the FDA may issue an untitled letter as an initial correspondence that cites violations that do not meet the threshold of regulatory significance of a warning letter. FDA guidelines also provide for the issuance of warning letters for violations of “regulatory significance” for which the failure to adequately and promptly achieve correction may be expected to result in an enforcement action. FDA also may issue warning letters and untitled letters in connection with events or circumstances unrelated to an FDA inspection. Depending on the seriousness of any findings, we or our suppliers may be subject to additional significant enforcement or other actions and events, may need to undertake product recalls, may have a disruption in the supply of commercial or clinical product, or may need to modify or repeat studies, which could have a material impact on our business. </w:t>
      </w:r>
    </w:p>
    <w:p>
      <w:pPr>
        <w:pStyle w:val="TextBody"/>
        <w:bidi w:val="0"/>
        <w:spacing w:before="0" w:after="0"/>
        <w:jc w:val="both"/>
        <w:rPr/>
      </w:pPr>
      <w:r>
        <w:rPr/>
        <w:t xml:space="preserve">  </w:t>
      </w:r>
    </w:p>
    <w:p>
      <w:pPr>
        <w:pStyle w:val="TextBody"/>
        <w:bidi w:val="0"/>
        <w:spacing w:before="0" w:after="0"/>
        <w:ind w:left="0" w:right="0" w:firstLine="720"/>
        <w:jc w:val="both"/>
        <w:rPr>
          <w:rFonts w:ascii="Times New Roman" w:hAnsi="Times New Roman"/>
          <w:sz w:val="20"/>
        </w:rPr>
      </w:pPr>
      <w:r>
        <w:rPr>
          <w:rFonts w:ascii="Times New Roman" w:hAnsi="Times New Roman"/>
          <w:sz w:val="20"/>
        </w:rPr>
        <w:t xml:space="preserve">In the event of any enforcement actions, we and our third-party contractors would need to implement remedial actions which may be time-intensive or costly. We may not be able to timely resolve concerns raised by the applicable regulator as a result of an inspection or without expending significant resources. We are unable to control the timing of inspections, communications and actions, and will be required to respond to the regulator and make certain submissions within certain timeframes. We also do not know whether or not the regulator will change its requirements, guidance or expectations. If the regulator determines that we have not remediated the issues identified in a warning letter or any other inspection issues and deficiencies, any failure of ours to address or provide requested documentation of corrections for these issues could disrupt our business operations and the timing of our commercialization efforts and could have a material adverse effect on our financial condition and operating results. </w:t>
      </w:r>
    </w:p>
    <w:p>
      <w:pPr>
        <w:pStyle w:val="TextBody"/>
        <w:bidi w:val="0"/>
        <w:spacing w:before="0" w:after="0"/>
        <w:jc w:val="left"/>
        <w:rPr/>
      </w:pPr>
      <w:r>
        <w:rPr/>
        <w:t xml:space="preserve">  </w:t>
      </w:r>
    </w:p>
    <w:p>
      <w:pPr>
        <w:pStyle w:val="TextBody"/>
        <w:bidi w:val="0"/>
        <w:spacing w:before="0" w:after="0"/>
        <w:jc w:val="left"/>
        <w:rPr>
          <w:rFonts w:ascii="Times New Roman" w:hAnsi="Times New Roman"/>
          <w:sz w:val="20"/>
        </w:rPr>
      </w:pPr>
      <w:r>
        <w:rPr>
          <w:rFonts w:ascii="Times New Roman" w:hAnsi="Times New Roman"/>
          <w:b/>
          <w:i/>
          <w:sz w:val="20"/>
        </w:rPr>
        <w:t>If we fail to comply with environmental, health and safety laws and regulations, we could become subject to fines or penalties or incur costs that could have a material adverse effect on the success of our business.</w:t>
      </w:r>
      <w:r>
        <w:rPr>
          <w:rFonts w:ascii="Times New Roman" w:hAnsi="Times New Roman"/>
          <w:sz w:val="20"/>
        </w:rPr>
        <w:t xml:space="preserve"> </w:t>
      </w:r>
    </w:p>
    <w:p>
      <w:pPr>
        <w:pStyle w:val="TextBody"/>
        <w:bidi w:val="0"/>
        <w:spacing w:before="0" w:after="0"/>
        <w:jc w:val="left"/>
        <w:rPr/>
      </w:pPr>
      <w:r>
        <w:rPr/>
        <w:t xml:space="preserve">  </w:t>
      </w:r>
    </w:p>
    <w:p>
      <w:pPr>
        <w:pStyle w:val="TextBody"/>
        <w:bidi w:val="0"/>
        <w:spacing w:before="0" w:after="0"/>
        <w:ind w:left="0" w:right="0" w:firstLine="720"/>
        <w:jc w:val="both"/>
        <w:rPr>
          <w:rFonts w:ascii="Times New Roman" w:hAnsi="Times New Roman"/>
          <w:sz w:val="20"/>
        </w:rPr>
      </w:pPr>
      <w:r>
        <w:rPr>
          <w:rFonts w:ascii="Times New Roman" w:hAnsi="Times New Roman"/>
          <w:sz w:val="20"/>
        </w:rPr>
        <w:t xml:space="preserve">We are subject to numerous environmental, health and safety laws and regulations, including those governing laboratory procedures and the handling, use, storage, treatment and disposal of hazardous materials and wastes. Our commercial manufacturing and any research and development activities involve the use of biological and hazardous materials and produce hazardous waste products. We generally contract with third parties for the disposal of these materials. We cannot eliminate the risk of contamination or injury from these materials, which could cause an interruption to our commercialization efforts, research and development efforts and business operations, environmental damage resulting in costly clean-up and liabilities under applicable laws and regulations governing the use, storage, handling and disposal of these materials and specified waste products. Although we believe that the safety procedures utilized internally and by our third-party manufacturers and service providers for handling and disposing of these materials generally comply with the standards prescribed by these laws and regulations, we cannot guarantee that this is the case or eliminate the risk of accidental contamination or injury from these materials. In such an event, we may be held liable for any resulting damages and such liability could exceed our resources and state or federal or other applicable authorities may curtail our use of certain materials and/or interrupt our business operations. Furthermore, environmental laws and regulations are complex, change frequently and have tended to become more stringent. We cannot predict the impact of such changes and cannot be certain of our future compliance. In addition, we may incur substantial costs in order to comply with current or future environmental, health and safety laws and regulations. These current or future laws and regulations may impair our commercial manufacturing, research and development, or production efforts. Failure to comply with these laws and regulations also may result in substantial fines, penalties, or other sanctions. </w:t>
      </w:r>
    </w:p>
    <w:p>
      <w:pPr>
        <w:pStyle w:val="TextBody"/>
        <w:bidi w:val="0"/>
        <w:spacing w:before="0" w:after="0"/>
        <w:jc w:val="both"/>
        <w:rPr/>
      </w:pPr>
      <w:r>
        <w:rPr/>
        <w:t xml:space="preserve">  </w:t>
      </w:r>
    </w:p>
    <w:p>
      <w:pPr>
        <w:pStyle w:val="TextBody"/>
        <w:bidi w:val="0"/>
        <w:spacing w:before="150" w:after="15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t>36</w:t>
      </w:r>
    </w:p>
    <w:p>
      <w:pPr>
        <w:pStyle w:val="HorizontalLine"/>
        <w:bidi w:val="0"/>
        <w:spacing w:before="150" w:after="150"/>
        <w:jc w:val="left"/>
        <w:rPr/>
      </w:pPr>
      <w:r>
        <w:rPr/>
      </w:r>
    </w:p>
    <w:p>
      <w:pPr>
        <w:pStyle w:val="TextBody"/>
        <w:bidi w:val="0"/>
        <w:spacing w:before="150" w:after="150"/>
        <w:jc w:val="left"/>
        <w:rPr/>
      </w:pPr>
      <w:hyperlink w:anchor="index">
        <w:r>
          <w:rPr>
            <w:rStyle w:val="InternetLink"/>
            <w:rFonts w:ascii="TimesNewRoman;Times New Roman;Times;Baskerville;Georgia;serif" w:hAnsi="TimesNewRoman;Times New Roman;Times;Baskerville;Georgia;serif"/>
            <w:b w:val="false"/>
            <w:i/>
            <w:caps w:val="false"/>
            <w:smallCaps w:val="false"/>
            <w:strike w:val="false"/>
            <w:dstrike w:val="false"/>
            <w:sz w:val="16"/>
            <w:u w:val="none"/>
            <w:effect w:val="none"/>
          </w:rPr>
          <w:t>Index</w:t>
        </w:r>
      </w:hyperlink>
    </w:p>
    <w:p>
      <w:pPr>
        <w:pStyle w:val="TextBody"/>
        <w:bidi w:val="0"/>
        <w:spacing w:before="0" w:after="0"/>
        <w:jc w:val="left"/>
        <w:rPr>
          <w:rFonts w:ascii="Times New Roman" w:hAnsi="Times New Roman"/>
          <w:sz w:val="20"/>
        </w:rPr>
      </w:pPr>
      <w:r>
        <w:rPr>
          <w:rFonts w:ascii="Times New Roman" w:hAnsi="Times New Roman"/>
          <w:b/>
          <w:i/>
          <w:sz w:val="20"/>
        </w:rPr>
        <w:t>Business interruptions could adversely affect our business</w:t>
      </w:r>
      <w:r>
        <w:rPr>
          <w:rFonts w:ascii="Times New Roman" w:hAnsi="Times New Roman"/>
          <w:b/>
          <w:sz w:val="20"/>
        </w:rPr>
        <w:t>.</w:t>
      </w:r>
      <w:r>
        <w:rPr>
          <w:rFonts w:ascii="Times New Roman" w:hAnsi="Times New Roman"/>
          <w:sz w:val="20"/>
        </w:rPr>
        <w:t xml:space="preserve"> </w:t>
      </w:r>
    </w:p>
    <w:p>
      <w:pPr>
        <w:pStyle w:val="TextBody"/>
        <w:bidi w:val="0"/>
        <w:spacing w:before="0" w:after="0"/>
        <w:jc w:val="left"/>
        <w:rPr/>
      </w:pPr>
      <w:r>
        <w:rPr/>
        <w:t xml:space="preserve">  </w:t>
      </w:r>
    </w:p>
    <w:p>
      <w:pPr>
        <w:pStyle w:val="TextBody"/>
        <w:bidi w:val="0"/>
        <w:spacing w:before="0" w:after="0"/>
        <w:ind w:left="0" w:right="0" w:firstLine="720"/>
        <w:jc w:val="both"/>
        <w:rPr>
          <w:rFonts w:ascii="Times New Roman" w:hAnsi="Times New Roman"/>
          <w:sz w:val="20"/>
        </w:rPr>
      </w:pPr>
      <w:r>
        <w:rPr>
          <w:rFonts w:ascii="Times New Roman" w:hAnsi="Times New Roman"/>
          <w:sz w:val="20"/>
        </w:rPr>
        <w:t xml:space="preserve">Our operations, including our headquarters located in Ramsey, New Jersey, the Boca Facility, our new real estate in Boca Raton, Florida and our plasma collection facilities, are vulnerable to natural disasters (including as a result of climate change), such as interruption by fires, weather related events such as hurricanes, wind and rain, other acts of God or force majeure events, electric power loss, telecommunications failure, equipment failure and breakdown, cyberattacks on our operations and information technology systems as well as the systems of our customers, suppliers and related entities, human error, employee issues, global health occurrences such as a pandemic, global and economic uncertainty, war, terrorism, geopolitical conditions and emergencies, product liability claims and events beyond our control. While we maintain several insurance policies with reputable carriers that provide partial coverage for a variety of these risks, including replacing or rebuilding a part of our facilities, these policies are subject to the insurance carriers’ final determination of compensation to us and we may not have adequate coverage if we need to rebuild or replace our inventory, infrastructure, business income or our entire facility. In addition, our disaster recovery plans for our facilities may not be adequate and we do not have an alternative manufacturing facility or contractual arrangements with other manufacturers in the event of a casualty to or destruction of any of our facilities. If we are required to rebuild or relocate any of our facilities, a substantial investment in improvements and equipment would be necessary. We carry only a limited amount of business interruption insurance, which may not sufficiently compensate us for losses that may occur. As a result, any significant business interruption could adversely affect our business and results of operations. </w:t>
      </w:r>
    </w:p>
    <w:p>
      <w:pPr>
        <w:pStyle w:val="TextBody"/>
        <w:bidi w:val="0"/>
        <w:spacing w:before="0" w:after="0"/>
        <w:jc w:val="left"/>
        <w:rPr/>
      </w:pPr>
      <w:r>
        <w:rPr/>
        <w:t xml:space="preserve">  </w:t>
      </w:r>
    </w:p>
    <w:p>
      <w:pPr>
        <w:pStyle w:val="TextBody"/>
        <w:bidi w:val="0"/>
        <w:spacing w:before="0" w:after="0"/>
        <w:jc w:val="both"/>
        <w:rPr>
          <w:rFonts w:ascii="Times New Roman" w:hAnsi="Times New Roman"/>
          <w:sz w:val="20"/>
        </w:rPr>
      </w:pPr>
      <w:r>
        <w:rPr>
          <w:rFonts w:ascii="Times New Roman" w:hAnsi="Times New Roman"/>
          <w:b/>
          <w:i/>
          <w:sz w:val="20"/>
        </w:rPr>
        <w:t>If we are unsuccessful in obtaining regulatory approval for any of our product candidates or if any of our product candidates do not provide positive results, we may be required to delay or abandon development of such product, which would have a material adverse impact on our business.</w:t>
      </w:r>
      <w:r>
        <w:rPr>
          <w:rFonts w:ascii="Times New Roman" w:hAnsi="Times New Roman"/>
          <w:sz w:val="20"/>
        </w:rPr>
        <w:t xml:space="preserve"> </w:t>
      </w:r>
    </w:p>
    <w:p>
      <w:pPr>
        <w:pStyle w:val="TextBody"/>
        <w:bidi w:val="0"/>
        <w:spacing w:before="0" w:after="0"/>
        <w:jc w:val="left"/>
        <w:rPr/>
      </w:pPr>
      <w:r>
        <w:rPr/>
        <w:t xml:space="preserve">  </w:t>
      </w:r>
    </w:p>
    <w:p>
      <w:pPr>
        <w:pStyle w:val="TextBody"/>
        <w:bidi w:val="0"/>
        <w:spacing w:before="0" w:after="0"/>
        <w:ind w:left="0" w:right="0" w:firstLine="720"/>
        <w:jc w:val="both"/>
        <w:rPr>
          <w:rFonts w:ascii="Times New Roman" w:hAnsi="Times New Roman"/>
          <w:sz w:val="20"/>
        </w:rPr>
      </w:pPr>
      <w:r>
        <w:rPr>
          <w:rFonts w:ascii="Times New Roman" w:hAnsi="Times New Roman"/>
          <w:sz w:val="20"/>
        </w:rPr>
        <w:t xml:space="preserve">Product candidates require extensive clinical data analysis and regulatory review and may require additional testing. Clinical trials and data analysis can be very expensive, time-consuming and difficult to design and implement. The conduct of preclinical studies and clinical trials is subject to numerous risks and results of the studies and trials are highly uncertain. Human clinical trials are very expensive and difficult to design and implement, in part because they are subject to rigorous regulatory requirements. The clinical trial process is also time-consuming. Furthermore, delays or setbacks can occur at any stage of the process, and we could encounter problems that cause us to abandon our product development programs and related IND applications or BLAs, or to repeat clinical trials. The commencement and completion of clinical trials or ultimate product approval for any current or future development product candidate may be delayed by several factors, including: </w:t>
      </w:r>
    </w:p>
    <w:p>
      <w:pPr>
        <w:pStyle w:val="TextBody"/>
        <w:bidi w:val="0"/>
        <w:spacing w:before="0" w:after="0"/>
        <w:jc w:val="both"/>
        <w:rPr/>
      </w:pPr>
      <w:r>
        <w:rPr/>
        <w:t> </w:t>
      </w:r>
    </w:p>
    <w:p>
      <w:pPr>
        <w:pStyle w:val="TextBody"/>
        <w:bidi w:val="0"/>
        <w:spacing w:before="0" w:after="0"/>
        <w:ind w:left="0" w:right="0" w:hanging="360"/>
        <w:jc w:val="left"/>
        <w:rPr>
          <w:rFonts w:ascii="Times New Roman" w:hAnsi="Times New Roman"/>
          <w:sz w:val="20"/>
        </w:rPr>
      </w:pPr>
      <w:r>
        <w:rPr>
          <w:rFonts w:ascii="Times New Roman" w:hAnsi="Times New Roman"/>
          <w:sz w:val="20"/>
        </w:rPr>
        <w:t xml:space="preserve">unforeseen safety issues; </w:t>
      </w:r>
      <w:r>
        <mc:AlternateContent>
          <mc:Choice Requires="wps">
            <w:drawing>
              <wp:anchor behindDoc="0" distT="0" distB="0" distL="0" distR="0" simplePos="0" locked="0" layoutInCell="1" allowOverlap="1" relativeHeight="112">
                <wp:simplePos x="0" y="0"/>
                <wp:positionH relativeFrom="column">
                  <wp:align>left</wp:align>
                </wp:positionH>
                <wp:positionV relativeFrom="line">
                  <wp:posOffset>635</wp:posOffset>
                </wp:positionV>
                <wp:extent cx="228600" cy="175260"/>
                <wp:effectExtent l="0" t="0" r="0" b="0"/>
                <wp:wrapSquare wrapText="right"/>
                <wp:docPr id="111" name="Frame111"/>
                <a:graphic xmlns:a="http://schemas.openxmlformats.org/drawingml/2006/main">
                  <a:graphicData uri="http://schemas.microsoft.com/office/word/2010/wordprocessingShape">
                    <wps:wsp>
                      <wps:cNvSpPr txBox="1"/>
                      <wps:spPr>
                        <a:xfrm>
                          <a:off x="0" y="0"/>
                          <a:ext cx="228600" cy="175260"/>
                        </a:xfrm>
                        <a:prstGeom prst="rect"/>
                        <a:solidFill>
                          <a:srgbClr val="FFFFFF"/>
                        </a:solidFill>
                      </wps:spPr>
                      <wps:txbx>
                        <w:txbxContent>
                          <w:p>
                            <w:pPr>
                              <w:pStyle w:val="TextBody"/>
                              <w:bidi w:val="0"/>
                              <w:spacing w:before="0" w:after="283"/>
                              <w:jc w:val="left"/>
                              <w:rPr/>
                            </w:pPr>
                            <w:r>
                              <w:rPr/>
                              <w:t xml:space="preserve">• </w:t>
                            </w:r>
                          </w:p>
                        </w:txbxContent>
                      </wps:txbx>
                      <wps:bodyPr anchor="t" lIns="0" tIns="0" rIns="0" bIns="0">
                        <a:noAutofit/>
                      </wps:bodyPr>
                    </wps:wsp>
                  </a:graphicData>
                </a:graphic>
              </wp:anchor>
            </w:drawing>
          </mc:Choice>
          <mc:Fallback>
            <w:pict>
              <v:rect style="position:absolute;rotation:-0;width: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 xml:space="preserve">• </w:t>
                      </w:r>
                    </w:p>
                  </w:txbxContent>
                </v:textbox>
                <w10:wrap type="square" side="right"/>
              </v:rect>
            </w:pict>
          </mc:Fallback>
        </mc:AlternateContent>
      </w:r>
    </w:p>
    <w:p>
      <w:pPr>
        <w:pStyle w:val="TextBody"/>
        <w:bidi w:val="0"/>
        <w:spacing w:before="0" w:after="0"/>
        <w:ind w:left="0" w:right="0" w:hanging="360"/>
        <w:jc w:val="both"/>
        <w:rPr/>
      </w:pPr>
      <w:r>
        <w:rPr/>
        <w:t xml:space="preserve">  </w:t>
      </w:r>
    </w:p>
    <w:p>
      <w:pPr>
        <w:pStyle w:val="TextBody"/>
        <w:bidi w:val="0"/>
        <w:spacing w:before="0" w:after="0"/>
        <w:ind w:left="0" w:right="0" w:hanging="360"/>
        <w:jc w:val="left"/>
        <w:rPr>
          <w:rFonts w:ascii="Times New Roman" w:hAnsi="Times New Roman"/>
          <w:sz w:val="20"/>
        </w:rPr>
      </w:pPr>
      <w:r>
        <w:rPr>
          <w:rFonts w:ascii="Times New Roman" w:hAnsi="Times New Roman"/>
          <w:sz w:val="20"/>
        </w:rPr>
        <w:t xml:space="preserve">determination of dosing issues; </w:t>
      </w:r>
      <w:r>
        <mc:AlternateContent>
          <mc:Choice Requires="wps">
            <w:drawing>
              <wp:anchor behindDoc="0" distT="0" distB="0" distL="0" distR="0" simplePos="0" locked="0" layoutInCell="1" allowOverlap="1" relativeHeight="113">
                <wp:simplePos x="0" y="0"/>
                <wp:positionH relativeFrom="column">
                  <wp:align>left</wp:align>
                </wp:positionH>
                <wp:positionV relativeFrom="line">
                  <wp:posOffset>635</wp:posOffset>
                </wp:positionV>
                <wp:extent cx="228600" cy="175260"/>
                <wp:effectExtent l="0" t="0" r="0" b="0"/>
                <wp:wrapSquare wrapText="right"/>
                <wp:docPr id="112" name="Frame112"/>
                <a:graphic xmlns:a="http://schemas.openxmlformats.org/drawingml/2006/main">
                  <a:graphicData uri="http://schemas.microsoft.com/office/word/2010/wordprocessingShape">
                    <wps:wsp>
                      <wps:cNvSpPr txBox="1"/>
                      <wps:spPr>
                        <a:xfrm>
                          <a:off x="0" y="0"/>
                          <a:ext cx="228600" cy="175260"/>
                        </a:xfrm>
                        <a:prstGeom prst="rect"/>
                        <a:solidFill>
                          <a:srgbClr val="FFFFFF"/>
                        </a:solidFill>
                      </wps:spPr>
                      <wps:txbx>
                        <w:txbxContent>
                          <w:p>
                            <w:pPr>
                              <w:pStyle w:val="TextBody"/>
                              <w:bidi w:val="0"/>
                              <w:spacing w:before="0" w:after="283"/>
                              <w:jc w:val="left"/>
                              <w:rPr/>
                            </w:pPr>
                            <w:r>
                              <w:rPr/>
                              <w:t xml:space="preserve">• </w:t>
                            </w:r>
                          </w:p>
                        </w:txbxContent>
                      </wps:txbx>
                      <wps:bodyPr anchor="t" lIns="0" tIns="0" rIns="0" bIns="0">
                        <a:noAutofit/>
                      </wps:bodyPr>
                    </wps:wsp>
                  </a:graphicData>
                </a:graphic>
              </wp:anchor>
            </w:drawing>
          </mc:Choice>
          <mc:Fallback>
            <w:pict>
              <v:rect style="position:absolute;rotation:-0;width: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 xml:space="preserve">• </w:t>
                      </w:r>
                    </w:p>
                  </w:txbxContent>
                </v:textbox>
                <w10:wrap type="square" side="right"/>
              </v:rect>
            </w:pict>
          </mc:Fallback>
        </mc:AlternateContent>
      </w:r>
    </w:p>
    <w:p>
      <w:pPr>
        <w:pStyle w:val="TextBody"/>
        <w:bidi w:val="0"/>
        <w:spacing w:before="0" w:after="0"/>
        <w:ind w:left="0" w:right="0" w:hanging="360"/>
        <w:jc w:val="both"/>
        <w:rPr/>
      </w:pPr>
      <w:r>
        <w:rPr/>
        <w:t xml:space="preserve">   </w:t>
      </w:r>
    </w:p>
    <w:p>
      <w:pPr>
        <w:pStyle w:val="TextBody"/>
        <w:bidi w:val="0"/>
        <w:spacing w:before="0" w:after="0"/>
        <w:ind w:left="0" w:right="0" w:hanging="360"/>
        <w:jc w:val="left"/>
        <w:rPr>
          <w:rFonts w:ascii="Times New Roman" w:hAnsi="Times New Roman"/>
          <w:sz w:val="20"/>
        </w:rPr>
      </w:pPr>
      <w:r>
        <w:rPr>
          <w:rFonts w:ascii="Times New Roman" w:hAnsi="Times New Roman"/>
          <w:sz w:val="20"/>
        </w:rPr>
        <w:t xml:space="preserve">lack of safety or effectiveness, or other adverse study results during clinical trials; </w:t>
      </w:r>
      <w:r>
        <mc:AlternateContent>
          <mc:Choice Requires="wps">
            <w:drawing>
              <wp:anchor behindDoc="0" distT="0" distB="0" distL="0" distR="0" simplePos="0" locked="0" layoutInCell="1" allowOverlap="1" relativeHeight="114">
                <wp:simplePos x="0" y="0"/>
                <wp:positionH relativeFrom="column">
                  <wp:align>left</wp:align>
                </wp:positionH>
                <wp:positionV relativeFrom="line">
                  <wp:posOffset>635</wp:posOffset>
                </wp:positionV>
                <wp:extent cx="228600" cy="175260"/>
                <wp:effectExtent l="0" t="0" r="0" b="0"/>
                <wp:wrapSquare wrapText="right"/>
                <wp:docPr id="113" name="Frame113"/>
                <a:graphic xmlns:a="http://schemas.openxmlformats.org/drawingml/2006/main">
                  <a:graphicData uri="http://schemas.microsoft.com/office/word/2010/wordprocessingShape">
                    <wps:wsp>
                      <wps:cNvSpPr txBox="1"/>
                      <wps:spPr>
                        <a:xfrm>
                          <a:off x="0" y="0"/>
                          <a:ext cx="228600" cy="175260"/>
                        </a:xfrm>
                        <a:prstGeom prst="rect"/>
                        <a:solidFill>
                          <a:srgbClr val="FFFFFF"/>
                        </a:solidFill>
                      </wps:spPr>
                      <wps:txbx>
                        <w:txbxContent>
                          <w:p>
                            <w:pPr>
                              <w:pStyle w:val="TextBody"/>
                              <w:bidi w:val="0"/>
                              <w:spacing w:before="0" w:after="283"/>
                              <w:jc w:val="left"/>
                              <w:rPr/>
                            </w:pPr>
                            <w:r>
                              <w:rPr/>
                              <w:t xml:space="preserve">• </w:t>
                            </w:r>
                          </w:p>
                        </w:txbxContent>
                      </wps:txbx>
                      <wps:bodyPr anchor="t" lIns="0" tIns="0" rIns="0" bIns="0">
                        <a:noAutofit/>
                      </wps:bodyPr>
                    </wps:wsp>
                  </a:graphicData>
                </a:graphic>
              </wp:anchor>
            </w:drawing>
          </mc:Choice>
          <mc:Fallback>
            <w:pict>
              <v:rect style="position:absolute;rotation:-0;width: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 xml:space="preserve">• </w:t>
                      </w:r>
                    </w:p>
                  </w:txbxContent>
                </v:textbox>
                <w10:wrap type="square" side="right"/>
              </v:rect>
            </w:pict>
          </mc:Fallback>
        </mc:AlternateContent>
      </w:r>
    </w:p>
    <w:p>
      <w:pPr>
        <w:pStyle w:val="TextBody"/>
        <w:bidi w:val="0"/>
        <w:spacing w:before="0" w:after="0"/>
        <w:ind w:left="0" w:right="0" w:hanging="360"/>
        <w:jc w:val="both"/>
        <w:rPr/>
      </w:pPr>
      <w:r>
        <w:rPr/>
        <w:t xml:space="preserve">  </w:t>
      </w:r>
    </w:p>
    <w:p>
      <w:pPr>
        <w:pStyle w:val="TextBody"/>
        <w:bidi w:val="0"/>
        <w:spacing w:before="0" w:after="0"/>
        <w:ind w:left="0" w:right="0" w:hanging="360"/>
        <w:jc w:val="left"/>
        <w:rPr>
          <w:rFonts w:ascii="Times New Roman" w:hAnsi="Times New Roman"/>
          <w:sz w:val="20"/>
        </w:rPr>
      </w:pPr>
      <w:r>
        <w:rPr>
          <w:rFonts w:ascii="Times New Roman" w:hAnsi="Times New Roman"/>
          <w:sz w:val="20"/>
        </w:rPr>
        <w:t xml:space="preserve">slower than expected rates of patient recruitment or noncompliance with clinical trial requirements; </w:t>
      </w:r>
      <w:r>
        <mc:AlternateContent>
          <mc:Choice Requires="wps">
            <w:drawing>
              <wp:anchor behindDoc="0" distT="0" distB="0" distL="0" distR="0" simplePos="0" locked="0" layoutInCell="1" allowOverlap="1" relativeHeight="115">
                <wp:simplePos x="0" y="0"/>
                <wp:positionH relativeFrom="column">
                  <wp:align>left</wp:align>
                </wp:positionH>
                <wp:positionV relativeFrom="line">
                  <wp:posOffset>635</wp:posOffset>
                </wp:positionV>
                <wp:extent cx="228600" cy="175260"/>
                <wp:effectExtent l="0" t="0" r="0" b="0"/>
                <wp:wrapSquare wrapText="right"/>
                <wp:docPr id="114" name="Frame114"/>
                <a:graphic xmlns:a="http://schemas.openxmlformats.org/drawingml/2006/main">
                  <a:graphicData uri="http://schemas.microsoft.com/office/word/2010/wordprocessingShape">
                    <wps:wsp>
                      <wps:cNvSpPr txBox="1"/>
                      <wps:spPr>
                        <a:xfrm>
                          <a:off x="0" y="0"/>
                          <a:ext cx="228600" cy="175260"/>
                        </a:xfrm>
                        <a:prstGeom prst="rect"/>
                        <a:solidFill>
                          <a:srgbClr val="FFFFFF"/>
                        </a:solidFill>
                      </wps:spPr>
                      <wps:txbx>
                        <w:txbxContent>
                          <w:p>
                            <w:pPr>
                              <w:pStyle w:val="TextBody"/>
                              <w:bidi w:val="0"/>
                              <w:spacing w:before="0" w:after="283"/>
                              <w:jc w:val="left"/>
                              <w:rPr/>
                            </w:pPr>
                            <w:r>
                              <w:rPr/>
                              <w:t xml:space="preserve">• </w:t>
                            </w:r>
                          </w:p>
                        </w:txbxContent>
                      </wps:txbx>
                      <wps:bodyPr anchor="t" lIns="0" tIns="0" rIns="0" bIns="0">
                        <a:noAutofit/>
                      </wps:bodyPr>
                    </wps:wsp>
                  </a:graphicData>
                </a:graphic>
              </wp:anchor>
            </w:drawing>
          </mc:Choice>
          <mc:Fallback>
            <w:pict>
              <v:rect style="position:absolute;rotation:-0;width: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 xml:space="preserve">• </w:t>
                      </w:r>
                    </w:p>
                  </w:txbxContent>
                </v:textbox>
                <w10:wrap type="square" side="right"/>
              </v:rect>
            </w:pict>
          </mc:Fallback>
        </mc:AlternateContent>
      </w:r>
    </w:p>
    <w:p>
      <w:pPr>
        <w:pStyle w:val="TextBody"/>
        <w:bidi w:val="0"/>
        <w:spacing w:before="0" w:after="0"/>
        <w:ind w:left="0" w:right="0" w:hanging="360"/>
        <w:jc w:val="both"/>
        <w:rPr/>
      </w:pPr>
      <w:r>
        <w:rPr/>
        <w:t xml:space="preserve">  </w:t>
      </w:r>
    </w:p>
    <w:p>
      <w:pPr>
        <w:pStyle w:val="TextBody"/>
        <w:bidi w:val="0"/>
        <w:spacing w:before="0" w:after="0"/>
        <w:ind w:left="0" w:right="0" w:hanging="360"/>
        <w:jc w:val="left"/>
        <w:rPr>
          <w:rFonts w:ascii="Times New Roman" w:hAnsi="Times New Roman"/>
          <w:sz w:val="20"/>
        </w:rPr>
      </w:pPr>
      <w:r>
        <w:rPr>
          <w:rFonts w:ascii="Times New Roman" w:hAnsi="Times New Roman"/>
          <w:sz w:val="20"/>
        </w:rPr>
        <w:t xml:space="preserve">inability to monitor patients adequately during or after treatment; and </w:t>
      </w:r>
      <w:r>
        <mc:AlternateContent>
          <mc:Choice Requires="wps">
            <w:drawing>
              <wp:anchor behindDoc="0" distT="0" distB="0" distL="0" distR="0" simplePos="0" locked="0" layoutInCell="1" allowOverlap="1" relativeHeight="116">
                <wp:simplePos x="0" y="0"/>
                <wp:positionH relativeFrom="column">
                  <wp:align>left</wp:align>
                </wp:positionH>
                <wp:positionV relativeFrom="line">
                  <wp:posOffset>635</wp:posOffset>
                </wp:positionV>
                <wp:extent cx="228600" cy="175260"/>
                <wp:effectExtent l="0" t="0" r="0" b="0"/>
                <wp:wrapSquare wrapText="right"/>
                <wp:docPr id="115" name="Frame115"/>
                <a:graphic xmlns:a="http://schemas.openxmlformats.org/drawingml/2006/main">
                  <a:graphicData uri="http://schemas.microsoft.com/office/word/2010/wordprocessingShape">
                    <wps:wsp>
                      <wps:cNvSpPr txBox="1"/>
                      <wps:spPr>
                        <a:xfrm>
                          <a:off x="0" y="0"/>
                          <a:ext cx="228600" cy="175260"/>
                        </a:xfrm>
                        <a:prstGeom prst="rect"/>
                        <a:solidFill>
                          <a:srgbClr val="FFFFFF"/>
                        </a:solidFill>
                      </wps:spPr>
                      <wps:txbx>
                        <w:txbxContent>
                          <w:p>
                            <w:pPr>
                              <w:pStyle w:val="TextBody"/>
                              <w:bidi w:val="0"/>
                              <w:spacing w:before="0" w:after="283"/>
                              <w:jc w:val="left"/>
                              <w:rPr/>
                            </w:pPr>
                            <w:r>
                              <w:rPr/>
                              <w:t xml:space="preserve">• </w:t>
                            </w:r>
                          </w:p>
                        </w:txbxContent>
                      </wps:txbx>
                      <wps:bodyPr anchor="t" lIns="0" tIns="0" rIns="0" bIns="0">
                        <a:noAutofit/>
                      </wps:bodyPr>
                    </wps:wsp>
                  </a:graphicData>
                </a:graphic>
              </wp:anchor>
            </w:drawing>
          </mc:Choice>
          <mc:Fallback>
            <w:pict>
              <v:rect style="position:absolute;rotation:-0;width: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 xml:space="preserve">• </w:t>
                      </w:r>
                    </w:p>
                  </w:txbxContent>
                </v:textbox>
                <w10:wrap type="square" side="right"/>
              </v:rect>
            </w:pict>
          </mc:Fallback>
        </mc:AlternateContent>
      </w:r>
    </w:p>
    <w:p>
      <w:pPr>
        <w:pStyle w:val="TextBody"/>
        <w:bidi w:val="0"/>
        <w:spacing w:before="0" w:after="0"/>
        <w:ind w:left="0" w:right="0" w:hanging="360"/>
        <w:jc w:val="both"/>
        <w:rPr/>
      </w:pPr>
      <w:r>
        <w:rPr/>
        <w:t xml:space="preserve">  </w:t>
      </w:r>
    </w:p>
    <w:p>
      <w:pPr>
        <w:pStyle w:val="TextBody"/>
        <w:bidi w:val="0"/>
        <w:spacing w:before="0" w:after="0"/>
        <w:ind w:left="0" w:right="0" w:hanging="360"/>
        <w:jc w:val="left"/>
        <w:rPr>
          <w:rFonts w:ascii="Times New Roman" w:hAnsi="Times New Roman"/>
          <w:sz w:val="20"/>
        </w:rPr>
      </w:pPr>
      <w:r>
        <w:rPr>
          <w:rFonts w:ascii="Times New Roman" w:hAnsi="Times New Roman"/>
          <w:sz w:val="20"/>
        </w:rPr>
        <w:t xml:space="preserve">inability or unwillingness of medical investigators to follow our clinical protocols. </w:t>
      </w:r>
      <w:r>
        <mc:AlternateContent>
          <mc:Choice Requires="wps">
            <w:drawing>
              <wp:anchor behindDoc="0" distT="0" distB="0" distL="0" distR="0" simplePos="0" locked="0" layoutInCell="1" allowOverlap="1" relativeHeight="117">
                <wp:simplePos x="0" y="0"/>
                <wp:positionH relativeFrom="column">
                  <wp:align>left</wp:align>
                </wp:positionH>
                <wp:positionV relativeFrom="line">
                  <wp:posOffset>635</wp:posOffset>
                </wp:positionV>
                <wp:extent cx="228600" cy="175260"/>
                <wp:effectExtent l="0" t="0" r="0" b="0"/>
                <wp:wrapSquare wrapText="right"/>
                <wp:docPr id="116" name="Frame116"/>
                <a:graphic xmlns:a="http://schemas.openxmlformats.org/drawingml/2006/main">
                  <a:graphicData uri="http://schemas.microsoft.com/office/word/2010/wordprocessingShape">
                    <wps:wsp>
                      <wps:cNvSpPr txBox="1"/>
                      <wps:spPr>
                        <a:xfrm>
                          <a:off x="0" y="0"/>
                          <a:ext cx="228600" cy="175260"/>
                        </a:xfrm>
                        <a:prstGeom prst="rect"/>
                        <a:solidFill>
                          <a:srgbClr val="FFFFFF"/>
                        </a:solidFill>
                      </wps:spPr>
                      <wps:txbx>
                        <w:txbxContent>
                          <w:p>
                            <w:pPr>
                              <w:pStyle w:val="TextBody"/>
                              <w:bidi w:val="0"/>
                              <w:spacing w:before="0" w:after="283"/>
                              <w:jc w:val="left"/>
                              <w:rPr/>
                            </w:pPr>
                            <w:r>
                              <w:rPr/>
                              <w:t xml:space="preserve">• </w:t>
                            </w:r>
                          </w:p>
                        </w:txbxContent>
                      </wps:txbx>
                      <wps:bodyPr anchor="t" lIns="0" tIns="0" rIns="0" bIns="0">
                        <a:noAutofit/>
                      </wps:bodyPr>
                    </wps:wsp>
                  </a:graphicData>
                </a:graphic>
              </wp:anchor>
            </w:drawing>
          </mc:Choice>
          <mc:Fallback>
            <w:pict>
              <v:rect style="position:absolute;rotation:-0;width: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 xml:space="preserve">• </w:t>
                      </w:r>
                    </w:p>
                  </w:txbxContent>
                </v:textbox>
                <w10:wrap type="square" side="right"/>
              </v:rect>
            </w:pict>
          </mc:Fallback>
        </mc:AlternateContent>
      </w:r>
    </w:p>
    <w:p>
      <w:pPr>
        <w:pStyle w:val="TextBody"/>
        <w:bidi w:val="0"/>
        <w:spacing w:before="0" w:after="0"/>
        <w:ind w:left="720" w:right="0" w:hanging="0"/>
        <w:jc w:val="left"/>
        <w:rPr/>
      </w:pPr>
      <w:r>
        <w:rPr/>
        <w:t xml:space="preserve">  </w:t>
      </w:r>
    </w:p>
    <w:p>
      <w:pPr>
        <w:pStyle w:val="TextBody"/>
        <w:bidi w:val="0"/>
        <w:spacing w:before="0" w:after="0"/>
        <w:ind w:left="0" w:right="0" w:firstLine="720"/>
        <w:jc w:val="both"/>
        <w:rPr>
          <w:rFonts w:ascii="Times New Roman" w:hAnsi="Times New Roman"/>
          <w:sz w:val="20"/>
        </w:rPr>
      </w:pPr>
      <w:r>
        <w:rPr>
          <w:rFonts w:ascii="Times New Roman" w:hAnsi="Times New Roman"/>
          <w:sz w:val="20"/>
        </w:rPr>
        <w:t xml:space="preserve">We cannot be certain as to what type and how many clinical trials the FDA, or equivalent foreign regulatory agencies, will require us to conduct before we may successfully gain approval to market any of our product candidates that still require FDA approval. Prior to approving a new drug or biologic, the FDA generally requires that the effectiveness of the product candidate (which is not typically fully investigated until Phase III) be demonstrated in two adequate and well-controlled clinical trials. However, if the FDA or an equivalent foreign regulatory authority determines that our Phase III clinical trial results do not demonstrate a statistically significant, clinically meaningful benefit with an acceptable safety profile, or if a relevant regulator requires us to conduct additional Phase III clinical trials in order to gain approval, we will incur significant additional development costs and commercialization of these products would be prevented or delayed and our business could be adversely affected. Regulators may also disagree with our interpretation of data from our studies, with our study design, or with the statistical analyses that we use. They may also find issues within our study data, including confounding factors, which make data difficult to interpret. </w:t>
      </w:r>
    </w:p>
    <w:p>
      <w:pPr>
        <w:pStyle w:val="TextBody"/>
        <w:bidi w:val="0"/>
        <w:spacing w:before="0" w:after="0"/>
        <w:jc w:val="both"/>
        <w:rPr/>
      </w:pPr>
      <w:r>
        <w:rPr/>
        <w:t xml:space="preserve">  </w:t>
      </w:r>
    </w:p>
    <w:p>
      <w:pPr>
        <w:pStyle w:val="TextBody"/>
        <w:bidi w:val="0"/>
        <w:spacing w:before="150" w:after="15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t>37</w:t>
      </w:r>
    </w:p>
    <w:p>
      <w:pPr>
        <w:pStyle w:val="HorizontalLine"/>
        <w:bidi w:val="0"/>
        <w:spacing w:before="150" w:after="150"/>
        <w:jc w:val="left"/>
        <w:rPr/>
      </w:pPr>
      <w:r>
        <w:rPr/>
      </w:r>
    </w:p>
    <w:p>
      <w:pPr>
        <w:pStyle w:val="TextBody"/>
        <w:bidi w:val="0"/>
        <w:spacing w:before="150" w:after="150"/>
        <w:jc w:val="left"/>
        <w:rPr/>
      </w:pPr>
      <w:hyperlink w:anchor="index">
        <w:r>
          <w:rPr>
            <w:rStyle w:val="InternetLink"/>
            <w:rFonts w:ascii="TimesNewRoman;Times New Roman;Times;Baskerville;Georgia;serif" w:hAnsi="TimesNewRoman;Times New Roman;Times;Baskerville;Georgia;serif"/>
            <w:b w:val="false"/>
            <w:i/>
            <w:caps w:val="false"/>
            <w:smallCaps w:val="false"/>
            <w:strike w:val="false"/>
            <w:dstrike w:val="false"/>
            <w:sz w:val="16"/>
            <w:u w:val="none"/>
            <w:effect w:val="none"/>
          </w:rPr>
          <w:t>Index</w:t>
        </w:r>
      </w:hyperlink>
    </w:p>
    <w:p>
      <w:pPr>
        <w:pStyle w:val="TextBody"/>
        <w:bidi w:val="0"/>
        <w:spacing w:before="0" w:after="0"/>
        <w:ind w:left="0" w:right="0" w:firstLine="720"/>
        <w:jc w:val="both"/>
        <w:rPr>
          <w:rFonts w:ascii="Times New Roman" w:hAnsi="Times New Roman"/>
          <w:sz w:val="20"/>
        </w:rPr>
      </w:pPr>
      <w:r>
        <w:rPr>
          <w:rFonts w:ascii="Times New Roman" w:hAnsi="Times New Roman"/>
          <w:sz w:val="20"/>
        </w:rPr>
        <w:t xml:space="preserve">In addition, the FDA or an IRB may not permit us to commence a clinical trial, may require amendments to our clinical trial protocols, or may suspend our clinical trials at any time if it appears that we are exposing participants to unacceptable health risks or if the FDA or IRB finds deficiencies in our IND submissions or the conduct of these trials. Regulatory authorities may also not accept data from clinical trials if the trials are not conducted in accordance with the applicable regulatory requirements. Failure to comply with the applicable regulatory requirements may also result in enforcement actions. Therefore, we cannot provide any assurance or predict with certainty the schedule for future clinical trials. In the event we do not ultimately receive regulatory approval for our product candidates, we may be required to terminate development of such product candidates. If we fail to obtain regulatory approval to market and sell our product candidates, or if approval is delayed, we will be unable to generate revenue from the sale of these products, our potential for generating positive cash flows will be diminished and the capital necessary to fund our operations will increase. </w:t>
      </w:r>
    </w:p>
    <w:p>
      <w:pPr>
        <w:pStyle w:val="TextBody"/>
        <w:bidi w:val="0"/>
        <w:spacing w:before="0" w:after="0"/>
        <w:jc w:val="left"/>
        <w:rPr/>
      </w:pPr>
      <w:r>
        <w:rPr/>
        <w:t xml:space="preserve">  </w:t>
      </w:r>
    </w:p>
    <w:p>
      <w:pPr>
        <w:pStyle w:val="TextBody"/>
        <w:bidi w:val="0"/>
        <w:spacing w:before="0" w:after="0"/>
        <w:jc w:val="both"/>
        <w:rPr>
          <w:rFonts w:ascii="Times New Roman" w:hAnsi="Times New Roman"/>
          <w:sz w:val="20"/>
        </w:rPr>
      </w:pPr>
      <w:r>
        <w:rPr>
          <w:rFonts w:ascii="Times New Roman" w:hAnsi="Times New Roman"/>
          <w:b/>
          <w:i/>
          <w:sz w:val="20"/>
        </w:rPr>
        <w:t>If the results of our clinical trials do not support our product candidate claims, completing the development of such product candidate may be significantly delayed or we may be forced to abandon development of such product candidate altogether.</w:t>
      </w:r>
      <w:r>
        <w:rPr>
          <w:rFonts w:ascii="Times New Roman" w:hAnsi="Times New Roman"/>
          <w:sz w:val="20"/>
        </w:rPr>
        <w:t xml:space="preserve"> </w:t>
      </w:r>
    </w:p>
    <w:p>
      <w:pPr>
        <w:pStyle w:val="TextBody"/>
        <w:bidi w:val="0"/>
        <w:spacing w:before="0" w:after="0"/>
        <w:jc w:val="both"/>
        <w:rPr/>
      </w:pPr>
      <w:r>
        <w:rPr/>
        <w:t xml:space="preserve">  </w:t>
      </w:r>
    </w:p>
    <w:p>
      <w:pPr>
        <w:pStyle w:val="TextBody"/>
        <w:bidi w:val="0"/>
        <w:spacing w:before="0" w:after="0"/>
        <w:ind w:left="0" w:right="0" w:firstLine="720"/>
        <w:jc w:val="both"/>
        <w:rPr>
          <w:rFonts w:ascii="Times New Roman" w:hAnsi="Times New Roman"/>
          <w:sz w:val="20"/>
        </w:rPr>
      </w:pPr>
      <w:r>
        <w:rPr>
          <w:rFonts w:ascii="Times New Roman" w:hAnsi="Times New Roman"/>
          <w:sz w:val="20"/>
        </w:rPr>
        <w:t xml:space="preserve">We cannot be certain that the clinical trial results of our product candidates will support our product candidates’ claims. Success in preclinical testing and early clinical trials does not ensure that later clinical trials will be successful, and we cannot be sure that the results of later clinical trials will replicate the results of prior clinical trials and preclinical testing. </w:t>
      </w:r>
    </w:p>
    <w:p>
      <w:pPr>
        <w:pStyle w:val="TextBody"/>
        <w:bidi w:val="0"/>
        <w:spacing w:before="0" w:after="0"/>
        <w:jc w:val="both"/>
        <w:rPr/>
      </w:pPr>
      <w:r>
        <w:rPr/>
        <w:t xml:space="preserve">  </w:t>
      </w:r>
    </w:p>
    <w:p>
      <w:pPr>
        <w:pStyle w:val="TextBody"/>
        <w:bidi w:val="0"/>
        <w:spacing w:before="0" w:after="0"/>
        <w:ind w:left="0" w:right="0" w:firstLine="720"/>
        <w:jc w:val="both"/>
        <w:rPr>
          <w:rFonts w:ascii="Times New Roman" w:hAnsi="Times New Roman"/>
          <w:sz w:val="20"/>
        </w:rPr>
      </w:pPr>
      <w:r>
        <w:rPr>
          <w:rFonts w:ascii="Times New Roman" w:hAnsi="Times New Roman"/>
          <w:sz w:val="20"/>
        </w:rPr>
        <w:t xml:space="preserve">The clinical trial process may fail to demonstrate that our product candidates are safe for humans and effective for indicated uses. This failure would cause us to abandon a product candidate and may delay the development of other product candidates. Any delay in, or termination of, our clinical trials will delay our ability to commercialize our product candidates and generate product revenues. </w:t>
      </w:r>
    </w:p>
    <w:p>
      <w:pPr>
        <w:pStyle w:val="TextBody"/>
        <w:bidi w:val="0"/>
        <w:spacing w:before="0" w:after="0"/>
        <w:jc w:val="both"/>
        <w:rPr/>
      </w:pPr>
      <w:r>
        <w:rPr/>
        <w:t xml:space="preserve">  </w:t>
      </w:r>
    </w:p>
    <w:p>
      <w:pPr>
        <w:pStyle w:val="TextBody"/>
        <w:bidi w:val="0"/>
        <w:spacing w:before="0" w:after="0"/>
        <w:ind w:left="0" w:right="0" w:firstLine="720"/>
        <w:jc w:val="both"/>
        <w:rPr>
          <w:rFonts w:ascii="Times New Roman" w:hAnsi="Times New Roman"/>
          <w:sz w:val="20"/>
        </w:rPr>
      </w:pPr>
      <w:r>
        <w:rPr>
          <w:rFonts w:ascii="Times New Roman" w:hAnsi="Times New Roman"/>
          <w:sz w:val="20"/>
        </w:rPr>
        <w:t xml:space="preserve">Other issues that may impact our clinical trials and that could delay or prevent our ability to receive marketing approval or commercialize our product candidates, include: </w:t>
      </w:r>
    </w:p>
    <w:p>
      <w:pPr>
        <w:pStyle w:val="TextBody"/>
        <w:bidi w:val="0"/>
        <w:spacing w:before="0" w:after="0"/>
        <w:jc w:val="both"/>
        <w:rPr/>
      </w:pPr>
      <w:r>
        <w:rPr/>
        <w:t xml:space="preserve">  </w:t>
      </w:r>
    </w:p>
    <w:p>
      <w:pPr>
        <w:pStyle w:val="TextBody"/>
        <w:bidi w:val="0"/>
        <w:spacing w:before="0" w:after="0"/>
        <w:ind w:left="0" w:right="0" w:hanging="360"/>
        <w:jc w:val="both"/>
        <w:rPr>
          <w:rFonts w:ascii="Times New Roman" w:hAnsi="Times New Roman"/>
          <w:sz w:val="20"/>
        </w:rPr>
      </w:pPr>
      <w:r>
        <w:rPr>
          <w:rFonts w:ascii="Times New Roman" w:hAnsi="Times New Roman"/>
          <w:sz w:val="20"/>
        </w:rPr>
        <w:t xml:space="preserve">Delays in reaching, or failure to reach, agreement on acceptable clinical trial contracts or clinical trial protocols with prospective trial sites and our contract research organizations (“CROs”); </w:t>
      </w:r>
      <w:r>
        <mc:AlternateContent>
          <mc:Choice Requires="wps">
            <w:drawing>
              <wp:anchor behindDoc="0" distT="0" distB="0" distL="0" distR="0" simplePos="0" locked="0" layoutInCell="1" allowOverlap="1" relativeHeight="118">
                <wp:simplePos x="0" y="0"/>
                <wp:positionH relativeFrom="column">
                  <wp:align>left</wp:align>
                </wp:positionH>
                <wp:positionV relativeFrom="line">
                  <wp:posOffset>635</wp:posOffset>
                </wp:positionV>
                <wp:extent cx="228600" cy="175260"/>
                <wp:effectExtent l="0" t="0" r="0" b="0"/>
                <wp:wrapSquare wrapText="right"/>
                <wp:docPr id="117" name="Frame117"/>
                <a:graphic xmlns:a="http://schemas.openxmlformats.org/drawingml/2006/main">
                  <a:graphicData uri="http://schemas.microsoft.com/office/word/2010/wordprocessingShape">
                    <wps:wsp>
                      <wps:cNvSpPr txBox="1"/>
                      <wps:spPr>
                        <a:xfrm>
                          <a:off x="0" y="0"/>
                          <a:ext cx="228600" cy="175260"/>
                        </a:xfrm>
                        <a:prstGeom prst="rect"/>
                        <a:solidFill>
                          <a:srgbClr val="FFFFFF"/>
                        </a:solidFill>
                      </wps:spPr>
                      <wps:txbx>
                        <w:txbxContent>
                          <w:p>
                            <w:pPr>
                              <w:pStyle w:val="TextBody"/>
                              <w:bidi w:val="0"/>
                              <w:spacing w:before="0" w:after="283"/>
                              <w:jc w:val="left"/>
                              <w:rPr/>
                            </w:pPr>
                            <w:r>
                              <w:rPr/>
                              <w:t xml:space="preserve">• </w:t>
                            </w:r>
                          </w:p>
                        </w:txbxContent>
                      </wps:txbx>
                      <wps:bodyPr anchor="t" lIns="0" tIns="0" rIns="0" bIns="0">
                        <a:noAutofit/>
                      </wps:bodyPr>
                    </wps:wsp>
                  </a:graphicData>
                </a:graphic>
              </wp:anchor>
            </w:drawing>
          </mc:Choice>
          <mc:Fallback>
            <w:pict>
              <v:rect style="position:absolute;rotation:-0;width: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 xml:space="preserve">• </w:t>
                      </w:r>
                    </w:p>
                  </w:txbxContent>
                </v:textbox>
                <w10:wrap type="square" side="right"/>
              </v:rect>
            </w:pict>
          </mc:Fallback>
        </mc:AlternateContent>
      </w:r>
    </w:p>
    <w:p>
      <w:pPr>
        <w:pStyle w:val="TextBody"/>
        <w:bidi w:val="0"/>
        <w:spacing w:before="0" w:after="0"/>
        <w:ind w:left="720" w:right="0" w:hanging="0"/>
        <w:jc w:val="both"/>
        <w:rPr/>
      </w:pPr>
      <w:r>
        <w:rPr/>
        <w:t xml:space="preserve">  </w:t>
      </w:r>
    </w:p>
    <w:p>
      <w:pPr>
        <w:pStyle w:val="TextBody"/>
        <w:bidi w:val="0"/>
        <w:spacing w:before="0" w:after="0"/>
        <w:ind w:left="0" w:right="0" w:hanging="360"/>
        <w:jc w:val="both"/>
        <w:rPr>
          <w:rFonts w:ascii="Times New Roman" w:hAnsi="Times New Roman"/>
          <w:sz w:val="20"/>
        </w:rPr>
      </w:pPr>
      <w:r>
        <w:rPr>
          <w:rFonts w:ascii="Times New Roman" w:hAnsi="Times New Roman"/>
          <w:sz w:val="20"/>
        </w:rPr>
        <w:t xml:space="preserve">Regulators requiring us to perform additional or unanticipated clinical trials to obtain approval or becoming subject to additional post-marketing testing, surveillance, or Risk Evaluation and Mitigation Strategies requirements to maintain regulatory approval; </w:t>
      </w:r>
      <w:r>
        <mc:AlternateContent>
          <mc:Choice Requires="wps">
            <w:drawing>
              <wp:anchor behindDoc="0" distT="0" distB="0" distL="0" distR="0" simplePos="0" locked="0" layoutInCell="1" allowOverlap="1" relativeHeight="119">
                <wp:simplePos x="0" y="0"/>
                <wp:positionH relativeFrom="column">
                  <wp:align>left</wp:align>
                </wp:positionH>
                <wp:positionV relativeFrom="line">
                  <wp:posOffset>635</wp:posOffset>
                </wp:positionV>
                <wp:extent cx="228600" cy="175260"/>
                <wp:effectExtent l="0" t="0" r="0" b="0"/>
                <wp:wrapSquare wrapText="right"/>
                <wp:docPr id="118" name="Frame118"/>
                <a:graphic xmlns:a="http://schemas.openxmlformats.org/drawingml/2006/main">
                  <a:graphicData uri="http://schemas.microsoft.com/office/word/2010/wordprocessingShape">
                    <wps:wsp>
                      <wps:cNvSpPr txBox="1"/>
                      <wps:spPr>
                        <a:xfrm>
                          <a:off x="0" y="0"/>
                          <a:ext cx="228600" cy="175260"/>
                        </a:xfrm>
                        <a:prstGeom prst="rect"/>
                        <a:solidFill>
                          <a:srgbClr val="FFFFFF"/>
                        </a:solidFill>
                      </wps:spPr>
                      <wps:txbx>
                        <w:txbxContent>
                          <w:p>
                            <w:pPr>
                              <w:pStyle w:val="TextBody"/>
                              <w:bidi w:val="0"/>
                              <w:spacing w:before="0" w:after="283"/>
                              <w:jc w:val="left"/>
                              <w:rPr/>
                            </w:pPr>
                            <w:r>
                              <w:rPr/>
                              <w:t xml:space="preserve">• </w:t>
                            </w:r>
                          </w:p>
                        </w:txbxContent>
                      </wps:txbx>
                      <wps:bodyPr anchor="t" lIns="0" tIns="0" rIns="0" bIns="0">
                        <a:noAutofit/>
                      </wps:bodyPr>
                    </wps:wsp>
                  </a:graphicData>
                </a:graphic>
              </wp:anchor>
            </w:drawing>
          </mc:Choice>
          <mc:Fallback>
            <w:pict>
              <v:rect style="position:absolute;rotation:-0;width: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 xml:space="preserve">• </w:t>
                      </w:r>
                    </w:p>
                  </w:txbxContent>
                </v:textbox>
                <w10:wrap type="square" side="right"/>
              </v:rect>
            </w:pict>
          </mc:Fallback>
        </mc:AlternateContent>
      </w:r>
    </w:p>
    <w:p>
      <w:pPr>
        <w:pStyle w:val="TextBody"/>
        <w:bidi w:val="0"/>
        <w:spacing w:before="0" w:after="0"/>
        <w:ind w:left="720" w:right="0" w:hanging="0"/>
        <w:jc w:val="both"/>
        <w:rPr/>
      </w:pPr>
      <w:r>
        <w:rPr/>
        <w:t xml:space="preserve">  </w:t>
      </w:r>
    </w:p>
    <w:p>
      <w:pPr>
        <w:pStyle w:val="TextBody"/>
        <w:bidi w:val="0"/>
        <w:spacing w:before="0" w:after="0"/>
        <w:ind w:left="0" w:right="0" w:hanging="360"/>
        <w:jc w:val="both"/>
        <w:rPr>
          <w:rFonts w:ascii="Times New Roman" w:hAnsi="Times New Roman"/>
          <w:sz w:val="20"/>
        </w:rPr>
      </w:pPr>
      <w:r>
        <w:rPr>
          <w:rFonts w:ascii="Times New Roman" w:hAnsi="Times New Roman"/>
          <w:sz w:val="20"/>
        </w:rPr>
        <w:t xml:space="preserve">Failure by our third-party contractors to comply with regulatory requirements or the clinical trial protocol, or meet their contractual obligations to us in a timely manner, or at all, or our being required to engage in additional clinical trial site monitoring; </w:t>
      </w:r>
      <w:r>
        <mc:AlternateContent>
          <mc:Choice Requires="wps">
            <w:drawing>
              <wp:anchor behindDoc="0" distT="0" distB="0" distL="0" distR="0" simplePos="0" locked="0" layoutInCell="1" allowOverlap="1" relativeHeight="120">
                <wp:simplePos x="0" y="0"/>
                <wp:positionH relativeFrom="column">
                  <wp:align>left</wp:align>
                </wp:positionH>
                <wp:positionV relativeFrom="line">
                  <wp:posOffset>635</wp:posOffset>
                </wp:positionV>
                <wp:extent cx="228600" cy="175260"/>
                <wp:effectExtent l="0" t="0" r="0" b="0"/>
                <wp:wrapSquare wrapText="right"/>
                <wp:docPr id="119" name="Frame119"/>
                <a:graphic xmlns:a="http://schemas.openxmlformats.org/drawingml/2006/main">
                  <a:graphicData uri="http://schemas.microsoft.com/office/word/2010/wordprocessingShape">
                    <wps:wsp>
                      <wps:cNvSpPr txBox="1"/>
                      <wps:spPr>
                        <a:xfrm>
                          <a:off x="0" y="0"/>
                          <a:ext cx="228600" cy="175260"/>
                        </a:xfrm>
                        <a:prstGeom prst="rect"/>
                        <a:solidFill>
                          <a:srgbClr val="FFFFFF"/>
                        </a:solidFill>
                      </wps:spPr>
                      <wps:txbx>
                        <w:txbxContent>
                          <w:p>
                            <w:pPr>
                              <w:pStyle w:val="TextBody"/>
                              <w:bidi w:val="0"/>
                              <w:spacing w:before="0" w:after="283"/>
                              <w:jc w:val="left"/>
                              <w:rPr/>
                            </w:pPr>
                            <w:r>
                              <w:rPr/>
                              <w:t xml:space="preserve">• </w:t>
                            </w:r>
                          </w:p>
                        </w:txbxContent>
                      </wps:txbx>
                      <wps:bodyPr anchor="t" lIns="0" tIns="0" rIns="0" bIns="0">
                        <a:noAutofit/>
                      </wps:bodyPr>
                    </wps:wsp>
                  </a:graphicData>
                </a:graphic>
              </wp:anchor>
            </w:drawing>
          </mc:Choice>
          <mc:Fallback>
            <w:pict>
              <v:rect style="position:absolute;rotation:-0;width: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 xml:space="preserve">• </w:t>
                      </w:r>
                    </w:p>
                  </w:txbxContent>
                </v:textbox>
                <w10:wrap type="square" side="right"/>
              </v:rect>
            </w:pict>
          </mc:Fallback>
        </mc:AlternateContent>
      </w:r>
    </w:p>
    <w:p>
      <w:pPr>
        <w:pStyle w:val="TextBody"/>
        <w:bidi w:val="0"/>
        <w:spacing w:before="0" w:after="0"/>
        <w:ind w:left="720" w:right="0" w:hanging="0"/>
        <w:jc w:val="both"/>
        <w:rPr/>
      </w:pPr>
      <w:r>
        <w:rPr/>
        <w:t xml:space="preserve">  </w:t>
      </w:r>
    </w:p>
    <w:p>
      <w:pPr>
        <w:pStyle w:val="TextBody"/>
        <w:bidi w:val="0"/>
        <w:spacing w:before="0" w:after="0"/>
        <w:ind w:left="0" w:right="0" w:hanging="360"/>
        <w:jc w:val="both"/>
        <w:rPr>
          <w:rFonts w:ascii="Times New Roman" w:hAnsi="Times New Roman"/>
          <w:sz w:val="20"/>
        </w:rPr>
      </w:pPr>
      <w:r>
        <w:rPr>
          <w:rFonts w:ascii="Times New Roman" w:hAnsi="Times New Roman"/>
          <w:sz w:val="20"/>
        </w:rPr>
        <w:t xml:space="preserve">The cost of clinical trials of our product candidates and user fees being greater than we anticipate; </w:t>
      </w:r>
      <w:r>
        <mc:AlternateContent>
          <mc:Choice Requires="wps">
            <w:drawing>
              <wp:anchor behindDoc="0" distT="0" distB="0" distL="0" distR="0" simplePos="0" locked="0" layoutInCell="1" allowOverlap="1" relativeHeight="121">
                <wp:simplePos x="0" y="0"/>
                <wp:positionH relativeFrom="column">
                  <wp:align>left</wp:align>
                </wp:positionH>
                <wp:positionV relativeFrom="line">
                  <wp:posOffset>635</wp:posOffset>
                </wp:positionV>
                <wp:extent cx="228600" cy="175260"/>
                <wp:effectExtent l="0" t="0" r="0" b="0"/>
                <wp:wrapSquare wrapText="right"/>
                <wp:docPr id="120" name="Frame120"/>
                <a:graphic xmlns:a="http://schemas.openxmlformats.org/drawingml/2006/main">
                  <a:graphicData uri="http://schemas.microsoft.com/office/word/2010/wordprocessingShape">
                    <wps:wsp>
                      <wps:cNvSpPr txBox="1"/>
                      <wps:spPr>
                        <a:xfrm>
                          <a:off x="0" y="0"/>
                          <a:ext cx="228600" cy="175260"/>
                        </a:xfrm>
                        <a:prstGeom prst="rect"/>
                        <a:solidFill>
                          <a:srgbClr val="FFFFFF"/>
                        </a:solidFill>
                      </wps:spPr>
                      <wps:txbx>
                        <w:txbxContent>
                          <w:p>
                            <w:pPr>
                              <w:pStyle w:val="TextBody"/>
                              <w:bidi w:val="0"/>
                              <w:spacing w:before="0" w:after="283"/>
                              <w:jc w:val="left"/>
                              <w:rPr/>
                            </w:pPr>
                            <w:r>
                              <w:rPr/>
                              <w:t xml:space="preserve">• </w:t>
                            </w:r>
                          </w:p>
                        </w:txbxContent>
                      </wps:txbx>
                      <wps:bodyPr anchor="t" lIns="0" tIns="0" rIns="0" bIns="0">
                        <a:noAutofit/>
                      </wps:bodyPr>
                    </wps:wsp>
                  </a:graphicData>
                </a:graphic>
              </wp:anchor>
            </w:drawing>
          </mc:Choice>
          <mc:Fallback>
            <w:pict>
              <v:rect style="position:absolute;rotation:-0;width: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 xml:space="preserve">• </w:t>
                      </w:r>
                    </w:p>
                  </w:txbxContent>
                </v:textbox>
                <w10:wrap type="square" side="right"/>
              </v:rect>
            </w:pict>
          </mc:Fallback>
        </mc:AlternateContent>
      </w:r>
    </w:p>
    <w:p>
      <w:pPr>
        <w:pStyle w:val="TextBody"/>
        <w:bidi w:val="0"/>
        <w:spacing w:before="0" w:after="0"/>
        <w:ind w:left="720" w:right="0" w:hanging="0"/>
        <w:jc w:val="both"/>
        <w:rPr/>
      </w:pPr>
      <w:r>
        <w:rPr/>
        <w:t xml:space="preserve">  </w:t>
      </w:r>
    </w:p>
    <w:p>
      <w:pPr>
        <w:pStyle w:val="TextBody"/>
        <w:bidi w:val="0"/>
        <w:spacing w:before="0" w:after="0"/>
        <w:ind w:left="0" w:right="0" w:hanging="360"/>
        <w:jc w:val="both"/>
        <w:rPr>
          <w:rFonts w:ascii="Times New Roman" w:hAnsi="Times New Roman"/>
          <w:sz w:val="20"/>
        </w:rPr>
      </w:pPr>
      <w:r>
        <w:rPr>
          <w:rFonts w:ascii="Times New Roman" w:hAnsi="Times New Roman"/>
          <w:sz w:val="20"/>
        </w:rPr>
        <w:t xml:space="preserve">Insufficient supply or inadequate quality of our product candidates or other materials necessary to conduct clinical trials; </w:t>
      </w:r>
      <w:r>
        <mc:AlternateContent>
          <mc:Choice Requires="wps">
            <w:drawing>
              <wp:anchor behindDoc="0" distT="0" distB="0" distL="0" distR="0" simplePos="0" locked="0" layoutInCell="1" allowOverlap="1" relativeHeight="122">
                <wp:simplePos x="0" y="0"/>
                <wp:positionH relativeFrom="column">
                  <wp:align>left</wp:align>
                </wp:positionH>
                <wp:positionV relativeFrom="line">
                  <wp:posOffset>635</wp:posOffset>
                </wp:positionV>
                <wp:extent cx="228600" cy="175260"/>
                <wp:effectExtent l="0" t="0" r="0" b="0"/>
                <wp:wrapSquare wrapText="right"/>
                <wp:docPr id="121" name="Frame121"/>
                <a:graphic xmlns:a="http://schemas.openxmlformats.org/drawingml/2006/main">
                  <a:graphicData uri="http://schemas.microsoft.com/office/word/2010/wordprocessingShape">
                    <wps:wsp>
                      <wps:cNvSpPr txBox="1"/>
                      <wps:spPr>
                        <a:xfrm>
                          <a:off x="0" y="0"/>
                          <a:ext cx="228600" cy="175260"/>
                        </a:xfrm>
                        <a:prstGeom prst="rect"/>
                        <a:solidFill>
                          <a:srgbClr val="FFFFFF"/>
                        </a:solidFill>
                      </wps:spPr>
                      <wps:txbx>
                        <w:txbxContent>
                          <w:p>
                            <w:pPr>
                              <w:pStyle w:val="TextBody"/>
                              <w:bidi w:val="0"/>
                              <w:spacing w:before="0" w:after="283"/>
                              <w:jc w:val="left"/>
                              <w:rPr/>
                            </w:pPr>
                            <w:r>
                              <w:rPr/>
                              <w:t xml:space="preserve">• </w:t>
                            </w:r>
                          </w:p>
                        </w:txbxContent>
                      </wps:txbx>
                      <wps:bodyPr anchor="t" lIns="0" tIns="0" rIns="0" bIns="0">
                        <a:noAutofit/>
                      </wps:bodyPr>
                    </wps:wsp>
                  </a:graphicData>
                </a:graphic>
              </wp:anchor>
            </w:drawing>
          </mc:Choice>
          <mc:Fallback>
            <w:pict>
              <v:rect style="position:absolute;rotation:-0;width: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 xml:space="preserve">• </w:t>
                      </w:r>
                    </w:p>
                  </w:txbxContent>
                </v:textbox>
                <w10:wrap type="square" side="right"/>
              </v:rect>
            </w:pict>
          </mc:Fallback>
        </mc:AlternateContent>
      </w:r>
    </w:p>
    <w:p>
      <w:pPr>
        <w:pStyle w:val="TextBody"/>
        <w:bidi w:val="0"/>
        <w:spacing w:before="0" w:after="0"/>
        <w:ind w:left="720" w:right="0" w:hanging="0"/>
        <w:jc w:val="both"/>
        <w:rPr/>
      </w:pPr>
      <w:r>
        <w:rPr/>
        <w:t xml:space="preserve">  </w:t>
      </w:r>
    </w:p>
    <w:p>
      <w:pPr>
        <w:pStyle w:val="TextBody"/>
        <w:bidi w:val="0"/>
        <w:spacing w:before="0" w:after="0"/>
        <w:ind w:left="0" w:right="0" w:hanging="360"/>
        <w:jc w:val="both"/>
        <w:rPr>
          <w:rFonts w:ascii="Times New Roman" w:hAnsi="Times New Roman"/>
          <w:sz w:val="20"/>
        </w:rPr>
      </w:pPr>
      <w:r>
        <w:rPr>
          <w:rFonts w:ascii="Times New Roman" w:hAnsi="Times New Roman"/>
          <w:sz w:val="20"/>
        </w:rPr>
        <w:t xml:space="preserve">Inability to achieve sufficient study enrollment, subjects dropping out or withdrawing from our studies, delays in adding new investigators or clinical trial sites or a withdrawal of clinical trial sites; </w:t>
      </w:r>
      <w:r>
        <mc:AlternateContent>
          <mc:Choice Requires="wps">
            <w:drawing>
              <wp:anchor behindDoc="0" distT="0" distB="0" distL="0" distR="0" simplePos="0" locked="0" layoutInCell="1" allowOverlap="1" relativeHeight="123">
                <wp:simplePos x="0" y="0"/>
                <wp:positionH relativeFrom="column">
                  <wp:align>left</wp:align>
                </wp:positionH>
                <wp:positionV relativeFrom="line">
                  <wp:posOffset>635</wp:posOffset>
                </wp:positionV>
                <wp:extent cx="228600" cy="175260"/>
                <wp:effectExtent l="0" t="0" r="0" b="0"/>
                <wp:wrapSquare wrapText="right"/>
                <wp:docPr id="122" name="Frame122"/>
                <a:graphic xmlns:a="http://schemas.openxmlformats.org/drawingml/2006/main">
                  <a:graphicData uri="http://schemas.microsoft.com/office/word/2010/wordprocessingShape">
                    <wps:wsp>
                      <wps:cNvSpPr txBox="1"/>
                      <wps:spPr>
                        <a:xfrm>
                          <a:off x="0" y="0"/>
                          <a:ext cx="228600" cy="175260"/>
                        </a:xfrm>
                        <a:prstGeom prst="rect"/>
                        <a:solidFill>
                          <a:srgbClr val="FFFFFF"/>
                        </a:solidFill>
                      </wps:spPr>
                      <wps:txbx>
                        <w:txbxContent>
                          <w:p>
                            <w:pPr>
                              <w:pStyle w:val="TextBody"/>
                              <w:bidi w:val="0"/>
                              <w:spacing w:before="0" w:after="283"/>
                              <w:jc w:val="left"/>
                              <w:rPr/>
                            </w:pPr>
                            <w:r>
                              <w:rPr/>
                              <w:t xml:space="preserve">• </w:t>
                            </w:r>
                          </w:p>
                        </w:txbxContent>
                      </wps:txbx>
                      <wps:bodyPr anchor="t" lIns="0" tIns="0" rIns="0" bIns="0">
                        <a:noAutofit/>
                      </wps:bodyPr>
                    </wps:wsp>
                  </a:graphicData>
                </a:graphic>
              </wp:anchor>
            </w:drawing>
          </mc:Choice>
          <mc:Fallback>
            <w:pict>
              <v:rect style="position:absolute;rotation:-0;width: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 xml:space="preserve">• </w:t>
                      </w:r>
                    </w:p>
                  </w:txbxContent>
                </v:textbox>
                <w10:wrap type="square" side="right"/>
              </v:rect>
            </w:pict>
          </mc:Fallback>
        </mc:AlternateContent>
      </w:r>
    </w:p>
    <w:p>
      <w:pPr>
        <w:pStyle w:val="TextBody"/>
        <w:bidi w:val="0"/>
        <w:spacing w:before="0" w:after="0"/>
        <w:ind w:left="720" w:right="0" w:hanging="0"/>
        <w:jc w:val="both"/>
        <w:rPr/>
      </w:pPr>
      <w:r>
        <w:rPr/>
        <w:t xml:space="preserve">  </w:t>
      </w:r>
    </w:p>
    <w:p>
      <w:pPr>
        <w:pStyle w:val="TextBody"/>
        <w:bidi w:val="0"/>
        <w:spacing w:before="0" w:after="0"/>
        <w:ind w:left="0" w:right="0" w:hanging="360"/>
        <w:jc w:val="both"/>
        <w:rPr>
          <w:rFonts w:ascii="Times New Roman" w:hAnsi="Times New Roman"/>
          <w:sz w:val="20"/>
        </w:rPr>
      </w:pPr>
      <w:r>
        <w:rPr>
          <w:rFonts w:ascii="Times New Roman" w:hAnsi="Times New Roman"/>
          <w:sz w:val="20"/>
        </w:rPr>
        <w:t xml:space="preserve">Flaws in our clinical trial design that are not discoverable until the clinical trial has progressed; </w:t>
      </w:r>
      <w:r>
        <mc:AlternateContent>
          <mc:Choice Requires="wps">
            <w:drawing>
              <wp:anchor behindDoc="0" distT="0" distB="0" distL="0" distR="0" simplePos="0" locked="0" layoutInCell="1" allowOverlap="1" relativeHeight="124">
                <wp:simplePos x="0" y="0"/>
                <wp:positionH relativeFrom="column">
                  <wp:align>left</wp:align>
                </wp:positionH>
                <wp:positionV relativeFrom="line">
                  <wp:posOffset>635</wp:posOffset>
                </wp:positionV>
                <wp:extent cx="228600" cy="175260"/>
                <wp:effectExtent l="0" t="0" r="0" b="0"/>
                <wp:wrapSquare wrapText="right"/>
                <wp:docPr id="123" name="Frame123"/>
                <a:graphic xmlns:a="http://schemas.openxmlformats.org/drawingml/2006/main">
                  <a:graphicData uri="http://schemas.microsoft.com/office/word/2010/wordprocessingShape">
                    <wps:wsp>
                      <wps:cNvSpPr txBox="1"/>
                      <wps:spPr>
                        <a:xfrm>
                          <a:off x="0" y="0"/>
                          <a:ext cx="228600" cy="175260"/>
                        </a:xfrm>
                        <a:prstGeom prst="rect"/>
                        <a:solidFill>
                          <a:srgbClr val="FFFFFF"/>
                        </a:solidFill>
                      </wps:spPr>
                      <wps:txbx>
                        <w:txbxContent>
                          <w:p>
                            <w:pPr>
                              <w:pStyle w:val="TextBody"/>
                              <w:bidi w:val="0"/>
                              <w:spacing w:before="0" w:after="283"/>
                              <w:jc w:val="left"/>
                              <w:rPr/>
                            </w:pPr>
                            <w:r>
                              <w:rPr/>
                              <w:t xml:space="preserve">• </w:t>
                            </w:r>
                          </w:p>
                        </w:txbxContent>
                      </wps:txbx>
                      <wps:bodyPr anchor="t" lIns="0" tIns="0" rIns="0" bIns="0">
                        <a:noAutofit/>
                      </wps:bodyPr>
                    </wps:wsp>
                  </a:graphicData>
                </a:graphic>
              </wp:anchor>
            </w:drawing>
          </mc:Choice>
          <mc:Fallback>
            <w:pict>
              <v:rect style="position:absolute;rotation:-0;width: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 xml:space="preserve">• </w:t>
                      </w:r>
                    </w:p>
                  </w:txbxContent>
                </v:textbox>
                <w10:wrap type="square" side="right"/>
              </v:rect>
            </w:pict>
          </mc:Fallback>
        </mc:AlternateContent>
      </w:r>
    </w:p>
    <w:p>
      <w:pPr>
        <w:pStyle w:val="TextBody"/>
        <w:bidi w:val="0"/>
        <w:spacing w:before="0" w:after="0"/>
        <w:ind w:left="720" w:right="0" w:hanging="0"/>
        <w:jc w:val="both"/>
        <w:rPr/>
      </w:pPr>
      <w:r>
        <w:rPr/>
        <w:t xml:space="preserve">  </w:t>
      </w:r>
    </w:p>
    <w:p>
      <w:pPr>
        <w:pStyle w:val="TextBody"/>
        <w:bidi w:val="0"/>
        <w:spacing w:before="0" w:after="0"/>
        <w:ind w:left="0" w:right="0" w:hanging="360"/>
        <w:jc w:val="both"/>
        <w:rPr>
          <w:rFonts w:ascii="Times New Roman" w:hAnsi="Times New Roman"/>
          <w:sz w:val="20"/>
        </w:rPr>
      </w:pPr>
      <w:r>
        <w:rPr>
          <w:rFonts w:ascii="Times New Roman" w:hAnsi="Times New Roman"/>
          <w:sz w:val="20"/>
        </w:rPr>
        <w:t xml:space="preserve">Disagreement by the FDA or comparable foreign regulatory authorities with our intended indications or study design, including endpoints, or our interpretation of data from preclinical studies and clinical trials, finding that a product candidate’s benefits do not outweigh its safety risks or requiring that we conduct additional development or study work; </w:t>
      </w:r>
      <w:r>
        <mc:AlternateContent>
          <mc:Choice Requires="wps">
            <w:drawing>
              <wp:anchor behindDoc="0" distT="0" distB="0" distL="0" distR="0" simplePos="0" locked="0" layoutInCell="1" allowOverlap="1" relativeHeight="125">
                <wp:simplePos x="0" y="0"/>
                <wp:positionH relativeFrom="column">
                  <wp:align>left</wp:align>
                </wp:positionH>
                <wp:positionV relativeFrom="line">
                  <wp:posOffset>635</wp:posOffset>
                </wp:positionV>
                <wp:extent cx="228600" cy="175260"/>
                <wp:effectExtent l="0" t="0" r="0" b="0"/>
                <wp:wrapSquare wrapText="right"/>
                <wp:docPr id="124" name="Frame124"/>
                <a:graphic xmlns:a="http://schemas.openxmlformats.org/drawingml/2006/main">
                  <a:graphicData uri="http://schemas.microsoft.com/office/word/2010/wordprocessingShape">
                    <wps:wsp>
                      <wps:cNvSpPr txBox="1"/>
                      <wps:spPr>
                        <a:xfrm>
                          <a:off x="0" y="0"/>
                          <a:ext cx="228600" cy="175260"/>
                        </a:xfrm>
                        <a:prstGeom prst="rect"/>
                        <a:solidFill>
                          <a:srgbClr val="FFFFFF"/>
                        </a:solidFill>
                      </wps:spPr>
                      <wps:txbx>
                        <w:txbxContent>
                          <w:p>
                            <w:pPr>
                              <w:pStyle w:val="TextBody"/>
                              <w:bidi w:val="0"/>
                              <w:spacing w:before="0" w:after="283"/>
                              <w:jc w:val="left"/>
                              <w:rPr/>
                            </w:pPr>
                            <w:r>
                              <w:rPr/>
                              <w:t xml:space="preserve">• </w:t>
                            </w:r>
                          </w:p>
                        </w:txbxContent>
                      </wps:txbx>
                      <wps:bodyPr anchor="t" lIns="0" tIns="0" rIns="0" bIns="0">
                        <a:noAutofit/>
                      </wps:bodyPr>
                    </wps:wsp>
                  </a:graphicData>
                </a:graphic>
              </wp:anchor>
            </w:drawing>
          </mc:Choice>
          <mc:Fallback>
            <w:pict>
              <v:rect style="position:absolute;rotation:-0;width: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 xml:space="preserve">• </w:t>
                      </w:r>
                    </w:p>
                  </w:txbxContent>
                </v:textbox>
                <w10:wrap type="square" side="right"/>
              </v:rect>
            </w:pict>
          </mc:Fallback>
        </mc:AlternateContent>
      </w:r>
    </w:p>
    <w:p>
      <w:pPr>
        <w:pStyle w:val="TextBody"/>
        <w:bidi w:val="0"/>
        <w:spacing w:before="0" w:after="0"/>
        <w:ind w:left="720" w:right="0" w:hanging="0"/>
        <w:jc w:val="left"/>
        <w:rPr/>
      </w:pPr>
      <w:r>
        <w:rPr/>
        <w:t xml:space="preserve">  </w:t>
      </w:r>
    </w:p>
    <w:p>
      <w:pPr>
        <w:pStyle w:val="TextBody"/>
        <w:bidi w:val="0"/>
        <w:spacing w:before="0" w:after="0"/>
        <w:ind w:left="0" w:right="0" w:hanging="360"/>
        <w:jc w:val="both"/>
        <w:rPr>
          <w:rFonts w:ascii="Times New Roman" w:hAnsi="Times New Roman"/>
          <w:sz w:val="20"/>
        </w:rPr>
      </w:pPr>
      <w:r>
        <w:rPr>
          <w:rFonts w:ascii="Times New Roman" w:hAnsi="Times New Roman"/>
          <w:sz w:val="20"/>
        </w:rPr>
        <w:t xml:space="preserve">Regulatory authorities may not accept data from foreign clinical studies or sites or may find that such data is not sufficiently representative of the population of the approving jurisdiction; </w:t>
      </w:r>
      <w:r>
        <mc:AlternateContent>
          <mc:Choice Requires="wps">
            <w:drawing>
              <wp:anchor behindDoc="0" distT="0" distB="0" distL="0" distR="0" simplePos="0" locked="0" layoutInCell="1" allowOverlap="1" relativeHeight="126">
                <wp:simplePos x="0" y="0"/>
                <wp:positionH relativeFrom="column">
                  <wp:align>left</wp:align>
                </wp:positionH>
                <wp:positionV relativeFrom="line">
                  <wp:posOffset>635</wp:posOffset>
                </wp:positionV>
                <wp:extent cx="228600" cy="175260"/>
                <wp:effectExtent l="0" t="0" r="0" b="0"/>
                <wp:wrapSquare wrapText="right"/>
                <wp:docPr id="125" name="Frame125"/>
                <a:graphic xmlns:a="http://schemas.openxmlformats.org/drawingml/2006/main">
                  <a:graphicData uri="http://schemas.microsoft.com/office/word/2010/wordprocessingShape">
                    <wps:wsp>
                      <wps:cNvSpPr txBox="1"/>
                      <wps:spPr>
                        <a:xfrm>
                          <a:off x="0" y="0"/>
                          <a:ext cx="228600" cy="175260"/>
                        </a:xfrm>
                        <a:prstGeom prst="rect"/>
                        <a:solidFill>
                          <a:srgbClr val="FFFFFF"/>
                        </a:solidFill>
                      </wps:spPr>
                      <wps:txbx>
                        <w:txbxContent>
                          <w:p>
                            <w:pPr>
                              <w:pStyle w:val="TextBody"/>
                              <w:bidi w:val="0"/>
                              <w:spacing w:before="0" w:after="283"/>
                              <w:jc w:val="left"/>
                              <w:rPr/>
                            </w:pPr>
                            <w:r>
                              <w:rPr/>
                              <w:t xml:space="preserve">• </w:t>
                            </w:r>
                          </w:p>
                        </w:txbxContent>
                      </wps:txbx>
                      <wps:bodyPr anchor="t" lIns="0" tIns="0" rIns="0" bIns="0">
                        <a:noAutofit/>
                      </wps:bodyPr>
                    </wps:wsp>
                  </a:graphicData>
                </a:graphic>
              </wp:anchor>
            </w:drawing>
          </mc:Choice>
          <mc:Fallback>
            <w:pict>
              <v:rect style="position:absolute;rotation:-0;width: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 xml:space="preserve">• </w:t>
                      </w:r>
                    </w:p>
                  </w:txbxContent>
                </v:textbox>
                <w10:wrap type="square" side="right"/>
              </v:rect>
            </w:pict>
          </mc:Fallback>
        </mc:AlternateContent>
      </w:r>
    </w:p>
    <w:p>
      <w:pPr>
        <w:pStyle w:val="TextBody"/>
        <w:bidi w:val="0"/>
        <w:spacing w:before="0" w:after="0"/>
        <w:ind w:left="720" w:right="0" w:hanging="0"/>
        <w:jc w:val="both"/>
        <w:rPr/>
      </w:pPr>
      <w:r>
        <w:rPr/>
        <w:t xml:space="preserve">  </w:t>
      </w:r>
    </w:p>
    <w:p>
      <w:pPr>
        <w:pStyle w:val="TextBody"/>
        <w:bidi w:val="0"/>
        <w:spacing w:before="0" w:after="0"/>
        <w:ind w:left="0" w:right="0" w:hanging="360"/>
        <w:jc w:val="both"/>
        <w:rPr>
          <w:rFonts w:ascii="Times New Roman" w:hAnsi="Times New Roman"/>
          <w:sz w:val="20"/>
        </w:rPr>
      </w:pPr>
      <w:r>
        <w:rPr>
          <w:rFonts w:ascii="Times New Roman" w:hAnsi="Times New Roman"/>
          <w:sz w:val="20"/>
        </w:rPr>
        <w:t xml:space="preserve">The need to make changes to our product candidates that require additional testing or that cause our product candidates to perform differently than expected; </w:t>
      </w:r>
      <w:r>
        <mc:AlternateContent>
          <mc:Choice Requires="wps">
            <w:drawing>
              <wp:anchor behindDoc="0" distT="0" distB="0" distL="0" distR="0" simplePos="0" locked="0" layoutInCell="1" allowOverlap="1" relativeHeight="127">
                <wp:simplePos x="0" y="0"/>
                <wp:positionH relativeFrom="column">
                  <wp:align>left</wp:align>
                </wp:positionH>
                <wp:positionV relativeFrom="line">
                  <wp:posOffset>635</wp:posOffset>
                </wp:positionV>
                <wp:extent cx="228600" cy="175260"/>
                <wp:effectExtent l="0" t="0" r="0" b="0"/>
                <wp:wrapSquare wrapText="right"/>
                <wp:docPr id="126" name="Frame126"/>
                <a:graphic xmlns:a="http://schemas.openxmlformats.org/drawingml/2006/main">
                  <a:graphicData uri="http://schemas.microsoft.com/office/word/2010/wordprocessingShape">
                    <wps:wsp>
                      <wps:cNvSpPr txBox="1"/>
                      <wps:spPr>
                        <a:xfrm>
                          <a:off x="0" y="0"/>
                          <a:ext cx="228600" cy="175260"/>
                        </a:xfrm>
                        <a:prstGeom prst="rect"/>
                        <a:solidFill>
                          <a:srgbClr val="FFFFFF"/>
                        </a:solidFill>
                      </wps:spPr>
                      <wps:txbx>
                        <w:txbxContent>
                          <w:p>
                            <w:pPr>
                              <w:pStyle w:val="TextBody"/>
                              <w:bidi w:val="0"/>
                              <w:spacing w:before="0" w:after="283"/>
                              <w:jc w:val="left"/>
                              <w:rPr/>
                            </w:pPr>
                            <w:r>
                              <w:rPr/>
                              <w:t xml:space="preserve">• </w:t>
                            </w:r>
                          </w:p>
                        </w:txbxContent>
                      </wps:txbx>
                      <wps:bodyPr anchor="t" lIns="0" tIns="0" rIns="0" bIns="0">
                        <a:noAutofit/>
                      </wps:bodyPr>
                    </wps:wsp>
                  </a:graphicData>
                </a:graphic>
              </wp:anchor>
            </w:drawing>
          </mc:Choice>
          <mc:Fallback>
            <w:pict>
              <v:rect style="position:absolute;rotation:-0;width: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 xml:space="preserve">• </w:t>
                      </w:r>
                    </w:p>
                  </w:txbxContent>
                </v:textbox>
                <w10:wrap type="square" side="right"/>
              </v:rect>
            </w:pict>
          </mc:Fallback>
        </mc:AlternateContent>
      </w:r>
    </w:p>
    <w:p>
      <w:pPr>
        <w:pStyle w:val="TextBody"/>
        <w:bidi w:val="0"/>
        <w:spacing w:before="0" w:after="0"/>
        <w:ind w:left="720" w:right="0" w:hanging="0"/>
        <w:jc w:val="both"/>
        <w:rPr/>
      </w:pPr>
      <w:r>
        <w:rPr/>
        <w:t xml:space="preserve">  </w:t>
      </w:r>
    </w:p>
    <w:p>
      <w:pPr>
        <w:pStyle w:val="TextBody"/>
        <w:bidi w:val="0"/>
        <w:spacing w:before="150" w:after="15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t>38</w:t>
      </w:r>
    </w:p>
    <w:p>
      <w:pPr>
        <w:pStyle w:val="HorizontalLine"/>
        <w:bidi w:val="0"/>
        <w:spacing w:before="150" w:after="150"/>
        <w:jc w:val="left"/>
        <w:rPr/>
      </w:pPr>
      <w:r>
        <w:rPr/>
      </w:r>
    </w:p>
    <w:p>
      <w:pPr>
        <w:pStyle w:val="TextBody"/>
        <w:bidi w:val="0"/>
        <w:spacing w:before="150" w:after="150"/>
        <w:jc w:val="left"/>
        <w:rPr/>
      </w:pPr>
      <w:hyperlink w:anchor="index">
        <w:r>
          <w:rPr>
            <w:rStyle w:val="InternetLink"/>
            <w:rFonts w:ascii="TimesNewRoman;Times New Roman;Times;Baskerville;Georgia;serif" w:hAnsi="TimesNewRoman;Times New Roman;Times;Baskerville;Georgia;serif"/>
            <w:b w:val="false"/>
            <w:i/>
            <w:caps w:val="false"/>
            <w:smallCaps w:val="false"/>
            <w:strike w:val="false"/>
            <w:dstrike w:val="false"/>
            <w:sz w:val="16"/>
            <w:u w:val="none"/>
            <w:effect w:val="none"/>
          </w:rPr>
          <w:t>Index</w:t>
        </w:r>
      </w:hyperlink>
    </w:p>
    <w:p>
      <w:pPr>
        <w:pStyle w:val="TextBody"/>
        <w:bidi w:val="0"/>
        <w:spacing w:before="0" w:after="0"/>
        <w:ind w:left="0" w:right="0" w:hanging="360"/>
        <w:jc w:val="both"/>
        <w:rPr>
          <w:rFonts w:ascii="Times New Roman" w:hAnsi="Times New Roman"/>
          <w:sz w:val="20"/>
        </w:rPr>
      </w:pPr>
      <w:r>
        <w:rPr>
          <w:rFonts w:ascii="Times New Roman" w:hAnsi="Times New Roman"/>
          <w:sz w:val="20"/>
        </w:rPr>
        <w:t xml:space="preserve">Global trade policies that may impact our ability to obtain raw materials and/or finished product for commercialization; </w:t>
      </w:r>
      <w:r>
        <mc:AlternateContent>
          <mc:Choice Requires="wps">
            <w:drawing>
              <wp:anchor behindDoc="0" distT="0" distB="0" distL="0" distR="0" simplePos="0" locked="0" layoutInCell="1" allowOverlap="1" relativeHeight="128">
                <wp:simplePos x="0" y="0"/>
                <wp:positionH relativeFrom="column">
                  <wp:align>left</wp:align>
                </wp:positionH>
                <wp:positionV relativeFrom="line">
                  <wp:posOffset>635</wp:posOffset>
                </wp:positionV>
                <wp:extent cx="228600" cy="175260"/>
                <wp:effectExtent l="0" t="0" r="0" b="0"/>
                <wp:wrapSquare wrapText="right"/>
                <wp:docPr id="127" name="Frame127"/>
                <a:graphic xmlns:a="http://schemas.openxmlformats.org/drawingml/2006/main">
                  <a:graphicData uri="http://schemas.microsoft.com/office/word/2010/wordprocessingShape">
                    <wps:wsp>
                      <wps:cNvSpPr txBox="1"/>
                      <wps:spPr>
                        <a:xfrm>
                          <a:off x="0" y="0"/>
                          <a:ext cx="228600" cy="175260"/>
                        </a:xfrm>
                        <a:prstGeom prst="rect"/>
                        <a:solidFill>
                          <a:srgbClr val="FFFFFF"/>
                        </a:solidFill>
                      </wps:spPr>
                      <wps:txbx>
                        <w:txbxContent>
                          <w:p>
                            <w:pPr>
                              <w:pStyle w:val="TextBody"/>
                              <w:bidi w:val="0"/>
                              <w:spacing w:before="0" w:after="283"/>
                              <w:jc w:val="left"/>
                              <w:rPr/>
                            </w:pPr>
                            <w:r>
                              <w:rPr/>
                              <w:t xml:space="preserve">• </w:t>
                            </w:r>
                          </w:p>
                        </w:txbxContent>
                      </wps:txbx>
                      <wps:bodyPr anchor="t" lIns="0" tIns="0" rIns="0" bIns="0">
                        <a:noAutofit/>
                      </wps:bodyPr>
                    </wps:wsp>
                  </a:graphicData>
                </a:graphic>
              </wp:anchor>
            </w:drawing>
          </mc:Choice>
          <mc:Fallback>
            <w:pict>
              <v:rect style="position:absolute;rotation:-0;width: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 xml:space="preserve">• </w:t>
                      </w:r>
                    </w:p>
                  </w:txbxContent>
                </v:textbox>
                <w10:wrap type="square" side="right"/>
              </v:rect>
            </w:pict>
          </mc:Fallback>
        </mc:AlternateContent>
      </w:r>
    </w:p>
    <w:p>
      <w:pPr>
        <w:pStyle w:val="TextBody"/>
        <w:bidi w:val="0"/>
        <w:spacing w:before="0" w:after="0"/>
        <w:ind w:left="720" w:right="0" w:hanging="0"/>
        <w:jc w:val="both"/>
        <w:rPr/>
      </w:pPr>
      <w:r>
        <w:rPr/>
        <w:t xml:space="preserve">  </w:t>
      </w:r>
    </w:p>
    <w:p>
      <w:pPr>
        <w:pStyle w:val="TextBody"/>
        <w:bidi w:val="0"/>
        <w:spacing w:before="0" w:after="0"/>
        <w:ind w:left="0" w:right="0" w:hanging="360"/>
        <w:jc w:val="both"/>
        <w:rPr>
          <w:rFonts w:ascii="Times New Roman" w:hAnsi="Times New Roman"/>
          <w:sz w:val="20"/>
        </w:rPr>
      </w:pPr>
      <w:r>
        <w:rPr>
          <w:rFonts w:ascii="Times New Roman" w:hAnsi="Times New Roman"/>
          <w:sz w:val="20"/>
        </w:rPr>
        <w:t xml:space="preserve">FDA or comparable regulatory authorities taking longer than we anticipate to make decisions on our products or product candidates; and </w:t>
      </w:r>
      <w:r>
        <mc:AlternateContent>
          <mc:Choice Requires="wps">
            <w:drawing>
              <wp:anchor behindDoc="0" distT="0" distB="0" distL="0" distR="0" simplePos="0" locked="0" layoutInCell="1" allowOverlap="1" relativeHeight="129">
                <wp:simplePos x="0" y="0"/>
                <wp:positionH relativeFrom="column">
                  <wp:align>left</wp:align>
                </wp:positionH>
                <wp:positionV relativeFrom="line">
                  <wp:posOffset>635</wp:posOffset>
                </wp:positionV>
                <wp:extent cx="228600" cy="175260"/>
                <wp:effectExtent l="0" t="0" r="0" b="0"/>
                <wp:wrapSquare wrapText="right"/>
                <wp:docPr id="128" name="Frame128"/>
                <a:graphic xmlns:a="http://schemas.openxmlformats.org/drawingml/2006/main">
                  <a:graphicData uri="http://schemas.microsoft.com/office/word/2010/wordprocessingShape">
                    <wps:wsp>
                      <wps:cNvSpPr txBox="1"/>
                      <wps:spPr>
                        <a:xfrm>
                          <a:off x="0" y="0"/>
                          <a:ext cx="228600" cy="175260"/>
                        </a:xfrm>
                        <a:prstGeom prst="rect"/>
                        <a:solidFill>
                          <a:srgbClr val="FFFFFF"/>
                        </a:solidFill>
                      </wps:spPr>
                      <wps:txbx>
                        <w:txbxContent>
                          <w:p>
                            <w:pPr>
                              <w:pStyle w:val="TextBody"/>
                              <w:bidi w:val="0"/>
                              <w:spacing w:before="0" w:after="283"/>
                              <w:jc w:val="left"/>
                              <w:rPr/>
                            </w:pPr>
                            <w:r>
                              <w:rPr/>
                              <w:t xml:space="preserve">• </w:t>
                            </w:r>
                          </w:p>
                        </w:txbxContent>
                      </wps:txbx>
                      <wps:bodyPr anchor="t" lIns="0" tIns="0" rIns="0" bIns="0">
                        <a:noAutofit/>
                      </wps:bodyPr>
                    </wps:wsp>
                  </a:graphicData>
                </a:graphic>
              </wp:anchor>
            </w:drawing>
          </mc:Choice>
          <mc:Fallback>
            <w:pict>
              <v:rect style="position:absolute;rotation:-0;width: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 xml:space="preserve">• </w:t>
                      </w:r>
                    </w:p>
                  </w:txbxContent>
                </v:textbox>
                <w10:wrap type="square" side="right"/>
              </v:rect>
            </w:pict>
          </mc:Fallback>
        </mc:AlternateContent>
      </w:r>
    </w:p>
    <w:p>
      <w:pPr>
        <w:pStyle w:val="TextBody"/>
        <w:bidi w:val="0"/>
        <w:spacing w:before="0" w:after="0"/>
        <w:ind w:left="720" w:right="0" w:hanging="0"/>
        <w:jc w:val="both"/>
        <w:rPr/>
      </w:pPr>
      <w:r>
        <w:rPr/>
        <w:t xml:space="preserve">  </w:t>
      </w:r>
    </w:p>
    <w:p>
      <w:pPr>
        <w:pStyle w:val="TextBody"/>
        <w:bidi w:val="0"/>
        <w:spacing w:before="0" w:after="0"/>
        <w:ind w:left="0" w:right="0" w:hanging="360"/>
        <w:jc w:val="both"/>
        <w:rPr>
          <w:rFonts w:ascii="Times New Roman" w:hAnsi="Times New Roman"/>
          <w:sz w:val="20"/>
        </w:rPr>
      </w:pPr>
      <w:r>
        <w:rPr>
          <w:rFonts w:ascii="Times New Roman" w:hAnsi="Times New Roman"/>
          <w:sz w:val="20"/>
        </w:rPr>
        <w:t xml:space="preserve">Potential inability to demonstrate that a product or product candidate provides an advantage over current standards of care or current or future competitive therapies in development. </w:t>
      </w:r>
      <w:r>
        <mc:AlternateContent>
          <mc:Choice Requires="wps">
            <w:drawing>
              <wp:anchor behindDoc="0" distT="0" distB="0" distL="0" distR="0" simplePos="0" locked="0" layoutInCell="1" allowOverlap="1" relativeHeight="130">
                <wp:simplePos x="0" y="0"/>
                <wp:positionH relativeFrom="column">
                  <wp:align>left</wp:align>
                </wp:positionH>
                <wp:positionV relativeFrom="line">
                  <wp:posOffset>635</wp:posOffset>
                </wp:positionV>
                <wp:extent cx="228600" cy="175260"/>
                <wp:effectExtent l="0" t="0" r="0" b="0"/>
                <wp:wrapSquare wrapText="right"/>
                <wp:docPr id="129" name="Frame129"/>
                <a:graphic xmlns:a="http://schemas.openxmlformats.org/drawingml/2006/main">
                  <a:graphicData uri="http://schemas.microsoft.com/office/word/2010/wordprocessingShape">
                    <wps:wsp>
                      <wps:cNvSpPr txBox="1"/>
                      <wps:spPr>
                        <a:xfrm>
                          <a:off x="0" y="0"/>
                          <a:ext cx="228600" cy="175260"/>
                        </a:xfrm>
                        <a:prstGeom prst="rect"/>
                        <a:solidFill>
                          <a:srgbClr val="FFFFFF"/>
                        </a:solidFill>
                      </wps:spPr>
                      <wps:txbx>
                        <w:txbxContent>
                          <w:p>
                            <w:pPr>
                              <w:pStyle w:val="TextBody"/>
                              <w:bidi w:val="0"/>
                              <w:spacing w:before="0" w:after="283"/>
                              <w:jc w:val="left"/>
                              <w:rPr/>
                            </w:pPr>
                            <w:r>
                              <w:rPr/>
                              <w:t xml:space="preserve">• </w:t>
                            </w:r>
                          </w:p>
                        </w:txbxContent>
                      </wps:txbx>
                      <wps:bodyPr anchor="t" lIns="0" tIns="0" rIns="0" bIns="0">
                        <a:noAutofit/>
                      </wps:bodyPr>
                    </wps:wsp>
                  </a:graphicData>
                </a:graphic>
              </wp:anchor>
            </w:drawing>
          </mc:Choice>
          <mc:Fallback>
            <w:pict>
              <v:rect style="position:absolute;rotation:-0;width: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 xml:space="preserve">• </w:t>
                      </w:r>
                    </w:p>
                  </w:txbxContent>
                </v:textbox>
                <w10:wrap type="square" side="right"/>
              </v:rect>
            </w:pict>
          </mc:Fallback>
        </mc:AlternateContent>
      </w:r>
    </w:p>
    <w:p>
      <w:pPr>
        <w:pStyle w:val="TextBody"/>
        <w:bidi w:val="0"/>
        <w:spacing w:before="0" w:after="0"/>
        <w:ind w:left="720" w:right="0" w:hanging="0"/>
        <w:jc w:val="both"/>
        <w:rPr/>
      </w:pPr>
      <w:r>
        <w:rPr/>
        <w:t xml:space="preserve">  </w:t>
      </w:r>
    </w:p>
    <w:p>
      <w:pPr>
        <w:pStyle w:val="TextBody"/>
        <w:bidi w:val="0"/>
        <w:spacing w:before="0" w:after="0"/>
        <w:ind w:left="0" w:right="0" w:firstLine="720"/>
        <w:jc w:val="both"/>
        <w:rPr>
          <w:rFonts w:ascii="Times New Roman" w:hAnsi="Times New Roman"/>
          <w:sz w:val="20"/>
        </w:rPr>
      </w:pPr>
      <w:r>
        <w:rPr>
          <w:rFonts w:ascii="Times New Roman" w:hAnsi="Times New Roman"/>
          <w:sz w:val="20"/>
        </w:rPr>
        <w:t xml:space="preserve">In addition, our clinical trials involve a relatively small patient population. Because of the small sample size, the results of these clinical trials may not be indicative of future results. In addition, certain portions of our clinical trials and product testing for our product candidates may be performed outside of the United States, and therefore, may not be performed in accordance with standards normally required by the FDA and other regulatory agencies. </w:t>
      </w:r>
    </w:p>
    <w:p>
      <w:pPr>
        <w:pStyle w:val="TextBody"/>
        <w:bidi w:val="0"/>
        <w:spacing w:before="0" w:after="0"/>
        <w:jc w:val="both"/>
        <w:rPr/>
      </w:pPr>
      <w:r>
        <w:rPr/>
        <w:t xml:space="preserve">  </w:t>
      </w:r>
    </w:p>
    <w:p>
      <w:pPr>
        <w:pStyle w:val="TextBody"/>
        <w:bidi w:val="0"/>
        <w:spacing w:before="0" w:after="0"/>
        <w:jc w:val="both"/>
        <w:rPr>
          <w:rFonts w:ascii="Times New Roman" w:hAnsi="Times New Roman"/>
          <w:sz w:val="20"/>
        </w:rPr>
      </w:pPr>
      <w:r>
        <w:rPr>
          <w:rFonts w:ascii="Times New Roman" w:hAnsi="Times New Roman"/>
          <w:b/>
          <w:i/>
          <w:sz w:val="20"/>
        </w:rPr>
        <w:t>If we do not obtain and maintain the necessary U.S. or international regulatory approvals to commercialize a product candidate, we will not be able to sell that product candidate, which would make it difficult for us to recover the costs of researching and developing such product candidate.</w:t>
      </w:r>
      <w:r>
        <w:rPr>
          <w:rFonts w:ascii="Times New Roman" w:hAnsi="Times New Roman"/>
          <w:sz w:val="20"/>
        </w:rPr>
        <w:t xml:space="preserve"> </w:t>
      </w:r>
    </w:p>
    <w:p>
      <w:pPr>
        <w:pStyle w:val="TextBody"/>
        <w:bidi w:val="0"/>
        <w:spacing w:before="0" w:after="0"/>
        <w:jc w:val="left"/>
        <w:rPr/>
      </w:pPr>
      <w:r>
        <w:rPr/>
        <w:t xml:space="preserve">  </w:t>
      </w:r>
    </w:p>
    <w:p>
      <w:pPr>
        <w:pStyle w:val="TextBody"/>
        <w:bidi w:val="0"/>
        <w:spacing w:before="0" w:after="0"/>
        <w:ind w:left="0" w:right="0" w:firstLine="720"/>
        <w:jc w:val="both"/>
        <w:rPr>
          <w:rFonts w:ascii="Times New Roman" w:hAnsi="Times New Roman"/>
          <w:sz w:val="20"/>
        </w:rPr>
      </w:pPr>
      <w:r>
        <w:rPr>
          <w:rFonts w:ascii="Times New Roman" w:hAnsi="Times New Roman"/>
          <w:sz w:val="20"/>
        </w:rPr>
        <w:t xml:space="preserve">If we are not able to generate revenue from our products and product candidates, our sources of revenue may continue to be from a product mix consisting only of plasma collection and sales revenues, revenues generated from sales of our FDA-approved commercial products, sales of intermediates and revenues generated from new contract manufacturing arrangements with third parties. We cannot assure you that we will receive the approvals necessary to commercialize any product candidate we may acquire or develop in the future or that we will be able to maintain our current approvals. In order to obtain FDA approval of any product candidate requiring FDA approval, our clinical development must demonstrate that the product candidate is safe for humans and effective for its intended use, and we must successfully complete an FDA BLA review. Obtaining FDA approval of a product candidate generally requires significant research and testing, referred to as preclinical studies, as well as human tests, referred to as clinical trials. Satisfaction of the FDA’s regulatory requirements typically takes many years, depends upon the type, complexity and novelty of the product candidate and requires substantial resources for research, development and testing. We cannot predict whether our research and clinical approaches will result in products that the FDA considers safe for humans and effective for indicated uses. The FDA has substantial discretion in the product approval process and may require us to conduct additional preclinical and clinical testing or to perform post-marketing studies or may require additional CMC or other data and information, and the development and provision of this data and information may be time-consuming and expensive. The approval process may also be delayed by changes in government regulation, future legislation or administrative action or changes in FDA policy that occur prior to or during our regulatory review. Delays in obtaining regulatory approvals may: </w:t>
      </w:r>
    </w:p>
    <w:p>
      <w:pPr>
        <w:pStyle w:val="TextBody"/>
        <w:bidi w:val="0"/>
        <w:spacing w:before="0" w:after="0"/>
        <w:jc w:val="both"/>
        <w:rPr/>
      </w:pPr>
      <w:r>
        <w:rPr/>
        <w:t> </w:t>
      </w:r>
    </w:p>
    <w:p>
      <w:pPr>
        <w:pStyle w:val="TextBody"/>
        <w:bidi w:val="0"/>
        <w:spacing w:before="0" w:after="0"/>
        <w:ind w:left="0" w:right="0" w:hanging="360"/>
        <w:jc w:val="left"/>
        <w:rPr>
          <w:rFonts w:ascii="Times New Roman" w:hAnsi="Times New Roman"/>
          <w:sz w:val="20"/>
        </w:rPr>
      </w:pPr>
      <w:r>
        <w:rPr>
          <w:rFonts w:ascii="Times New Roman" w:hAnsi="Times New Roman"/>
          <w:sz w:val="20"/>
        </w:rPr>
        <w:t xml:space="preserve">delay commercialization of, and our ability to derive revenues from, our product candidates; </w:t>
      </w:r>
      <w:r>
        <mc:AlternateContent>
          <mc:Choice Requires="wps">
            <w:drawing>
              <wp:anchor behindDoc="0" distT="0" distB="0" distL="0" distR="0" simplePos="0" locked="0" layoutInCell="1" allowOverlap="1" relativeHeight="131">
                <wp:simplePos x="0" y="0"/>
                <wp:positionH relativeFrom="column">
                  <wp:align>left</wp:align>
                </wp:positionH>
                <wp:positionV relativeFrom="line">
                  <wp:posOffset>635</wp:posOffset>
                </wp:positionV>
                <wp:extent cx="228600" cy="175260"/>
                <wp:effectExtent l="0" t="0" r="0" b="0"/>
                <wp:wrapSquare wrapText="right"/>
                <wp:docPr id="130" name="Frame130"/>
                <a:graphic xmlns:a="http://schemas.openxmlformats.org/drawingml/2006/main">
                  <a:graphicData uri="http://schemas.microsoft.com/office/word/2010/wordprocessingShape">
                    <wps:wsp>
                      <wps:cNvSpPr txBox="1"/>
                      <wps:spPr>
                        <a:xfrm>
                          <a:off x="0" y="0"/>
                          <a:ext cx="228600" cy="175260"/>
                        </a:xfrm>
                        <a:prstGeom prst="rect"/>
                        <a:solidFill>
                          <a:srgbClr val="FFFFFF"/>
                        </a:solidFill>
                      </wps:spPr>
                      <wps:txbx>
                        <w:txbxContent>
                          <w:p>
                            <w:pPr>
                              <w:pStyle w:val="TextBody"/>
                              <w:bidi w:val="0"/>
                              <w:spacing w:before="0" w:after="283"/>
                              <w:jc w:val="left"/>
                              <w:rPr/>
                            </w:pPr>
                            <w:r>
                              <w:rPr/>
                              <w:t xml:space="preserve">• </w:t>
                            </w:r>
                          </w:p>
                        </w:txbxContent>
                      </wps:txbx>
                      <wps:bodyPr anchor="t" lIns="0" tIns="0" rIns="0" bIns="0">
                        <a:noAutofit/>
                      </wps:bodyPr>
                    </wps:wsp>
                  </a:graphicData>
                </a:graphic>
              </wp:anchor>
            </w:drawing>
          </mc:Choice>
          <mc:Fallback>
            <w:pict>
              <v:rect style="position:absolute;rotation:-0;width: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 xml:space="preserve">• </w:t>
                      </w:r>
                    </w:p>
                  </w:txbxContent>
                </v:textbox>
                <w10:wrap type="square" side="right"/>
              </v:rect>
            </w:pict>
          </mc:Fallback>
        </mc:AlternateContent>
      </w:r>
    </w:p>
    <w:p>
      <w:pPr>
        <w:pStyle w:val="TextBody"/>
        <w:bidi w:val="0"/>
        <w:spacing w:before="0" w:after="0"/>
        <w:ind w:left="0" w:right="0" w:hanging="360"/>
        <w:jc w:val="both"/>
        <w:rPr/>
      </w:pPr>
      <w:r>
        <w:rPr/>
        <w:t xml:space="preserve">  </w:t>
      </w:r>
    </w:p>
    <w:p>
      <w:pPr>
        <w:pStyle w:val="TextBody"/>
        <w:bidi w:val="0"/>
        <w:spacing w:before="0" w:after="0"/>
        <w:ind w:left="0" w:right="0" w:hanging="360"/>
        <w:jc w:val="left"/>
        <w:rPr>
          <w:rFonts w:ascii="Times New Roman" w:hAnsi="Times New Roman"/>
          <w:sz w:val="20"/>
        </w:rPr>
      </w:pPr>
      <w:r>
        <w:rPr>
          <w:rFonts w:ascii="Times New Roman" w:hAnsi="Times New Roman"/>
          <w:sz w:val="20"/>
        </w:rPr>
        <w:t xml:space="preserve">impose costly procedures on us; and </w:t>
      </w:r>
      <w:r>
        <mc:AlternateContent>
          <mc:Choice Requires="wps">
            <w:drawing>
              <wp:anchor behindDoc="0" distT="0" distB="0" distL="0" distR="0" simplePos="0" locked="0" layoutInCell="1" allowOverlap="1" relativeHeight="132">
                <wp:simplePos x="0" y="0"/>
                <wp:positionH relativeFrom="column">
                  <wp:align>left</wp:align>
                </wp:positionH>
                <wp:positionV relativeFrom="line">
                  <wp:posOffset>635</wp:posOffset>
                </wp:positionV>
                <wp:extent cx="228600" cy="175260"/>
                <wp:effectExtent l="0" t="0" r="0" b="0"/>
                <wp:wrapSquare wrapText="right"/>
                <wp:docPr id="131" name="Frame131"/>
                <a:graphic xmlns:a="http://schemas.openxmlformats.org/drawingml/2006/main">
                  <a:graphicData uri="http://schemas.microsoft.com/office/word/2010/wordprocessingShape">
                    <wps:wsp>
                      <wps:cNvSpPr txBox="1"/>
                      <wps:spPr>
                        <a:xfrm>
                          <a:off x="0" y="0"/>
                          <a:ext cx="228600" cy="175260"/>
                        </a:xfrm>
                        <a:prstGeom prst="rect"/>
                        <a:solidFill>
                          <a:srgbClr val="FFFFFF"/>
                        </a:solidFill>
                      </wps:spPr>
                      <wps:txbx>
                        <w:txbxContent>
                          <w:p>
                            <w:pPr>
                              <w:pStyle w:val="TextBody"/>
                              <w:bidi w:val="0"/>
                              <w:spacing w:before="0" w:after="283"/>
                              <w:jc w:val="left"/>
                              <w:rPr/>
                            </w:pPr>
                            <w:r>
                              <w:rPr/>
                              <w:t xml:space="preserve">• </w:t>
                            </w:r>
                          </w:p>
                        </w:txbxContent>
                      </wps:txbx>
                      <wps:bodyPr anchor="t" lIns="0" tIns="0" rIns="0" bIns="0">
                        <a:noAutofit/>
                      </wps:bodyPr>
                    </wps:wsp>
                  </a:graphicData>
                </a:graphic>
              </wp:anchor>
            </w:drawing>
          </mc:Choice>
          <mc:Fallback>
            <w:pict>
              <v:rect style="position:absolute;rotation:-0;width: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 xml:space="preserve">• </w:t>
                      </w:r>
                    </w:p>
                  </w:txbxContent>
                </v:textbox>
                <w10:wrap type="square" side="right"/>
              </v:rect>
            </w:pict>
          </mc:Fallback>
        </mc:AlternateContent>
      </w:r>
    </w:p>
    <w:p>
      <w:pPr>
        <w:pStyle w:val="TextBody"/>
        <w:bidi w:val="0"/>
        <w:spacing w:before="0" w:after="0"/>
        <w:ind w:left="0" w:right="0" w:hanging="360"/>
        <w:jc w:val="both"/>
        <w:rPr/>
      </w:pPr>
      <w:r>
        <w:rPr/>
        <w:t xml:space="preserve">  </w:t>
      </w:r>
    </w:p>
    <w:p>
      <w:pPr>
        <w:pStyle w:val="TextBody"/>
        <w:bidi w:val="0"/>
        <w:spacing w:before="0" w:after="0"/>
        <w:ind w:left="0" w:right="0" w:hanging="360"/>
        <w:jc w:val="left"/>
        <w:rPr>
          <w:rFonts w:ascii="Times New Roman" w:hAnsi="Times New Roman"/>
          <w:sz w:val="20"/>
        </w:rPr>
      </w:pPr>
      <w:r>
        <w:rPr>
          <w:rFonts w:ascii="Times New Roman" w:hAnsi="Times New Roman"/>
          <w:sz w:val="20"/>
        </w:rPr>
        <w:t xml:space="preserve">diminish any competitive advantages that we may otherwise enjoy. </w:t>
      </w:r>
      <w:r>
        <mc:AlternateContent>
          <mc:Choice Requires="wps">
            <w:drawing>
              <wp:anchor behindDoc="0" distT="0" distB="0" distL="0" distR="0" simplePos="0" locked="0" layoutInCell="1" allowOverlap="1" relativeHeight="133">
                <wp:simplePos x="0" y="0"/>
                <wp:positionH relativeFrom="column">
                  <wp:align>left</wp:align>
                </wp:positionH>
                <wp:positionV relativeFrom="line">
                  <wp:posOffset>635</wp:posOffset>
                </wp:positionV>
                <wp:extent cx="228600" cy="175260"/>
                <wp:effectExtent l="0" t="0" r="0" b="0"/>
                <wp:wrapSquare wrapText="right"/>
                <wp:docPr id="132" name="Frame132"/>
                <a:graphic xmlns:a="http://schemas.openxmlformats.org/drawingml/2006/main">
                  <a:graphicData uri="http://schemas.microsoft.com/office/word/2010/wordprocessingShape">
                    <wps:wsp>
                      <wps:cNvSpPr txBox="1"/>
                      <wps:spPr>
                        <a:xfrm>
                          <a:off x="0" y="0"/>
                          <a:ext cx="228600" cy="175260"/>
                        </a:xfrm>
                        <a:prstGeom prst="rect"/>
                        <a:solidFill>
                          <a:srgbClr val="FFFFFF"/>
                        </a:solidFill>
                      </wps:spPr>
                      <wps:txbx>
                        <w:txbxContent>
                          <w:p>
                            <w:pPr>
                              <w:pStyle w:val="TextBody"/>
                              <w:bidi w:val="0"/>
                              <w:spacing w:before="0" w:after="283"/>
                              <w:jc w:val="left"/>
                              <w:rPr/>
                            </w:pPr>
                            <w:r>
                              <w:rPr/>
                              <w:t xml:space="preserve">• </w:t>
                            </w:r>
                          </w:p>
                        </w:txbxContent>
                      </wps:txbx>
                      <wps:bodyPr anchor="t" lIns="0" tIns="0" rIns="0" bIns="0">
                        <a:noAutofit/>
                      </wps:bodyPr>
                    </wps:wsp>
                  </a:graphicData>
                </a:graphic>
              </wp:anchor>
            </w:drawing>
          </mc:Choice>
          <mc:Fallback>
            <w:pict>
              <v:rect style="position:absolute;rotation:-0;width: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 xml:space="preserve">• </w:t>
                      </w:r>
                    </w:p>
                  </w:txbxContent>
                </v:textbox>
                <w10:wrap type="square" side="right"/>
              </v:rect>
            </w:pict>
          </mc:Fallback>
        </mc:AlternateContent>
      </w:r>
    </w:p>
    <w:p>
      <w:pPr>
        <w:pStyle w:val="TextBody"/>
        <w:bidi w:val="0"/>
        <w:spacing w:before="0" w:after="0"/>
        <w:ind w:left="900" w:right="0" w:hanging="0"/>
        <w:jc w:val="left"/>
        <w:rPr/>
      </w:pPr>
      <w:r>
        <w:rPr/>
        <w:t> </w:t>
      </w:r>
    </w:p>
    <w:p>
      <w:pPr>
        <w:pStyle w:val="TextBody"/>
        <w:bidi w:val="0"/>
        <w:spacing w:before="0" w:after="0"/>
        <w:ind w:left="0" w:right="0" w:firstLine="720"/>
        <w:jc w:val="both"/>
        <w:rPr>
          <w:rFonts w:ascii="Times New Roman" w:hAnsi="Times New Roman"/>
          <w:sz w:val="20"/>
        </w:rPr>
      </w:pPr>
      <w:r>
        <w:rPr>
          <w:rFonts w:ascii="Times New Roman" w:hAnsi="Times New Roman"/>
          <w:sz w:val="20"/>
        </w:rPr>
        <w:t xml:space="preserve">Even if we comply with all FDA requests, the FDA may ultimately reject our product candidate’s BLA. In addition, the FDA could determine that we must test additional subjects and/or require that we conduct further studies with more subjects. We may never obtain regulatory approval for any future potential product candidate or label expansion activity. Failure to obtain FDA approval for any of our product candidates will severely undermine our business by leaving us without the ability to generate additional accretive revenues. There is no guarantee that we will ever be able to develop or acquire other product candidates. In foreign jurisdictions, we must receive approval from the appropriate regulatory authorities before we can commercialize any products or product candidates outside the U.S. Foreign regulatory approval processes generally include all of the risks and uncertainties associated with the FDA review, inspection and approval procedures described above. We cannot assure you that we will receive the approvals necessary to commercialize any product candidate for sale outside the United States. </w:t>
      </w:r>
    </w:p>
    <w:p>
      <w:pPr>
        <w:pStyle w:val="TextBody"/>
        <w:bidi w:val="0"/>
        <w:spacing w:before="0" w:after="0"/>
        <w:jc w:val="left"/>
        <w:rPr/>
      </w:pPr>
      <w:r>
        <w:rPr/>
        <w:t xml:space="preserve">  </w:t>
      </w:r>
    </w:p>
    <w:p>
      <w:pPr>
        <w:pStyle w:val="TextBody"/>
        <w:bidi w:val="0"/>
        <w:spacing w:before="150" w:after="15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t>39</w:t>
      </w:r>
    </w:p>
    <w:p>
      <w:pPr>
        <w:pStyle w:val="HorizontalLine"/>
        <w:bidi w:val="0"/>
        <w:spacing w:before="150" w:after="150"/>
        <w:jc w:val="left"/>
        <w:rPr/>
      </w:pPr>
      <w:r>
        <w:rPr/>
      </w:r>
    </w:p>
    <w:p>
      <w:pPr>
        <w:pStyle w:val="TextBody"/>
        <w:bidi w:val="0"/>
        <w:spacing w:before="150" w:after="150"/>
        <w:jc w:val="left"/>
        <w:rPr/>
      </w:pPr>
      <w:hyperlink w:anchor="index">
        <w:r>
          <w:rPr>
            <w:rStyle w:val="InternetLink"/>
            <w:rFonts w:ascii="TimesNewRoman;Times New Roman;Times;Baskerville;Georgia;serif" w:hAnsi="TimesNewRoman;Times New Roman;Times;Baskerville;Georgia;serif"/>
            <w:b w:val="false"/>
            <w:i/>
            <w:caps w:val="false"/>
            <w:smallCaps w:val="false"/>
            <w:strike w:val="false"/>
            <w:dstrike w:val="false"/>
            <w:sz w:val="16"/>
            <w:u w:val="none"/>
            <w:effect w:val="none"/>
          </w:rPr>
          <w:t>Index</w:t>
        </w:r>
      </w:hyperlink>
    </w:p>
    <w:p>
      <w:pPr>
        <w:pStyle w:val="TextBody"/>
        <w:bidi w:val="0"/>
        <w:spacing w:before="0" w:after="0"/>
        <w:jc w:val="both"/>
        <w:rPr>
          <w:rFonts w:ascii="Times New Roman" w:hAnsi="Times New Roman"/>
          <w:sz w:val="20"/>
        </w:rPr>
      </w:pPr>
      <w:r>
        <w:rPr>
          <w:rFonts w:ascii="Times New Roman" w:hAnsi="Times New Roman"/>
          <w:b/>
          <w:i/>
          <w:sz w:val="20"/>
        </w:rPr>
        <w:t>Although we have received approval from the FDA to market ASCENIV as a treatment for PIDD, our ability to market or seek approval for ASCENIV for alternative indications could be limited, unless additional clinical trials are conducted successfully and the FDA approves a BLA or other required submission for review.</w:t>
      </w:r>
      <w:r>
        <w:rPr>
          <w:rFonts w:ascii="Times New Roman" w:hAnsi="Times New Roman"/>
          <w:sz w:val="20"/>
        </w:rPr>
        <w:t xml:space="preserve"> </w:t>
      </w:r>
    </w:p>
    <w:p>
      <w:pPr>
        <w:pStyle w:val="TextBody"/>
        <w:bidi w:val="0"/>
        <w:spacing w:before="0" w:after="0"/>
        <w:jc w:val="both"/>
        <w:rPr/>
      </w:pPr>
      <w:r>
        <w:rPr/>
        <w:t xml:space="preserve">  </w:t>
      </w:r>
    </w:p>
    <w:p>
      <w:pPr>
        <w:pStyle w:val="TextBody"/>
        <w:bidi w:val="0"/>
        <w:spacing w:before="0" w:after="0"/>
        <w:ind w:left="0" w:right="0" w:firstLine="720"/>
        <w:jc w:val="both"/>
        <w:rPr>
          <w:rFonts w:ascii="Times New Roman" w:hAnsi="Times New Roman"/>
          <w:sz w:val="20"/>
        </w:rPr>
      </w:pPr>
      <w:r>
        <w:rPr>
          <w:rFonts w:ascii="Times New Roman" w:hAnsi="Times New Roman"/>
          <w:sz w:val="20"/>
        </w:rPr>
        <w:t xml:space="preserve">The FDA and other governmental authorities strictly regulate and monitor marketing, labeling and the advertising and promotion of prescription drugs. These regulations include standards and restrictions for direct-to-consumer advertising, industry-sponsored scientific and educational activities, promotional activities involving the Internet and off-label promotion. The FDA does not allow drugs to be promoted for “off-label” uses - that is, uses that are not described in the product’s labeling and that differ from those that were approved by the FDA. The FDA limits approved uses to those studied by a company in its clinical trials. In addition to the FDA approval required for new formulations, any new indication for an approved product also requires FDA approval. Although we have received approval from the FDA to market ASCENIV as a treatment for PIDD, we cannot be sure whether we will be able to obtain FDA approval for any desired future indications for ASCENIV. </w:t>
      </w:r>
    </w:p>
    <w:p>
      <w:pPr>
        <w:pStyle w:val="TextBody"/>
        <w:bidi w:val="0"/>
        <w:spacing w:before="0" w:after="0"/>
        <w:jc w:val="both"/>
        <w:rPr/>
      </w:pPr>
      <w:r>
        <w:rPr/>
        <w:t xml:space="preserve">  </w:t>
      </w:r>
    </w:p>
    <w:p>
      <w:pPr>
        <w:pStyle w:val="TextBody"/>
        <w:bidi w:val="0"/>
        <w:spacing w:before="0" w:after="0"/>
        <w:ind w:left="0" w:right="0" w:firstLine="720"/>
        <w:jc w:val="both"/>
        <w:rPr>
          <w:rFonts w:ascii="Times New Roman" w:hAnsi="Times New Roman"/>
          <w:sz w:val="20"/>
        </w:rPr>
      </w:pPr>
      <w:r>
        <w:rPr>
          <w:rFonts w:ascii="Times New Roman" w:hAnsi="Times New Roman"/>
          <w:sz w:val="20"/>
        </w:rPr>
        <w:t xml:space="preserve">While physicians in the United States may choose, and are generally permitted, to prescribe drugs for uses that are not described in the product’s labeling, and for uses that differ from those tested in clinical studies and approved by the regulatory authorities, our ability to promote our products is narrowly limited to those indications that are specifically approved by the FDA. “Off-label” uses are common across medical specialties and may constitute an appropriate treatment for some patients in varied circumstances. Regulatory authorities in the United States generally do not regulate the behavior of physicians in their choice of treatments. Regulatory authorities do, however, restrict communications by pharmaceutical companies on the subject of off-label use. If the FDA determines that our promotional activities fail to comply with the FDA’s regulations or guidelines, we may be subject to warnings from, or enforcement action by, these authorities. In addition, our failure to follow FDA rules and guidelines related to promotion and advertising may cause the FDA to issue warning letters or untitled letters, bring an enforcement action against us, suspend or withdraw an approved product from the market, require a recall, require payment of civil fines or could result in disgorgement of money, operating restrictions, injunctions or criminal prosecution, among other consequences, any of which could harm our reputation and our business. </w:t>
      </w:r>
    </w:p>
    <w:p>
      <w:pPr>
        <w:pStyle w:val="TextBody"/>
        <w:bidi w:val="0"/>
        <w:spacing w:before="0" w:after="0"/>
        <w:jc w:val="both"/>
        <w:rPr/>
      </w:pPr>
      <w:r>
        <w:rPr/>
        <w:t xml:space="preserve">  </w:t>
      </w:r>
    </w:p>
    <w:p>
      <w:pPr>
        <w:pStyle w:val="TextBody"/>
        <w:bidi w:val="0"/>
        <w:spacing w:before="0" w:after="0"/>
        <w:jc w:val="both"/>
        <w:rPr>
          <w:rFonts w:ascii="Times New Roman" w:hAnsi="Times New Roman"/>
          <w:sz w:val="20"/>
        </w:rPr>
      </w:pPr>
      <w:r>
        <w:rPr>
          <w:rFonts w:ascii="Times New Roman" w:hAnsi="Times New Roman"/>
          <w:b/>
          <w:i/>
          <w:sz w:val="20"/>
        </w:rPr>
        <w:t>With the approval of ASCENIV, there can be no assurance that we will be successful in further developing and expanding commercial operations, collecting and procuring an adequate supply of high-titer antibody RSV plasma or balancing our research and development activities with our commercialization activities.</w:t>
      </w:r>
      <w:r>
        <w:rPr>
          <w:rFonts w:ascii="Times New Roman" w:hAnsi="Times New Roman"/>
          <w:sz w:val="20"/>
        </w:rPr>
        <w:t xml:space="preserve"> </w:t>
      </w:r>
    </w:p>
    <w:p>
      <w:pPr>
        <w:pStyle w:val="TextBody"/>
        <w:bidi w:val="0"/>
        <w:spacing w:before="0" w:after="0"/>
        <w:jc w:val="left"/>
        <w:rPr/>
      </w:pPr>
      <w:r>
        <w:rPr/>
        <w:t xml:space="preserve">  </w:t>
      </w:r>
    </w:p>
    <w:p>
      <w:pPr>
        <w:pStyle w:val="TextBody"/>
        <w:bidi w:val="0"/>
        <w:spacing w:before="0" w:after="0"/>
        <w:ind w:left="0" w:right="0" w:firstLine="720"/>
        <w:jc w:val="both"/>
        <w:rPr>
          <w:rFonts w:ascii="Times New Roman" w:hAnsi="Times New Roman"/>
          <w:sz w:val="20"/>
        </w:rPr>
      </w:pPr>
      <w:r>
        <w:rPr>
          <w:rFonts w:ascii="Times New Roman" w:hAnsi="Times New Roman"/>
          <w:sz w:val="20"/>
        </w:rPr>
        <w:t xml:space="preserve">Since receiving FDA approval for ASCENIV, we have been commercializing this product while also continuing our research and development activities. There can be no assurance that we will be able to successfully manage the balance of our research and development operations with our commercialization activities. Potential investors and stockholders should be aware of the problems, delays, expenses and difficulties frequently encountered by companies balancing development of product candidates, which can include problems such as unanticipated issues related to clinical trials and receipt of approvals from the FDA and foreign regulatory bodies, with commercialization efforts, which can include problems related to managing manufacturing and supply, including supply chain constraints, reimbursement, marketing challenges, development of a comprehensive compliance program, and other related and additional costs. For example, the raw material plasma we collect and procure to manufacture ASCENIV using our patented proprietary microneutralization assay is comprised of plasma collected from donors which contains high-titer antibodies to RSV. This high-titer plasma which meets our internal specifications for the manufacture of ASCENIV that we are able to identify with our patented testing assay amounts to less than 10% of the total donor collection samples we test. As a result, we may experience an insufficient supply of this plasma. </w:t>
      </w:r>
    </w:p>
    <w:p>
      <w:pPr>
        <w:pStyle w:val="TextBody"/>
        <w:bidi w:val="0"/>
        <w:spacing w:before="0" w:after="0"/>
        <w:jc w:val="both"/>
        <w:rPr/>
      </w:pPr>
      <w:r>
        <w:rPr/>
        <w:t xml:space="preserve">  </w:t>
      </w:r>
    </w:p>
    <w:p>
      <w:pPr>
        <w:pStyle w:val="TextBody"/>
        <w:bidi w:val="0"/>
        <w:spacing w:before="0" w:after="0"/>
        <w:ind w:left="0" w:right="0" w:firstLine="720"/>
        <w:jc w:val="both"/>
        <w:rPr>
          <w:rFonts w:ascii="Times New Roman" w:hAnsi="Times New Roman"/>
          <w:sz w:val="20"/>
        </w:rPr>
      </w:pPr>
      <w:r>
        <w:rPr>
          <w:rFonts w:ascii="Times New Roman" w:hAnsi="Times New Roman"/>
          <w:sz w:val="20"/>
        </w:rPr>
        <w:t xml:space="preserve">Our product candidates will require significant additional research and clinical trials, and we will need to overcome significant regulatory burdens prior to commercialization in the United States and other countries. In addition, we may be required to spend significant funds on building out our commercial operations. There can be no assurance that after the expenditure of substantial funds and efforts, we will successfully develop and commercialize any of our product candidates, generate any significant revenues or ever achieve and maintain a substantial level of sales of our products. </w:t>
      </w:r>
    </w:p>
    <w:p>
      <w:pPr>
        <w:pStyle w:val="TextBody"/>
        <w:bidi w:val="0"/>
        <w:spacing w:before="0" w:after="0"/>
        <w:jc w:val="both"/>
        <w:rPr/>
      </w:pPr>
      <w:r>
        <w:rPr/>
      </w:r>
    </w:p>
    <w:p>
      <w:pPr>
        <w:pStyle w:val="TextBody"/>
        <w:bidi w:val="0"/>
        <w:spacing w:before="150" w:after="15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t>40</w:t>
      </w:r>
    </w:p>
    <w:p>
      <w:pPr>
        <w:pStyle w:val="HorizontalLine"/>
        <w:bidi w:val="0"/>
        <w:spacing w:before="150" w:after="150"/>
        <w:jc w:val="left"/>
        <w:rPr/>
      </w:pPr>
      <w:r>
        <w:rPr/>
      </w:r>
    </w:p>
    <w:p>
      <w:pPr>
        <w:pStyle w:val="TextBody"/>
        <w:bidi w:val="0"/>
        <w:spacing w:before="150" w:after="150"/>
        <w:jc w:val="left"/>
        <w:rPr/>
      </w:pPr>
      <w:hyperlink w:anchor="index">
        <w:r>
          <w:rPr>
            <w:rStyle w:val="InternetLink"/>
            <w:rFonts w:ascii="TimesNewRoman;Times New Roman;Times;Baskerville;Georgia;serif" w:hAnsi="TimesNewRoman;Times New Roman;Times;Baskerville;Georgia;serif"/>
            <w:b w:val="false"/>
            <w:i/>
            <w:caps w:val="false"/>
            <w:smallCaps w:val="false"/>
            <w:strike w:val="false"/>
            <w:dstrike w:val="false"/>
            <w:sz w:val="16"/>
            <w:u w:val="none"/>
            <w:effect w:val="none"/>
          </w:rPr>
          <w:t>Index</w:t>
        </w:r>
      </w:hyperlink>
    </w:p>
    <w:p>
      <w:pPr>
        <w:pStyle w:val="TextBody"/>
        <w:bidi w:val="0"/>
        <w:spacing w:before="0" w:after="0"/>
        <w:ind w:left="0" w:right="0" w:hanging="0"/>
        <w:jc w:val="left"/>
        <w:rPr>
          <w:rFonts w:ascii="Times New Roman" w:hAnsi="Times New Roman"/>
          <w:b/>
          <w:i/>
          <w:spacing w:val="0"/>
          <w:sz w:val="20"/>
        </w:rPr>
      </w:pPr>
      <w:r>
        <w:rPr>
          <w:rFonts w:ascii="Times New Roman" w:hAnsi="Times New Roman"/>
          <w:b/>
          <w:i/>
          <w:spacing w:val="0"/>
          <w:sz w:val="20"/>
        </w:rPr>
        <w:t>We depend on third-party researchers, developers and vendors to develop, manufacture, supply materials for or test our products and product candidates, as well as for other pre and post-approval services, and such parties’ performance is, to some extent, outside of our control.</w:t>
      </w:r>
    </w:p>
    <w:p>
      <w:pPr>
        <w:pStyle w:val="TextBody"/>
        <w:bidi w:val="0"/>
        <w:spacing w:before="0" w:after="0"/>
        <w:ind w:left="0" w:right="0" w:firstLine="720"/>
        <w:jc w:val="both"/>
        <w:rPr/>
      </w:pPr>
      <w:r>
        <w:rPr/>
        <w:t> </w:t>
      </w:r>
    </w:p>
    <w:p>
      <w:pPr>
        <w:pStyle w:val="TextBody"/>
        <w:bidi w:val="0"/>
        <w:spacing w:before="0" w:after="0"/>
        <w:ind w:left="0" w:right="0" w:firstLine="720"/>
        <w:jc w:val="both"/>
        <w:rPr>
          <w:rFonts w:ascii="Times New Roman" w:hAnsi="Times New Roman"/>
          <w:sz w:val="20"/>
        </w:rPr>
      </w:pPr>
      <w:r>
        <w:rPr>
          <w:rFonts w:ascii="Times New Roman" w:hAnsi="Times New Roman"/>
          <w:sz w:val="20"/>
        </w:rPr>
        <w:t xml:space="preserve">We depend on independent investigators and collaborators, such as universities and medical institutions, contract laboratories, CROs, contract manufacturers, contract fill/finishers, third-party plasma centers and consultants to conduct our preclinical activities, clinical trials, CMC testing and other activities under agreements with us. These collaborators are not our employees and we cannot control the amount or timing of resources that they devote to our programs. These third parties may not assign as great a priority to our programs or pursue them as diligently as we would if we were undertaking such programs ourselves. If outside collaborators fail to devote sufficient time and resources to our products and/or development programs, or if their performance is substandard or does not comply with the applicable regulatory standards, our trials may be repeated, extended, delayed, or terminated, the approval of our FDA application(s), if any, and our introduction of new products, if any, will be delayed, and we may not be able to maintain existing approvals or meet our regulatory requirements or we may not be able to produce forecasted amounts of product. We or they may also be subject to regulatory enforcement actions, may need to take corrective actions, including initiating recalls, and we may not be able to meet commercial demand. These collaborators may also have relationships with other commercial entities, some of whom may compete with us. If our collaborators assist our competitors at our expense, our competitive position would be harmed. We also depend on third-party suppliers for materials used in our operations. Certain of our third-party suppliers may be single-sourced, or may not be able to supply sufficient materials for our operations at a reasonable price, and it may be time-consuming, expensive or otherwise not feasible to locate an alternative supplier. In the event a single-source supplier is unable to provide us with a sufficient amount of materials, such shortage could have a material adverse effect on our business, results of operations and financial condition. Additionally, any change in the regulatory compliance status of any of our vendors may impede our ability to receive and maintain approval for our product candidates. </w:t>
      </w:r>
    </w:p>
    <w:p>
      <w:pPr>
        <w:pStyle w:val="TextBody"/>
        <w:bidi w:val="0"/>
        <w:spacing w:before="0" w:after="0"/>
        <w:jc w:val="both"/>
        <w:rPr/>
      </w:pPr>
      <w:r>
        <w:rPr/>
        <w:t xml:space="preserve">  </w:t>
      </w:r>
    </w:p>
    <w:p>
      <w:pPr>
        <w:pStyle w:val="TextBody"/>
        <w:bidi w:val="0"/>
        <w:spacing w:before="0" w:after="0"/>
        <w:jc w:val="both"/>
        <w:rPr>
          <w:rFonts w:ascii="Times New Roman" w:hAnsi="Times New Roman"/>
          <w:b/>
          <w:i/>
          <w:sz w:val="20"/>
        </w:rPr>
      </w:pPr>
      <w:r>
        <w:rPr>
          <w:rFonts w:ascii="Times New Roman" w:hAnsi="Times New Roman"/>
          <w:b/>
          <w:i/>
          <w:sz w:val="20"/>
        </w:rPr>
        <w:t>We may be unable to successfully expand our manufacturing processes to fulfill demand for our products or </w:t>
      </w:r>
      <w:r>
        <w:rPr>
          <w:rFonts w:ascii="Times New Roman" w:hAnsi="Times New Roman"/>
          <w:b/>
          <w:i/>
          <w:spacing w:val="0"/>
          <w:sz w:val="20"/>
        </w:rPr>
        <w:t>increase our production capabilities through the addition of new equipment, including if we do not obtain requisite approval from the FDA.</w:t>
      </w:r>
    </w:p>
    <w:p>
      <w:pPr>
        <w:pStyle w:val="TextBody"/>
        <w:bidi w:val="0"/>
        <w:spacing w:before="0" w:after="0"/>
        <w:jc w:val="both"/>
        <w:rPr/>
      </w:pPr>
      <w:r>
        <w:rPr/>
      </w:r>
    </w:p>
    <w:p>
      <w:pPr>
        <w:pStyle w:val="TextBody"/>
        <w:bidi w:val="0"/>
        <w:spacing w:before="0" w:after="0"/>
        <w:ind w:left="0" w:right="0" w:firstLine="720"/>
        <w:jc w:val="both"/>
        <w:rPr>
          <w:rFonts w:ascii="Times New Roman" w:hAnsi="Times New Roman"/>
          <w:sz w:val="20"/>
        </w:rPr>
      </w:pPr>
      <w:r>
        <w:rPr>
          <w:rFonts w:ascii="Times New Roman" w:hAnsi="Times New Roman"/>
          <w:sz w:val="20"/>
        </w:rPr>
        <w:t xml:space="preserve">We may expand our manufacturing capacity and product output capability of the Boca Facility. Following any expansion of any of our manufacturing processes or the addition of new equipment, we will be required to validate the expanded facility, process changes if any and equipment, make the necessary submissions to FDA, obtain any FDA-required approvals and have it inspected by the FDA. Any other changes to the manufacturing process will also potentially require validation, FDA submissions, and approvals and inspections. Changes may also require that further studies are conducted before the change is approved by regulatory authorities or product marketing approval is obtained. Given the significant delays that may result during the validation and approval process, we may not receive the necessary manufacturing or product approvals, experience a supply shortage of our products or our production capabilities may be limited until completion of and validation of our facility expansion and new manufacturing equipment and until the necessary approvals are obtained. </w:t>
      </w:r>
    </w:p>
    <w:p>
      <w:pPr>
        <w:pStyle w:val="TextBody"/>
        <w:bidi w:val="0"/>
        <w:spacing w:before="0" w:after="0"/>
        <w:jc w:val="both"/>
        <w:rPr/>
      </w:pPr>
      <w:r>
        <w:rPr/>
        <w:t xml:space="preserve">  </w:t>
      </w:r>
    </w:p>
    <w:p>
      <w:pPr>
        <w:pStyle w:val="TextBody"/>
        <w:bidi w:val="0"/>
        <w:spacing w:before="0" w:after="0"/>
        <w:jc w:val="both"/>
        <w:rPr>
          <w:rFonts w:ascii="Times New Roman" w:hAnsi="Times New Roman"/>
          <w:sz w:val="20"/>
        </w:rPr>
      </w:pPr>
      <w:r>
        <w:rPr>
          <w:rFonts w:ascii="Times New Roman" w:hAnsi="Times New Roman"/>
          <w:b/>
          <w:i/>
          <w:sz w:val="20"/>
        </w:rPr>
        <w:t>Our products, and any additional products for which we may obtain marketing approval in the future, could be subject to post-marketing restrictions or withdrawal from the market and we could be subject to substantial penalties if we fail to comply with regulatory requirements or if we experience unanticipated problems with our products following approval.</w:t>
      </w:r>
      <w:r>
        <w:rPr>
          <w:rFonts w:ascii="Times New Roman" w:hAnsi="Times New Roman"/>
          <w:sz w:val="20"/>
        </w:rPr>
        <w:t xml:space="preserve"> </w:t>
      </w:r>
    </w:p>
    <w:p>
      <w:pPr>
        <w:pStyle w:val="TextBody"/>
        <w:bidi w:val="0"/>
        <w:spacing w:before="0" w:after="0"/>
        <w:jc w:val="both"/>
        <w:rPr/>
      </w:pPr>
      <w:r>
        <w:rPr/>
        <w:t xml:space="preserve">  </w:t>
      </w:r>
    </w:p>
    <w:p>
      <w:pPr>
        <w:pStyle w:val="TextBody"/>
        <w:bidi w:val="0"/>
        <w:spacing w:before="0" w:after="0"/>
        <w:ind w:left="0" w:right="0" w:firstLine="720"/>
        <w:jc w:val="both"/>
        <w:rPr>
          <w:rFonts w:ascii="Times New Roman" w:hAnsi="Times New Roman"/>
          <w:sz w:val="20"/>
        </w:rPr>
      </w:pPr>
      <w:r>
        <w:rPr>
          <w:rFonts w:ascii="Times New Roman" w:hAnsi="Times New Roman"/>
          <w:sz w:val="20"/>
        </w:rPr>
        <w:t xml:space="preserve">Our products, and any additional products for which we may obtain marketing approval in the future, could be subject to post-marketing restrictions, new FDA guidance, or other regulatory actions, such as withdrawal from the market. Such products, as well as the manufacturing processes, post-marketing studies and measures, labeling and advertising and promotional activities for such products, among other things, are subject to ongoing regulatory compliance requirements, and oversight, review, and inspection by the FDA and other regulatory authorities. These requirements include submissions of safety and other post-marketing information and reports, registration and listing requirements, adherence with labeling and promotional requirements and restrictions, requirements related to manufacturing, quality control, quality assurance and corresponding maintenance of records and documents, requirements regarding safeguarding the drug supply chain as well as the distribution of samples to physicians and recordkeeping. For example, the FDA’s approval of our application supplement to allow for the commercial relaunch of BIVIGAM, as well as the FDA’s approval of our BLA for ASCENIV, required us to conduct specified post-marketing studies, including pediatric and safety studies. If, during the post-marketing period (after marketing approval) previously unknown adverse events emerge, there is the discovery that the product is less effective than previously thought, or other potential concerns regarding our products or their manufacturing processes emerge, or, if before or after approval, we are observed in any way to fail to comply with the numerous regulatory requirements to which we are subject, those circumstances may yield various results, including: </w:t>
      </w:r>
    </w:p>
    <w:p>
      <w:pPr>
        <w:pStyle w:val="TextBody"/>
        <w:bidi w:val="0"/>
        <w:spacing w:before="150" w:after="15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t>41</w:t>
      </w:r>
    </w:p>
    <w:p>
      <w:pPr>
        <w:pStyle w:val="HorizontalLine"/>
        <w:bidi w:val="0"/>
        <w:spacing w:before="150" w:after="150"/>
        <w:jc w:val="left"/>
        <w:rPr/>
      </w:pPr>
      <w:r>
        <w:rPr/>
      </w:r>
    </w:p>
    <w:p>
      <w:pPr>
        <w:pStyle w:val="TextBody"/>
        <w:bidi w:val="0"/>
        <w:spacing w:before="150" w:after="150"/>
        <w:jc w:val="left"/>
        <w:rPr/>
      </w:pPr>
      <w:hyperlink w:anchor="index">
        <w:r>
          <w:rPr>
            <w:rStyle w:val="InternetLink"/>
            <w:rFonts w:ascii="TimesNewRoman;Times New Roman;Times;Baskerville;Georgia;serif" w:hAnsi="TimesNewRoman;Times New Roman;Times;Baskerville;Georgia;serif"/>
            <w:b w:val="false"/>
            <w:i/>
            <w:caps w:val="false"/>
            <w:smallCaps w:val="false"/>
            <w:strike w:val="false"/>
            <w:dstrike w:val="false"/>
            <w:sz w:val="16"/>
            <w:u w:val="none"/>
            <w:effect w:val="none"/>
          </w:rPr>
          <w:t>Index</w:t>
        </w:r>
      </w:hyperlink>
    </w:p>
    <w:p>
      <w:pPr>
        <w:pStyle w:val="TextBody"/>
        <w:bidi w:val="0"/>
        <w:spacing w:before="0" w:after="0"/>
        <w:ind w:left="0" w:right="0" w:hanging="360"/>
        <w:jc w:val="left"/>
        <w:rPr>
          <w:rFonts w:ascii="Times New Roman" w:hAnsi="Times New Roman"/>
          <w:sz w:val="20"/>
        </w:rPr>
      </w:pPr>
      <w:r>
        <w:rPr>
          <w:rFonts w:ascii="Times New Roman" w:hAnsi="Times New Roman"/>
          <w:sz w:val="20"/>
        </w:rPr>
        <w:t xml:space="preserve">restrictions on such products or manufacturing processes; </w:t>
      </w:r>
      <w:r>
        <mc:AlternateContent>
          <mc:Choice Requires="wps">
            <w:drawing>
              <wp:anchor behindDoc="0" distT="0" distB="0" distL="0" distR="0" simplePos="0" locked="0" layoutInCell="1" allowOverlap="1" relativeHeight="134">
                <wp:simplePos x="0" y="0"/>
                <wp:positionH relativeFrom="column">
                  <wp:align>left</wp:align>
                </wp:positionH>
                <wp:positionV relativeFrom="line">
                  <wp:posOffset>635</wp:posOffset>
                </wp:positionV>
                <wp:extent cx="228600" cy="175260"/>
                <wp:effectExtent l="0" t="0" r="0" b="0"/>
                <wp:wrapSquare wrapText="right"/>
                <wp:docPr id="133" name="Frame133"/>
                <a:graphic xmlns:a="http://schemas.openxmlformats.org/drawingml/2006/main">
                  <a:graphicData uri="http://schemas.microsoft.com/office/word/2010/wordprocessingShape">
                    <wps:wsp>
                      <wps:cNvSpPr txBox="1"/>
                      <wps:spPr>
                        <a:xfrm>
                          <a:off x="0" y="0"/>
                          <a:ext cx="228600" cy="175260"/>
                        </a:xfrm>
                        <a:prstGeom prst="rect"/>
                        <a:solidFill>
                          <a:srgbClr val="FFFFFF"/>
                        </a:solidFill>
                      </wps:spPr>
                      <wps:txbx>
                        <w:txbxContent>
                          <w:p>
                            <w:pPr>
                              <w:pStyle w:val="TextBody"/>
                              <w:bidi w:val="0"/>
                              <w:spacing w:before="0" w:after="283"/>
                              <w:jc w:val="left"/>
                              <w:rPr/>
                            </w:pPr>
                            <w:r>
                              <w:rPr/>
                              <w:t xml:space="preserve">● </w:t>
                            </w:r>
                          </w:p>
                        </w:txbxContent>
                      </wps:txbx>
                      <wps:bodyPr anchor="t" lIns="0" tIns="0" rIns="0" bIns="0">
                        <a:noAutofit/>
                      </wps:bodyPr>
                    </wps:wsp>
                  </a:graphicData>
                </a:graphic>
              </wp:anchor>
            </w:drawing>
          </mc:Choice>
          <mc:Fallback>
            <w:pict>
              <v:rect style="position:absolute;rotation:-0;width: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 xml:space="preserve">● </w:t>
                      </w:r>
                    </w:p>
                  </w:txbxContent>
                </v:textbox>
                <w10:wrap type="square" side="right"/>
              </v:rect>
            </w:pict>
          </mc:Fallback>
        </mc:AlternateContent>
      </w:r>
    </w:p>
    <w:p>
      <w:pPr>
        <w:pStyle w:val="TextBody"/>
        <w:bidi w:val="0"/>
        <w:spacing w:before="0" w:after="0"/>
        <w:ind w:left="1080" w:right="0" w:hanging="0"/>
        <w:jc w:val="both"/>
        <w:rPr/>
      </w:pPr>
      <w:r>
        <w:rPr/>
        <w:t xml:space="preserve">  </w:t>
      </w:r>
    </w:p>
    <w:p>
      <w:pPr>
        <w:pStyle w:val="TextBody"/>
        <w:bidi w:val="0"/>
        <w:spacing w:before="0" w:after="0"/>
        <w:ind w:left="0" w:right="0" w:hanging="360"/>
        <w:jc w:val="left"/>
        <w:rPr>
          <w:rFonts w:ascii="Times New Roman" w:hAnsi="Times New Roman"/>
          <w:sz w:val="20"/>
        </w:rPr>
      </w:pPr>
      <w:r>
        <w:rPr>
          <w:rFonts w:ascii="Times New Roman" w:hAnsi="Times New Roman"/>
          <w:sz w:val="20"/>
        </w:rPr>
        <w:t xml:space="preserve">restrictions on the labeling or marketing of a product; </w:t>
      </w:r>
      <w:r>
        <mc:AlternateContent>
          <mc:Choice Requires="wps">
            <w:drawing>
              <wp:anchor behindDoc="0" distT="0" distB="0" distL="0" distR="0" simplePos="0" locked="0" layoutInCell="1" allowOverlap="1" relativeHeight="135">
                <wp:simplePos x="0" y="0"/>
                <wp:positionH relativeFrom="column">
                  <wp:align>left</wp:align>
                </wp:positionH>
                <wp:positionV relativeFrom="line">
                  <wp:posOffset>635</wp:posOffset>
                </wp:positionV>
                <wp:extent cx="228600" cy="175260"/>
                <wp:effectExtent l="0" t="0" r="0" b="0"/>
                <wp:wrapSquare wrapText="right"/>
                <wp:docPr id="134" name="Frame134"/>
                <a:graphic xmlns:a="http://schemas.openxmlformats.org/drawingml/2006/main">
                  <a:graphicData uri="http://schemas.microsoft.com/office/word/2010/wordprocessingShape">
                    <wps:wsp>
                      <wps:cNvSpPr txBox="1"/>
                      <wps:spPr>
                        <a:xfrm>
                          <a:off x="0" y="0"/>
                          <a:ext cx="228600" cy="175260"/>
                        </a:xfrm>
                        <a:prstGeom prst="rect"/>
                        <a:solidFill>
                          <a:srgbClr val="FFFFFF"/>
                        </a:solidFill>
                      </wps:spPr>
                      <wps:txbx>
                        <w:txbxContent>
                          <w:p>
                            <w:pPr>
                              <w:pStyle w:val="TextBody"/>
                              <w:bidi w:val="0"/>
                              <w:spacing w:before="0" w:after="283"/>
                              <w:jc w:val="left"/>
                              <w:rPr/>
                            </w:pPr>
                            <w:r>
                              <w:rPr/>
                              <w:t xml:space="preserve">● </w:t>
                            </w:r>
                          </w:p>
                        </w:txbxContent>
                      </wps:txbx>
                      <wps:bodyPr anchor="t" lIns="0" tIns="0" rIns="0" bIns="0">
                        <a:noAutofit/>
                      </wps:bodyPr>
                    </wps:wsp>
                  </a:graphicData>
                </a:graphic>
              </wp:anchor>
            </w:drawing>
          </mc:Choice>
          <mc:Fallback>
            <w:pict>
              <v:rect style="position:absolute;rotation:-0;width: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 xml:space="preserve">● </w:t>
                      </w:r>
                    </w:p>
                  </w:txbxContent>
                </v:textbox>
                <w10:wrap type="square" side="right"/>
              </v:rect>
            </w:pict>
          </mc:Fallback>
        </mc:AlternateContent>
      </w:r>
    </w:p>
    <w:p>
      <w:pPr>
        <w:pStyle w:val="TextBody"/>
        <w:bidi w:val="0"/>
        <w:spacing w:before="0" w:after="0"/>
        <w:ind w:left="0" w:right="0" w:hanging="360"/>
        <w:jc w:val="both"/>
        <w:rPr/>
      </w:pPr>
      <w:r>
        <w:rPr/>
        <w:t xml:space="preserve">  </w:t>
      </w:r>
    </w:p>
    <w:p>
      <w:pPr>
        <w:pStyle w:val="TextBody"/>
        <w:bidi w:val="0"/>
        <w:spacing w:before="0" w:after="0"/>
        <w:ind w:left="0" w:right="0" w:hanging="360"/>
        <w:jc w:val="left"/>
        <w:rPr>
          <w:rFonts w:ascii="Times New Roman" w:hAnsi="Times New Roman"/>
          <w:sz w:val="20"/>
        </w:rPr>
      </w:pPr>
      <w:r>
        <w:rPr>
          <w:rFonts w:ascii="Times New Roman" w:hAnsi="Times New Roman"/>
          <w:sz w:val="20"/>
        </w:rPr>
        <w:t xml:space="preserve">restrictions on product distribution or use; </w:t>
      </w:r>
      <w:r>
        <mc:AlternateContent>
          <mc:Choice Requires="wps">
            <w:drawing>
              <wp:anchor behindDoc="0" distT="0" distB="0" distL="0" distR="0" simplePos="0" locked="0" layoutInCell="1" allowOverlap="1" relativeHeight="136">
                <wp:simplePos x="0" y="0"/>
                <wp:positionH relativeFrom="column">
                  <wp:align>left</wp:align>
                </wp:positionH>
                <wp:positionV relativeFrom="line">
                  <wp:posOffset>635</wp:posOffset>
                </wp:positionV>
                <wp:extent cx="228600" cy="175260"/>
                <wp:effectExtent l="0" t="0" r="0" b="0"/>
                <wp:wrapSquare wrapText="right"/>
                <wp:docPr id="135" name="Frame135"/>
                <a:graphic xmlns:a="http://schemas.openxmlformats.org/drawingml/2006/main">
                  <a:graphicData uri="http://schemas.microsoft.com/office/word/2010/wordprocessingShape">
                    <wps:wsp>
                      <wps:cNvSpPr txBox="1"/>
                      <wps:spPr>
                        <a:xfrm>
                          <a:off x="0" y="0"/>
                          <a:ext cx="228600" cy="175260"/>
                        </a:xfrm>
                        <a:prstGeom prst="rect"/>
                        <a:solidFill>
                          <a:srgbClr val="FFFFFF"/>
                        </a:solidFill>
                      </wps:spPr>
                      <wps:txbx>
                        <w:txbxContent>
                          <w:p>
                            <w:pPr>
                              <w:pStyle w:val="TextBody"/>
                              <w:bidi w:val="0"/>
                              <w:spacing w:before="0" w:after="283"/>
                              <w:jc w:val="left"/>
                              <w:rPr/>
                            </w:pPr>
                            <w:r>
                              <w:rPr/>
                              <w:t xml:space="preserve">● </w:t>
                            </w:r>
                          </w:p>
                        </w:txbxContent>
                      </wps:txbx>
                      <wps:bodyPr anchor="t" lIns="0" tIns="0" rIns="0" bIns="0">
                        <a:noAutofit/>
                      </wps:bodyPr>
                    </wps:wsp>
                  </a:graphicData>
                </a:graphic>
              </wp:anchor>
            </w:drawing>
          </mc:Choice>
          <mc:Fallback>
            <w:pict>
              <v:rect style="position:absolute;rotation:-0;width: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 xml:space="preserve">● </w:t>
                      </w:r>
                    </w:p>
                  </w:txbxContent>
                </v:textbox>
                <w10:wrap type="square" side="right"/>
              </v:rect>
            </w:pict>
          </mc:Fallback>
        </mc:AlternateContent>
      </w:r>
    </w:p>
    <w:p>
      <w:pPr>
        <w:pStyle w:val="TextBody"/>
        <w:bidi w:val="0"/>
        <w:spacing w:before="0" w:after="0"/>
        <w:ind w:left="1080" w:right="0" w:hanging="0"/>
        <w:jc w:val="both"/>
        <w:rPr/>
      </w:pPr>
      <w:r>
        <w:rPr/>
        <w:t xml:space="preserve">  </w:t>
      </w:r>
    </w:p>
    <w:p>
      <w:pPr>
        <w:pStyle w:val="TextBody"/>
        <w:bidi w:val="0"/>
        <w:spacing w:before="0" w:after="0"/>
        <w:ind w:left="0" w:right="0" w:hanging="360"/>
        <w:jc w:val="left"/>
        <w:rPr>
          <w:rFonts w:ascii="Times New Roman" w:hAnsi="Times New Roman"/>
          <w:sz w:val="20"/>
        </w:rPr>
      </w:pPr>
      <w:r>
        <w:rPr>
          <w:rFonts w:ascii="Times New Roman" w:hAnsi="Times New Roman"/>
          <w:sz w:val="20"/>
        </w:rPr>
        <w:t xml:space="preserve">clinical holds or termination of clinical trials; </w:t>
      </w:r>
      <w:r>
        <mc:AlternateContent>
          <mc:Choice Requires="wps">
            <w:drawing>
              <wp:anchor behindDoc="0" distT="0" distB="0" distL="0" distR="0" simplePos="0" locked="0" layoutInCell="1" allowOverlap="1" relativeHeight="137">
                <wp:simplePos x="0" y="0"/>
                <wp:positionH relativeFrom="column">
                  <wp:align>left</wp:align>
                </wp:positionH>
                <wp:positionV relativeFrom="line">
                  <wp:posOffset>635</wp:posOffset>
                </wp:positionV>
                <wp:extent cx="228600" cy="175260"/>
                <wp:effectExtent l="0" t="0" r="0" b="0"/>
                <wp:wrapSquare wrapText="right"/>
                <wp:docPr id="136" name="Frame136"/>
                <a:graphic xmlns:a="http://schemas.openxmlformats.org/drawingml/2006/main">
                  <a:graphicData uri="http://schemas.microsoft.com/office/word/2010/wordprocessingShape">
                    <wps:wsp>
                      <wps:cNvSpPr txBox="1"/>
                      <wps:spPr>
                        <a:xfrm>
                          <a:off x="0" y="0"/>
                          <a:ext cx="228600" cy="175260"/>
                        </a:xfrm>
                        <a:prstGeom prst="rect"/>
                        <a:solidFill>
                          <a:srgbClr val="FFFFFF"/>
                        </a:solidFill>
                      </wps:spPr>
                      <wps:txbx>
                        <w:txbxContent>
                          <w:p>
                            <w:pPr>
                              <w:pStyle w:val="TextBody"/>
                              <w:bidi w:val="0"/>
                              <w:spacing w:before="0" w:after="283"/>
                              <w:jc w:val="left"/>
                              <w:rPr/>
                            </w:pPr>
                            <w:r>
                              <w:rPr/>
                              <w:t xml:space="preserve">● </w:t>
                            </w:r>
                          </w:p>
                        </w:txbxContent>
                      </wps:txbx>
                      <wps:bodyPr anchor="t" lIns="0" tIns="0" rIns="0" bIns="0">
                        <a:noAutofit/>
                      </wps:bodyPr>
                    </wps:wsp>
                  </a:graphicData>
                </a:graphic>
              </wp:anchor>
            </w:drawing>
          </mc:Choice>
          <mc:Fallback>
            <w:pict>
              <v:rect style="position:absolute;rotation:-0;width: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 xml:space="preserve">● </w:t>
                      </w:r>
                    </w:p>
                  </w:txbxContent>
                </v:textbox>
                <w10:wrap type="square" side="right"/>
              </v:rect>
            </w:pict>
          </mc:Fallback>
        </mc:AlternateContent>
      </w:r>
    </w:p>
    <w:p>
      <w:pPr>
        <w:pStyle w:val="TextBody"/>
        <w:bidi w:val="0"/>
        <w:spacing w:before="0" w:after="0"/>
        <w:ind w:left="0" w:right="0" w:hanging="360"/>
        <w:jc w:val="both"/>
        <w:rPr/>
      </w:pPr>
      <w:r>
        <w:rPr/>
        <w:t xml:space="preserve">  </w:t>
      </w:r>
    </w:p>
    <w:p>
      <w:pPr>
        <w:pStyle w:val="TextBody"/>
        <w:bidi w:val="0"/>
        <w:spacing w:before="0" w:after="0"/>
        <w:ind w:left="0" w:right="0" w:hanging="360"/>
        <w:jc w:val="both"/>
        <w:rPr>
          <w:rFonts w:ascii="Times New Roman" w:hAnsi="Times New Roman"/>
          <w:sz w:val="20"/>
        </w:rPr>
      </w:pPr>
      <w:r>
        <w:rPr>
          <w:rFonts w:ascii="Times New Roman" w:hAnsi="Times New Roman"/>
          <w:sz w:val="20"/>
        </w:rPr>
        <w:t xml:space="preserve">requirements to conduct further post-marketing studies or clinical trials, implement risk mitigation strategies, or to issue corrective information; </w:t>
      </w:r>
      <w:r>
        <mc:AlternateContent>
          <mc:Choice Requires="wps">
            <w:drawing>
              <wp:anchor behindDoc="0" distT="0" distB="0" distL="0" distR="0" simplePos="0" locked="0" layoutInCell="1" allowOverlap="1" relativeHeight="138">
                <wp:simplePos x="0" y="0"/>
                <wp:positionH relativeFrom="column">
                  <wp:align>left</wp:align>
                </wp:positionH>
                <wp:positionV relativeFrom="line">
                  <wp:posOffset>635</wp:posOffset>
                </wp:positionV>
                <wp:extent cx="228600" cy="175260"/>
                <wp:effectExtent l="0" t="0" r="0" b="0"/>
                <wp:wrapSquare wrapText="right"/>
                <wp:docPr id="137" name="Frame137"/>
                <a:graphic xmlns:a="http://schemas.openxmlformats.org/drawingml/2006/main">
                  <a:graphicData uri="http://schemas.microsoft.com/office/word/2010/wordprocessingShape">
                    <wps:wsp>
                      <wps:cNvSpPr txBox="1"/>
                      <wps:spPr>
                        <a:xfrm>
                          <a:off x="0" y="0"/>
                          <a:ext cx="228600" cy="175260"/>
                        </a:xfrm>
                        <a:prstGeom prst="rect"/>
                        <a:solidFill>
                          <a:srgbClr val="FFFFFF"/>
                        </a:solidFill>
                      </wps:spPr>
                      <wps:txbx>
                        <w:txbxContent>
                          <w:p>
                            <w:pPr>
                              <w:pStyle w:val="TextBody"/>
                              <w:bidi w:val="0"/>
                              <w:spacing w:before="0" w:after="283"/>
                              <w:jc w:val="left"/>
                              <w:rPr/>
                            </w:pPr>
                            <w:r>
                              <w:rPr/>
                              <w:t xml:space="preserve">● </w:t>
                            </w:r>
                          </w:p>
                        </w:txbxContent>
                      </wps:txbx>
                      <wps:bodyPr anchor="t" lIns="0" tIns="0" rIns="0" bIns="0">
                        <a:noAutofit/>
                      </wps:bodyPr>
                    </wps:wsp>
                  </a:graphicData>
                </a:graphic>
              </wp:anchor>
            </w:drawing>
          </mc:Choice>
          <mc:Fallback>
            <w:pict>
              <v:rect style="position:absolute;rotation:-0;width: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 xml:space="preserve">● </w:t>
                      </w:r>
                    </w:p>
                  </w:txbxContent>
                </v:textbox>
                <w10:wrap type="square" side="right"/>
              </v:rect>
            </w:pict>
          </mc:Fallback>
        </mc:AlternateContent>
      </w:r>
    </w:p>
    <w:p>
      <w:pPr>
        <w:pStyle w:val="TextBody"/>
        <w:bidi w:val="0"/>
        <w:spacing w:before="0" w:after="0"/>
        <w:ind w:left="1080" w:right="0" w:hanging="0"/>
        <w:jc w:val="both"/>
        <w:rPr/>
      </w:pPr>
      <w:r>
        <w:rPr/>
        <w:t xml:space="preserve">  </w:t>
      </w:r>
    </w:p>
    <w:p>
      <w:pPr>
        <w:pStyle w:val="TextBody"/>
        <w:bidi w:val="0"/>
        <w:spacing w:before="0" w:after="0"/>
        <w:ind w:left="0" w:right="0" w:hanging="360"/>
        <w:jc w:val="left"/>
        <w:rPr>
          <w:rFonts w:ascii="Times New Roman" w:hAnsi="Times New Roman"/>
          <w:sz w:val="20"/>
        </w:rPr>
      </w:pPr>
      <w:r>
        <w:rPr>
          <w:rFonts w:ascii="Times New Roman" w:hAnsi="Times New Roman"/>
          <w:sz w:val="20"/>
        </w:rPr>
        <w:t xml:space="preserve">warning letters or untitled letters; </w:t>
      </w:r>
      <w:r>
        <mc:AlternateContent>
          <mc:Choice Requires="wps">
            <w:drawing>
              <wp:anchor behindDoc="0" distT="0" distB="0" distL="0" distR="0" simplePos="0" locked="0" layoutInCell="1" allowOverlap="1" relativeHeight="139">
                <wp:simplePos x="0" y="0"/>
                <wp:positionH relativeFrom="column">
                  <wp:align>left</wp:align>
                </wp:positionH>
                <wp:positionV relativeFrom="line">
                  <wp:posOffset>635</wp:posOffset>
                </wp:positionV>
                <wp:extent cx="228600" cy="175260"/>
                <wp:effectExtent l="0" t="0" r="0" b="0"/>
                <wp:wrapSquare wrapText="right"/>
                <wp:docPr id="138" name="Frame138"/>
                <a:graphic xmlns:a="http://schemas.openxmlformats.org/drawingml/2006/main">
                  <a:graphicData uri="http://schemas.microsoft.com/office/word/2010/wordprocessingShape">
                    <wps:wsp>
                      <wps:cNvSpPr txBox="1"/>
                      <wps:spPr>
                        <a:xfrm>
                          <a:off x="0" y="0"/>
                          <a:ext cx="228600" cy="175260"/>
                        </a:xfrm>
                        <a:prstGeom prst="rect"/>
                        <a:solidFill>
                          <a:srgbClr val="FFFFFF"/>
                        </a:solidFill>
                      </wps:spPr>
                      <wps:txbx>
                        <w:txbxContent>
                          <w:p>
                            <w:pPr>
                              <w:pStyle w:val="TextBody"/>
                              <w:bidi w:val="0"/>
                              <w:spacing w:before="0" w:after="283"/>
                              <w:jc w:val="left"/>
                              <w:rPr/>
                            </w:pPr>
                            <w:r>
                              <w:rPr/>
                              <w:t xml:space="preserve">● </w:t>
                            </w:r>
                          </w:p>
                        </w:txbxContent>
                      </wps:txbx>
                      <wps:bodyPr anchor="t" lIns="0" tIns="0" rIns="0" bIns="0">
                        <a:noAutofit/>
                      </wps:bodyPr>
                    </wps:wsp>
                  </a:graphicData>
                </a:graphic>
              </wp:anchor>
            </w:drawing>
          </mc:Choice>
          <mc:Fallback>
            <w:pict>
              <v:rect style="position:absolute;rotation:-0;width: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 xml:space="preserve">● </w:t>
                      </w:r>
                    </w:p>
                  </w:txbxContent>
                </v:textbox>
                <w10:wrap type="square" side="right"/>
              </v:rect>
            </w:pict>
          </mc:Fallback>
        </mc:AlternateContent>
      </w:r>
    </w:p>
    <w:p>
      <w:pPr>
        <w:pStyle w:val="TextBody"/>
        <w:bidi w:val="0"/>
        <w:spacing w:before="0" w:after="0"/>
        <w:ind w:left="1080" w:right="0" w:hanging="0"/>
        <w:jc w:val="both"/>
        <w:rPr/>
      </w:pPr>
      <w:r>
        <w:rPr/>
        <w:t xml:space="preserve">  </w:t>
      </w:r>
    </w:p>
    <w:p>
      <w:pPr>
        <w:pStyle w:val="TextBody"/>
        <w:bidi w:val="0"/>
        <w:spacing w:before="0" w:after="0"/>
        <w:ind w:left="0" w:right="0" w:hanging="360"/>
        <w:jc w:val="left"/>
        <w:rPr>
          <w:rFonts w:ascii="Times New Roman" w:hAnsi="Times New Roman"/>
          <w:sz w:val="20"/>
        </w:rPr>
      </w:pPr>
      <w:r>
        <w:rPr>
          <w:rFonts w:ascii="Times New Roman" w:hAnsi="Times New Roman"/>
          <w:sz w:val="20"/>
        </w:rPr>
        <w:t xml:space="preserve">withdrawal of the products from the market; </w:t>
      </w:r>
      <w:r>
        <mc:AlternateContent>
          <mc:Choice Requires="wps">
            <w:drawing>
              <wp:anchor behindDoc="0" distT="0" distB="0" distL="0" distR="0" simplePos="0" locked="0" layoutInCell="1" allowOverlap="1" relativeHeight="140">
                <wp:simplePos x="0" y="0"/>
                <wp:positionH relativeFrom="column">
                  <wp:align>left</wp:align>
                </wp:positionH>
                <wp:positionV relativeFrom="line">
                  <wp:posOffset>635</wp:posOffset>
                </wp:positionV>
                <wp:extent cx="228600" cy="175260"/>
                <wp:effectExtent l="0" t="0" r="0" b="0"/>
                <wp:wrapSquare wrapText="right"/>
                <wp:docPr id="139" name="Frame139"/>
                <a:graphic xmlns:a="http://schemas.openxmlformats.org/drawingml/2006/main">
                  <a:graphicData uri="http://schemas.microsoft.com/office/word/2010/wordprocessingShape">
                    <wps:wsp>
                      <wps:cNvSpPr txBox="1"/>
                      <wps:spPr>
                        <a:xfrm>
                          <a:off x="0" y="0"/>
                          <a:ext cx="228600" cy="175260"/>
                        </a:xfrm>
                        <a:prstGeom prst="rect"/>
                        <a:solidFill>
                          <a:srgbClr val="FFFFFF"/>
                        </a:solidFill>
                      </wps:spPr>
                      <wps:txbx>
                        <w:txbxContent>
                          <w:p>
                            <w:pPr>
                              <w:pStyle w:val="TextBody"/>
                              <w:bidi w:val="0"/>
                              <w:spacing w:before="0" w:after="283"/>
                              <w:jc w:val="left"/>
                              <w:rPr/>
                            </w:pPr>
                            <w:r>
                              <w:rPr/>
                              <w:t xml:space="preserve">● </w:t>
                            </w:r>
                          </w:p>
                        </w:txbxContent>
                      </wps:txbx>
                      <wps:bodyPr anchor="t" lIns="0" tIns="0" rIns="0" bIns="0">
                        <a:noAutofit/>
                      </wps:bodyPr>
                    </wps:wsp>
                  </a:graphicData>
                </a:graphic>
              </wp:anchor>
            </w:drawing>
          </mc:Choice>
          <mc:Fallback>
            <w:pict>
              <v:rect style="position:absolute;rotation:-0;width: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 xml:space="preserve">● </w:t>
                      </w:r>
                    </w:p>
                  </w:txbxContent>
                </v:textbox>
                <w10:wrap type="square" side="right"/>
              </v:rect>
            </w:pict>
          </mc:Fallback>
        </mc:AlternateContent>
      </w:r>
    </w:p>
    <w:p>
      <w:pPr>
        <w:pStyle w:val="TextBody"/>
        <w:bidi w:val="0"/>
        <w:spacing w:before="0" w:after="0"/>
        <w:ind w:left="1080" w:right="0" w:hanging="0"/>
        <w:jc w:val="both"/>
        <w:rPr/>
      </w:pPr>
      <w:r>
        <w:rPr/>
        <w:t xml:space="preserve">  </w:t>
      </w:r>
    </w:p>
    <w:p>
      <w:pPr>
        <w:pStyle w:val="TextBody"/>
        <w:bidi w:val="0"/>
        <w:spacing w:before="0" w:after="0"/>
        <w:ind w:left="0" w:right="0" w:hanging="360"/>
        <w:jc w:val="left"/>
        <w:rPr>
          <w:rFonts w:ascii="Times New Roman" w:hAnsi="Times New Roman"/>
          <w:sz w:val="20"/>
        </w:rPr>
      </w:pPr>
      <w:r>
        <w:rPr>
          <w:rFonts w:ascii="Times New Roman" w:hAnsi="Times New Roman"/>
          <w:sz w:val="20"/>
        </w:rPr>
        <w:t xml:space="preserve">refusal to approve pending applications or supplements to approved applications that we submit; </w:t>
      </w:r>
      <w:r>
        <mc:AlternateContent>
          <mc:Choice Requires="wps">
            <w:drawing>
              <wp:anchor behindDoc="0" distT="0" distB="0" distL="0" distR="0" simplePos="0" locked="0" layoutInCell="1" allowOverlap="1" relativeHeight="141">
                <wp:simplePos x="0" y="0"/>
                <wp:positionH relativeFrom="column">
                  <wp:align>left</wp:align>
                </wp:positionH>
                <wp:positionV relativeFrom="line">
                  <wp:posOffset>635</wp:posOffset>
                </wp:positionV>
                <wp:extent cx="228600" cy="175260"/>
                <wp:effectExtent l="0" t="0" r="0" b="0"/>
                <wp:wrapSquare wrapText="right"/>
                <wp:docPr id="140" name="Frame140"/>
                <a:graphic xmlns:a="http://schemas.openxmlformats.org/drawingml/2006/main">
                  <a:graphicData uri="http://schemas.microsoft.com/office/word/2010/wordprocessingShape">
                    <wps:wsp>
                      <wps:cNvSpPr txBox="1"/>
                      <wps:spPr>
                        <a:xfrm>
                          <a:off x="0" y="0"/>
                          <a:ext cx="228600" cy="175260"/>
                        </a:xfrm>
                        <a:prstGeom prst="rect"/>
                        <a:solidFill>
                          <a:srgbClr val="FFFFFF"/>
                        </a:solidFill>
                      </wps:spPr>
                      <wps:txbx>
                        <w:txbxContent>
                          <w:p>
                            <w:pPr>
                              <w:pStyle w:val="TextBody"/>
                              <w:bidi w:val="0"/>
                              <w:spacing w:before="0" w:after="283"/>
                              <w:jc w:val="left"/>
                              <w:rPr/>
                            </w:pPr>
                            <w:r>
                              <w:rPr/>
                              <w:t xml:space="preserve">● </w:t>
                            </w:r>
                          </w:p>
                        </w:txbxContent>
                      </wps:txbx>
                      <wps:bodyPr anchor="t" lIns="0" tIns="0" rIns="0" bIns="0">
                        <a:noAutofit/>
                      </wps:bodyPr>
                    </wps:wsp>
                  </a:graphicData>
                </a:graphic>
              </wp:anchor>
            </w:drawing>
          </mc:Choice>
          <mc:Fallback>
            <w:pict>
              <v:rect style="position:absolute;rotation:-0;width: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 xml:space="preserve">● </w:t>
                      </w:r>
                    </w:p>
                  </w:txbxContent>
                </v:textbox>
                <w10:wrap type="square" side="right"/>
              </v:rect>
            </w:pict>
          </mc:Fallback>
        </mc:AlternateContent>
      </w:r>
    </w:p>
    <w:p>
      <w:pPr>
        <w:pStyle w:val="TextBody"/>
        <w:bidi w:val="0"/>
        <w:spacing w:before="0" w:after="0"/>
        <w:ind w:left="1080" w:right="0" w:hanging="0"/>
        <w:jc w:val="both"/>
        <w:rPr/>
      </w:pPr>
      <w:r>
        <w:rPr/>
        <w:t xml:space="preserve">  </w:t>
      </w:r>
    </w:p>
    <w:p>
      <w:pPr>
        <w:pStyle w:val="TextBody"/>
        <w:bidi w:val="0"/>
        <w:spacing w:before="0" w:after="0"/>
        <w:ind w:left="0" w:right="0" w:hanging="360"/>
        <w:jc w:val="left"/>
        <w:rPr>
          <w:rFonts w:ascii="Times New Roman" w:hAnsi="Times New Roman"/>
          <w:sz w:val="20"/>
        </w:rPr>
      </w:pPr>
      <w:r>
        <w:rPr>
          <w:rFonts w:ascii="Times New Roman" w:hAnsi="Times New Roman"/>
          <w:sz w:val="20"/>
        </w:rPr>
        <w:t xml:space="preserve">recall of products; </w:t>
      </w:r>
      <w:r>
        <mc:AlternateContent>
          <mc:Choice Requires="wps">
            <w:drawing>
              <wp:anchor behindDoc="0" distT="0" distB="0" distL="0" distR="0" simplePos="0" locked="0" layoutInCell="1" allowOverlap="1" relativeHeight="142">
                <wp:simplePos x="0" y="0"/>
                <wp:positionH relativeFrom="column">
                  <wp:align>left</wp:align>
                </wp:positionH>
                <wp:positionV relativeFrom="line">
                  <wp:posOffset>635</wp:posOffset>
                </wp:positionV>
                <wp:extent cx="228600" cy="175260"/>
                <wp:effectExtent l="0" t="0" r="0" b="0"/>
                <wp:wrapSquare wrapText="right"/>
                <wp:docPr id="141" name="Frame141"/>
                <a:graphic xmlns:a="http://schemas.openxmlformats.org/drawingml/2006/main">
                  <a:graphicData uri="http://schemas.microsoft.com/office/word/2010/wordprocessingShape">
                    <wps:wsp>
                      <wps:cNvSpPr txBox="1"/>
                      <wps:spPr>
                        <a:xfrm>
                          <a:off x="0" y="0"/>
                          <a:ext cx="228600" cy="175260"/>
                        </a:xfrm>
                        <a:prstGeom prst="rect"/>
                        <a:solidFill>
                          <a:srgbClr val="FFFFFF"/>
                        </a:solidFill>
                      </wps:spPr>
                      <wps:txbx>
                        <w:txbxContent>
                          <w:p>
                            <w:pPr>
                              <w:pStyle w:val="TextBody"/>
                              <w:bidi w:val="0"/>
                              <w:spacing w:before="0" w:after="283"/>
                              <w:jc w:val="left"/>
                              <w:rPr/>
                            </w:pPr>
                            <w:r>
                              <w:rPr/>
                              <w:t xml:space="preserve">● </w:t>
                            </w:r>
                          </w:p>
                        </w:txbxContent>
                      </wps:txbx>
                      <wps:bodyPr anchor="t" lIns="0" tIns="0" rIns="0" bIns="0">
                        <a:noAutofit/>
                      </wps:bodyPr>
                    </wps:wsp>
                  </a:graphicData>
                </a:graphic>
              </wp:anchor>
            </w:drawing>
          </mc:Choice>
          <mc:Fallback>
            <w:pict>
              <v:rect style="position:absolute;rotation:-0;width: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 xml:space="preserve">● </w:t>
                      </w:r>
                    </w:p>
                  </w:txbxContent>
                </v:textbox>
                <w10:wrap type="square" side="right"/>
              </v:rect>
            </w:pict>
          </mc:Fallback>
        </mc:AlternateContent>
      </w:r>
    </w:p>
    <w:p>
      <w:pPr>
        <w:pStyle w:val="TextBody"/>
        <w:bidi w:val="0"/>
        <w:spacing w:before="0" w:after="0"/>
        <w:ind w:left="1080" w:right="0" w:hanging="0"/>
        <w:jc w:val="both"/>
        <w:rPr/>
      </w:pPr>
      <w:r>
        <w:rPr/>
        <w:t xml:space="preserve">  </w:t>
      </w:r>
    </w:p>
    <w:p>
      <w:pPr>
        <w:pStyle w:val="TextBody"/>
        <w:bidi w:val="0"/>
        <w:spacing w:before="0" w:after="0"/>
        <w:ind w:left="0" w:right="0" w:hanging="360"/>
        <w:jc w:val="left"/>
        <w:rPr>
          <w:rFonts w:ascii="Times New Roman" w:hAnsi="Times New Roman"/>
          <w:sz w:val="20"/>
        </w:rPr>
      </w:pPr>
      <w:r>
        <w:rPr>
          <w:rFonts w:ascii="Times New Roman" w:hAnsi="Times New Roman"/>
          <w:sz w:val="20"/>
        </w:rPr>
        <w:t xml:space="preserve">restrictions on coverage by third-party payers; </w:t>
      </w:r>
      <w:r>
        <mc:AlternateContent>
          <mc:Choice Requires="wps">
            <w:drawing>
              <wp:anchor behindDoc="0" distT="0" distB="0" distL="0" distR="0" simplePos="0" locked="0" layoutInCell="1" allowOverlap="1" relativeHeight="143">
                <wp:simplePos x="0" y="0"/>
                <wp:positionH relativeFrom="column">
                  <wp:align>left</wp:align>
                </wp:positionH>
                <wp:positionV relativeFrom="line">
                  <wp:posOffset>635</wp:posOffset>
                </wp:positionV>
                <wp:extent cx="228600" cy="175260"/>
                <wp:effectExtent l="0" t="0" r="0" b="0"/>
                <wp:wrapSquare wrapText="right"/>
                <wp:docPr id="142" name="Frame142"/>
                <a:graphic xmlns:a="http://schemas.openxmlformats.org/drawingml/2006/main">
                  <a:graphicData uri="http://schemas.microsoft.com/office/word/2010/wordprocessingShape">
                    <wps:wsp>
                      <wps:cNvSpPr txBox="1"/>
                      <wps:spPr>
                        <a:xfrm>
                          <a:off x="0" y="0"/>
                          <a:ext cx="228600" cy="175260"/>
                        </a:xfrm>
                        <a:prstGeom prst="rect"/>
                        <a:solidFill>
                          <a:srgbClr val="FFFFFF"/>
                        </a:solidFill>
                      </wps:spPr>
                      <wps:txbx>
                        <w:txbxContent>
                          <w:p>
                            <w:pPr>
                              <w:pStyle w:val="TextBody"/>
                              <w:bidi w:val="0"/>
                              <w:spacing w:before="0" w:after="283"/>
                              <w:jc w:val="left"/>
                              <w:rPr/>
                            </w:pPr>
                            <w:r>
                              <w:rPr/>
                              <w:t xml:space="preserve">● </w:t>
                            </w:r>
                          </w:p>
                        </w:txbxContent>
                      </wps:txbx>
                      <wps:bodyPr anchor="t" lIns="0" tIns="0" rIns="0" bIns="0">
                        <a:noAutofit/>
                      </wps:bodyPr>
                    </wps:wsp>
                  </a:graphicData>
                </a:graphic>
              </wp:anchor>
            </w:drawing>
          </mc:Choice>
          <mc:Fallback>
            <w:pict>
              <v:rect style="position:absolute;rotation:-0;width: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 xml:space="preserve">● </w:t>
                      </w:r>
                    </w:p>
                  </w:txbxContent>
                </v:textbox>
                <w10:wrap type="square" side="right"/>
              </v:rect>
            </w:pict>
          </mc:Fallback>
        </mc:AlternateContent>
      </w:r>
    </w:p>
    <w:p>
      <w:pPr>
        <w:pStyle w:val="TextBody"/>
        <w:bidi w:val="0"/>
        <w:spacing w:before="0" w:after="0"/>
        <w:ind w:left="1080" w:right="0" w:hanging="0"/>
        <w:jc w:val="both"/>
        <w:rPr/>
      </w:pPr>
      <w:r>
        <w:rPr/>
        <w:t xml:space="preserve">  </w:t>
      </w:r>
    </w:p>
    <w:p>
      <w:pPr>
        <w:pStyle w:val="TextBody"/>
        <w:bidi w:val="0"/>
        <w:spacing w:before="0" w:after="0"/>
        <w:ind w:left="0" w:right="0" w:hanging="360"/>
        <w:jc w:val="left"/>
        <w:rPr>
          <w:rFonts w:ascii="Times New Roman" w:hAnsi="Times New Roman"/>
          <w:sz w:val="20"/>
        </w:rPr>
      </w:pPr>
      <w:r>
        <w:rPr>
          <w:rFonts w:ascii="Times New Roman" w:hAnsi="Times New Roman"/>
          <w:sz w:val="20"/>
        </w:rPr>
        <w:t xml:space="preserve">fines, restitution or disgorgement of profits or revenues; </w:t>
      </w:r>
      <w:r>
        <mc:AlternateContent>
          <mc:Choice Requires="wps">
            <w:drawing>
              <wp:anchor behindDoc="0" distT="0" distB="0" distL="0" distR="0" simplePos="0" locked="0" layoutInCell="1" allowOverlap="1" relativeHeight="144">
                <wp:simplePos x="0" y="0"/>
                <wp:positionH relativeFrom="column">
                  <wp:align>left</wp:align>
                </wp:positionH>
                <wp:positionV relativeFrom="line">
                  <wp:posOffset>635</wp:posOffset>
                </wp:positionV>
                <wp:extent cx="228600" cy="175260"/>
                <wp:effectExtent l="0" t="0" r="0" b="0"/>
                <wp:wrapSquare wrapText="right"/>
                <wp:docPr id="143" name="Frame143"/>
                <a:graphic xmlns:a="http://schemas.openxmlformats.org/drawingml/2006/main">
                  <a:graphicData uri="http://schemas.microsoft.com/office/word/2010/wordprocessingShape">
                    <wps:wsp>
                      <wps:cNvSpPr txBox="1"/>
                      <wps:spPr>
                        <a:xfrm>
                          <a:off x="0" y="0"/>
                          <a:ext cx="228600" cy="175260"/>
                        </a:xfrm>
                        <a:prstGeom prst="rect"/>
                        <a:solidFill>
                          <a:srgbClr val="FFFFFF"/>
                        </a:solidFill>
                      </wps:spPr>
                      <wps:txbx>
                        <w:txbxContent>
                          <w:p>
                            <w:pPr>
                              <w:pStyle w:val="TextBody"/>
                              <w:bidi w:val="0"/>
                              <w:spacing w:before="0" w:after="283"/>
                              <w:jc w:val="left"/>
                              <w:rPr/>
                            </w:pPr>
                            <w:r>
                              <w:rPr/>
                              <w:t xml:space="preserve">● </w:t>
                            </w:r>
                          </w:p>
                        </w:txbxContent>
                      </wps:txbx>
                      <wps:bodyPr anchor="t" lIns="0" tIns="0" rIns="0" bIns="0">
                        <a:noAutofit/>
                      </wps:bodyPr>
                    </wps:wsp>
                  </a:graphicData>
                </a:graphic>
              </wp:anchor>
            </w:drawing>
          </mc:Choice>
          <mc:Fallback>
            <w:pict>
              <v:rect style="position:absolute;rotation:-0;width: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 xml:space="preserve">● </w:t>
                      </w:r>
                    </w:p>
                  </w:txbxContent>
                </v:textbox>
                <w10:wrap type="square" side="right"/>
              </v:rect>
            </w:pict>
          </mc:Fallback>
        </mc:AlternateContent>
      </w:r>
    </w:p>
    <w:p>
      <w:pPr>
        <w:pStyle w:val="TextBody"/>
        <w:bidi w:val="0"/>
        <w:spacing w:before="0" w:after="0"/>
        <w:ind w:left="1080" w:right="0" w:hanging="0"/>
        <w:jc w:val="both"/>
        <w:rPr/>
      </w:pPr>
      <w:r>
        <w:rPr/>
        <w:t xml:space="preserve">  </w:t>
      </w:r>
    </w:p>
    <w:p>
      <w:pPr>
        <w:pStyle w:val="TextBody"/>
        <w:bidi w:val="0"/>
        <w:spacing w:before="0" w:after="0"/>
        <w:ind w:left="0" w:right="0" w:hanging="360"/>
        <w:jc w:val="left"/>
        <w:rPr>
          <w:rFonts w:ascii="Times New Roman" w:hAnsi="Times New Roman"/>
          <w:sz w:val="20"/>
        </w:rPr>
      </w:pPr>
      <w:r>
        <w:rPr>
          <w:rFonts w:ascii="Times New Roman" w:hAnsi="Times New Roman"/>
          <w:sz w:val="20"/>
        </w:rPr>
        <w:t xml:space="preserve">suspension or withdrawal of marketing approvals; </w:t>
      </w:r>
      <w:r>
        <mc:AlternateContent>
          <mc:Choice Requires="wps">
            <w:drawing>
              <wp:anchor behindDoc="0" distT="0" distB="0" distL="0" distR="0" simplePos="0" locked="0" layoutInCell="1" allowOverlap="1" relativeHeight="145">
                <wp:simplePos x="0" y="0"/>
                <wp:positionH relativeFrom="column">
                  <wp:align>left</wp:align>
                </wp:positionH>
                <wp:positionV relativeFrom="line">
                  <wp:posOffset>635</wp:posOffset>
                </wp:positionV>
                <wp:extent cx="228600" cy="175260"/>
                <wp:effectExtent l="0" t="0" r="0" b="0"/>
                <wp:wrapSquare wrapText="right"/>
                <wp:docPr id="144" name="Frame144"/>
                <a:graphic xmlns:a="http://schemas.openxmlformats.org/drawingml/2006/main">
                  <a:graphicData uri="http://schemas.microsoft.com/office/word/2010/wordprocessingShape">
                    <wps:wsp>
                      <wps:cNvSpPr txBox="1"/>
                      <wps:spPr>
                        <a:xfrm>
                          <a:off x="0" y="0"/>
                          <a:ext cx="228600" cy="175260"/>
                        </a:xfrm>
                        <a:prstGeom prst="rect"/>
                        <a:solidFill>
                          <a:srgbClr val="FFFFFF"/>
                        </a:solidFill>
                      </wps:spPr>
                      <wps:txbx>
                        <w:txbxContent>
                          <w:p>
                            <w:pPr>
                              <w:pStyle w:val="TextBody"/>
                              <w:bidi w:val="0"/>
                              <w:spacing w:before="0" w:after="283"/>
                              <w:jc w:val="left"/>
                              <w:rPr/>
                            </w:pPr>
                            <w:r>
                              <w:rPr/>
                              <w:t xml:space="preserve">● </w:t>
                            </w:r>
                          </w:p>
                        </w:txbxContent>
                      </wps:txbx>
                      <wps:bodyPr anchor="t" lIns="0" tIns="0" rIns="0" bIns="0">
                        <a:noAutofit/>
                      </wps:bodyPr>
                    </wps:wsp>
                  </a:graphicData>
                </a:graphic>
              </wp:anchor>
            </w:drawing>
          </mc:Choice>
          <mc:Fallback>
            <w:pict>
              <v:rect style="position:absolute;rotation:-0;width: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 xml:space="preserve">● </w:t>
                      </w:r>
                    </w:p>
                  </w:txbxContent>
                </v:textbox>
                <w10:wrap type="square" side="right"/>
              </v:rect>
            </w:pict>
          </mc:Fallback>
        </mc:AlternateContent>
      </w:r>
    </w:p>
    <w:p>
      <w:pPr>
        <w:pStyle w:val="TextBody"/>
        <w:bidi w:val="0"/>
        <w:spacing w:before="0" w:after="0"/>
        <w:ind w:left="1080" w:right="0" w:hanging="0"/>
        <w:jc w:val="both"/>
        <w:rPr/>
      </w:pPr>
      <w:r>
        <w:rPr/>
        <w:t xml:space="preserve">  </w:t>
      </w:r>
    </w:p>
    <w:p>
      <w:pPr>
        <w:pStyle w:val="TextBody"/>
        <w:bidi w:val="0"/>
        <w:spacing w:before="0" w:after="0"/>
        <w:ind w:left="0" w:right="0" w:hanging="360"/>
        <w:jc w:val="left"/>
        <w:rPr>
          <w:rFonts w:ascii="Times New Roman" w:hAnsi="Times New Roman"/>
          <w:sz w:val="20"/>
        </w:rPr>
      </w:pPr>
      <w:r>
        <w:rPr>
          <w:rFonts w:ascii="Times New Roman" w:hAnsi="Times New Roman"/>
          <w:sz w:val="20"/>
        </w:rPr>
        <w:t xml:space="preserve">refusal to permit the import or export of products; </w:t>
      </w:r>
      <w:r>
        <mc:AlternateContent>
          <mc:Choice Requires="wps">
            <w:drawing>
              <wp:anchor behindDoc="0" distT="0" distB="0" distL="0" distR="0" simplePos="0" locked="0" layoutInCell="1" allowOverlap="1" relativeHeight="146">
                <wp:simplePos x="0" y="0"/>
                <wp:positionH relativeFrom="column">
                  <wp:align>left</wp:align>
                </wp:positionH>
                <wp:positionV relativeFrom="line">
                  <wp:posOffset>635</wp:posOffset>
                </wp:positionV>
                <wp:extent cx="228600" cy="175260"/>
                <wp:effectExtent l="0" t="0" r="0" b="0"/>
                <wp:wrapSquare wrapText="right"/>
                <wp:docPr id="145" name="Frame145"/>
                <a:graphic xmlns:a="http://schemas.openxmlformats.org/drawingml/2006/main">
                  <a:graphicData uri="http://schemas.microsoft.com/office/word/2010/wordprocessingShape">
                    <wps:wsp>
                      <wps:cNvSpPr txBox="1"/>
                      <wps:spPr>
                        <a:xfrm>
                          <a:off x="0" y="0"/>
                          <a:ext cx="228600" cy="175260"/>
                        </a:xfrm>
                        <a:prstGeom prst="rect"/>
                        <a:solidFill>
                          <a:srgbClr val="FFFFFF"/>
                        </a:solidFill>
                      </wps:spPr>
                      <wps:txbx>
                        <w:txbxContent>
                          <w:p>
                            <w:pPr>
                              <w:pStyle w:val="TextBody"/>
                              <w:bidi w:val="0"/>
                              <w:spacing w:before="0" w:after="283"/>
                              <w:jc w:val="left"/>
                              <w:rPr/>
                            </w:pPr>
                            <w:r>
                              <w:rPr/>
                              <w:t xml:space="preserve">● </w:t>
                            </w:r>
                          </w:p>
                        </w:txbxContent>
                      </wps:txbx>
                      <wps:bodyPr anchor="t" lIns="0" tIns="0" rIns="0" bIns="0">
                        <a:noAutofit/>
                      </wps:bodyPr>
                    </wps:wsp>
                  </a:graphicData>
                </a:graphic>
              </wp:anchor>
            </w:drawing>
          </mc:Choice>
          <mc:Fallback>
            <w:pict>
              <v:rect style="position:absolute;rotation:-0;width: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 xml:space="preserve">● </w:t>
                      </w:r>
                    </w:p>
                  </w:txbxContent>
                </v:textbox>
                <w10:wrap type="square" side="right"/>
              </v:rect>
            </w:pict>
          </mc:Fallback>
        </mc:AlternateContent>
      </w:r>
    </w:p>
    <w:p>
      <w:pPr>
        <w:pStyle w:val="TextBody"/>
        <w:bidi w:val="0"/>
        <w:spacing w:before="0" w:after="0"/>
        <w:ind w:left="1080" w:right="0" w:hanging="0"/>
        <w:jc w:val="both"/>
        <w:rPr/>
      </w:pPr>
      <w:r>
        <w:rPr/>
        <w:t xml:space="preserve">  </w:t>
      </w:r>
    </w:p>
    <w:p>
      <w:pPr>
        <w:pStyle w:val="TextBody"/>
        <w:bidi w:val="0"/>
        <w:spacing w:before="0" w:after="0"/>
        <w:ind w:left="0" w:right="0" w:hanging="360"/>
        <w:jc w:val="left"/>
        <w:rPr>
          <w:rFonts w:ascii="Times New Roman" w:hAnsi="Times New Roman"/>
          <w:sz w:val="20"/>
        </w:rPr>
      </w:pPr>
      <w:r>
        <w:rPr>
          <w:rFonts w:ascii="Times New Roman" w:hAnsi="Times New Roman"/>
          <w:sz w:val="20"/>
        </w:rPr>
        <w:t xml:space="preserve">FDA debarment, suspension and debarment from government programs, refusal of orders under existing government contracts, exclusion from participation in federal healthcare programs, consent decrees, deferred or non-prosecution agreements or corporate integrity agreements; </w:t>
      </w:r>
      <w:r>
        <mc:AlternateContent>
          <mc:Choice Requires="wps">
            <w:drawing>
              <wp:anchor behindDoc="0" distT="0" distB="0" distL="0" distR="0" simplePos="0" locked="0" layoutInCell="1" allowOverlap="1" relativeHeight="147">
                <wp:simplePos x="0" y="0"/>
                <wp:positionH relativeFrom="column">
                  <wp:align>left</wp:align>
                </wp:positionH>
                <wp:positionV relativeFrom="line">
                  <wp:posOffset>635</wp:posOffset>
                </wp:positionV>
                <wp:extent cx="228600" cy="175260"/>
                <wp:effectExtent l="0" t="0" r="0" b="0"/>
                <wp:wrapSquare wrapText="right"/>
                <wp:docPr id="146" name="Frame146"/>
                <a:graphic xmlns:a="http://schemas.openxmlformats.org/drawingml/2006/main">
                  <a:graphicData uri="http://schemas.microsoft.com/office/word/2010/wordprocessingShape">
                    <wps:wsp>
                      <wps:cNvSpPr txBox="1"/>
                      <wps:spPr>
                        <a:xfrm>
                          <a:off x="0" y="0"/>
                          <a:ext cx="228600" cy="175260"/>
                        </a:xfrm>
                        <a:prstGeom prst="rect"/>
                        <a:solidFill>
                          <a:srgbClr val="FFFFFF"/>
                        </a:solidFill>
                      </wps:spPr>
                      <wps:txbx>
                        <w:txbxContent>
                          <w:p>
                            <w:pPr>
                              <w:pStyle w:val="TextBody"/>
                              <w:bidi w:val="0"/>
                              <w:spacing w:before="0" w:after="283"/>
                              <w:jc w:val="left"/>
                              <w:rPr/>
                            </w:pPr>
                            <w:r>
                              <w:rPr/>
                              <w:t xml:space="preserve">● </w:t>
                            </w:r>
                          </w:p>
                        </w:txbxContent>
                      </wps:txbx>
                      <wps:bodyPr anchor="t" lIns="0" tIns="0" rIns="0" bIns="0">
                        <a:noAutofit/>
                      </wps:bodyPr>
                    </wps:wsp>
                  </a:graphicData>
                </a:graphic>
              </wp:anchor>
            </w:drawing>
          </mc:Choice>
          <mc:Fallback>
            <w:pict>
              <v:rect style="position:absolute;rotation:-0;width: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 xml:space="preserve">● </w:t>
                      </w:r>
                    </w:p>
                  </w:txbxContent>
                </v:textbox>
                <w10:wrap type="square" side="right"/>
              </v:rect>
            </w:pict>
          </mc:Fallback>
        </mc:AlternateContent>
      </w:r>
    </w:p>
    <w:p>
      <w:pPr>
        <w:pStyle w:val="TextBody"/>
        <w:bidi w:val="0"/>
        <w:spacing w:before="0" w:after="0"/>
        <w:ind w:left="1080" w:right="0" w:hanging="0"/>
        <w:jc w:val="both"/>
        <w:rPr/>
      </w:pPr>
      <w:r>
        <w:rPr/>
        <w:t xml:space="preserve">  </w:t>
      </w:r>
    </w:p>
    <w:p>
      <w:pPr>
        <w:pStyle w:val="TextBody"/>
        <w:bidi w:val="0"/>
        <w:spacing w:before="0" w:after="0"/>
        <w:ind w:left="0" w:right="0" w:hanging="360"/>
        <w:jc w:val="left"/>
        <w:rPr>
          <w:rFonts w:ascii="Times New Roman" w:hAnsi="Times New Roman"/>
          <w:sz w:val="20"/>
        </w:rPr>
      </w:pPr>
      <w:r>
        <w:rPr>
          <w:rFonts w:ascii="Times New Roman" w:hAnsi="Times New Roman"/>
          <w:sz w:val="20"/>
        </w:rPr>
        <w:t xml:space="preserve">product seizure or detention; or </w:t>
      </w:r>
      <w:r>
        <mc:AlternateContent>
          <mc:Choice Requires="wps">
            <w:drawing>
              <wp:anchor behindDoc="0" distT="0" distB="0" distL="0" distR="0" simplePos="0" locked="0" layoutInCell="1" allowOverlap="1" relativeHeight="148">
                <wp:simplePos x="0" y="0"/>
                <wp:positionH relativeFrom="column">
                  <wp:align>left</wp:align>
                </wp:positionH>
                <wp:positionV relativeFrom="line">
                  <wp:posOffset>635</wp:posOffset>
                </wp:positionV>
                <wp:extent cx="228600" cy="175260"/>
                <wp:effectExtent l="0" t="0" r="0" b="0"/>
                <wp:wrapSquare wrapText="right"/>
                <wp:docPr id="147" name="Frame147"/>
                <a:graphic xmlns:a="http://schemas.openxmlformats.org/drawingml/2006/main">
                  <a:graphicData uri="http://schemas.microsoft.com/office/word/2010/wordprocessingShape">
                    <wps:wsp>
                      <wps:cNvSpPr txBox="1"/>
                      <wps:spPr>
                        <a:xfrm>
                          <a:off x="0" y="0"/>
                          <a:ext cx="228600" cy="175260"/>
                        </a:xfrm>
                        <a:prstGeom prst="rect"/>
                        <a:solidFill>
                          <a:srgbClr val="FFFFFF"/>
                        </a:solidFill>
                      </wps:spPr>
                      <wps:txbx>
                        <w:txbxContent>
                          <w:p>
                            <w:pPr>
                              <w:pStyle w:val="TextBody"/>
                              <w:bidi w:val="0"/>
                              <w:spacing w:before="0" w:after="283"/>
                              <w:jc w:val="left"/>
                              <w:rPr/>
                            </w:pPr>
                            <w:r>
                              <w:rPr/>
                              <w:t xml:space="preserve">● </w:t>
                            </w:r>
                          </w:p>
                        </w:txbxContent>
                      </wps:txbx>
                      <wps:bodyPr anchor="t" lIns="0" tIns="0" rIns="0" bIns="0">
                        <a:noAutofit/>
                      </wps:bodyPr>
                    </wps:wsp>
                  </a:graphicData>
                </a:graphic>
              </wp:anchor>
            </w:drawing>
          </mc:Choice>
          <mc:Fallback>
            <w:pict>
              <v:rect style="position:absolute;rotation:-0;width: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 xml:space="preserve">● </w:t>
                      </w:r>
                    </w:p>
                  </w:txbxContent>
                </v:textbox>
                <w10:wrap type="square" side="right"/>
              </v:rect>
            </w:pict>
          </mc:Fallback>
        </mc:AlternateContent>
      </w:r>
    </w:p>
    <w:p>
      <w:pPr>
        <w:pStyle w:val="TextBody"/>
        <w:bidi w:val="0"/>
        <w:spacing w:before="0" w:after="0"/>
        <w:ind w:left="1080" w:right="0" w:hanging="0"/>
        <w:jc w:val="both"/>
        <w:rPr/>
      </w:pPr>
      <w:r>
        <w:rPr/>
        <w:t xml:space="preserve">  </w:t>
      </w:r>
    </w:p>
    <w:p>
      <w:pPr>
        <w:pStyle w:val="TextBody"/>
        <w:bidi w:val="0"/>
        <w:spacing w:before="0" w:after="0"/>
        <w:ind w:left="0" w:right="0" w:hanging="360"/>
        <w:jc w:val="left"/>
        <w:rPr>
          <w:rFonts w:ascii="Times New Roman" w:hAnsi="Times New Roman"/>
          <w:sz w:val="20"/>
        </w:rPr>
      </w:pPr>
      <w:r>
        <w:rPr>
          <w:rFonts w:ascii="Times New Roman" w:hAnsi="Times New Roman"/>
          <w:sz w:val="20"/>
        </w:rPr>
        <w:t xml:space="preserve">injunctions or the imposition of civil penalties or criminal fines. </w:t>
      </w:r>
      <w:r>
        <mc:AlternateContent>
          <mc:Choice Requires="wps">
            <w:drawing>
              <wp:anchor behindDoc="0" distT="0" distB="0" distL="0" distR="0" simplePos="0" locked="0" layoutInCell="1" allowOverlap="1" relativeHeight="149">
                <wp:simplePos x="0" y="0"/>
                <wp:positionH relativeFrom="column">
                  <wp:align>left</wp:align>
                </wp:positionH>
                <wp:positionV relativeFrom="line">
                  <wp:posOffset>635</wp:posOffset>
                </wp:positionV>
                <wp:extent cx="228600" cy="175260"/>
                <wp:effectExtent l="0" t="0" r="0" b="0"/>
                <wp:wrapSquare wrapText="right"/>
                <wp:docPr id="148" name="Frame148"/>
                <a:graphic xmlns:a="http://schemas.openxmlformats.org/drawingml/2006/main">
                  <a:graphicData uri="http://schemas.microsoft.com/office/word/2010/wordprocessingShape">
                    <wps:wsp>
                      <wps:cNvSpPr txBox="1"/>
                      <wps:spPr>
                        <a:xfrm>
                          <a:off x="0" y="0"/>
                          <a:ext cx="228600" cy="175260"/>
                        </a:xfrm>
                        <a:prstGeom prst="rect"/>
                        <a:solidFill>
                          <a:srgbClr val="FFFFFF"/>
                        </a:solidFill>
                      </wps:spPr>
                      <wps:txbx>
                        <w:txbxContent>
                          <w:p>
                            <w:pPr>
                              <w:pStyle w:val="TextBody"/>
                              <w:bidi w:val="0"/>
                              <w:spacing w:before="0" w:after="283"/>
                              <w:jc w:val="left"/>
                              <w:rPr/>
                            </w:pPr>
                            <w:r>
                              <w:rPr/>
                              <w:t xml:space="preserve">● </w:t>
                            </w:r>
                          </w:p>
                        </w:txbxContent>
                      </wps:txbx>
                      <wps:bodyPr anchor="t" lIns="0" tIns="0" rIns="0" bIns="0">
                        <a:noAutofit/>
                      </wps:bodyPr>
                    </wps:wsp>
                  </a:graphicData>
                </a:graphic>
              </wp:anchor>
            </w:drawing>
          </mc:Choice>
          <mc:Fallback>
            <w:pict>
              <v:rect style="position:absolute;rotation:-0;width: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 xml:space="preserve">● </w:t>
                      </w:r>
                    </w:p>
                  </w:txbxContent>
                </v:textbox>
                <w10:wrap type="square" side="right"/>
              </v:rect>
            </w:pict>
          </mc:Fallback>
        </mc:AlternateContent>
      </w:r>
    </w:p>
    <w:p>
      <w:pPr>
        <w:pStyle w:val="TextBody"/>
        <w:bidi w:val="0"/>
        <w:spacing w:before="0" w:after="0"/>
        <w:ind w:left="720" w:right="0" w:hanging="0"/>
        <w:jc w:val="left"/>
        <w:rPr/>
      </w:pPr>
      <w:r>
        <w:rPr/>
        <w:t xml:space="preserve">  </w:t>
      </w:r>
    </w:p>
    <w:p>
      <w:pPr>
        <w:pStyle w:val="TextBody"/>
        <w:bidi w:val="0"/>
        <w:spacing w:before="0" w:after="0"/>
        <w:jc w:val="both"/>
        <w:rPr>
          <w:rFonts w:ascii="Times New Roman" w:hAnsi="Times New Roman"/>
          <w:sz w:val="20"/>
        </w:rPr>
      </w:pPr>
      <w:r>
        <w:rPr>
          <w:rFonts w:ascii="Times New Roman" w:hAnsi="Times New Roman"/>
          <w:b/>
          <w:i/>
          <w:sz w:val="20"/>
        </w:rPr>
        <w:t>Historically, a few customers have accounted for a significant amount of our total revenue and accounts receivable and the loss of any of these customers could have a material adverse effect on our business, results of operations and financial condition.</w:t>
      </w:r>
      <w:r>
        <w:rPr>
          <w:rFonts w:ascii="Times New Roman" w:hAnsi="Times New Roman"/>
          <w:sz w:val="20"/>
        </w:rPr>
        <w:t xml:space="preserve"> </w:t>
      </w:r>
    </w:p>
    <w:p>
      <w:pPr>
        <w:pStyle w:val="TextBody"/>
        <w:bidi w:val="0"/>
        <w:spacing w:before="0" w:after="0"/>
        <w:jc w:val="left"/>
        <w:rPr/>
      </w:pPr>
      <w:r>
        <w:rPr/>
        <w:t xml:space="preserve">  </w:t>
      </w:r>
    </w:p>
    <w:p>
      <w:pPr>
        <w:pStyle w:val="TextBody"/>
        <w:bidi w:val="0"/>
        <w:spacing w:before="0" w:after="0"/>
        <w:ind w:left="0" w:right="0" w:firstLine="720"/>
        <w:jc w:val="both"/>
        <w:rPr>
          <w:rFonts w:ascii="Times New Roman" w:hAnsi="Times New Roman"/>
          <w:sz w:val="20"/>
        </w:rPr>
      </w:pPr>
      <w:r>
        <w:rPr>
          <w:rFonts w:ascii="Times New Roman" w:hAnsi="Times New Roman"/>
          <w:sz w:val="20"/>
        </w:rPr>
        <w:t xml:space="preserve">For the three months ended March 31, 2026 and 2025, two customers, BioCare, Inc. (“BioCare”) and Priority Healthcare Distribution, Inc. d/b/a CuraScript SD Specialty Distribution (“Curascript”), represented an aggregate of approximately 71% and 64%, respectively, of our consolidated revenues. </w:t>
      </w:r>
    </w:p>
    <w:p>
      <w:pPr>
        <w:pStyle w:val="TextBody"/>
        <w:bidi w:val="0"/>
        <w:spacing w:before="0" w:after="0"/>
        <w:jc w:val="left"/>
        <w:rPr/>
      </w:pPr>
      <w:r>
        <w:rPr/>
        <w:t> </w:t>
      </w:r>
    </w:p>
    <w:p>
      <w:pPr>
        <w:pStyle w:val="TextBody"/>
        <w:bidi w:val="0"/>
        <w:spacing w:before="0" w:after="0"/>
        <w:ind w:left="0" w:right="0" w:firstLine="720"/>
        <w:jc w:val="both"/>
        <w:rPr>
          <w:rFonts w:ascii="Times New Roman" w:hAnsi="Times New Roman"/>
          <w:sz w:val="20"/>
        </w:rPr>
      </w:pPr>
      <w:r>
        <w:rPr>
          <w:rFonts w:ascii="Times New Roman" w:hAnsi="Times New Roman"/>
          <w:sz w:val="20"/>
        </w:rPr>
        <w:t>As of March 31, 2026, two customers, BioCare and Curascript, represented an aggregate of approximately 82% of our consolidated accounts receivable. As of December 31, 2025, two customers, BioCare and CuraScript, represented an aggregate of approximately 87% of our consolidated accounts receivable.</w:t>
      </w:r>
    </w:p>
    <w:p>
      <w:pPr>
        <w:pStyle w:val="TextBody"/>
        <w:bidi w:val="0"/>
        <w:spacing w:before="0" w:after="0"/>
        <w:jc w:val="left"/>
        <w:rPr/>
      </w:pPr>
      <w:r>
        <w:rPr/>
        <w:t xml:space="preserve">  </w:t>
      </w:r>
    </w:p>
    <w:p>
      <w:pPr>
        <w:pStyle w:val="TextBody"/>
        <w:bidi w:val="0"/>
        <w:spacing w:before="0" w:after="0"/>
        <w:ind w:left="0" w:right="0" w:firstLine="720"/>
        <w:jc w:val="both"/>
        <w:rPr>
          <w:rFonts w:ascii="Times New Roman" w:hAnsi="Times New Roman"/>
          <w:sz w:val="20"/>
        </w:rPr>
      </w:pPr>
      <w:r>
        <w:rPr>
          <w:rFonts w:ascii="Times New Roman" w:hAnsi="Times New Roman"/>
          <w:sz w:val="20"/>
        </w:rPr>
        <w:t xml:space="preserve">The loss of any key customers or a material change in the revenue generated by any of these customers, could have a material adverse effect on our business, results of operations and financial condition. Moreover, we anticipate deriving increased revenue from some of these customers over the next few years. Factors that could influence our relationships with our customers include, among other things: </w:t>
      </w:r>
    </w:p>
    <w:p>
      <w:pPr>
        <w:pStyle w:val="TextBody"/>
        <w:bidi w:val="0"/>
        <w:spacing w:before="150" w:after="15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t>42</w:t>
      </w:r>
    </w:p>
    <w:p>
      <w:pPr>
        <w:pStyle w:val="HorizontalLine"/>
        <w:bidi w:val="0"/>
        <w:spacing w:before="150" w:after="150"/>
        <w:jc w:val="left"/>
        <w:rPr/>
      </w:pPr>
      <w:r>
        <w:rPr/>
      </w:r>
    </w:p>
    <w:p>
      <w:pPr>
        <w:pStyle w:val="TextBody"/>
        <w:bidi w:val="0"/>
        <w:spacing w:before="150" w:after="150"/>
        <w:jc w:val="left"/>
        <w:rPr/>
      </w:pPr>
      <w:hyperlink w:anchor="index">
        <w:r>
          <w:rPr>
            <w:rStyle w:val="InternetLink"/>
            <w:rFonts w:ascii="TimesNewRoman;Times New Roman;Times;Baskerville;Georgia;serif" w:hAnsi="TimesNewRoman;Times New Roman;Times;Baskerville;Georgia;serif"/>
            <w:b w:val="false"/>
            <w:i/>
            <w:caps w:val="false"/>
            <w:smallCaps w:val="false"/>
            <w:strike w:val="false"/>
            <w:dstrike w:val="false"/>
            <w:sz w:val="16"/>
            <w:u w:val="none"/>
            <w:effect w:val="none"/>
          </w:rPr>
          <w:t>Index</w:t>
        </w:r>
      </w:hyperlink>
    </w:p>
    <w:p>
      <w:pPr>
        <w:pStyle w:val="TextBody"/>
        <w:bidi w:val="0"/>
        <w:spacing w:before="0" w:after="0"/>
        <w:ind w:left="0" w:right="0" w:hanging="360"/>
        <w:jc w:val="left"/>
        <w:rPr>
          <w:rFonts w:ascii="Times New Roman" w:hAnsi="Times New Roman"/>
          <w:sz w:val="20"/>
        </w:rPr>
      </w:pPr>
      <w:r>
        <w:rPr>
          <w:rFonts w:ascii="Times New Roman" w:hAnsi="Times New Roman"/>
          <w:sz w:val="20"/>
        </w:rPr>
        <w:t xml:space="preserve">our ability to sell our products at competitive prices; </w:t>
      </w:r>
      <w:r>
        <mc:AlternateContent>
          <mc:Choice Requires="wps">
            <w:drawing>
              <wp:anchor behindDoc="0" distT="0" distB="0" distL="0" distR="0" simplePos="0" locked="0" layoutInCell="1" allowOverlap="1" relativeHeight="150">
                <wp:simplePos x="0" y="0"/>
                <wp:positionH relativeFrom="column">
                  <wp:align>left</wp:align>
                </wp:positionH>
                <wp:positionV relativeFrom="line">
                  <wp:posOffset>635</wp:posOffset>
                </wp:positionV>
                <wp:extent cx="228600" cy="175260"/>
                <wp:effectExtent l="0" t="0" r="0" b="0"/>
                <wp:wrapSquare wrapText="right"/>
                <wp:docPr id="149" name="Frame149"/>
                <a:graphic xmlns:a="http://schemas.openxmlformats.org/drawingml/2006/main">
                  <a:graphicData uri="http://schemas.microsoft.com/office/word/2010/wordprocessingShape">
                    <wps:wsp>
                      <wps:cNvSpPr txBox="1"/>
                      <wps:spPr>
                        <a:xfrm>
                          <a:off x="0" y="0"/>
                          <a:ext cx="228600" cy="175260"/>
                        </a:xfrm>
                        <a:prstGeom prst="rect"/>
                        <a:solidFill>
                          <a:srgbClr val="FFFFFF"/>
                        </a:solidFill>
                      </wps:spPr>
                      <wps:txbx>
                        <w:txbxContent>
                          <w:p>
                            <w:pPr>
                              <w:pStyle w:val="TextBody"/>
                              <w:bidi w:val="0"/>
                              <w:spacing w:before="0" w:after="283"/>
                              <w:jc w:val="left"/>
                              <w:rPr/>
                            </w:pPr>
                            <w:r>
                              <w:rPr/>
                              <w:t xml:space="preserve">● </w:t>
                            </w:r>
                          </w:p>
                        </w:txbxContent>
                      </wps:txbx>
                      <wps:bodyPr anchor="t" lIns="0" tIns="0" rIns="0" bIns="0">
                        <a:noAutofit/>
                      </wps:bodyPr>
                    </wps:wsp>
                  </a:graphicData>
                </a:graphic>
              </wp:anchor>
            </w:drawing>
          </mc:Choice>
          <mc:Fallback>
            <w:pict>
              <v:rect style="position:absolute;rotation:-0;width: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 xml:space="preserve">● </w:t>
                      </w:r>
                    </w:p>
                  </w:txbxContent>
                </v:textbox>
                <w10:wrap type="square" side="right"/>
              </v:rect>
            </w:pict>
          </mc:Fallback>
        </mc:AlternateContent>
      </w:r>
    </w:p>
    <w:p>
      <w:pPr>
        <w:pStyle w:val="TextBody"/>
        <w:bidi w:val="0"/>
        <w:spacing w:before="0" w:after="0"/>
        <w:ind w:left="1080" w:right="0" w:hanging="0"/>
        <w:jc w:val="both"/>
        <w:rPr/>
      </w:pPr>
      <w:r>
        <w:rPr/>
        <w:t xml:space="preserve">  </w:t>
      </w:r>
    </w:p>
    <w:p>
      <w:pPr>
        <w:pStyle w:val="TextBody"/>
        <w:bidi w:val="0"/>
        <w:spacing w:before="0" w:after="0"/>
        <w:ind w:left="0" w:right="0" w:hanging="360"/>
        <w:jc w:val="left"/>
        <w:rPr>
          <w:rFonts w:ascii="Times New Roman" w:hAnsi="Times New Roman"/>
          <w:sz w:val="20"/>
        </w:rPr>
      </w:pPr>
      <w:r>
        <w:rPr>
          <w:rFonts w:ascii="Times New Roman" w:hAnsi="Times New Roman"/>
          <w:sz w:val="20"/>
        </w:rPr>
        <w:t xml:space="preserve">our ability to maintain features and quality standards for our products sufficient to meet the expectations of our customers; </w:t>
      </w:r>
      <w:r>
        <mc:AlternateContent>
          <mc:Choice Requires="wps">
            <w:drawing>
              <wp:anchor behindDoc="0" distT="0" distB="0" distL="0" distR="0" simplePos="0" locked="0" layoutInCell="1" allowOverlap="1" relativeHeight="151">
                <wp:simplePos x="0" y="0"/>
                <wp:positionH relativeFrom="column">
                  <wp:align>left</wp:align>
                </wp:positionH>
                <wp:positionV relativeFrom="line">
                  <wp:posOffset>635</wp:posOffset>
                </wp:positionV>
                <wp:extent cx="228600" cy="175260"/>
                <wp:effectExtent l="0" t="0" r="0" b="0"/>
                <wp:wrapSquare wrapText="right"/>
                <wp:docPr id="150" name="Frame150"/>
                <a:graphic xmlns:a="http://schemas.openxmlformats.org/drawingml/2006/main">
                  <a:graphicData uri="http://schemas.microsoft.com/office/word/2010/wordprocessingShape">
                    <wps:wsp>
                      <wps:cNvSpPr txBox="1"/>
                      <wps:spPr>
                        <a:xfrm>
                          <a:off x="0" y="0"/>
                          <a:ext cx="228600" cy="175260"/>
                        </a:xfrm>
                        <a:prstGeom prst="rect"/>
                        <a:solidFill>
                          <a:srgbClr val="FFFFFF"/>
                        </a:solidFill>
                      </wps:spPr>
                      <wps:txbx>
                        <w:txbxContent>
                          <w:p>
                            <w:pPr>
                              <w:pStyle w:val="TextBody"/>
                              <w:bidi w:val="0"/>
                              <w:spacing w:before="0" w:after="283"/>
                              <w:jc w:val="left"/>
                              <w:rPr/>
                            </w:pPr>
                            <w:r>
                              <w:rPr/>
                              <w:t xml:space="preserve">● </w:t>
                            </w:r>
                          </w:p>
                        </w:txbxContent>
                      </wps:txbx>
                      <wps:bodyPr anchor="t" lIns="0" tIns="0" rIns="0" bIns="0">
                        <a:noAutofit/>
                      </wps:bodyPr>
                    </wps:wsp>
                  </a:graphicData>
                </a:graphic>
              </wp:anchor>
            </w:drawing>
          </mc:Choice>
          <mc:Fallback>
            <w:pict>
              <v:rect style="position:absolute;rotation:-0;width: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 xml:space="preserve">● </w:t>
                      </w:r>
                    </w:p>
                  </w:txbxContent>
                </v:textbox>
                <w10:wrap type="square" side="right"/>
              </v:rect>
            </w:pict>
          </mc:Fallback>
        </mc:AlternateContent>
      </w:r>
    </w:p>
    <w:p>
      <w:pPr>
        <w:pStyle w:val="TextBody"/>
        <w:bidi w:val="0"/>
        <w:spacing w:before="0" w:after="0"/>
        <w:ind w:left="1080" w:right="0" w:hanging="0"/>
        <w:jc w:val="both"/>
        <w:rPr/>
      </w:pPr>
      <w:r>
        <w:rPr/>
        <w:t xml:space="preserve">  </w:t>
      </w:r>
    </w:p>
    <w:p>
      <w:pPr>
        <w:pStyle w:val="TextBody"/>
        <w:bidi w:val="0"/>
        <w:spacing w:before="0" w:after="0"/>
        <w:ind w:left="0" w:right="0" w:hanging="360"/>
        <w:jc w:val="left"/>
        <w:rPr>
          <w:rFonts w:ascii="Times New Roman" w:hAnsi="Times New Roman"/>
          <w:sz w:val="20"/>
        </w:rPr>
      </w:pPr>
      <w:r>
        <w:rPr>
          <w:rFonts w:ascii="Times New Roman" w:hAnsi="Times New Roman"/>
          <w:sz w:val="20"/>
        </w:rPr>
        <w:t xml:space="preserve">our ability to produce and deliver a sufficient quantity of our products in a timely manner to meet our customers’ requirements; </w:t>
      </w:r>
      <w:r>
        <mc:AlternateContent>
          <mc:Choice Requires="wps">
            <w:drawing>
              <wp:anchor behindDoc="0" distT="0" distB="0" distL="0" distR="0" simplePos="0" locked="0" layoutInCell="1" allowOverlap="1" relativeHeight="152">
                <wp:simplePos x="0" y="0"/>
                <wp:positionH relativeFrom="column">
                  <wp:align>left</wp:align>
                </wp:positionH>
                <wp:positionV relativeFrom="line">
                  <wp:posOffset>635</wp:posOffset>
                </wp:positionV>
                <wp:extent cx="228600" cy="175260"/>
                <wp:effectExtent l="0" t="0" r="0" b="0"/>
                <wp:wrapSquare wrapText="right"/>
                <wp:docPr id="151" name="Frame151"/>
                <a:graphic xmlns:a="http://schemas.openxmlformats.org/drawingml/2006/main">
                  <a:graphicData uri="http://schemas.microsoft.com/office/word/2010/wordprocessingShape">
                    <wps:wsp>
                      <wps:cNvSpPr txBox="1"/>
                      <wps:spPr>
                        <a:xfrm>
                          <a:off x="0" y="0"/>
                          <a:ext cx="228600" cy="175260"/>
                        </a:xfrm>
                        <a:prstGeom prst="rect"/>
                        <a:solidFill>
                          <a:srgbClr val="FFFFFF"/>
                        </a:solidFill>
                      </wps:spPr>
                      <wps:txbx>
                        <w:txbxContent>
                          <w:p>
                            <w:pPr>
                              <w:pStyle w:val="TextBody"/>
                              <w:bidi w:val="0"/>
                              <w:spacing w:before="0" w:after="283"/>
                              <w:jc w:val="left"/>
                              <w:rPr/>
                            </w:pPr>
                            <w:r>
                              <w:rPr/>
                              <w:t xml:space="preserve">● </w:t>
                            </w:r>
                          </w:p>
                        </w:txbxContent>
                      </wps:txbx>
                      <wps:bodyPr anchor="t" lIns="0" tIns="0" rIns="0" bIns="0">
                        <a:noAutofit/>
                      </wps:bodyPr>
                    </wps:wsp>
                  </a:graphicData>
                </a:graphic>
              </wp:anchor>
            </w:drawing>
          </mc:Choice>
          <mc:Fallback>
            <w:pict>
              <v:rect style="position:absolute;rotation:-0;width: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 xml:space="preserve">● </w:t>
                      </w:r>
                    </w:p>
                  </w:txbxContent>
                </v:textbox>
                <w10:wrap type="square" side="right"/>
              </v:rect>
            </w:pict>
          </mc:Fallback>
        </mc:AlternateContent>
      </w:r>
    </w:p>
    <w:p>
      <w:pPr>
        <w:pStyle w:val="TextBody"/>
        <w:bidi w:val="0"/>
        <w:spacing w:before="0" w:after="0"/>
        <w:ind w:left="1080" w:right="0" w:hanging="0"/>
        <w:jc w:val="both"/>
        <w:rPr/>
      </w:pPr>
      <w:r>
        <w:rPr/>
        <w:t xml:space="preserve">  </w:t>
      </w:r>
    </w:p>
    <w:p>
      <w:pPr>
        <w:pStyle w:val="TextBody"/>
        <w:bidi w:val="0"/>
        <w:spacing w:before="0" w:after="0"/>
        <w:ind w:left="0" w:right="0" w:hanging="360"/>
        <w:jc w:val="left"/>
        <w:rPr>
          <w:rFonts w:ascii="Times New Roman" w:hAnsi="Times New Roman"/>
          <w:sz w:val="20"/>
        </w:rPr>
      </w:pPr>
      <w:r>
        <w:rPr>
          <w:rFonts w:ascii="Times New Roman" w:hAnsi="Times New Roman"/>
          <w:sz w:val="20"/>
        </w:rPr>
        <w:t xml:space="preserve">the impact of a pandemic, or the resurgence of a pandemic, and government responses thereto on our customers and their businesses, operations and financial condition; </w:t>
      </w:r>
      <w:r>
        <mc:AlternateContent>
          <mc:Choice Requires="wps">
            <w:drawing>
              <wp:anchor behindDoc="0" distT="0" distB="0" distL="0" distR="0" simplePos="0" locked="0" layoutInCell="1" allowOverlap="1" relativeHeight="153">
                <wp:simplePos x="0" y="0"/>
                <wp:positionH relativeFrom="column">
                  <wp:align>left</wp:align>
                </wp:positionH>
                <wp:positionV relativeFrom="line">
                  <wp:posOffset>635</wp:posOffset>
                </wp:positionV>
                <wp:extent cx="228600" cy="175260"/>
                <wp:effectExtent l="0" t="0" r="0" b="0"/>
                <wp:wrapSquare wrapText="right"/>
                <wp:docPr id="152" name="Frame152"/>
                <a:graphic xmlns:a="http://schemas.openxmlformats.org/drawingml/2006/main">
                  <a:graphicData uri="http://schemas.microsoft.com/office/word/2010/wordprocessingShape">
                    <wps:wsp>
                      <wps:cNvSpPr txBox="1"/>
                      <wps:spPr>
                        <a:xfrm>
                          <a:off x="0" y="0"/>
                          <a:ext cx="228600" cy="175260"/>
                        </a:xfrm>
                        <a:prstGeom prst="rect"/>
                        <a:solidFill>
                          <a:srgbClr val="FFFFFF"/>
                        </a:solidFill>
                      </wps:spPr>
                      <wps:txbx>
                        <w:txbxContent>
                          <w:p>
                            <w:pPr>
                              <w:pStyle w:val="TextBody"/>
                              <w:bidi w:val="0"/>
                              <w:spacing w:before="0" w:after="283"/>
                              <w:jc w:val="left"/>
                              <w:rPr/>
                            </w:pPr>
                            <w:r>
                              <w:rPr/>
                              <w:t xml:space="preserve">● </w:t>
                            </w:r>
                          </w:p>
                        </w:txbxContent>
                      </wps:txbx>
                      <wps:bodyPr anchor="t" lIns="0" tIns="0" rIns="0" bIns="0">
                        <a:noAutofit/>
                      </wps:bodyPr>
                    </wps:wsp>
                  </a:graphicData>
                </a:graphic>
              </wp:anchor>
            </w:drawing>
          </mc:Choice>
          <mc:Fallback>
            <w:pict>
              <v:rect style="position:absolute;rotation:-0;width: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 xml:space="preserve">● </w:t>
                      </w:r>
                    </w:p>
                  </w:txbxContent>
                </v:textbox>
                <w10:wrap type="square" side="right"/>
              </v:rect>
            </w:pict>
          </mc:Fallback>
        </mc:AlternateContent>
      </w:r>
    </w:p>
    <w:p>
      <w:pPr>
        <w:pStyle w:val="TextBody"/>
        <w:bidi w:val="0"/>
        <w:spacing w:before="0" w:after="0"/>
        <w:ind w:left="1080" w:right="0" w:hanging="0"/>
        <w:jc w:val="both"/>
        <w:rPr/>
      </w:pPr>
      <w:r>
        <w:rPr/>
        <w:t xml:space="preserve">  </w:t>
      </w:r>
    </w:p>
    <w:p>
      <w:pPr>
        <w:pStyle w:val="TextBody"/>
        <w:bidi w:val="0"/>
        <w:spacing w:before="0" w:after="0"/>
        <w:ind w:left="0" w:right="0" w:hanging="360"/>
        <w:jc w:val="left"/>
        <w:rPr>
          <w:rFonts w:ascii="Times New Roman" w:hAnsi="Times New Roman"/>
          <w:sz w:val="20"/>
        </w:rPr>
      </w:pPr>
      <w:r>
        <w:rPr>
          <w:rFonts w:ascii="Times New Roman" w:hAnsi="Times New Roman"/>
          <w:sz w:val="20"/>
        </w:rPr>
        <w:t xml:space="preserve">the impact of a cyberattack or data breach on our customers or related entities; </w:t>
      </w:r>
      <w:r>
        <mc:AlternateContent>
          <mc:Choice Requires="wps">
            <w:drawing>
              <wp:anchor behindDoc="0" distT="0" distB="0" distL="0" distR="0" simplePos="0" locked="0" layoutInCell="1" allowOverlap="1" relativeHeight="154">
                <wp:simplePos x="0" y="0"/>
                <wp:positionH relativeFrom="column">
                  <wp:align>left</wp:align>
                </wp:positionH>
                <wp:positionV relativeFrom="line">
                  <wp:posOffset>635</wp:posOffset>
                </wp:positionV>
                <wp:extent cx="228600" cy="175260"/>
                <wp:effectExtent l="0" t="0" r="0" b="0"/>
                <wp:wrapSquare wrapText="right"/>
                <wp:docPr id="153" name="Frame153"/>
                <a:graphic xmlns:a="http://schemas.openxmlformats.org/drawingml/2006/main">
                  <a:graphicData uri="http://schemas.microsoft.com/office/word/2010/wordprocessingShape">
                    <wps:wsp>
                      <wps:cNvSpPr txBox="1"/>
                      <wps:spPr>
                        <a:xfrm>
                          <a:off x="0" y="0"/>
                          <a:ext cx="228600" cy="175260"/>
                        </a:xfrm>
                        <a:prstGeom prst="rect"/>
                        <a:solidFill>
                          <a:srgbClr val="FFFFFF"/>
                        </a:solidFill>
                      </wps:spPr>
                      <wps:txbx>
                        <w:txbxContent>
                          <w:p>
                            <w:pPr>
                              <w:pStyle w:val="TextBody"/>
                              <w:bidi w:val="0"/>
                              <w:spacing w:before="0" w:after="283"/>
                              <w:jc w:val="left"/>
                              <w:rPr/>
                            </w:pPr>
                            <w:r>
                              <w:rPr/>
                              <w:t xml:space="preserve">● </w:t>
                            </w:r>
                          </w:p>
                        </w:txbxContent>
                      </wps:txbx>
                      <wps:bodyPr anchor="t" lIns="0" tIns="0" rIns="0" bIns="0">
                        <a:noAutofit/>
                      </wps:bodyPr>
                    </wps:wsp>
                  </a:graphicData>
                </a:graphic>
              </wp:anchor>
            </w:drawing>
          </mc:Choice>
          <mc:Fallback>
            <w:pict>
              <v:rect style="position:absolute;rotation:-0;width: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 xml:space="preserve">● </w:t>
                      </w:r>
                    </w:p>
                  </w:txbxContent>
                </v:textbox>
                <w10:wrap type="square" side="right"/>
              </v:rect>
            </w:pict>
          </mc:Fallback>
        </mc:AlternateContent>
      </w:r>
    </w:p>
    <w:p>
      <w:pPr>
        <w:pStyle w:val="TextBody"/>
        <w:bidi w:val="0"/>
        <w:spacing w:before="0" w:after="0"/>
        <w:ind w:left="1080" w:right="0" w:hanging="0"/>
        <w:jc w:val="both"/>
        <w:rPr/>
      </w:pPr>
      <w:r>
        <w:rPr/>
        <w:t xml:space="preserve">  </w:t>
      </w:r>
    </w:p>
    <w:p>
      <w:pPr>
        <w:pStyle w:val="TextBody"/>
        <w:bidi w:val="0"/>
        <w:spacing w:before="0" w:after="0"/>
        <w:ind w:left="0" w:right="0" w:hanging="360"/>
        <w:jc w:val="left"/>
        <w:rPr>
          <w:rFonts w:ascii="Times New Roman" w:hAnsi="Times New Roman"/>
          <w:sz w:val="20"/>
        </w:rPr>
      </w:pPr>
      <w:r>
        <w:rPr>
          <w:rFonts w:ascii="Times New Roman" w:hAnsi="Times New Roman"/>
          <w:sz w:val="20"/>
        </w:rPr>
        <w:t xml:space="preserve">our customers’ inability to comply with the terms of our distribution agreements; and </w:t>
      </w:r>
      <w:r>
        <mc:AlternateContent>
          <mc:Choice Requires="wps">
            <w:drawing>
              <wp:anchor behindDoc="0" distT="0" distB="0" distL="0" distR="0" simplePos="0" locked="0" layoutInCell="1" allowOverlap="1" relativeHeight="155">
                <wp:simplePos x="0" y="0"/>
                <wp:positionH relativeFrom="column">
                  <wp:align>left</wp:align>
                </wp:positionH>
                <wp:positionV relativeFrom="line">
                  <wp:posOffset>635</wp:posOffset>
                </wp:positionV>
                <wp:extent cx="228600" cy="175260"/>
                <wp:effectExtent l="0" t="0" r="0" b="0"/>
                <wp:wrapSquare wrapText="right"/>
                <wp:docPr id="154" name="Frame154"/>
                <a:graphic xmlns:a="http://schemas.openxmlformats.org/drawingml/2006/main">
                  <a:graphicData uri="http://schemas.microsoft.com/office/word/2010/wordprocessingShape">
                    <wps:wsp>
                      <wps:cNvSpPr txBox="1"/>
                      <wps:spPr>
                        <a:xfrm>
                          <a:off x="0" y="0"/>
                          <a:ext cx="228600" cy="175260"/>
                        </a:xfrm>
                        <a:prstGeom prst="rect"/>
                        <a:solidFill>
                          <a:srgbClr val="FFFFFF"/>
                        </a:solidFill>
                      </wps:spPr>
                      <wps:txbx>
                        <w:txbxContent>
                          <w:p>
                            <w:pPr>
                              <w:pStyle w:val="TextBody"/>
                              <w:bidi w:val="0"/>
                              <w:spacing w:before="0" w:after="283"/>
                              <w:jc w:val="left"/>
                              <w:rPr/>
                            </w:pPr>
                            <w:r>
                              <w:rPr/>
                              <w:t xml:space="preserve">● </w:t>
                            </w:r>
                          </w:p>
                        </w:txbxContent>
                      </wps:txbx>
                      <wps:bodyPr anchor="t" lIns="0" tIns="0" rIns="0" bIns="0">
                        <a:noAutofit/>
                      </wps:bodyPr>
                    </wps:wsp>
                  </a:graphicData>
                </a:graphic>
              </wp:anchor>
            </w:drawing>
          </mc:Choice>
          <mc:Fallback>
            <w:pict>
              <v:rect style="position:absolute;rotation:-0;width: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 xml:space="preserve">● </w:t>
                      </w:r>
                    </w:p>
                  </w:txbxContent>
                </v:textbox>
                <w10:wrap type="square" side="right"/>
              </v:rect>
            </w:pict>
          </mc:Fallback>
        </mc:AlternateContent>
      </w:r>
    </w:p>
    <w:p>
      <w:pPr>
        <w:pStyle w:val="TextBody"/>
        <w:bidi w:val="0"/>
        <w:spacing w:before="0" w:after="0"/>
        <w:ind w:left="1080" w:right="0" w:hanging="0"/>
        <w:jc w:val="both"/>
        <w:rPr/>
      </w:pPr>
      <w:r>
        <w:rPr/>
        <w:t xml:space="preserve">  </w:t>
      </w:r>
    </w:p>
    <w:p>
      <w:pPr>
        <w:pStyle w:val="TextBody"/>
        <w:bidi w:val="0"/>
        <w:spacing w:before="0" w:after="0"/>
        <w:ind w:left="0" w:right="0" w:hanging="360"/>
        <w:jc w:val="left"/>
        <w:rPr>
          <w:rFonts w:ascii="Times New Roman" w:hAnsi="Times New Roman"/>
          <w:sz w:val="20"/>
        </w:rPr>
      </w:pPr>
      <w:r>
        <w:rPr>
          <w:rFonts w:ascii="Times New Roman" w:hAnsi="Times New Roman"/>
          <w:sz w:val="20"/>
        </w:rPr>
        <w:t xml:space="preserve">widespread economic conditions or geopolitical conditions, including the exacerbated conflicts in Europe, certain countries in South America, Northern Africa and in the Middle East and the surrounding areas. </w:t>
      </w:r>
      <w:r>
        <mc:AlternateContent>
          <mc:Choice Requires="wps">
            <w:drawing>
              <wp:anchor behindDoc="0" distT="0" distB="0" distL="0" distR="0" simplePos="0" locked="0" layoutInCell="1" allowOverlap="1" relativeHeight="156">
                <wp:simplePos x="0" y="0"/>
                <wp:positionH relativeFrom="column">
                  <wp:align>left</wp:align>
                </wp:positionH>
                <wp:positionV relativeFrom="line">
                  <wp:posOffset>635</wp:posOffset>
                </wp:positionV>
                <wp:extent cx="228600" cy="175260"/>
                <wp:effectExtent l="0" t="0" r="0" b="0"/>
                <wp:wrapSquare wrapText="right"/>
                <wp:docPr id="155" name="Frame155"/>
                <a:graphic xmlns:a="http://schemas.openxmlformats.org/drawingml/2006/main">
                  <a:graphicData uri="http://schemas.microsoft.com/office/word/2010/wordprocessingShape">
                    <wps:wsp>
                      <wps:cNvSpPr txBox="1"/>
                      <wps:spPr>
                        <a:xfrm>
                          <a:off x="0" y="0"/>
                          <a:ext cx="228600" cy="175260"/>
                        </a:xfrm>
                        <a:prstGeom prst="rect"/>
                        <a:solidFill>
                          <a:srgbClr val="FFFFFF"/>
                        </a:solidFill>
                      </wps:spPr>
                      <wps:txbx>
                        <w:txbxContent>
                          <w:p>
                            <w:pPr>
                              <w:pStyle w:val="TextBody"/>
                              <w:bidi w:val="0"/>
                              <w:spacing w:before="0" w:after="283"/>
                              <w:jc w:val="left"/>
                              <w:rPr/>
                            </w:pPr>
                            <w:r>
                              <w:rPr/>
                              <w:t xml:space="preserve">● </w:t>
                            </w:r>
                          </w:p>
                        </w:txbxContent>
                      </wps:txbx>
                      <wps:bodyPr anchor="t" lIns="0" tIns="0" rIns="0" bIns="0">
                        <a:noAutofit/>
                      </wps:bodyPr>
                    </wps:wsp>
                  </a:graphicData>
                </a:graphic>
              </wp:anchor>
            </w:drawing>
          </mc:Choice>
          <mc:Fallback>
            <w:pict>
              <v:rect style="position:absolute;rotation:-0;width: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 xml:space="preserve">● </w:t>
                      </w:r>
                    </w:p>
                  </w:txbxContent>
                </v:textbox>
                <w10:wrap type="square" side="right"/>
              </v:rect>
            </w:pict>
          </mc:Fallback>
        </mc:AlternateContent>
      </w:r>
    </w:p>
    <w:p>
      <w:pPr>
        <w:pStyle w:val="TextBody"/>
        <w:bidi w:val="0"/>
        <w:spacing w:before="0" w:after="0"/>
        <w:ind w:left="900" w:right="0" w:hanging="0"/>
        <w:jc w:val="left"/>
        <w:rPr/>
      </w:pPr>
      <w:r>
        <w:rPr/>
        <w:t> </w:t>
      </w:r>
    </w:p>
    <w:p>
      <w:pPr>
        <w:pStyle w:val="TextBody"/>
        <w:bidi w:val="0"/>
        <w:spacing w:before="0" w:after="0"/>
        <w:jc w:val="both"/>
        <w:rPr>
          <w:rFonts w:ascii="Times New Roman" w:hAnsi="Times New Roman"/>
          <w:sz w:val="20"/>
        </w:rPr>
      </w:pPr>
      <w:r>
        <w:rPr>
          <w:rFonts w:ascii="Times New Roman" w:hAnsi="Times New Roman"/>
          <w:sz w:val="20"/>
        </w:rPr>
        <w:t xml:space="preserve">Additionally, an adverse change in the financial condition of any of our key customers could negatively affect revenue derived from such customer, which in turn could have a material adverse effect on our business and results of operations. </w:t>
      </w:r>
    </w:p>
    <w:p>
      <w:pPr>
        <w:pStyle w:val="TextBody"/>
        <w:bidi w:val="0"/>
        <w:spacing w:before="0" w:after="0"/>
        <w:jc w:val="both"/>
        <w:rPr/>
      </w:pPr>
      <w:r>
        <w:rPr/>
        <w:t xml:space="preserve">  </w:t>
      </w:r>
    </w:p>
    <w:p>
      <w:pPr>
        <w:pStyle w:val="TextBody"/>
        <w:bidi w:val="0"/>
        <w:spacing w:before="0" w:after="0"/>
        <w:jc w:val="left"/>
        <w:rPr>
          <w:rFonts w:ascii="Times New Roman" w:hAnsi="Times New Roman"/>
          <w:sz w:val="20"/>
        </w:rPr>
      </w:pPr>
      <w:r>
        <w:rPr>
          <w:rFonts w:ascii="Times New Roman" w:hAnsi="Times New Roman"/>
          <w:b/>
          <w:i/>
          <w:sz w:val="20"/>
        </w:rPr>
        <w:t>Issues with product quality and compliance could have a material adverse effect upon our business, subject us to regulatory actions and cause a loss of customer confidence in us or our products.</w:t>
      </w:r>
      <w:r>
        <w:rPr>
          <w:rFonts w:ascii="Times New Roman" w:hAnsi="Times New Roman"/>
          <w:sz w:val="20"/>
        </w:rPr>
        <w:t xml:space="preserve"> </w:t>
      </w:r>
    </w:p>
    <w:p>
      <w:pPr>
        <w:pStyle w:val="TextBody"/>
        <w:bidi w:val="0"/>
        <w:spacing w:before="0" w:after="0"/>
        <w:jc w:val="left"/>
        <w:rPr/>
      </w:pPr>
      <w:r>
        <w:rPr/>
        <w:t xml:space="preserve">  </w:t>
      </w:r>
    </w:p>
    <w:p>
      <w:pPr>
        <w:pStyle w:val="TextBody"/>
        <w:bidi w:val="0"/>
        <w:spacing w:before="0" w:after="0"/>
        <w:ind w:left="0" w:right="0" w:firstLine="720"/>
        <w:jc w:val="both"/>
        <w:rPr>
          <w:rFonts w:ascii="Times New Roman" w:hAnsi="Times New Roman"/>
          <w:sz w:val="20"/>
        </w:rPr>
      </w:pPr>
      <w:r>
        <w:rPr>
          <w:rFonts w:ascii="Times New Roman" w:hAnsi="Times New Roman"/>
          <w:sz w:val="20"/>
        </w:rPr>
        <w:t xml:space="preserve">Our success depends upon the quality of our products. Quality management plays an essential role in meeting customer requirements, preventing defects, improving our products and services and assuring the safety and efficacy of our products. Our future success depends on our ability to maintain and continuously improve our quality management program. A quality or safety issue may result in failure to obtain product approval, adverse inspection reports, warning letters, product recalls or seizures, voluntary or involuntary withdrawals, monetary sanctions, injunctions to halt manufacture and distribution of products, civil or criminal sanctions, costly litigation, patient injury, refusal of a government to grant approvals and licenses, restrictions on operations or withdrawal of existing approvals and licenses. The FDA and similar foreign governmental authorities have the authority to require the recall of commercialized products. We may elect, in the interest of public safety, to voluntarily withdraw our products from the market for labeled adverse events or for other reasons. For example, during the three and six months ended June 30, 2025, as a precautionary measure, we voluntarily withdrew three lots of BIVIGAM and we recorded a reduction to revenue of $0.2 million and $4.0 million, respectively, for credits issued to customers for the related product returns. Recalls or withdrawals of any of our products could divert managerial and financial resources which could have an adverse effect on our financial condition and results of operations. An inability to address a quality or safety issue by us or by a third-party vendor in an effective and timely manner may also cause negative publicity or a loss of customer confidence in us or our current or future products, which may result in the loss of current or future sales and difficulty in successfully commercializing our current products and launching new products. </w:t>
      </w:r>
    </w:p>
    <w:p>
      <w:pPr>
        <w:pStyle w:val="TextBody"/>
        <w:bidi w:val="0"/>
        <w:spacing w:before="0" w:after="0"/>
        <w:jc w:val="both"/>
        <w:rPr/>
      </w:pPr>
      <w:r>
        <w:rPr/>
        <w:t xml:space="preserve">  </w:t>
      </w:r>
    </w:p>
    <w:p>
      <w:pPr>
        <w:pStyle w:val="TextBody"/>
        <w:bidi w:val="0"/>
        <w:spacing w:before="0" w:after="0"/>
        <w:ind w:left="0" w:right="0" w:firstLine="720"/>
        <w:jc w:val="both"/>
        <w:rPr>
          <w:rFonts w:ascii="Times New Roman" w:hAnsi="Times New Roman"/>
          <w:sz w:val="20"/>
        </w:rPr>
      </w:pPr>
      <w:r>
        <w:rPr>
          <w:rFonts w:ascii="Times New Roman" w:hAnsi="Times New Roman"/>
          <w:sz w:val="20"/>
        </w:rPr>
        <w:t xml:space="preserve">In addition, as a manufacturer of biological products, we are subject to the risks inherent in biological production, which could include normal course losses and failures inherent in the manufacturing process. As our biologics production levels increase, there may be normal course inventory losses or write-downs as we ensure product quality and compliance with cGMP, FDA and state and local regulations, or due to testing results not meeting specifications. As a result, our operating results are subject to potentially significant variability from one reporting period to the next should such losses or write-downs occur in any given period. Additionally, because our products and product candidates are plasma-based products, not only are we subject to the FDA’s drug and biologic cGMP requirements, but we are also subject to special requirements for the collection, testing, handling, storage, and use of blood products. This adds an extra level of compliance and complexity to our operations, which we may not be able to successfully meet. Failure to meet any regulatory quality standards could have an adverse impact on our business. </w:t>
      </w:r>
    </w:p>
    <w:p>
      <w:pPr>
        <w:pStyle w:val="TextBody"/>
        <w:bidi w:val="0"/>
        <w:spacing w:before="0" w:after="0"/>
        <w:jc w:val="left"/>
        <w:rPr/>
      </w:pPr>
      <w:r>
        <w:rPr/>
        <w:t xml:space="preserve">  </w:t>
      </w:r>
    </w:p>
    <w:p>
      <w:pPr>
        <w:pStyle w:val="TextBody"/>
        <w:bidi w:val="0"/>
        <w:spacing w:before="150" w:after="15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t>43</w:t>
      </w:r>
    </w:p>
    <w:p>
      <w:pPr>
        <w:pStyle w:val="HorizontalLine"/>
        <w:bidi w:val="0"/>
        <w:spacing w:before="150" w:after="150"/>
        <w:jc w:val="left"/>
        <w:rPr/>
      </w:pPr>
      <w:r>
        <w:rPr/>
      </w:r>
    </w:p>
    <w:p>
      <w:pPr>
        <w:pStyle w:val="TextBody"/>
        <w:bidi w:val="0"/>
        <w:spacing w:before="150" w:after="150"/>
        <w:jc w:val="left"/>
        <w:rPr/>
      </w:pPr>
      <w:hyperlink w:anchor="index">
        <w:r>
          <w:rPr>
            <w:rStyle w:val="InternetLink"/>
            <w:rFonts w:ascii="TimesNewRoman;Times New Roman;Times;Baskerville;Georgia;serif" w:hAnsi="TimesNewRoman;Times New Roman;Times;Baskerville;Georgia;serif"/>
            <w:b w:val="false"/>
            <w:i/>
            <w:caps w:val="false"/>
            <w:smallCaps w:val="false"/>
            <w:strike w:val="false"/>
            <w:dstrike w:val="false"/>
            <w:sz w:val="16"/>
            <w:u w:val="none"/>
            <w:effect w:val="none"/>
          </w:rPr>
          <w:t>Index</w:t>
        </w:r>
      </w:hyperlink>
    </w:p>
    <w:p>
      <w:pPr>
        <w:pStyle w:val="TextBody"/>
        <w:bidi w:val="0"/>
        <w:spacing w:before="0" w:after="0"/>
        <w:ind w:left="0" w:right="0" w:hanging="0"/>
        <w:jc w:val="left"/>
        <w:rPr>
          <w:rFonts w:ascii="Times New Roman" w:hAnsi="Times New Roman"/>
          <w:b/>
          <w:i/>
          <w:spacing w:val="0"/>
          <w:sz w:val="20"/>
        </w:rPr>
      </w:pPr>
      <w:r>
        <w:rPr>
          <w:rFonts w:ascii="Times New Roman" w:hAnsi="Times New Roman"/>
          <w:b/>
          <w:i/>
          <w:spacing w:val="0"/>
          <w:sz w:val="20"/>
        </w:rPr>
        <w:t>If physicians, payers and patients do not accept and use our current products or our future product candidates, our ability to generate revenue from these products will be materially impaired.</w:t>
      </w:r>
    </w:p>
    <w:p>
      <w:pPr>
        <w:pStyle w:val="TextBody"/>
        <w:bidi w:val="0"/>
        <w:spacing w:before="0" w:after="0"/>
        <w:ind w:left="0" w:right="0" w:firstLine="720"/>
        <w:jc w:val="both"/>
        <w:rPr/>
      </w:pPr>
      <w:r>
        <w:rPr/>
        <w:t> </w:t>
      </w:r>
    </w:p>
    <w:p>
      <w:pPr>
        <w:pStyle w:val="TextBody"/>
        <w:bidi w:val="0"/>
        <w:spacing w:before="0" w:after="0"/>
        <w:ind w:left="0" w:right="0" w:firstLine="720"/>
        <w:jc w:val="both"/>
        <w:rPr>
          <w:rFonts w:ascii="Times New Roman" w:hAnsi="Times New Roman"/>
          <w:sz w:val="20"/>
        </w:rPr>
      </w:pPr>
      <w:r>
        <w:rPr>
          <w:rFonts w:ascii="Times New Roman" w:hAnsi="Times New Roman"/>
          <w:sz w:val="20"/>
        </w:rPr>
        <w:t xml:space="preserve">Even if the FDA approves a product made by us, physicians, payers and patients may not accept and use it. Acceptance and use of our products depends on a number of factors including, but not limited to: </w:t>
      </w:r>
    </w:p>
    <w:p>
      <w:pPr>
        <w:pStyle w:val="TextBody"/>
        <w:bidi w:val="0"/>
        <w:spacing w:before="0" w:after="0"/>
        <w:jc w:val="both"/>
        <w:rPr/>
      </w:pPr>
      <w:r>
        <w:rPr/>
        <w:t> </w:t>
      </w:r>
    </w:p>
    <w:p>
      <w:pPr>
        <w:pStyle w:val="TextBody"/>
        <w:bidi w:val="0"/>
        <w:spacing w:before="0" w:after="0"/>
        <w:ind w:left="0" w:right="0" w:hanging="360"/>
        <w:jc w:val="left"/>
        <w:rPr>
          <w:rFonts w:ascii="Times New Roman" w:hAnsi="Times New Roman"/>
          <w:sz w:val="20"/>
        </w:rPr>
      </w:pPr>
      <w:r>
        <w:rPr>
          <w:rFonts w:ascii="Times New Roman" w:hAnsi="Times New Roman"/>
          <w:sz w:val="20"/>
        </w:rPr>
        <w:t xml:space="preserve">perceptions by members of the healthcare community, including physicians, about the safety and effectiveness of our products; </w:t>
      </w:r>
      <w:r>
        <mc:AlternateContent>
          <mc:Choice Requires="wps">
            <w:drawing>
              <wp:anchor behindDoc="0" distT="0" distB="0" distL="0" distR="0" simplePos="0" locked="0" layoutInCell="1" allowOverlap="1" relativeHeight="157">
                <wp:simplePos x="0" y="0"/>
                <wp:positionH relativeFrom="column">
                  <wp:align>left</wp:align>
                </wp:positionH>
                <wp:positionV relativeFrom="line">
                  <wp:posOffset>635</wp:posOffset>
                </wp:positionV>
                <wp:extent cx="228600" cy="175260"/>
                <wp:effectExtent l="0" t="0" r="0" b="0"/>
                <wp:wrapSquare wrapText="right"/>
                <wp:docPr id="156" name="Frame156"/>
                <a:graphic xmlns:a="http://schemas.openxmlformats.org/drawingml/2006/main">
                  <a:graphicData uri="http://schemas.microsoft.com/office/word/2010/wordprocessingShape">
                    <wps:wsp>
                      <wps:cNvSpPr txBox="1"/>
                      <wps:spPr>
                        <a:xfrm>
                          <a:off x="0" y="0"/>
                          <a:ext cx="228600" cy="175260"/>
                        </a:xfrm>
                        <a:prstGeom prst="rect"/>
                        <a:solidFill>
                          <a:srgbClr val="FFFFFF"/>
                        </a:solidFill>
                      </wps:spPr>
                      <wps:txbx>
                        <w:txbxContent>
                          <w:p>
                            <w:pPr>
                              <w:pStyle w:val="TextBody"/>
                              <w:bidi w:val="0"/>
                              <w:spacing w:before="0" w:after="283"/>
                              <w:jc w:val="left"/>
                              <w:rPr/>
                            </w:pPr>
                            <w:r>
                              <w:rPr/>
                              <w:t xml:space="preserve">● </w:t>
                            </w:r>
                          </w:p>
                        </w:txbxContent>
                      </wps:txbx>
                      <wps:bodyPr anchor="t" lIns="0" tIns="0" rIns="0" bIns="0">
                        <a:noAutofit/>
                      </wps:bodyPr>
                    </wps:wsp>
                  </a:graphicData>
                </a:graphic>
              </wp:anchor>
            </w:drawing>
          </mc:Choice>
          <mc:Fallback>
            <w:pict>
              <v:rect style="position:absolute;rotation:-0;width: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 xml:space="preserve">● </w:t>
                      </w:r>
                    </w:p>
                  </w:txbxContent>
                </v:textbox>
                <w10:wrap type="square" side="right"/>
              </v:rect>
            </w:pict>
          </mc:Fallback>
        </mc:AlternateContent>
      </w:r>
    </w:p>
    <w:p>
      <w:pPr>
        <w:pStyle w:val="TextBody"/>
        <w:bidi w:val="0"/>
        <w:spacing w:before="0" w:after="0"/>
        <w:ind w:left="1080" w:right="0" w:hanging="0"/>
        <w:jc w:val="both"/>
        <w:rPr/>
      </w:pPr>
      <w:r>
        <w:rPr/>
        <w:t xml:space="preserve">  </w:t>
      </w:r>
    </w:p>
    <w:p>
      <w:pPr>
        <w:pStyle w:val="TextBody"/>
        <w:bidi w:val="0"/>
        <w:spacing w:before="0" w:after="0"/>
        <w:ind w:left="0" w:right="0" w:hanging="360"/>
        <w:jc w:val="left"/>
        <w:rPr>
          <w:rFonts w:ascii="Times New Roman" w:hAnsi="Times New Roman"/>
          <w:sz w:val="20"/>
        </w:rPr>
      </w:pPr>
      <w:r>
        <w:rPr>
          <w:rFonts w:ascii="Times New Roman" w:hAnsi="Times New Roman"/>
          <w:sz w:val="20"/>
        </w:rPr>
        <w:t xml:space="preserve">cost-effectiveness of our products relative to competing products; </w:t>
      </w:r>
      <w:r>
        <mc:AlternateContent>
          <mc:Choice Requires="wps">
            <w:drawing>
              <wp:anchor behindDoc="0" distT="0" distB="0" distL="0" distR="0" simplePos="0" locked="0" layoutInCell="1" allowOverlap="1" relativeHeight="158">
                <wp:simplePos x="0" y="0"/>
                <wp:positionH relativeFrom="column">
                  <wp:align>left</wp:align>
                </wp:positionH>
                <wp:positionV relativeFrom="line">
                  <wp:posOffset>635</wp:posOffset>
                </wp:positionV>
                <wp:extent cx="228600" cy="175260"/>
                <wp:effectExtent l="0" t="0" r="0" b="0"/>
                <wp:wrapSquare wrapText="right"/>
                <wp:docPr id="157" name="Frame157"/>
                <a:graphic xmlns:a="http://schemas.openxmlformats.org/drawingml/2006/main">
                  <a:graphicData uri="http://schemas.microsoft.com/office/word/2010/wordprocessingShape">
                    <wps:wsp>
                      <wps:cNvSpPr txBox="1"/>
                      <wps:spPr>
                        <a:xfrm>
                          <a:off x="0" y="0"/>
                          <a:ext cx="228600" cy="175260"/>
                        </a:xfrm>
                        <a:prstGeom prst="rect"/>
                        <a:solidFill>
                          <a:srgbClr val="FFFFFF"/>
                        </a:solidFill>
                      </wps:spPr>
                      <wps:txbx>
                        <w:txbxContent>
                          <w:p>
                            <w:pPr>
                              <w:pStyle w:val="TextBody"/>
                              <w:bidi w:val="0"/>
                              <w:spacing w:before="0" w:after="283"/>
                              <w:jc w:val="left"/>
                              <w:rPr/>
                            </w:pPr>
                            <w:r>
                              <w:rPr/>
                              <w:t xml:space="preserve">● </w:t>
                            </w:r>
                          </w:p>
                        </w:txbxContent>
                      </wps:txbx>
                      <wps:bodyPr anchor="t" lIns="0" tIns="0" rIns="0" bIns="0">
                        <a:noAutofit/>
                      </wps:bodyPr>
                    </wps:wsp>
                  </a:graphicData>
                </a:graphic>
              </wp:anchor>
            </w:drawing>
          </mc:Choice>
          <mc:Fallback>
            <w:pict>
              <v:rect style="position:absolute;rotation:-0;width: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 xml:space="preserve">● </w:t>
                      </w:r>
                    </w:p>
                  </w:txbxContent>
                </v:textbox>
                <w10:wrap type="square" side="right"/>
              </v:rect>
            </w:pict>
          </mc:Fallback>
        </mc:AlternateContent>
      </w:r>
    </w:p>
    <w:p>
      <w:pPr>
        <w:pStyle w:val="TextBody"/>
        <w:bidi w:val="0"/>
        <w:spacing w:before="0" w:after="0"/>
        <w:ind w:left="1080" w:right="0" w:hanging="0"/>
        <w:jc w:val="both"/>
        <w:rPr/>
      </w:pPr>
      <w:r>
        <w:rPr/>
        <w:t xml:space="preserve">  </w:t>
      </w:r>
    </w:p>
    <w:p>
      <w:pPr>
        <w:pStyle w:val="TextBody"/>
        <w:bidi w:val="0"/>
        <w:spacing w:before="0" w:after="0"/>
        <w:ind w:left="0" w:right="0" w:hanging="360"/>
        <w:jc w:val="left"/>
        <w:rPr>
          <w:rFonts w:ascii="Times New Roman" w:hAnsi="Times New Roman"/>
          <w:sz w:val="20"/>
        </w:rPr>
      </w:pPr>
      <w:r>
        <w:rPr>
          <w:rFonts w:ascii="Times New Roman" w:hAnsi="Times New Roman"/>
          <w:sz w:val="20"/>
        </w:rPr>
        <w:t xml:space="preserve">availability of reimbursement for our products from government or other healthcare payers; and </w:t>
      </w:r>
      <w:r>
        <mc:AlternateContent>
          <mc:Choice Requires="wps">
            <w:drawing>
              <wp:anchor behindDoc="0" distT="0" distB="0" distL="0" distR="0" simplePos="0" locked="0" layoutInCell="1" allowOverlap="1" relativeHeight="159">
                <wp:simplePos x="0" y="0"/>
                <wp:positionH relativeFrom="column">
                  <wp:align>left</wp:align>
                </wp:positionH>
                <wp:positionV relativeFrom="line">
                  <wp:posOffset>635</wp:posOffset>
                </wp:positionV>
                <wp:extent cx="228600" cy="175260"/>
                <wp:effectExtent l="0" t="0" r="0" b="0"/>
                <wp:wrapSquare wrapText="right"/>
                <wp:docPr id="158" name="Frame158"/>
                <a:graphic xmlns:a="http://schemas.openxmlformats.org/drawingml/2006/main">
                  <a:graphicData uri="http://schemas.microsoft.com/office/word/2010/wordprocessingShape">
                    <wps:wsp>
                      <wps:cNvSpPr txBox="1"/>
                      <wps:spPr>
                        <a:xfrm>
                          <a:off x="0" y="0"/>
                          <a:ext cx="228600" cy="175260"/>
                        </a:xfrm>
                        <a:prstGeom prst="rect"/>
                        <a:solidFill>
                          <a:srgbClr val="FFFFFF"/>
                        </a:solidFill>
                      </wps:spPr>
                      <wps:txbx>
                        <w:txbxContent>
                          <w:p>
                            <w:pPr>
                              <w:pStyle w:val="TextBody"/>
                              <w:bidi w:val="0"/>
                              <w:spacing w:before="0" w:after="283"/>
                              <w:jc w:val="left"/>
                              <w:rPr/>
                            </w:pPr>
                            <w:r>
                              <w:rPr/>
                              <w:t xml:space="preserve">● </w:t>
                            </w:r>
                          </w:p>
                        </w:txbxContent>
                      </wps:txbx>
                      <wps:bodyPr anchor="t" lIns="0" tIns="0" rIns="0" bIns="0">
                        <a:noAutofit/>
                      </wps:bodyPr>
                    </wps:wsp>
                  </a:graphicData>
                </a:graphic>
              </wp:anchor>
            </w:drawing>
          </mc:Choice>
          <mc:Fallback>
            <w:pict>
              <v:rect style="position:absolute;rotation:-0;width: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 xml:space="preserve">● </w:t>
                      </w:r>
                    </w:p>
                  </w:txbxContent>
                </v:textbox>
                <w10:wrap type="square" side="right"/>
              </v:rect>
            </w:pict>
          </mc:Fallback>
        </mc:AlternateContent>
      </w:r>
    </w:p>
    <w:p>
      <w:pPr>
        <w:pStyle w:val="TextBody"/>
        <w:bidi w:val="0"/>
        <w:spacing w:before="0" w:after="0"/>
        <w:ind w:left="1080" w:right="0" w:hanging="0"/>
        <w:jc w:val="both"/>
        <w:rPr/>
      </w:pPr>
      <w:r>
        <w:rPr/>
        <w:t xml:space="preserve">  </w:t>
      </w:r>
    </w:p>
    <w:p>
      <w:pPr>
        <w:pStyle w:val="TextBody"/>
        <w:bidi w:val="0"/>
        <w:spacing w:before="0" w:after="0"/>
        <w:ind w:left="0" w:right="0" w:hanging="360"/>
        <w:jc w:val="left"/>
        <w:rPr>
          <w:rFonts w:ascii="Times New Roman" w:hAnsi="Times New Roman"/>
          <w:sz w:val="20"/>
        </w:rPr>
      </w:pPr>
      <w:r>
        <w:rPr>
          <w:rFonts w:ascii="Times New Roman" w:hAnsi="Times New Roman"/>
          <w:sz w:val="20"/>
        </w:rPr>
        <w:t xml:space="preserve">the effectiveness of marketing and distribution efforts by us and our licensees and distributors, if any. </w:t>
      </w:r>
      <w:r>
        <mc:AlternateContent>
          <mc:Choice Requires="wps">
            <w:drawing>
              <wp:anchor behindDoc="0" distT="0" distB="0" distL="0" distR="0" simplePos="0" locked="0" layoutInCell="1" allowOverlap="1" relativeHeight="160">
                <wp:simplePos x="0" y="0"/>
                <wp:positionH relativeFrom="column">
                  <wp:align>left</wp:align>
                </wp:positionH>
                <wp:positionV relativeFrom="line">
                  <wp:posOffset>635</wp:posOffset>
                </wp:positionV>
                <wp:extent cx="228600" cy="175260"/>
                <wp:effectExtent l="0" t="0" r="0" b="0"/>
                <wp:wrapSquare wrapText="right"/>
                <wp:docPr id="159" name="Frame159"/>
                <a:graphic xmlns:a="http://schemas.openxmlformats.org/drawingml/2006/main">
                  <a:graphicData uri="http://schemas.microsoft.com/office/word/2010/wordprocessingShape">
                    <wps:wsp>
                      <wps:cNvSpPr txBox="1"/>
                      <wps:spPr>
                        <a:xfrm>
                          <a:off x="0" y="0"/>
                          <a:ext cx="228600" cy="175260"/>
                        </a:xfrm>
                        <a:prstGeom prst="rect"/>
                        <a:solidFill>
                          <a:srgbClr val="FFFFFF"/>
                        </a:solidFill>
                      </wps:spPr>
                      <wps:txbx>
                        <w:txbxContent>
                          <w:p>
                            <w:pPr>
                              <w:pStyle w:val="TextBody"/>
                              <w:bidi w:val="0"/>
                              <w:spacing w:before="0" w:after="283"/>
                              <w:jc w:val="left"/>
                              <w:rPr/>
                            </w:pPr>
                            <w:r>
                              <w:rPr/>
                              <w:t xml:space="preserve">● </w:t>
                            </w:r>
                          </w:p>
                        </w:txbxContent>
                      </wps:txbx>
                      <wps:bodyPr anchor="t" lIns="0" tIns="0" rIns="0" bIns="0">
                        <a:noAutofit/>
                      </wps:bodyPr>
                    </wps:wsp>
                  </a:graphicData>
                </a:graphic>
              </wp:anchor>
            </w:drawing>
          </mc:Choice>
          <mc:Fallback>
            <w:pict>
              <v:rect style="position:absolute;rotation:-0;width: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 xml:space="preserve">● </w:t>
                      </w:r>
                    </w:p>
                  </w:txbxContent>
                </v:textbox>
                <w10:wrap type="square" side="right"/>
              </v:rect>
            </w:pict>
          </mc:Fallback>
        </mc:AlternateContent>
      </w:r>
    </w:p>
    <w:p>
      <w:pPr>
        <w:pStyle w:val="TextBody"/>
        <w:bidi w:val="0"/>
        <w:spacing w:before="0" w:after="0"/>
        <w:ind w:left="900" w:right="0" w:hanging="0"/>
        <w:jc w:val="left"/>
        <w:rPr/>
      </w:pPr>
      <w:r>
        <w:rPr/>
        <w:t> </w:t>
      </w:r>
    </w:p>
    <w:p>
      <w:pPr>
        <w:pStyle w:val="TextBody"/>
        <w:bidi w:val="0"/>
        <w:spacing w:before="0" w:after="0"/>
        <w:jc w:val="both"/>
        <w:rPr>
          <w:rFonts w:ascii="Times New Roman" w:hAnsi="Times New Roman"/>
          <w:sz w:val="20"/>
        </w:rPr>
      </w:pPr>
      <w:r>
        <w:rPr>
          <w:rFonts w:ascii="Times New Roman" w:hAnsi="Times New Roman"/>
          <w:sz w:val="20"/>
        </w:rPr>
        <w:t xml:space="preserve">The failure of our current or future products to find market acceptance would harm our business and could require us to seek additional financing or make such financing difficult to obtain on favorable terms, if at all. </w:t>
      </w:r>
    </w:p>
    <w:p>
      <w:pPr>
        <w:pStyle w:val="TextBody"/>
        <w:bidi w:val="0"/>
        <w:spacing w:before="0" w:after="0"/>
        <w:jc w:val="both"/>
        <w:rPr/>
      </w:pPr>
      <w:r>
        <w:rPr/>
        <w:t xml:space="preserve">  </w:t>
      </w:r>
    </w:p>
    <w:p>
      <w:pPr>
        <w:pStyle w:val="TextBody"/>
        <w:bidi w:val="0"/>
        <w:spacing w:before="0" w:after="0"/>
        <w:jc w:val="both"/>
        <w:rPr>
          <w:rFonts w:ascii="Times New Roman" w:hAnsi="Times New Roman"/>
          <w:sz w:val="20"/>
        </w:rPr>
      </w:pPr>
      <w:r>
        <w:rPr>
          <w:rFonts w:ascii="Times New Roman" w:hAnsi="Times New Roman"/>
          <w:b/>
          <w:i/>
          <w:sz w:val="20"/>
        </w:rPr>
        <w:t>Our accruals for U.S. Medicaid rebates and other liabilities related to the sale of our immunoglobulin products are estimates based on historical experience and other assumptions. These estimates are subject to change based on actual results and other factors. Any such change could have a material effect on our business, financial position, and operating results.</w:t>
      </w:r>
      <w:r>
        <w:rPr>
          <w:rFonts w:ascii="Times New Roman" w:hAnsi="Times New Roman"/>
          <w:sz w:val="20"/>
        </w:rPr>
        <w:t xml:space="preserve"> </w:t>
      </w:r>
    </w:p>
    <w:p>
      <w:pPr>
        <w:pStyle w:val="TextBody"/>
        <w:bidi w:val="0"/>
        <w:spacing w:before="0" w:after="0"/>
        <w:ind w:left="720" w:right="0" w:hanging="0"/>
        <w:jc w:val="left"/>
        <w:rPr/>
      </w:pPr>
      <w:r>
        <w:rPr/>
        <w:t xml:space="preserve">  </w:t>
      </w:r>
    </w:p>
    <w:p>
      <w:pPr>
        <w:pStyle w:val="TextBody"/>
        <w:bidi w:val="0"/>
        <w:spacing w:before="0" w:after="0"/>
        <w:ind w:left="0" w:right="0" w:firstLine="720"/>
        <w:jc w:val="both"/>
        <w:rPr>
          <w:rFonts w:ascii="Times New Roman" w:hAnsi="Times New Roman"/>
          <w:sz w:val="20"/>
        </w:rPr>
      </w:pPr>
      <w:r>
        <w:rPr>
          <w:rFonts w:ascii="Times New Roman" w:hAnsi="Times New Roman"/>
          <w:sz w:val="20"/>
        </w:rPr>
        <w:t xml:space="preserve">Our gross product revenues are subject to a variety of deductions which are estimated and recorded in the same period that the revenues are recognized. These deductions primarily consist of rebates, distribution fees, chargebacks and sales allowances. These deductions represent estimates of the related obligations, some of which are contractual in nature and do not require extensive judgment to be exercised by management, while other estimates require complex or subjective matters of knowledge and judgment when estimating the impact of these revenue deductions on net revenues for a reporting period. Estimates include, among other things, accruals for U.S. Medicaid rebates related to the sale of our immunoglobulin products. We accrue these rebates at the time of sale based on our estimates of the sales mix of our products and the portion of the products we sell that will be prescribed to Medicaid beneficiaries. These estimates are based on historical experience and certain other assumptions, and while we believe that such estimates are reasonable, they are subject to change based on future experience, Medicaid utilization trends and other factors. If any of our ratios, factors, assessments, experiences or judgments are not indicative or accurate estimates of our future experience, our results could be materially affected. Estimates that are most at risk for material adjustment include those associated with U.S. Medicaid rebates because of the extensive time delay between the recording of the accrual and its ultimate settlement, an interval that can generally take up to several years or more. These estimates may change from time to time based on changes in utilization, payer and channel mixes or the ultimate settlement or resolution of payer claims. For example, during 2024 we engaged a third-party specialist to assist in the evaluation of our accrual for U.S. Medicaid rebates related to the sale of our immunoglobulin products. As a result of this evaluation, we recognized a reduction in this accrual and a corresponding increase to net revenues of $12.6 million for the year ended December 31, 2024. We considered several qualitative factors when evaluating our rebate accrual, such as the absence of a statutory limitation on the rebate amounts drug manufacturers pay to state Medicaid programs and general uncertainty that pharmaceutical manufacturers have historically seen with government payers often submitting lagged claims many periods after the initial dispensing of a product to an end patient. There was additional new information that arose during June 2024 that suggested our liabilities for certain payer claims were successfully resolved, which resulted in the $12.6 million adjustment to the accrual for U.S. Medicaid rebates in June 2024. </w:t>
      </w:r>
    </w:p>
    <w:p>
      <w:pPr>
        <w:pStyle w:val="TextBody"/>
        <w:bidi w:val="0"/>
        <w:spacing w:before="0" w:after="0"/>
        <w:jc w:val="both"/>
        <w:rPr/>
      </w:pPr>
      <w:r>
        <w:rPr/>
        <w:t xml:space="preserve">  </w:t>
      </w:r>
    </w:p>
    <w:p>
      <w:pPr>
        <w:pStyle w:val="TextBody"/>
        <w:bidi w:val="0"/>
        <w:spacing w:before="0" w:after="0"/>
        <w:ind w:left="0" w:right="0" w:firstLine="720"/>
        <w:jc w:val="both"/>
        <w:rPr>
          <w:rFonts w:ascii="Times New Roman" w:hAnsi="Times New Roman"/>
          <w:sz w:val="20"/>
        </w:rPr>
      </w:pPr>
      <w:r>
        <w:rPr>
          <w:rFonts w:ascii="Times New Roman" w:hAnsi="Times New Roman"/>
          <w:sz w:val="20"/>
        </w:rPr>
        <w:t xml:space="preserve">In addition, the Patient Protection and Affordable Care Act (“ACA”) included a significant expansion of state Medicaid programs. If more states decide to take advantage of these programs such that more individuals become eligible for coverage, Medicaid utilization of our products could increase, resulting in a corresponding increase in our rebate payments. Such rebate payments may exceed what we have accrued for during the applicable period. Increases in Medicaid rebate payments could decrease our net revenues from product sales, which in turn could adversely affect our business, financial position, and operating results. </w:t>
      </w:r>
    </w:p>
    <w:p>
      <w:pPr>
        <w:pStyle w:val="TextBody"/>
        <w:bidi w:val="0"/>
        <w:spacing w:before="0" w:after="0"/>
        <w:jc w:val="left"/>
        <w:rPr/>
      </w:pPr>
      <w:r>
        <w:rPr/>
        <w:t xml:space="preserve">  </w:t>
      </w:r>
    </w:p>
    <w:p>
      <w:pPr>
        <w:pStyle w:val="TextBody"/>
        <w:bidi w:val="0"/>
        <w:spacing w:before="150" w:after="15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t>44</w:t>
      </w:r>
    </w:p>
    <w:p>
      <w:pPr>
        <w:pStyle w:val="HorizontalLine"/>
        <w:bidi w:val="0"/>
        <w:spacing w:before="150" w:after="150"/>
        <w:jc w:val="left"/>
        <w:rPr/>
      </w:pPr>
      <w:r>
        <w:rPr/>
      </w:r>
    </w:p>
    <w:p>
      <w:pPr>
        <w:pStyle w:val="TextBody"/>
        <w:bidi w:val="0"/>
        <w:spacing w:before="150" w:after="150"/>
        <w:jc w:val="left"/>
        <w:rPr/>
      </w:pPr>
      <w:hyperlink w:anchor="index">
        <w:r>
          <w:rPr>
            <w:rStyle w:val="InternetLink"/>
            <w:rFonts w:ascii="TimesNewRoman;Times New Roman;Times;Baskerville;Georgia;serif" w:hAnsi="TimesNewRoman;Times New Roman;Times;Baskerville;Georgia;serif"/>
            <w:b w:val="false"/>
            <w:i/>
            <w:caps w:val="false"/>
            <w:smallCaps w:val="false"/>
            <w:strike w:val="false"/>
            <w:dstrike w:val="false"/>
            <w:sz w:val="16"/>
            <w:u w:val="none"/>
            <w:effect w:val="none"/>
          </w:rPr>
          <w:t>Index</w:t>
        </w:r>
      </w:hyperlink>
    </w:p>
    <w:p>
      <w:pPr>
        <w:pStyle w:val="TextBody"/>
        <w:bidi w:val="0"/>
        <w:spacing w:before="0" w:after="0"/>
        <w:jc w:val="both"/>
        <w:rPr>
          <w:rFonts w:ascii="Times New Roman" w:hAnsi="Times New Roman"/>
          <w:sz w:val="20"/>
        </w:rPr>
      </w:pPr>
      <w:r>
        <w:rPr>
          <w:rFonts w:ascii="Times New Roman" w:hAnsi="Times New Roman"/>
          <w:b/>
          <w:i/>
          <w:sz w:val="20"/>
        </w:rPr>
        <w:t>Our long-term success may depend on our ability to supplement our existing product portfolio through new product development or the in-license or acquisition of other new products, product candidates and label expansion of existing products, and if our business development efforts are not successful, our ability to maintain profitability may be adversely impacted.</w:t>
      </w:r>
      <w:r>
        <w:rPr>
          <w:rFonts w:ascii="Times New Roman" w:hAnsi="Times New Roman"/>
          <w:sz w:val="20"/>
        </w:rPr>
        <w:t xml:space="preserve"> </w:t>
      </w:r>
    </w:p>
    <w:p>
      <w:pPr>
        <w:pStyle w:val="TextBody"/>
        <w:bidi w:val="0"/>
        <w:spacing w:before="0" w:after="0"/>
        <w:jc w:val="both"/>
        <w:rPr/>
      </w:pPr>
      <w:r>
        <w:rPr/>
        <w:t xml:space="preserve">  </w:t>
      </w:r>
    </w:p>
    <w:p>
      <w:pPr>
        <w:pStyle w:val="TextBody"/>
        <w:bidi w:val="0"/>
        <w:spacing w:before="0" w:after="0"/>
        <w:ind w:left="0" w:right="0" w:firstLine="720"/>
        <w:jc w:val="both"/>
        <w:rPr>
          <w:rFonts w:ascii="Times New Roman" w:hAnsi="Times New Roman"/>
          <w:sz w:val="20"/>
        </w:rPr>
      </w:pPr>
      <w:r>
        <w:rPr>
          <w:rFonts w:ascii="Times New Roman" w:hAnsi="Times New Roman"/>
          <w:sz w:val="20"/>
        </w:rPr>
        <w:t xml:space="preserve">Our current product development portfolio consists primarily of label expansion activities for ASCENIV, as well as expanding our IP estate with patents issued for </w:t>
      </w:r>
      <w:r>
        <w:rPr>
          <w:rFonts w:ascii="Times New Roman" w:hAnsi="Times New Roman"/>
          <w:i/>
          <w:sz w:val="20"/>
        </w:rPr>
        <w:t>S. pneumoniae</w:t>
      </w:r>
      <w:r>
        <w:rPr>
          <w:rFonts w:ascii="Times New Roman" w:hAnsi="Times New Roman"/>
          <w:sz w:val="20"/>
        </w:rPr>
        <w:t xml:space="preserve"> hyperimmune immune globulin. We have initiated small-scale preclinical activities to potentially expand our current portfolio through new product development efforts. If we are not successful in developing or acquiring additional products and product candidates, we will have to depend on our ability to continue to generate revenues from ASCENIV, BIVIGAM, Nabi-HB, intermediates, contract manufacturing and plasma attributable to the operations of ADMA BioCenters to support our operations. </w:t>
      </w:r>
    </w:p>
    <w:p>
      <w:pPr>
        <w:pStyle w:val="TextBody"/>
        <w:bidi w:val="0"/>
        <w:spacing w:before="0" w:after="0"/>
        <w:jc w:val="left"/>
        <w:rPr/>
      </w:pPr>
      <w:r>
        <w:rPr/>
        <w:t xml:space="preserve">  </w:t>
      </w:r>
    </w:p>
    <w:p>
      <w:pPr>
        <w:pStyle w:val="TextBody"/>
        <w:bidi w:val="0"/>
        <w:spacing w:before="0" w:after="0"/>
        <w:jc w:val="both"/>
        <w:rPr>
          <w:rFonts w:ascii="Times New Roman" w:hAnsi="Times New Roman"/>
          <w:sz w:val="20"/>
        </w:rPr>
      </w:pPr>
      <w:r>
        <w:rPr>
          <w:rFonts w:ascii="Times New Roman" w:hAnsi="Times New Roman"/>
          <w:b/>
          <w:i/>
          <w:sz w:val="20"/>
        </w:rPr>
        <w:t>Our ADMA BioCenters operations collect information from donors in the United States that subjects us to consumer and health privacy laws, which could create enforcement and litigation exposure if we fail to meet their requirements.</w:t>
      </w:r>
      <w:r>
        <w:rPr>
          <w:rFonts w:ascii="Times New Roman" w:hAnsi="Times New Roman"/>
          <w:sz w:val="20"/>
        </w:rPr>
        <w:t xml:space="preserve"> </w:t>
      </w:r>
    </w:p>
    <w:p>
      <w:pPr>
        <w:pStyle w:val="TextBody"/>
        <w:bidi w:val="0"/>
        <w:spacing w:before="0" w:after="0"/>
        <w:jc w:val="both"/>
        <w:rPr/>
      </w:pPr>
      <w:r>
        <w:rPr/>
        <w:t xml:space="preserve">  </w:t>
      </w:r>
    </w:p>
    <w:p>
      <w:pPr>
        <w:pStyle w:val="TextBody"/>
        <w:bidi w:val="0"/>
        <w:spacing w:before="0" w:after="0"/>
        <w:ind w:left="0" w:right="0" w:firstLine="720"/>
        <w:jc w:val="both"/>
        <w:rPr>
          <w:rFonts w:ascii="Times New Roman" w:hAnsi="Times New Roman"/>
          <w:sz w:val="20"/>
        </w:rPr>
      </w:pPr>
      <w:r>
        <w:rPr>
          <w:rFonts w:ascii="Times New Roman" w:hAnsi="Times New Roman"/>
          <w:sz w:val="20"/>
        </w:rPr>
        <w:t xml:space="preserve">Consumer privacy is highly protected by federal and state law. The Health Insurance Portability and Accountability Act of 1996 (“HIPAA”), as amended by the Health Information Technology for Economic and Clinical Health Act of 2009 (“HITECH”), and their respective implementing regulations, impose requirements with respect to safeguarding the privacy, security and transmission of protected health information (“PHI”) held by covered entities and business associates. HIPAA “covered entities” include health plans/insurers, healthcare providers engaging in HIPAA standard electronic transactions and healthcare clearinghouses. A “business associate” provides services to covered entities (directly or as subcontractors to other business associates) involving arranging, creating, receiving, maintaining, or transmitting PHI on a covered entity’s behalf. In order to legally provide access to PHI to service providers, covered entities and business associates must enter into a “business associate agreement” with the service provider that receives PHI on behalf of the entity. </w:t>
      </w:r>
    </w:p>
    <w:p>
      <w:pPr>
        <w:pStyle w:val="TextBody"/>
        <w:bidi w:val="0"/>
        <w:spacing w:before="0" w:after="0"/>
        <w:jc w:val="both"/>
        <w:rPr/>
      </w:pPr>
      <w:r>
        <w:rPr/>
        <w:t xml:space="preserve">  </w:t>
      </w:r>
    </w:p>
    <w:p>
      <w:pPr>
        <w:pStyle w:val="TextBody"/>
        <w:bidi w:val="0"/>
        <w:spacing w:before="0" w:after="0"/>
        <w:ind w:left="0" w:right="0" w:firstLine="720"/>
        <w:jc w:val="both"/>
        <w:rPr>
          <w:rFonts w:ascii="Times New Roman" w:hAnsi="Times New Roman"/>
          <w:sz w:val="20"/>
        </w:rPr>
      </w:pPr>
      <w:r>
        <w:rPr>
          <w:rFonts w:ascii="Times New Roman" w:hAnsi="Times New Roman"/>
          <w:sz w:val="20"/>
        </w:rPr>
        <w:t xml:space="preserve">Personal information that we obtain pursuant to a clinical trial may be subject to U.S. Federal Trade Commission (the “FTC”) privacy regulation. Failing to take appropriate steps to keep consumers’ personal information secure may constitute an unfair act or practice violating Section 5(a) of the Federal Trade Commission Act, 15 U.S.C § 45(a). The FTC expects a company’s data security measures to be reasonable and appropriate in light of the sensitivity and volume of consumer information it holds, the size and complexity of its business, and the cost of available tools to improve security and reduce vulnerabilities. Medical data is considered sensitive data that merits stronger safeguards. The FTC’s guidance for appropriately securing consumers’ personal information is similar to, but less prescriptive than, what is required by the HIPAA Security Rule. In addition, states impose a variety of laws protecting consumer information, with certain sensitive information such as HIV/Sexually Transmitted Infection status subject to heightened standards. In addition, federal and state privacy, data security, and breach notification laws, rules and regulations, and other laws apply to the collection, use and security of personal information, such as Social Security Numbers, driver’s license numbers, government identifiers, credit card and financial account numbers. For example, the CCPA was amended by the CPRA, effective January 1, 2023. The CCPA, among other things, imposes data privacy obligations for covered companies and provides new privacy rights to California residents, including the right to opt out of certain disclosures of their information. The CCPA also creates a private right of action with statutory damages for certain data breaches, thereby potentially increasing risks associated with data breach. We could be subject to enforcement action and litigation exposure if we fail to adhere to these data privacy and security laws. Virginia, Colorado, Connecticut and Utah have also enacted privacy laws that became effective in 2023 and are similar in many respects to the CCPA. Several other states have also enacted privacy laws similar to the CCPA that will become effective in the coming years, adding to potential privacy compliance obligations. </w:t>
      </w:r>
    </w:p>
    <w:p>
      <w:pPr>
        <w:pStyle w:val="TextBody"/>
        <w:bidi w:val="0"/>
        <w:spacing w:before="0" w:after="0"/>
        <w:jc w:val="both"/>
        <w:rPr/>
      </w:pPr>
      <w:r>
        <w:rPr/>
        <w:t xml:space="preserve">  </w:t>
      </w:r>
    </w:p>
    <w:p>
      <w:pPr>
        <w:pStyle w:val="TextBody"/>
        <w:bidi w:val="0"/>
        <w:spacing w:before="0" w:after="0"/>
        <w:jc w:val="both"/>
        <w:rPr>
          <w:rFonts w:ascii="Times New Roman" w:hAnsi="Times New Roman"/>
          <w:sz w:val="20"/>
        </w:rPr>
      </w:pPr>
      <w:r>
        <w:rPr>
          <w:rFonts w:ascii="Times New Roman" w:hAnsi="Times New Roman"/>
          <w:b/>
          <w:i/>
          <w:sz w:val="20"/>
        </w:rPr>
        <w:t>The JPMorgan Credit Facilities are subject to acceleration in specified circumstances, which may result in JPMorgan taking possession and disposing of any collateral.</w:t>
      </w:r>
      <w:r>
        <w:rPr>
          <w:rFonts w:ascii="Times New Roman" w:hAnsi="Times New Roman"/>
          <w:sz w:val="20"/>
        </w:rPr>
        <w:t xml:space="preserve"> </w:t>
      </w:r>
    </w:p>
    <w:p>
      <w:pPr>
        <w:pStyle w:val="TextBody"/>
        <w:bidi w:val="0"/>
        <w:spacing w:before="0" w:after="0"/>
        <w:jc w:val="both"/>
        <w:rPr/>
      </w:pPr>
      <w:r>
        <w:rPr/>
        <w:t xml:space="preserve">  </w:t>
      </w:r>
    </w:p>
    <w:p>
      <w:pPr>
        <w:pStyle w:val="TextBody"/>
        <w:bidi w:val="0"/>
        <w:spacing w:before="0" w:after="0"/>
        <w:ind w:left="0" w:right="0" w:firstLine="720"/>
        <w:jc w:val="both"/>
        <w:rPr>
          <w:rFonts w:ascii="Times New Roman" w:hAnsi="Times New Roman"/>
          <w:sz w:val="20"/>
        </w:rPr>
      </w:pPr>
      <w:r>
        <w:rPr>
          <w:rFonts w:ascii="Times New Roman" w:hAnsi="Times New Roman"/>
          <w:sz w:val="20"/>
        </w:rPr>
        <w:t xml:space="preserve">On August 5, 2025 (the “JPM Closing Date”), we entered into a credit agreement with JPMorgan and certain other lenders party thereto (the “JPM Credit Agreement”) (see “Liquidity and Capital Resources”). The JPM Credit Agreement provides for a total of $300 million in senior secured credit facilities (the “JPM Credit Facilities”) consisting of (i) a term loan in the aggregate principal amount of $75 million, which was drawn in full on the JPM Closing Date, and (ii) a revolving credit facility in the aggregate principal amount of up to $225 million (collectively, the “JPM Loans”), none of which was drawn on the JPM Closing Date. The JPM Credit Facility has a maturity date of August 5, 2028. </w:t>
      </w:r>
    </w:p>
    <w:p>
      <w:pPr>
        <w:pStyle w:val="TextBody"/>
        <w:bidi w:val="0"/>
        <w:spacing w:before="0" w:after="0"/>
        <w:jc w:val="both"/>
        <w:rPr/>
      </w:pPr>
      <w:r>
        <w:rPr/>
        <w:t xml:space="preserve">  </w:t>
      </w:r>
    </w:p>
    <w:p>
      <w:pPr>
        <w:pStyle w:val="TextBody"/>
        <w:bidi w:val="0"/>
        <w:spacing w:before="150" w:after="15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t>45</w:t>
      </w:r>
    </w:p>
    <w:p>
      <w:pPr>
        <w:pStyle w:val="HorizontalLine"/>
        <w:bidi w:val="0"/>
        <w:spacing w:before="150" w:after="150"/>
        <w:jc w:val="left"/>
        <w:rPr/>
      </w:pPr>
      <w:r>
        <w:rPr/>
      </w:r>
    </w:p>
    <w:p>
      <w:pPr>
        <w:pStyle w:val="TextBody"/>
        <w:bidi w:val="0"/>
        <w:spacing w:before="150" w:after="150"/>
        <w:jc w:val="left"/>
        <w:rPr/>
      </w:pPr>
      <w:hyperlink w:anchor="index">
        <w:r>
          <w:rPr>
            <w:rStyle w:val="InternetLink"/>
            <w:rFonts w:ascii="TimesNewRoman;Times New Roman;Times;Baskerville;Georgia;serif" w:hAnsi="TimesNewRoman;Times New Roman;Times;Baskerville;Georgia;serif"/>
            <w:b w:val="false"/>
            <w:i/>
            <w:caps w:val="false"/>
            <w:smallCaps w:val="false"/>
            <w:strike w:val="false"/>
            <w:dstrike w:val="false"/>
            <w:sz w:val="16"/>
            <w:u w:val="none"/>
            <w:effect w:val="none"/>
          </w:rPr>
          <w:t>Index</w:t>
        </w:r>
      </w:hyperlink>
    </w:p>
    <w:p>
      <w:pPr>
        <w:pStyle w:val="TextBody"/>
        <w:bidi w:val="0"/>
        <w:spacing w:before="0" w:after="0"/>
        <w:ind w:left="0" w:right="0" w:firstLine="720"/>
        <w:jc w:val="both"/>
        <w:rPr>
          <w:rFonts w:ascii="Times New Roman" w:hAnsi="Times New Roman"/>
          <w:sz w:val="20"/>
        </w:rPr>
      </w:pPr>
      <w:r>
        <w:rPr>
          <w:rFonts w:ascii="Times New Roman" w:hAnsi="Times New Roman"/>
          <w:sz w:val="20"/>
        </w:rPr>
        <w:t xml:space="preserve">The JPM Loans are secured by substantially all of our assets, including our intellectual property. Events of default include, among others, non-payment of principal, interest or fees, violation of covenants, inaccuracy of representations and warranties, bankruptcy and insolvency events, material judgments, cross-defaults to material contracts and events constituting a change of control. If there is an event of default, we would incur an increase in the rate of interest on the JPM Loans of 2% per annum. The occurrence of an event of default could result in, among other things, the termination of commitments under the JPM Credit Facilities, the declaration that all outstanding loans are immediately due and payable in whole or in part, and JPMorgan taking immediate possession of, and selling, any collateral securing the JPM Loans. </w:t>
      </w:r>
    </w:p>
    <w:p>
      <w:pPr>
        <w:pStyle w:val="TextBody"/>
        <w:bidi w:val="0"/>
        <w:spacing w:before="0" w:after="0"/>
        <w:jc w:val="left"/>
        <w:rPr/>
      </w:pPr>
      <w:r>
        <w:rPr/>
        <w:t xml:space="preserve">  </w:t>
      </w:r>
    </w:p>
    <w:p>
      <w:pPr>
        <w:pStyle w:val="TextBody"/>
        <w:bidi w:val="0"/>
        <w:spacing w:before="0" w:after="0"/>
        <w:jc w:val="left"/>
        <w:rPr>
          <w:rFonts w:ascii="Times New Roman" w:hAnsi="Times New Roman"/>
          <w:sz w:val="20"/>
        </w:rPr>
      </w:pPr>
      <w:r>
        <w:rPr>
          <w:rFonts w:ascii="Times New Roman" w:hAnsi="Times New Roman"/>
          <w:b/>
          <w:i/>
          <w:sz w:val="20"/>
        </w:rPr>
        <w:t>Developments by competitors may render our products or technologies obsolete or non-competitive.</w:t>
      </w:r>
      <w:r>
        <w:rPr>
          <w:rFonts w:ascii="Times New Roman" w:hAnsi="Times New Roman"/>
          <w:sz w:val="20"/>
        </w:rPr>
        <w:t xml:space="preserve"> </w:t>
      </w:r>
    </w:p>
    <w:p>
      <w:pPr>
        <w:pStyle w:val="TextBody"/>
        <w:bidi w:val="0"/>
        <w:spacing w:before="0" w:after="0"/>
        <w:jc w:val="left"/>
        <w:rPr/>
      </w:pPr>
      <w:r>
        <w:rPr/>
        <w:t xml:space="preserve">  </w:t>
      </w:r>
    </w:p>
    <w:p>
      <w:pPr>
        <w:pStyle w:val="TextBody"/>
        <w:bidi w:val="0"/>
        <w:spacing w:before="0" w:after="0"/>
        <w:ind w:left="0" w:right="0" w:firstLine="720"/>
        <w:jc w:val="both"/>
        <w:rPr>
          <w:rFonts w:ascii="Times New Roman" w:hAnsi="Times New Roman"/>
          <w:sz w:val="20"/>
        </w:rPr>
      </w:pPr>
      <w:r>
        <w:rPr>
          <w:rFonts w:ascii="Times New Roman" w:hAnsi="Times New Roman"/>
          <w:sz w:val="20"/>
        </w:rPr>
        <w:t xml:space="preserve">The biotechnology and pharmaceutical industries are intensely competitive and subject to rapid and significant technological and business practice change. Our current products and any future product we may develop will have to compete with other marketed therapies, and certain of such therapies may be available at prices lower than our products. By way of example, beginning in the second half of 2025 and continuing into the first quarter of 2026, new FDA-approved IVIG products, and other pharmaceutical products which compete with certain IVIG product uses, entered the market with aggressive pricing tactics, including extended payment terms, rebates and discounts, raw material plasma supply increased and finished goods inventory across the distribution network increased. This created competitive intensity and distribution recalibration across the industry which, if continued, could impact our future results. In addition, other companies may pursue the development of pharmaceuticals that target the same diseases and conditions that we are targeting. We face competition from pharmaceutical and biotechnology companies in the United States and abroad. In addition, companies pursuing different but related fields represent substantial competition. Many of these organizations competing with us have substantially greater financial resources, larger research and development staffs and facilities, longer product development history in obtaining regulatory approvals and greater manufacturing and marketing capabilities than we do. These organizations also compete with us to attract qualified personnel and parties for acquisitions, joint ventures or other collaborations. </w:t>
      </w:r>
    </w:p>
    <w:p>
      <w:pPr>
        <w:pStyle w:val="TextBody"/>
        <w:bidi w:val="0"/>
        <w:spacing w:before="0" w:after="0"/>
        <w:jc w:val="left"/>
        <w:rPr/>
      </w:pPr>
      <w:r>
        <w:rPr/>
        <w:t xml:space="preserve">  </w:t>
      </w:r>
    </w:p>
    <w:p>
      <w:pPr>
        <w:pStyle w:val="TextBody"/>
        <w:bidi w:val="0"/>
        <w:spacing w:before="0" w:after="0"/>
        <w:jc w:val="left"/>
        <w:rPr>
          <w:rFonts w:ascii="Times New Roman" w:hAnsi="Times New Roman"/>
          <w:sz w:val="20"/>
        </w:rPr>
      </w:pPr>
      <w:r>
        <w:rPr>
          <w:rFonts w:ascii="Times New Roman" w:hAnsi="Times New Roman"/>
          <w:b/>
          <w:i/>
          <w:sz w:val="20"/>
        </w:rPr>
        <w:t>If we are unable to protect our patents, trade secrets or other proprietary rights, if our patents are challenged or if our provisional patent applications do not get approved, our competitiveness and business prospects may be materially damaged.</w:t>
      </w:r>
      <w:r>
        <w:rPr>
          <w:rFonts w:ascii="Times New Roman" w:hAnsi="Times New Roman"/>
          <w:sz w:val="20"/>
        </w:rPr>
        <w:t xml:space="preserve"> </w:t>
      </w:r>
    </w:p>
    <w:p>
      <w:pPr>
        <w:pStyle w:val="TextBody"/>
        <w:bidi w:val="0"/>
        <w:spacing w:before="0" w:after="0"/>
        <w:jc w:val="left"/>
        <w:rPr/>
      </w:pPr>
      <w:r>
        <w:rPr/>
        <w:t xml:space="preserve">  </w:t>
      </w:r>
    </w:p>
    <w:p>
      <w:pPr>
        <w:pStyle w:val="TextBody"/>
        <w:bidi w:val="0"/>
        <w:spacing w:before="0" w:after="0"/>
        <w:ind w:left="0" w:right="0" w:firstLine="720"/>
        <w:jc w:val="both"/>
        <w:rPr>
          <w:rFonts w:ascii="Times New Roman" w:hAnsi="Times New Roman"/>
          <w:sz w:val="20"/>
        </w:rPr>
      </w:pPr>
      <w:r>
        <w:rPr>
          <w:rFonts w:ascii="Times New Roman" w:hAnsi="Times New Roman"/>
          <w:sz w:val="20"/>
        </w:rPr>
        <w:t xml:space="preserve">As we move forward in clinical development, we continue to discover novel technologies related to our products and we may draft patent applications directed to these technologies. We rely on a combination of patent rights, trade secrets, intellectual property assignment agreements and nondisclosure and non-competition agreements to protect our proprietary intellectual property, and we will continue to do so. There can be no assurance that our patents, trade secret policies and practices or other agreements will adequately protect our intellectual property. Our issued patents may be challenged, found to be over-broad or otherwise invalidated in subsequent proceedings before courts, the U.S. Patent and Trademark Office or foreign patent offices. Even if enforceable, we cannot provide any assurances that they will provide significant protection from competition. The processes, systems, and/or security measures we use to preserve the integrity and confidentiality of our data and trade secrets may be breached, and we may not have adequate remedies as a result of any such breaches. In addition, our trade secrets may otherwise become known or be independently discovered by competitors. There can be no assurance that the confidentiality, invention assignment, nondisclosure and non-competition agreements with employees, consultants and other parties with access to our proprietary information to protect our trade secrets, proprietary technology, processes and other proprietary rights, or any other security measures relating to such trade secrets, proprietary technology, processes and proprietary rights, will be adequate, will not be breached, that we will have adequate remedies for any breach, that others will not independently develop substantially equivalent proprietary information or that third parties will not otherwise gain access to our trade secrets or proprietary knowledge. To the extent that our consultants, contractors or collaborators use intellectual property owned by others in their work for us, disputes may arise as to the rights in related or resulting know-how and inventions. </w:t>
      </w:r>
    </w:p>
    <w:p>
      <w:pPr>
        <w:pStyle w:val="TextBody"/>
        <w:bidi w:val="0"/>
        <w:spacing w:before="0" w:after="0"/>
        <w:jc w:val="both"/>
        <w:rPr/>
      </w:pPr>
      <w:r>
        <w:rPr/>
        <w:t xml:space="preserve">  </w:t>
      </w:r>
    </w:p>
    <w:p>
      <w:pPr>
        <w:pStyle w:val="TextBody"/>
        <w:bidi w:val="0"/>
        <w:spacing w:before="150" w:after="15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t>46</w:t>
      </w:r>
    </w:p>
    <w:p>
      <w:pPr>
        <w:pStyle w:val="HorizontalLine"/>
        <w:bidi w:val="0"/>
        <w:spacing w:before="150" w:after="150"/>
        <w:jc w:val="left"/>
        <w:rPr/>
      </w:pPr>
      <w:r>
        <w:rPr/>
      </w:r>
    </w:p>
    <w:p>
      <w:pPr>
        <w:pStyle w:val="TextBody"/>
        <w:bidi w:val="0"/>
        <w:spacing w:before="150" w:after="150"/>
        <w:jc w:val="left"/>
        <w:rPr/>
      </w:pPr>
      <w:hyperlink w:anchor="index">
        <w:r>
          <w:rPr>
            <w:rStyle w:val="InternetLink"/>
            <w:rFonts w:ascii="TimesNewRoman;Times New Roman;Times;Baskerville;Georgia;serif" w:hAnsi="TimesNewRoman;Times New Roman;Times;Baskerville;Georgia;serif"/>
            <w:b w:val="false"/>
            <w:i/>
            <w:caps w:val="false"/>
            <w:smallCaps w:val="false"/>
            <w:strike w:val="false"/>
            <w:dstrike w:val="false"/>
            <w:sz w:val="16"/>
            <w:u w:val="none"/>
            <w:effect w:val="none"/>
          </w:rPr>
          <w:t>Index</w:t>
        </w:r>
      </w:hyperlink>
    </w:p>
    <w:p>
      <w:pPr>
        <w:pStyle w:val="TextBody"/>
        <w:bidi w:val="0"/>
        <w:spacing w:before="0" w:after="0"/>
        <w:jc w:val="left"/>
        <w:rPr>
          <w:rFonts w:ascii="Times New Roman" w:hAnsi="Times New Roman"/>
          <w:sz w:val="20"/>
        </w:rPr>
      </w:pPr>
      <w:r>
        <w:rPr>
          <w:rFonts w:ascii="Times New Roman" w:hAnsi="Times New Roman"/>
          <w:b/>
          <w:i/>
          <w:sz w:val="20"/>
        </w:rPr>
        <w:t>We could lose market exclusivity of a product earlier than expected.</w:t>
      </w:r>
      <w:r>
        <w:rPr>
          <w:rFonts w:ascii="Times New Roman" w:hAnsi="Times New Roman"/>
          <w:sz w:val="20"/>
        </w:rPr>
        <w:t xml:space="preserve"> </w:t>
      </w:r>
    </w:p>
    <w:p>
      <w:pPr>
        <w:pStyle w:val="TextBody"/>
        <w:bidi w:val="0"/>
        <w:spacing w:before="0" w:after="0"/>
        <w:jc w:val="left"/>
        <w:rPr/>
      </w:pPr>
      <w:r>
        <w:rPr/>
        <w:t xml:space="preserve">  </w:t>
      </w:r>
    </w:p>
    <w:p>
      <w:pPr>
        <w:pStyle w:val="TextBody"/>
        <w:bidi w:val="0"/>
        <w:spacing w:before="0" w:after="0"/>
        <w:ind w:left="0" w:right="0" w:firstLine="720"/>
        <w:jc w:val="both"/>
        <w:rPr>
          <w:rFonts w:ascii="Times New Roman" w:hAnsi="Times New Roman"/>
          <w:sz w:val="20"/>
        </w:rPr>
      </w:pPr>
      <w:r>
        <w:rPr>
          <w:rFonts w:ascii="Times New Roman" w:hAnsi="Times New Roman"/>
          <w:sz w:val="20"/>
        </w:rPr>
        <w:t xml:space="preserve">In the pharmaceutical and biotechnology industries, the majority of an innovative product’s commercial value is realized during its market exclusivity period. In the United States and in some other countries, when market exclusivity expires and generic or biosimilar versions are approved and marketed or when biosimilars are introduced (even if only for a competing product), there are usually very substantial and rapid declines in a product’s revenues. </w:t>
      </w:r>
    </w:p>
    <w:p>
      <w:pPr>
        <w:pStyle w:val="TextBody"/>
        <w:bidi w:val="0"/>
        <w:spacing w:before="0" w:after="0"/>
        <w:jc w:val="both"/>
        <w:rPr/>
      </w:pPr>
      <w:r>
        <w:rPr/>
        <w:t xml:space="preserve">  </w:t>
      </w:r>
    </w:p>
    <w:p>
      <w:pPr>
        <w:pStyle w:val="TextBody"/>
        <w:bidi w:val="0"/>
        <w:spacing w:before="0" w:after="0"/>
        <w:ind w:left="0" w:right="0" w:firstLine="720"/>
        <w:jc w:val="both"/>
        <w:rPr>
          <w:rFonts w:ascii="Times New Roman" w:hAnsi="Times New Roman"/>
          <w:sz w:val="20"/>
        </w:rPr>
      </w:pPr>
      <w:r>
        <w:rPr>
          <w:rFonts w:ascii="Times New Roman" w:hAnsi="Times New Roman"/>
          <w:sz w:val="20"/>
        </w:rPr>
        <w:t xml:space="preserve">Market exclusivity for our products is based upon patent rights and certain regulatory forms of exclusivity. The scope of our patent rights may vary from country to country and may also be dependent on the availability of meaningful legal remedies in a country. The failure to obtain patent and other intellectual property rights, limitations on the use or loss of such rights could be material to us. In some countries, basic patent protections for our products may not exist because certain countries did not historically offer the right to obtain specific types of patents and/or we (or our licensors) did not file in those markets. In addition, the patent environment can be unpredictable and the validity and enforceability of patents cannot be predicted with certainty. Absent relevant patent protection for a product, once the data exclusivity period expires, generic versions can be approved and marketed. </w:t>
      </w:r>
    </w:p>
    <w:p>
      <w:pPr>
        <w:pStyle w:val="TextBody"/>
        <w:bidi w:val="0"/>
        <w:spacing w:before="0" w:after="0"/>
        <w:jc w:val="both"/>
        <w:rPr/>
      </w:pPr>
      <w:r>
        <w:rPr/>
        <w:t xml:space="preserve">  </w:t>
      </w:r>
    </w:p>
    <w:p>
      <w:pPr>
        <w:pStyle w:val="TextBody"/>
        <w:bidi w:val="0"/>
        <w:spacing w:before="0" w:after="0"/>
        <w:ind w:left="0" w:right="0" w:firstLine="720"/>
        <w:jc w:val="both"/>
        <w:rPr>
          <w:rFonts w:ascii="Times New Roman" w:hAnsi="Times New Roman"/>
          <w:sz w:val="20"/>
        </w:rPr>
      </w:pPr>
      <w:r>
        <w:rPr>
          <w:rFonts w:ascii="Times New Roman" w:hAnsi="Times New Roman"/>
          <w:sz w:val="20"/>
        </w:rPr>
        <w:t xml:space="preserve">Patent rights covering our products may become subject to patent litigation. In some cases, manufacturers may seek regulatory approval by submitting their own clinical trial data to obtain marketing approval or choose to launch a generic product “at risk” before the expiration of our patent rights/or before the final resolution of related patent litigation. Enforcement of claims in patent litigation can be very costly, time-consuming and no assurance can be given that we will prevail. In addition, any such litigation may divert our management's attention from our core business and reduce the resources available for our clinical development, manufacturing and marketing activities, and consequently have a material and adverse effect on our business and prospects, regardless of the outcome. </w:t>
      </w:r>
    </w:p>
    <w:p>
      <w:pPr>
        <w:pStyle w:val="TextBody"/>
        <w:bidi w:val="0"/>
        <w:spacing w:before="0" w:after="0"/>
        <w:jc w:val="both"/>
        <w:rPr/>
      </w:pPr>
      <w:r>
        <w:rPr/>
        <w:t xml:space="preserve">  </w:t>
      </w:r>
    </w:p>
    <w:p>
      <w:pPr>
        <w:pStyle w:val="TextBody"/>
        <w:bidi w:val="0"/>
        <w:spacing w:before="0" w:after="0"/>
        <w:ind w:left="0" w:right="0" w:firstLine="720"/>
        <w:jc w:val="both"/>
        <w:rPr>
          <w:rFonts w:ascii="Times New Roman" w:hAnsi="Times New Roman"/>
          <w:sz w:val="20"/>
        </w:rPr>
      </w:pPr>
      <w:r>
        <w:rPr>
          <w:rFonts w:ascii="Times New Roman" w:hAnsi="Times New Roman"/>
          <w:sz w:val="20"/>
        </w:rPr>
        <w:t xml:space="preserve">There is no assurance that ASCENIV, or any other of our products for which we are issued a patent, will enjoy market exclusivity for the full time period of the respective patent. </w:t>
      </w:r>
    </w:p>
    <w:p>
      <w:pPr>
        <w:pStyle w:val="TextBody"/>
        <w:bidi w:val="0"/>
        <w:spacing w:before="0" w:after="0"/>
        <w:jc w:val="left"/>
        <w:rPr/>
      </w:pPr>
      <w:r>
        <w:rPr/>
        <w:t xml:space="preserve">  </w:t>
      </w:r>
    </w:p>
    <w:p>
      <w:pPr>
        <w:pStyle w:val="TextBody"/>
        <w:bidi w:val="0"/>
        <w:spacing w:before="0" w:after="0"/>
        <w:jc w:val="both"/>
        <w:rPr>
          <w:rFonts w:ascii="Times New Roman" w:hAnsi="Times New Roman"/>
          <w:sz w:val="20"/>
        </w:rPr>
      </w:pPr>
      <w:r>
        <w:rPr>
          <w:rFonts w:ascii="Times New Roman" w:hAnsi="Times New Roman"/>
          <w:b/>
          <w:i/>
          <w:sz w:val="20"/>
        </w:rPr>
        <w:t>Third parties could obtain patents that may require us to negotiate licenses to conduct our business, and there can be no assurance that the required licenses would be available on reasonable terms or at all.</w:t>
      </w:r>
      <w:r>
        <w:rPr>
          <w:rFonts w:ascii="Times New Roman" w:hAnsi="Times New Roman"/>
          <w:sz w:val="20"/>
        </w:rPr>
        <w:t xml:space="preserve"> </w:t>
      </w:r>
    </w:p>
    <w:p>
      <w:pPr>
        <w:pStyle w:val="TextBody"/>
        <w:bidi w:val="0"/>
        <w:spacing w:before="0" w:after="0"/>
        <w:jc w:val="both"/>
        <w:rPr/>
      </w:pPr>
      <w:r>
        <w:rPr/>
        <w:t xml:space="preserve">  </w:t>
      </w:r>
    </w:p>
    <w:p>
      <w:pPr>
        <w:pStyle w:val="TextBody"/>
        <w:bidi w:val="0"/>
        <w:spacing w:before="0" w:after="0"/>
        <w:ind w:left="0" w:right="0" w:firstLine="720"/>
        <w:jc w:val="both"/>
        <w:rPr>
          <w:rFonts w:ascii="Times New Roman" w:hAnsi="Times New Roman"/>
          <w:sz w:val="20"/>
        </w:rPr>
      </w:pPr>
      <w:r>
        <w:rPr>
          <w:rFonts w:ascii="Times New Roman" w:hAnsi="Times New Roman"/>
          <w:sz w:val="20"/>
        </w:rPr>
        <w:t xml:space="preserve">We may not be able to operate our business without infringing third-party patents. Numerous U.S. and foreign patents and pending patent applications owned by third parties exist in fields that relate to the development and commercialization of immune globulin. In addition, many companies have employed intellectual property litigation as a way to gain a competitive advantage. It is possible that infringement claims may occur as the number of products and competitors in our market increases. In addition, to the extent that we gain greater visibility and market exposure as a public company, we face a greater risk of being the subject of intellectual property infringement claims. We cannot be certain that the conduct of our business does not and will not infringe intellectual property or other proprietary rights of others in the United States and in foreign jurisdictions. If our products, methods, processes and other technologies are found to infringe third-party patent rights, we could be prohibited from manufacturing and commercializing the infringing technology, process or product unless we obtain a license under the applicable third-party patent and pay royalties or are able to design around such patent. We may be unable to obtain a license on terms acceptable to us, or at all, and we may not be able to redesign our products or processes to avoid infringement. Even if we are able to redesign our products or processes to avoid an infringement claim, our efforts to design around the patent could require significant time, effort and expense and ultimately may lead to an inferior or more costly product and/or process. Any claim of infringement by a third party, even those without merit, could cause us to incur substantial costs defending against the claim and could distract our management from our business. Furthermore, if any such claim is successful, a court could order us to pay substantial damages, including compensatory damages for any infringement, plus prejudgment interest and could, in certain circumstances, treble the compensatory damages and award attorney fees. These damages could be substantial and could harm our reputation, business, financial condition and operating results. A court also could enter orders that temporarily, preliminarily or permanently prohibit us, our licensees, if any, or our customers from making, using, selling, offering to sell or importing one or more of our products or practicing our proprietary technologies or processes, or could enter an order mandating that we undertake certain remedial activities. Any of these events could seriously harm our business, operating results and financial condition. </w:t>
      </w:r>
    </w:p>
    <w:p>
      <w:pPr>
        <w:pStyle w:val="TextBody"/>
        <w:bidi w:val="0"/>
        <w:spacing w:before="0" w:after="0"/>
        <w:jc w:val="left"/>
        <w:rPr/>
      </w:pPr>
      <w:r>
        <w:rPr/>
        <w:t xml:space="preserve">  </w:t>
      </w:r>
    </w:p>
    <w:p>
      <w:pPr>
        <w:pStyle w:val="TextBody"/>
        <w:bidi w:val="0"/>
        <w:spacing w:before="150" w:after="15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t>47</w:t>
      </w:r>
    </w:p>
    <w:p>
      <w:pPr>
        <w:pStyle w:val="HorizontalLine"/>
        <w:bidi w:val="0"/>
        <w:spacing w:before="150" w:after="150"/>
        <w:jc w:val="left"/>
        <w:rPr/>
      </w:pPr>
      <w:r>
        <w:rPr/>
      </w:r>
    </w:p>
    <w:p>
      <w:pPr>
        <w:pStyle w:val="TextBody"/>
        <w:bidi w:val="0"/>
        <w:spacing w:before="150" w:after="150"/>
        <w:jc w:val="left"/>
        <w:rPr/>
      </w:pPr>
      <w:hyperlink w:anchor="index">
        <w:r>
          <w:rPr>
            <w:rStyle w:val="InternetLink"/>
            <w:rFonts w:ascii="TimesNewRoman;Times New Roman;Times;Baskerville;Georgia;serif" w:hAnsi="TimesNewRoman;Times New Roman;Times;Baskerville;Georgia;serif"/>
            <w:b w:val="false"/>
            <w:i/>
            <w:caps w:val="false"/>
            <w:smallCaps w:val="false"/>
            <w:strike w:val="false"/>
            <w:dstrike w:val="false"/>
            <w:sz w:val="16"/>
            <w:u w:val="none"/>
            <w:effect w:val="none"/>
          </w:rPr>
          <w:t>Index</w:t>
        </w:r>
      </w:hyperlink>
    </w:p>
    <w:p>
      <w:pPr>
        <w:pStyle w:val="TextBody"/>
        <w:bidi w:val="0"/>
        <w:spacing w:before="0" w:after="0"/>
        <w:jc w:val="left"/>
        <w:rPr>
          <w:rFonts w:ascii="Times New Roman" w:hAnsi="Times New Roman"/>
          <w:sz w:val="20"/>
        </w:rPr>
      </w:pPr>
      <w:r>
        <w:rPr>
          <w:rFonts w:ascii="Times New Roman" w:hAnsi="Times New Roman"/>
          <w:b/>
          <w:i/>
          <w:sz w:val="20"/>
        </w:rPr>
        <w:t>If we are unable to successfully manage our growth, our business may be harmed.</w:t>
      </w:r>
      <w:r>
        <w:rPr>
          <w:rFonts w:ascii="Times New Roman" w:hAnsi="Times New Roman"/>
          <w:sz w:val="20"/>
        </w:rPr>
        <w:t xml:space="preserve"> </w:t>
      </w:r>
    </w:p>
    <w:p>
      <w:pPr>
        <w:pStyle w:val="TextBody"/>
        <w:bidi w:val="0"/>
        <w:spacing w:before="0" w:after="0"/>
        <w:jc w:val="left"/>
        <w:rPr/>
      </w:pPr>
      <w:r>
        <w:rPr/>
        <w:t xml:space="preserve">  </w:t>
      </w:r>
    </w:p>
    <w:p>
      <w:pPr>
        <w:pStyle w:val="TextBody"/>
        <w:bidi w:val="0"/>
        <w:spacing w:before="0" w:after="0"/>
        <w:ind w:left="0" w:right="0" w:firstLine="720"/>
        <w:jc w:val="both"/>
        <w:rPr>
          <w:rFonts w:ascii="Times New Roman" w:hAnsi="Times New Roman"/>
          <w:sz w:val="20"/>
        </w:rPr>
      </w:pPr>
      <w:r>
        <w:rPr>
          <w:rFonts w:ascii="Times New Roman" w:hAnsi="Times New Roman"/>
          <w:sz w:val="20"/>
        </w:rPr>
        <w:t xml:space="preserve">Our success will depend on the expansion of our commercial and manufacturing activities, supply of raw material plasma and overall operations and the effective management of our growth, which will place a significant strain on our management and on our administrative, operational and financial resources. To manage this growth, we must expand our operational, financial and management systems and hire and train additional qualified personnel. If we are unable to manage our growth effectively, our business could be harmed. </w:t>
      </w:r>
    </w:p>
    <w:p>
      <w:pPr>
        <w:pStyle w:val="TextBody"/>
        <w:bidi w:val="0"/>
        <w:spacing w:before="0" w:after="0"/>
        <w:jc w:val="left"/>
        <w:rPr/>
      </w:pPr>
      <w:r>
        <w:rPr/>
        <w:t xml:space="preserve">  </w:t>
      </w:r>
    </w:p>
    <w:p>
      <w:pPr>
        <w:pStyle w:val="TextBody"/>
        <w:bidi w:val="0"/>
        <w:spacing w:before="0" w:after="0"/>
        <w:jc w:val="left"/>
        <w:rPr>
          <w:rFonts w:ascii="Times New Roman" w:hAnsi="Times New Roman"/>
          <w:sz w:val="20"/>
        </w:rPr>
      </w:pPr>
      <w:r>
        <w:rPr>
          <w:rFonts w:ascii="Times New Roman" w:hAnsi="Times New Roman"/>
          <w:b/>
          <w:i/>
          <w:sz w:val="20"/>
        </w:rPr>
        <w:t>The loss of one or more key members of our management team could adversely affect our business.</w:t>
      </w:r>
      <w:r>
        <w:rPr>
          <w:rFonts w:ascii="Times New Roman" w:hAnsi="Times New Roman"/>
          <w:sz w:val="20"/>
        </w:rPr>
        <w:t xml:space="preserve"> </w:t>
      </w:r>
    </w:p>
    <w:p>
      <w:pPr>
        <w:pStyle w:val="TextBody"/>
        <w:bidi w:val="0"/>
        <w:spacing w:before="0" w:after="0"/>
        <w:jc w:val="both"/>
        <w:rPr/>
      </w:pPr>
      <w:r>
        <w:rPr/>
        <w:t xml:space="preserve">  </w:t>
      </w:r>
    </w:p>
    <w:p>
      <w:pPr>
        <w:pStyle w:val="TextBody"/>
        <w:bidi w:val="0"/>
        <w:spacing w:before="0" w:after="0"/>
        <w:ind w:left="0" w:right="0" w:firstLine="720"/>
        <w:jc w:val="both"/>
        <w:rPr>
          <w:rFonts w:ascii="Times New Roman" w:hAnsi="Times New Roman"/>
          <w:sz w:val="20"/>
        </w:rPr>
      </w:pPr>
      <w:r>
        <w:rPr>
          <w:rFonts w:ascii="Times New Roman" w:hAnsi="Times New Roman"/>
          <w:sz w:val="20"/>
        </w:rPr>
        <w:t xml:space="preserve">Our performance is substantially dependent on the continued service and performance of our management team, who have extensive experience and specialized expertise in our business. In particular, the loss of Adam S. Grossman, our President and Chief Executive Officer, could adversely affect our business and operating results. We do not have “key person” life insurance policies for any members of our management team. We have employment agreements with each of our executive officers; however, the existence of an employment agreement does not guarantee retention of members of our management team. The loss of services of key personnel, or the inability to attract and retain additional qualified personnel, could result in delays in development or approval of our product candidates and diversion of management resources. </w:t>
      </w:r>
    </w:p>
    <w:p>
      <w:pPr>
        <w:pStyle w:val="TextBody"/>
        <w:bidi w:val="0"/>
        <w:spacing w:before="0" w:after="0"/>
        <w:jc w:val="left"/>
        <w:rPr/>
      </w:pPr>
      <w:r>
        <w:rPr/>
        <w:t xml:space="preserve">  </w:t>
      </w:r>
    </w:p>
    <w:p>
      <w:pPr>
        <w:pStyle w:val="TextBody"/>
        <w:bidi w:val="0"/>
        <w:spacing w:before="0" w:after="0"/>
        <w:jc w:val="both"/>
        <w:rPr>
          <w:rFonts w:ascii="Times New Roman" w:hAnsi="Times New Roman"/>
          <w:sz w:val="20"/>
        </w:rPr>
      </w:pPr>
      <w:r>
        <w:rPr>
          <w:rFonts w:ascii="Times New Roman" w:hAnsi="Times New Roman"/>
          <w:b/>
          <w:i/>
          <w:sz w:val="20"/>
        </w:rPr>
        <w:t>Cyberattacks and other security breaches could compromise our proprietary and confidential information or otherwise penetrate our network, which could harm our business and reputation.</w:t>
      </w:r>
      <w:r>
        <w:rPr>
          <w:rFonts w:ascii="Times New Roman" w:hAnsi="Times New Roman"/>
          <w:sz w:val="20"/>
        </w:rPr>
        <w:t xml:space="preserve"> </w:t>
      </w:r>
    </w:p>
    <w:p>
      <w:pPr>
        <w:pStyle w:val="TextBody"/>
        <w:bidi w:val="0"/>
        <w:spacing w:before="0" w:after="0"/>
        <w:jc w:val="both"/>
        <w:rPr/>
      </w:pPr>
      <w:r>
        <w:rPr/>
        <w:t xml:space="preserve">  </w:t>
      </w:r>
    </w:p>
    <w:p>
      <w:pPr>
        <w:pStyle w:val="TextBody"/>
        <w:bidi w:val="0"/>
        <w:spacing w:before="0" w:after="0"/>
        <w:ind w:left="0" w:right="0" w:firstLine="720"/>
        <w:jc w:val="both"/>
        <w:rPr>
          <w:rFonts w:ascii="Times New Roman" w:hAnsi="Times New Roman"/>
          <w:sz w:val="20"/>
        </w:rPr>
      </w:pPr>
      <w:r>
        <w:rPr>
          <w:rFonts w:ascii="Times New Roman" w:hAnsi="Times New Roman"/>
          <w:sz w:val="20"/>
        </w:rPr>
        <w:t xml:space="preserve">In the ordinary course of our business, we generate, collect and store proprietary information, including intellectual property and business information. The secure storage, maintenance, and transmission of and access to this information is important to our operations and reputation. Computer hackers may attempt to penetrate our computer systems and, if successful, misappropriate personal data and our proprietary and confidential information including e-mails and other electronic communications. Cybersecurity vulnerabilities can also arise from human error, fraud or malice on the part of our employees, other insiders, vendors, suppliers, other third parties, or from technology or product enhancements or the migration of information and data to new technology platforms, systems or applications. Hackers and other threat actors may impersonate our vendors, suppliers or other third parties with whom we do business, which may result in financial harm to our business. Further, while many of our employees and certain suppliers with whom we do business operate in a remote working environment, the risk of cybersecurity attacks and data breaches, particularly through phishing attempts and ransomware attacks, may be increased as we and third parties with whom we interact leverage our IT infrastructure in unanticipated ways. In addition, an employee, contractor, or other third parties with whom we do business may attempt to obtain such information and may purposefully or inadvertently cause a breach involving such information. While we have certain safeguards in place to reduce the risk of and detect cyberattacks, including a Company-wide cybersecurity policy, our information technology networks and infrastructure may be vulnerable to unpermitted access by hackers or other breaches, or employee error or malfeasance. Any such compromise of our data security and access to, integrity, availability of, or public disclosure or loss of, confidential business or proprietary information could disrupt our operations, damage our reputation, provide our competitors with valuable information and subject us to additional costs which could adversely affect our business and reputation. We have set out in our 2025 10-K our obligations relating to cybersecurity under certain laws and potential liabilities and risks arising from any infringements under these laws. We may also be subject to additional industry-specific privacy, cybersecurity, data protection, operational and information systems resilience, and artificial intelligence-related laws in the applicable jurisdictions which may subject us to additional similar risks and impacts. </w:t>
      </w:r>
    </w:p>
    <w:p>
      <w:pPr>
        <w:pStyle w:val="TextBody"/>
        <w:bidi w:val="0"/>
        <w:spacing w:before="0" w:after="0"/>
        <w:jc w:val="both"/>
        <w:rPr/>
      </w:pPr>
      <w:r>
        <w:rPr/>
        <w:t xml:space="preserve">  </w:t>
      </w:r>
    </w:p>
    <w:p>
      <w:pPr>
        <w:pStyle w:val="TextBody"/>
        <w:bidi w:val="0"/>
        <w:spacing w:before="0" w:after="0"/>
        <w:jc w:val="both"/>
        <w:rPr>
          <w:rFonts w:ascii="Times New Roman" w:hAnsi="Times New Roman"/>
          <w:sz w:val="20"/>
        </w:rPr>
      </w:pPr>
      <w:r>
        <w:rPr>
          <w:rFonts w:ascii="Times New Roman" w:hAnsi="Times New Roman"/>
          <w:b/>
          <w:i/>
          <w:sz w:val="20"/>
        </w:rPr>
        <w:t>Issues in the development and use of AI may result in reputational harm and increased liability exposure.</w:t>
      </w:r>
      <w:r>
        <w:rPr>
          <w:rFonts w:ascii="Times New Roman" w:hAnsi="Times New Roman"/>
          <w:sz w:val="20"/>
        </w:rPr>
        <w:t xml:space="preserve"> </w:t>
      </w:r>
    </w:p>
    <w:p>
      <w:pPr>
        <w:pStyle w:val="TextBody"/>
        <w:bidi w:val="0"/>
        <w:spacing w:before="0" w:after="0"/>
        <w:jc w:val="both"/>
        <w:rPr/>
      </w:pPr>
      <w:r>
        <w:rPr/>
        <w:t xml:space="preserve">  </w:t>
      </w:r>
    </w:p>
    <w:p>
      <w:pPr>
        <w:pStyle w:val="TextBody"/>
        <w:bidi w:val="0"/>
        <w:spacing w:before="0" w:after="0"/>
        <w:ind w:left="0" w:right="0" w:firstLine="720"/>
        <w:jc w:val="both"/>
        <w:rPr>
          <w:rFonts w:ascii="Times New Roman" w:hAnsi="Times New Roman"/>
          <w:sz w:val="20"/>
        </w:rPr>
      </w:pPr>
      <w:r>
        <w:rPr>
          <w:rFonts w:ascii="Times New Roman" w:hAnsi="Times New Roman"/>
          <w:sz w:val="20"/>
        </w:rPr>
        <w:t xml:space="preserve">We have engaged a third-party firm to assist the Company with the development and deployment of an AI tool, ADMAlytics, to improve efficiencies across our supply chain, production, and commercial operations. This tool has been used to assist with activities including plasma pool composition and identifying other manufacturing efficiencies to streamline certain operational processes. While we have successfully implemented ADMAlytics in certain aspects of our commercial manufacturing and expanded its use throughout fiscal year 2025, the development, implementation, and ongoing use of AI technologies involve inherent risks. While ADMA has not experienced any issues to date, these risks include potential data inaccuracies, flawed assumptions, system errors, cybersecurity vulnerabilities, unintended outcomes, and difficulties in integrating AI-driven insights into complex and highly regulated manufacturing and operational environments. If ADMAlytics fails to perform as intended or produces unreliable or biased outputs, our reputation could be harmed and we could be subject to legal exposure, which could adversely affect our business, results of operations, and financial condition. </w:t>
      </w:r>
    </w:p>
    <w:p>
      <w:pPr>
        <w:pStyle w:val="TextBody"/>
        <w:bidi w:val="0"/>
        <w:spacing w:before="0" w:after="0"/>
        <w:jc w:val="both"/>
        <w:rPr/>
      </w:pPr>
      <w:r>
        <w:rPr/>
        <w:t xml:space="preserve">  </w:t>
      </w:r>
    </w:p>
    <w:p>
      <w:pPr>
        <w:pStyle w:val="TextBody"/>
        <w:bidi w:val="0"/>
        <w:spacing w:before="150" w:after="15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t>48</w:t>
      </w:r>
    </w:p>
    <w:p>
      <w:pPr>
        <w:pStyle w:val="HorizontalLine"/>
        <w:bidi w:val="0"/>
        <w:spacing w:before="150" w:after="150"/>
        <w:jc w:val="left"/>
        <w:rPr/>
      </w:pPr>
      <w:r>
        <w:rPr/>
      </w:r>
    </w:p>
    <w:p>
      <w:pPr>
        <w:pStyle w:val="TextBody"/>
        <w:bidi w:val="0"/>
        <w:spacing w:before="150" w:after="150"/>
        <w:jc w:val="left"/>
        <w:rPr/>
      </w:pPr>
      <w:hyperlink w:anchor="index">
        <w:r>
          <w:rPr>
            <w:rStyle w:val="InternetLink"/>
            <w:rFonts w:ascii="TimesNewRoman;Times New Roman;Times;Baskerville;Georgia;serif" w:hAnsi="TimesNewRoman;Times New Roman;Times;Baskerville;Georgia;serif"/>
            <w:b w:val="false"/>
            <w:i/>
            <w:caps w:val="false"/>
            <w:smallCaps w:val="false"/>
            <w:strike w:val="false"/>
            <w:dstrike w:val="false"/>
            <w:sz w:val="16"/>
            <w:u w:val="none"/>
            <w:effect w:val="none"/>
          </w:rPr>
          <w:t>Index</w:t>
        </w:r>
      </w:hyperlink>
    </w:p>
    <w:p>
      <w:pPr>
        <w:pStyle w:val="TextBody"/>
        <w:bidi w:val="0"/>
        <w:spacing w:before="0" w:after="0"/>
        <w:jc w:val="both"/>
        <w:rPr>
          <w:rFonts w:ascii="Times New Roman" w:hAnsi="Times New Roman"/>
          <w:sz w:val="20"/>
        </w:rPr>
      </w:pPr>
      <w:r>
        <w:rPr>
          <w:rFonts w:ascii="Times New Roman" w:hAnsi="Times New Roman"/>
          <w:b/>
          <w:i/>
          <w:sz w:val="20"/>
        </w:rPr>
        <w:t>If we are unable to hire and retain a substantial number of qualified personnel, our ability to sustain and grow our business may be harmed.</w:t>
      </w:r>
      <w:r>
        <w:rPr>
          <w:rFonts w:ascii="Times New Roman" w:hAnsi="Times New Roman"/>
          <w:sz w:val="20"/>
        </w:rPr>
        <w:t xml:space="preserve"> </w:t>
      </w:r>
    </w:p>
    <w:p>
      <w:pPr>
        <w:pStyle w:val="TextBody"/>
        <w:bidi w:val="0"/>
        <w:spacing w:before="0" w:after="0"/>
        <w:jc w:val="both"/>
        <w:rPr/>
      </w:pPr>
      <w:r>
        <w:rPr/>
        <w:t xml:space="preserve">  </w:t>
      </w:r>
    </w:p>
    <w:p>
      <w:pPr>
        <w:pStyle w:val="TextBody"/>
        <w:bidi w:val="0"/>
        <w:spacing w:before="0" w:after="0"/>
        <w:ind w:left="0" w:right="0" w:firstLine="720"/>
        <w:jc w:val="both"/>
        <w:rPr>
          <w:rFonts w:ascii="Times New Roman" w:hAnsi="Times New Roman"/>
          <w:sz w:val="20"/>
        </w:rPr>
      </w:pPr>
      <w:r>
        <w:rPr>
          <w:rFonts w:ascii="Times New Roman" w:hAnsi="Times New Roman"/>
          <w:sz w:val="20"/>
        </w:rPr>
        <w:t xml:space="preserve">Our success depends in part on our ability to attract, motivate, and retain a sufficient number of qualified employees across various areas of our operations, such as research and development, manufacturing operations and sales, who understand and appreciate our strategy and culture and are able to contribute to our mission. We will need to hire additional qualified personnel with expertise in commercialization, sales, marketing, medical affairs, reimbursement, government regulation, formulation, quality control, manufacturing, finance, general and operational management and plasma collections. In particular, over the next 12-24 months, we may hire additional new employees devoted to our plasma collection centers, commercialization, sales, marketing, medical and scientific affairs, regulatory affairs, quality control, information technology, finance and general and operational management. Qualified individuals of the requisite caliber and number needed to fill these positions may be in short supply in some areas. We compete for qualified individuals with numerous biopharmaceutical companies, universities and other research institutions. Competition for such individuals is intense, and we cannot assure you that our search for such personnel will be successful. If we are unable to hire and retain personnel capable of consistently performing at a high level, our business and operations could be materially adversely affected. Additionally, any material increases in existing employee turnover rates or increases in labor costs could have a material adverse effect on our business, financial condition or operating results. </w:t>
      </w:r>
    </w:p>
    <w:p>
      <w:pPr>
        <w:pStyle w:val="TextBody"/>
        <w:bidi w:val="0"/>
        <w:spacing w:before="0" w:after="0"/>
        <w:jc w:val="both"/>
        <w:rPr/>
      </w:pPr>
      <w:r>
        <w:rPr/>
        <w:t xml:space="preserve">  </w:t>
      </w:r>
    </w:p>
    <w:p>
      <w:pPr>
        <w:pStyle w:val="TextBody"/>
        <w:bidi w:val="0"/>
        <w:spacing w:before="0" w:after="0"/>
        <w:jc w:val="both"/>
        <w:rPr>
          <w:rFonts w:ascii="Times New Roman" w:hAnsi="Times New Roman"/>
          <w:sz w:val="20"/>
        </w:rPr>
      </w:pPr>
      <w:r>
        <w:rPr>
          <w:rFonts w:ascii="Times New Roman" w:hAnsi="Times New Roman"/>
          <w:b/>
          <w:i/>
          <w:sz w:val="20"/>
        </w:rPr>
        <w:t>We currently collect human blood plasma at our ADMA BioCenters facilities, and if we cannot maintain FDA licensure for these facilities or obtain FDA licensure for additional facilities that we may construct or acquire rights to, we may be adversely affected and may not be able to sell or use this human blood plasma for future commercial purposes.</w:t>
      </w:r>
      <w:r>
        <w:rPr>
          <w:rFonts w:ascii="Times New Roman" w:hAnsi="Times New Roman"/>
          <w:sz w:val="20"/>
        </w:rPr>
        <w:t xml:space="preserve"> </w:t>
      </w:r>
    </w:p>
    <w:p>
      <w:pPr>
        <w:pStyle w:val="TextBody"/>
        <w:bidi w:val="0"/>
        <w:spacing w:before="0" w:after="0"/>
        <w:jc w:val="left"/>
        <w:rPr/>
      </w:pPr>
      <w:r>
        <w:rPr/>
        <w:t xml:space="preserve">  </w:t>
      </w:r>
    </w:p>
    <w:p>
      <w:pPr>
        <w:pStyle w:val="TextBody"/>
        <w:bidi w:val="0"/>
        <w:spacing w:before="0" w:after="0"/>
        <w:ind w:left="0" w:right="0" w:firstLine="720"/>
        <w:jc w:val="both"/>
        <w:rPr>
          <w:rFonts w:ascii="Times New Roman" w:hAnsi="Times New Roman"/>
          <w:sz w:val="20"/>
        </w:rPr>
      </w:pPr>
      <w:r>
        <w:rPr>
          <w:rFonts w:ascii="Times New Roman" w:hAnsi="Times New Roman"/>
          <w:sz w:val="20"/>
        </w:rPr>
        <w:t xml:space="preserve">We intend to maintain FDA licensure of our current and future ADMA BioCenters collection facilities for the collection of human blood plasma and we may seek other governmental and regulatory approvals for these facilities. Collection facilities are subject to FDA and potentially other governmental and regulatory inspections and extensive regulation, including compliance with current cGMP and blood standards and FDA licensure and other governmental approvals, as applicable. Failure to comply with applicable governmental regulations or to receive applicable approvals for our current or future facilities may result in enforcement actions, such as adverse inspection reports, warning or untitled letters, product recalls or seizures, monetary sanctions, injunctions to halt manufacture and distribution of products, civil or criminal sanctions, costly litigation, refusal of regulatory authority approvals and licenses, restrictions on operations or withdrawal of existing approvals and licenses, any of which may significantly delay or suspend our operations for these locations, potentially having a material adverse effect on our ability to manufacture our products or offer for sale plasma collected at the affected sites. Failure to comply with applicable governmental regulations may also impact the ultimate quality and compliance of our finished biologic products, which may have a material adverse effect on our business. </w:t>
      </w:r>
    </w:p>
    <w:p>
      <w:pPr>
        <w:pStyle w:val="TextBody"/>
        <w:bidi w:val="0"/>
        <w:spacing w:before="0" w:after="0"/>
        <w:jc w:val="left"/>
        <w:rPr/>
      </w:pPr>
      <w:r>
        <w:rPr/>
        <w:t xml:space="preserve">  </w:t>
      </w:r>
    </w:p>
    <w:p>
      <w:pPr>
        <w:pStyle w:val="TextBody"/>
        <w:bidi w:val="0"/>
        <w:spacing w:before="0" w:after="0"/>
        <w:jc w:val="both"/>
        <w:rPr>
          <w:rFonts w:ascii="Times New Roman" w:hAnsi="Times New Roman"/>
          <w:sz w:val="20"/>
        </w:rPr>
      </w:pPr>
      <w:r>
        <w:rPr>
          <w:rFonts w:ascii="Times New Roman" w:hAnsi="Times New Roman"/>
          <w:b/>
          <w:i/>
          <w:sz w:val="20"/>
        </w:rPr>
        <w:t>We manufacture our current marketed products, pipeline products, and products for third parties in our manufacturing and testing facilities, and if we or our vendors cannot maintain appropriate FDA status for these facilities, we may be adversely affected, and may not be able to sell, manufacture or commercialize these products.</w:t>
      </w:r>
      <w:r>
        <w:rPr>
          <w:rFonts w:ascii="Times New Roman" w:hAnsi="Times New Roman"/>
          <w:sz w:val="20"/>
        </w:rPr>
        <w:t xml:space="preserve"> </w:t>
      </w:r>
    </w:p>
    <w:p>
      <w:pPr>
        <w:pStyle w:val="TextBody"/>
        <w:bidi w:val="0"/>
        <w:spacing w:before="0" w:after="0"/>
        <w:jc w:val="left"/>
        <w:rPr/>
      </w:pPr>
      <w:r>
        <w:rPr/>
        <w:t xml:space="preserve">  </w:t>
      </w:r>
    </w:p>
    <w:p>
      <w:pPr>
        <w:pStyle w:val="TextBody"/>
        <w:bidi w:val="0"/>
        <w:spacing w:before="0" w:after="0"/>
        <w:ind w:left="0" w:right="0" w:firstLine="720"/>
        <w:jc w:val="both"/>
        <w:rPr>
          <w:rFonts w:ascii="Times New Roman" w:hAnsi="Times New Roman"/>
          <w:sz w:val="20"/>
        </w:rPr>
      </w:pPr>
      <w:r>
        <w:rPr>
          <w:rFonts w:ascii="Times New Roman" w:hAnsi="Times New Roman"/>
          <w:sz w:val="20"/>
        </w:rPr>
        <w:t xml:space="preserve">There are no assurances we will be able to maintain compliance with all FDA or other regulations. There is also no guarantee that we will be able to fulfill our contractual requirements to our customers. Moreover, to the extent that we use third-party vendors to fulfill our regulatory or contractual requirements, these third-party vendors may perform activities for themselves or other clients and we may not be privy to all regulatory findings or issues discovered by the FDA or other regulatory agencies. Such findings, which are out of our control, may adversely affect our ability to continue to work with these vendors, or our ability to release commercial drug product or perform necessary testing or other actions for us or our clients, which may be required in order to remain FDA compliant or to commercialize our products. If we are not able to maintain manufacturing compliance at our facilities or our vendors’ facilities for our products and product candidates, we may not be able to successfully develop and commercialize our products and product candidates and we may face potential contractual or regulatory actions, which would have an adverse impact on our business. </w:t>
      </w:r>
    </w:p>
    <w:p>
      <w:pPr>
        <w:pStyle w:val="TextBody"/>
        <w:bidi w:val="0"/>
        <w:spacing w:before="0" w:after="0"/>
        <w:jc w:val="left"/>
        <w:rPr/>
      </w:pPr>
      <w:r>
        <w:rPr/>
        <w:t xml:space="preserve">  </w:t>
      </w:r>
    </w:p>
    <w:p>
      <w:pPr>
        <w:pStyle w:val="TextBody"/>
        <w:bidi w:val="0"/>
        <w:spacing w:before="150" w:after="15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t>49</w:t>
      </w:r>
    </w:p>
    <w:p>
      <w:pPr>
        <w:pStyle w:val="HorizontalLine"/>
        <w:bidi w:val="0"/>
        <w:spacing w:before="150" w:after="150"/>
        <w:jc w:val="left"/>
        <w:rPr/>
      </w:pPr>
      <w:r>
        <w:rPr/>
      </w:r>
    </w:p>
    <w:p>
      <w:pPr>
        <w:pStyle w:val="TextBody"/>
        <w:bidi w:val="0"/>
        <w:spacing w:before="150" w:after="150"/>
        <w:jc w:val="left"/>
        <w:rPr/>
      </w:pPr>
      <w:hyperlink w:anchor="index">
        <w:r>
          <w:rPr>
            <w:rStyle w:val="InternetLink"/>
            <w:rFonts w:ascii="TimesNewRoman;Times New Roman;Times;Baskerville;Georgia;serif" w:hAnsi="TimesNewRoman;Times New Roman;Times;Baskerville;Georgia;serif"/>
            <w:b w:val="false"/>
            <w:i/>
            <w:caps w:val="false"/>
            <w:smallCaps w:val="false"/>
            <w:strike w:val="false"/>
            <w:dstrike w:val="false"/>
            <w:sz w:val="16"/>
            <w:u w:val="none"/>
            <w:effect w:val="none"/>
          </w:rPr>
          <w:t>Index</w:t>
        </w:r>
      </w:hyperlink>
    </w:p>
    <w:p>
      <w:pPr>
        <w:pStyle w:val="TextBody"/>
        <w:bidi w:val="0"/>
        <w:spacing w:before="0" w:after="0"/>
        <w:jc w:val="both"/>
        <w:rPr>
          <w:rFonts w:ascii="Times New Roman" w:hAnsi="Times New Roman"/>
          <w:sz w:val="20"/>
        </w:rPr>
      </w:pPr>
      <w:r>
        <w:rPr>
          <w:rFonts w:ascii="Times New Roman" w:hAnsi="Times New Roman"/>
          <w:b/>
          <w:i/>
          <w:sz w:val="20"/>
        </w:rPr>
        <w:t>We may incur substantial liabilities and may be required to limit commercialization of our products in response to product liability lawsuits.</w:t>
      </w:r>
      <w:r>
        <w:rPr>
          <w:rFonts w:ascii="Times New Roman" w:hAnsi="Times New Roman"/>
          <w:sz w:val="20"/>
        </w:rPr>
        <w:t xml:space="preserve"> </w:t>
      </w:r>
    </w:p>
    <w:p>
      <w:pPr>
        <w:pStyle w:val="TextBody"/>
        <w:bidi w:val="0"/>
        <w:spacing w:before="0" w:after="0"/>
        <w:jc w:val="both"/>
        <w:rPr/>
      </w:pPr>
      <w:r>
        <w:rPr/>
        <w:t xml:space="preserve">  </w:t>
      </w:r>
    </w:p>
    <w:p>
      <w:pPr>
        <w:pStyle w:val="TextBody"/>
        <w:bidi w:val="0"/>
        <w:spacing w:before="0" w:after="0"/>
        <w:ind w:left="0" w:right="0" w:firstLine="720"/>
        <w:jc w:val="both"/>
        <w:rPr>
          <w:rFonts w:ascii="Times New Roman" w:hAnsi="Times New Roman"/>
          <w:sz w:val="20"/>
        </w:rPr>
      </w:pPr>
      <w:r>
        <w:rPr>
          <w:rFonts w:ascii="Times New Roman" w:hAnsi="Times New Roman"/>
          <w:sz w:val="20"/>
        </w:rPr>
        <w:t xml:space="preserve">The testing and marketing of medical products entail an inherent risk of product liability. If we cannot successfully defend ourselves against product liability claims, we may incur substantial liabilities or be required to limit commercialization of our products. Product liability claims may also result in recalls and/or regulatory enforcement actions. Even successful defense, however, could impair our results of operations. Our inability to obtain and maintain sufficient product liability insurance at an acceptable cost to protect against potential product liability claims could prevent or inhibit the commercialization of pharmaceutical products we develop, either alone or with collaborators. </w:t>
      </w:r>
    </w:p>
    <w:p>
      <w:pPr>
        <w:pStyle w:val="TextBody"/>
        <w:bidi w:val="0"/>
        <w:spacing w:before="0" w:after="0"/>
        <w:jc w:val="both"/>
        <w:rPr/>
      </w:pPr>
      <w:r>
        <w:rPr/>
        <w:t xml:space="preserve">  </w:t>
      </w:r>
    </w:p>
    <w:p>
      <w:pPr>
        <w:pStyle w:val="TextBody"/>
        <w:bidi w:val="0"/>
        <w:spacing w:before="0" w:after="0"/>
        <w:jc w:val="both"/>
        <w:rPr>
          <w:rFonts w:ascii="Times New Roman" w:hAnsi="Times New Roman"/>
          <w:sz w:val="20"/>
        </w:rPr>
      </w:pPr>
      <w:r>
        <w:rPr>
          <w:rFonts w:ascii="Times New Roman" w:hAnsi="Times New Roman"/>
          <w:b/>
          <w:i/>
          <w:sz w:val="20"/>
        </w:rPr>
        <w:t>Many of our business practices are subject to scrutiny by federal and state regulatory authorities, as well as to lawsuits brought by private citizens under federal and state laws. Failure to comply with applicable law or an adverse decision in lawsuits may result in adverse consequences to us.</w:t>
      </w:r>
      <w:r>
        <w:rPr>
          <w:rFonts w:ascii="Times New Roman" w:hAnsi="Times New Roman"/>
          <w:sz w:val="20"/>
        </w:rPr>
        <w:t xml:space="preserve"> </w:t>
      </w:r>
    </w:p>
    <w:p>
      <w:pPr>
        <w:pStyle w:val="TextBody"/>
        <w:bidi w:val="0"/>
        <w:spacing w:before="0" w:after="0"/>
        <w:jc w:val="both"/>
        <w:rPr/>
      </w:pPr>
      <w:r>
        <w:rPr/>
        <w:t xml:space="preserve">  </w:t>
      </w:r>
    </w:p>
    <w:p>
      <w:pPr>
        <w:pStyle w:val="TextBody"/>
        <w:bidi w:val="0"/>
        <w:spacing w:before="0" w:after="0"/>
        <w:ind w:left="0" w:right="0" w:firstLine="720"/>
        <w:jc w:val="both"/>
        <w:rPr>
          <w:rFonts w:ascii="Times New Roman" w:hAnsi="Times New Roman"/>
          <w:sz w:val="20"/>
        </w:rPr>
      </w:pPr>
      <w:r>
        <w:rPr>
          <w:rFonts w:ascii="Times New Roman" w:hAnsi="Times New Roman"/>
          <w:sz w:val="20"/>
        </w:rPr>
        <w:t xml:space="preserve">The laws governing our conduct in the United States are enforceable on the federal, state and local levels by criminal, civil and administrative sanctions. Violations of laws such as the FDCA, the Social Security Act (including the Anti-Kickback Statute), the Public Health Service Act, the civil and criminal federal False Claims Act, the civil monetary penalty statute, requirements regarding the reporting and repayment of overpayments, other fraud and abuse laws and any regulations promulgated under the authority of the preceding, may result in significant criminal and/or civil sanctions, including criminal fines, imprisonment, civil monetary penalties and damages, exclusion from participation in federal healthcare programs (including Medicare and Medicaid), suspension and debarment from government contracts, and refusal of orders under existing government contracts, pursuant to enforcement actions by DOJ, CMS, OIG and other regulatory authorities. Similarly, the violation of applicable laws, rules and regulations of states, including the State of Florida, with respect to the manufacture and marketing of our products and product candidates may result in significant criminal and/or civil sanctions, including jail sentences, fines or exclusion from participation in applicable state healthcare programs. There can be no assurance that our activities will not come under the scrutiny of federal and/or state regulators and other government authorities or that our practices will not be found to violate applicable laws, rules and regulations or prompt lawsuits by private citizen “relators” under federal or state false claims laws. </w:t>
      </w:r>
    </w:p>
    <w:p>
      <w:pPr>
        <w:pStyle w:val="TextBody"/>
        <w:bidi w:val="0"/>
        <w:spacing w:before="0" w:after="0"/>
        <w:jc w:val="both"/>
        <w:rPr/>
      </w:pPr>
      <w:r>
        <w:rPr/>
        <w:t xml:space="preserve">  </w:t>
      </w:r>
    </w:p>
    <w:p>
      <w:pPr>
        <w:pStyle w:val="TextBody"/>
        <w:bidi w:val="0"/>
        <w:spacing w:before="0" w:after="0"/>
        <w:ind w:left="0" w:right="0" w:firstLine="720"/>
        <w:jc w:val="both"/>
        <w:rPr>
          <w:rFonts w:ascii="Times New Roman" w:hAnsi="Times New Roman"/>
          <w:sz w:val="20"/>
        </w:rPr>
      </w:pPr>
      <w:r>
        <w:rPr>
          <w:rFonts w:ascii="Times New Roman" w:hAnsi="Times New Roman"/>
          <w:sz w:val="20"/>
        </w:rPr>
        <w:t xml:space="preserve">For example, under the Anti-Kickback Statute and similar state laws and regulations, the offer or payment of anything of value to induce or reward patient referrals, or in return for purchasing, leasing, ordering or arranging for or recommending the purchase, lease, or ordering of any item or service reimbursable in whole or in part by a federal healthcare program is prohibited. This places constraints on the marketing and promotion of products and on common business arrangements, such as discounted terms and volume incentives for customers in a position to recommend or choose products for patients, such as physicians and hospitals, and these practices can result in substantial legal penalties, including, among others, exclusion from participation in the Medicare and Medicaid programs. Arrangements with referral sources such as purchasers, group purchasing organizations, healthcare organizations, physicians and pharmacists must be structured with care to comply with applicable requirements. Legislators and regulators may seek to further restrict the scope of financial relationships that are considered appropriate. For example, HHS promulgated a regulation in 2020 that is effective in two phases. First, the regulation excludes from the definition of “remuneration” limited categories of (a) PBM rebates or other reductions in price to a plan sponsor under Medicare Part D or a Medicaid Managed Care Organization plan reflected in point-of-sale reductions in price and (b) PBM service fees paid by a manufacturer to a PBM. Second, effective January 1, 2023, the regulation expressly provides that rebates to plan sponsors under Medicare Part D either directly to the plan sponsor under Medicare Part D, or indirectly through a pharmacy benefit manager, will not be protected under the Anti-Kickback Statute discounts safe harbor. Subsequent legislation and a final rule promulgated on December 29, 2023 delayed implementation of this portion of the rule until January 1, 2032. </w:t>
      </w:r>
    </w:p>
    <w:p>
      <w:pPr>
        <w:pStyle w:val="TextBody"/>
        <w:bidi w:val="0"/>
        <w:spacing w:before="0" w:after="0"/>
        <w:jc w:val="both"/>
        <w:rPr/>
      </w:pPr>
      <w:r>
        <w:rPr/>
        <w:t xml:space="preserve">  </w:t>
      </w:r>
    </w:p>
    <w:p>
      <w:pPr>
        <w:pStyle w:val="TextBody"/>
        <w:bidi w:val="0"/>
        <w:spacing w:before="150" w:after="15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t>50</w:t>
      </w:r>
    </w:p>
    <w:p>
      <w:pPr>
        <w:pStyle w:val="HorizontalLine"/>
        <w:bidi w:val="0"/>
        <w:spacing w:before="150" w:after="150"/>
        <w:jc w:val="left"/>
        <w:rPr/>
      </w:pPr>
      <w:r>
        <w:rPr/>
      </w:r>
    </w:p>
    <w:p>
      <w:pPr>
        <w:pStyle w:val="TextBody"/>
        <w:bidi w:val="0"/>
        <w:spacing w:before="150" w:after="150"/>
        <w:jc w:val="left"/>
        <w:rPr/>
      </w:pPr>
      <w:hyperlink w:anchor="index">
        <w:r>
          <w:rPr>
            <w:rStyle w:val="InternetLink"/>
            <w:rFonts w:ascii="TimesNewRoman;Times New Roman;Times;Baskerville;Georgia;serif" w:hAnsi="TimesNewRoman;Times New Roman;Times;Baskerville;Georgia;serif"/>
            <w:b w:val="false"/>
            <w:i/>
            <w:caps w:val="false"/>
            <w:smallCaps w:val="false"/>
            <w:strike w:val="false"/>
            <w:dstrike w:val="false"/>
            <w:sz w:val="16"/>
            <w:u w:val="none"/>
            <w:effect w:val="none"/>
          </w:rPr>
          <w:t>Index</w:t>
        </w:r>
      </w:hyperlink>
    </w:p>
    <w:p>
      <w:pPr>
        <w:pStyle w:val="TextBody"/>
        <w:bidi w:val="0"/>
        <w:spacing w:before="0" w:after="0"/>
        <w:ind w:left="0" w:right="0" w:firstLine="720"/>
        <w:jc w:val="both"/>
        <w:rPr>
          <w:rFonts w:ascii="Times New Roman" w:hAnsi="Times New Roman"/>
          <w:sz w:val="20"/>
        </w:rPr>
      </w:pPr>
      <w:r>
        <w:rPr>
          <w:rFonts w:ascii="Times New Roman" w:hAnsi="Times New Roman"/>
          <w:sz w:val="20"/>
        </w:rPr>
        <w:t xml:space="preserve">Also, certain business practices, such as payments of consulting fees to healthcare professionals, sponsorship of educational or research grants, charitable donations, interactions with healthcare professionals who prescribe products for uses not approved by the FDA and financial support for continuing medical education programs, must be conducted within narrowly prescribed and controlled limits to avoid any possibility of wrongfully influencing healthcare professionals to prescribe or purchase particular products or as a reward for past prescribing. Under the Healthcare Reform Law, payments and transfers of value by pharmaceutical manufacturers of drugs, devices, biologics and medical supplies for which payment is available under Medicare, Medicaid or the Children’s Health Insurance Program (with certain exceptions) to or at the request of covered recipients, such as, but not limited to, U.S.-licensed physicians, physician assistants, nurse practitioners, clinical nurse specialists and certified registered nurse anesthetists and U.S. teaching hospitals, must be tracked and reported to CMS, and are publicly disclosed. Such “applicable manufacturers” are also required to report certain ownership interests held by physicians and their immediate family members. A number of states have similar laws in place. Additional and stricter prohibitions could be implemented by federal and state authorities. Where such practices have been found to be improper incentives to use such products, government investigations and sanctions against manufacturers have resulted in substantial fines, penalties and damages. Many manufacturers have been required to enter into consent decrees or orders that prescribe allowable corporate conduct and/or Corporate Integrity Agreements that impose ongoing compliance requirements on a manufacturer. </w:t>
      </w:r>
    </w:p>
    <w:p>
      <w:pPr>
        <w:pStyle w:val="TextBody"/>
        <w:bidi w:val="0"/>
        <w:spacing w:before="0" w:after="0"/>
        <w:jc w:val="both"/>
        <w:rPr/>
      </w:pPr>
      <w:r>
        <w:rPr/>
        <w:t xml:space="preserve">  </w:t>
      </w:r>
    </w:p>
    <w:p>
      <w:pPr>
        <w:pStyle w:val="TextBody"/>
        <w:bidi w:val="0"/>
        <w:spacing w:before="0" w:after="0"/>
        <w:ind w:left="0" w:right="0" w:firstLine="720"/>
        <w:jc w:val="both"/>
        <w:rPr>
          <w:rFonts w:ascii="Times New Roman" w:hAnsi="Times New Roman"/>
          <w:sz w:val="20"/>
        </w:rPr>
      </w:pPr>
      <w:r>
        <w:rPr>
          <w:rFonts w:ascii="Times New Roman" w:hAnsi="Times New Roman"/>
          <w:sz w:val="20"/>
        </w:rPr>
        <w:t xml:space="preserve">Failure to satisfy requirements under the FDCA can also result in penalties, as well as requirements to enter into consent decrees or orders that prescribe allowable corporate conduct. In addition, while regulatory authorities generally do not regulate physicians’ discretion in their choice of treatments for their patients, they do restrict communications by manufacturers on unapproved uses of approved products or on the potential safety and efficacy of unapproved products in development. Companies in the United States, Canada and the European Union cannot promote approved products for other indications that are not specifically approved by the competent regulatory authorities such as the FDA in the United States, nor can companies promote unapproved products. In limited circumstances, companies may disseminate to physicians information regarding unapproved uses of approved products or results of studies involving investigational products. If such activities fail to comply with applicable regulations and guidelines of the various regulatory authorities, we may be subject to warnings from, or enforcement action by, these authorities. Furthermore, if such activities are prohibited, it may harm demand for our products. Promotion of unapproved drugs or devices or unapproved indications for a drug or device is a violation of the FDCA and subjects us to civil and criminal sanctions. Furthermore, sanctions under the federal False Claims Act have been brought against companies accused of promoting off-label uses of drugs, because such promotion induces unapproved use and subsequent claims for reimbursement under Medicare and other federal programs. Similar actions for off-label promotion have been initiated by several states for Medicaid fraud. The Healthcare Reform Law significantly strengthened provisions of the federal False Claims Act, the federal Anti-Kickback Statute that applies to government healthcare programs, and other healthcare fraud provisions, leading to the possibility of greatly increased lawsuits by whistleblowers for perceived violations. Violations or allegations of violations of the foregoing restrictions could materially and adversely affect our business. </w:t>
      </w:r>
    </w:p>
    <w:p>
      <w:pPr>
        <w:pStyle w:val="TextBody"/>
        <w:bidi w:val="0"/>
        <w:spacing w:before="0" w:after="0"/>
        <w:jc w:val="both"/>
        <w:rPr/>
      </w:pPr>
      <w:r>
        <w:rPr/>
        <w:t xml:space="preserve">  </w:t>
      </w:r>
    </w:p>
    <w:p>
      <w:pPr>
        <w:pStyle w:val="TextBody"/>
        <w:bidi w:val="0"/>
        <w:spacing w:before="0" w:after="0"/>
        <w:ind w:left="0" w:right="0" w:firstLine="720"/>
        <w:jc w:val="both"/>
        <w:rPr>
          <w:rFonts w:ascii="Times New Roman" w:hAnsi="Times New Roman"/>
          <w:sz w:val="20"/>
        </w:rPr>
      </w:pPr>
      <w:r>
        <w:rPr>
          <w:rFonts w:ascii="Times New Roman" w:hAnsi="Times New Roman"/>
          <w:sz w:val="20"/>
        </w:rPr>
        <w:t xml:space="preserve">We are required to report detailed pricing information, net of included discounts, rebates and other concessions, to CMS for the purpose of calculating national reimbursement levels, certain federal prices and certain federal and state rebate obligations. Inaccurate or incomplete reporting of pricing information could result in criminal and/or civil liability under the federal False Claims Act, the federal Anti-Kickback Statute and various other laws, rules and regulations. </w:t>
      </w:r>
    </w:p>
    <w:p>
      <w:pPr>
        <w:pStyle w:val="TextBody"/>
        <w:bidi w:val="0"/>
        <w:spacing w:before="0" w:after="0"/>
        <w:jc w:val="both"/>
        <w:rPr/>
      </w:pPr>
      <w:r>
        <w:rPr/>
        <w:t xml:space="preserve">  </w:t>
      </w:r>
    </w:p>
    <w:p>
      <w:pPr>
        <w:pStyle w:val="TextBody"/>
        <w:bidi w:val="0"/>
        <w:spacing w:before="0" w:after="0"/>
        <w:ind w:left="0" w:right="0" w:firstLine="720"/>
        <w:jc w:val="both"/>
        <w:rPr>
          <w:rFonts w:ascii="Times New Roman" w:hAnsi="Times New Roman"/>
          <w:sz w:val="20"/>
        </w:rPr>
      </w:pPr>
      <w:r>
        <w:rPr>
          <w:rFonts w:ascii="Times New Roman" w:hAnsi="Times New Roman"/>
          <w:sz w:val="20"/>
        </w:rPr>
        <w:t xml:space="preserve">We have established systems for collecting and reporting this data accurately to CMS and have instituted a compliance program to assure that the information collected is complete in all respects. If we report pricing information that is not accurate to the federal government, we could be subject to fines and other sanctions that could adversely affect our business. If we choose to pursue clinical development and commercialization in the European Union or otherwise market and sell our products outside of the United States, we must obtain and maintain regulatory approvals and comply with regulatory requirements in such jurisdictions. The approval procedures vary among countries in complexity and timing. We may not obtain approvals from regulatory authorities outside the United States on a timely basis, if at all, which would preclude us from commercializing products in those markets. Further, approval in one country does not mean we are more likely to obtain approval in another country. </w:t>
      </w:r>
    </w:p>
    <w:p>
      <w:pPr>
        <w:pStyle w:val="TextBody"/>
        <w:bidi w:val="0"/>
        <w:spacing w:before="0" w:after="0"/>
        <w:jc w:val="both"/>
        <w:rPr/>
      </w:pPr>
      <w:r>
        <w:rPr/>
        <w:t xml:space="preserve">  </w:t>
      </w:r>
    </w:p>
    <w:p>
      <w:pPr>
        <w:pStyle w:val="TextBody"/>
        <w:bidi w:val="0"/>
        <w:spacing w:before="0" w:after="0"/>
        <w:ind w:left="0" w:right="0" w:firstLine="720"/>
        <w:jc w:val="both"/>
        <w:rPr>
          <w:rFonts w:ascii="Times New Roman" w:hAnsi="Times New Roman"/>
          <w:sz w:val="20"/>
        </w:rPr>
      </w:pPr>
      <w:r>
        <w:rPr>
          <w:rFonts w:ascii="Times New Roman" w:hAnsi="Times New Roman"/>
          <w:sz w:val="20"/>
        </w:rPr>
        <w:t xml:space="preserve">In addition, some countries, particularly the countries of the European Union, regulate the pricing and reimbursement of prescription pharmaceuticals. In these countries, pricing discussions with governmental authorities can take considerable time after the receipt of marketing approval for a product. To obtain reimbursement or pricing approval in some countries, we may be required to conduct a clinical trial that compares the cost-effectiveness of our product candidate to other available therapies. Such trials may be time-consuming and expensive and may not show an advantage in efficacy for our products. If reimbursement of our products is unavailable or limited in scope or amount, or if pricing is set at unsatisfactory levels, in either the U.S. or the European Union, we could be adversely affected. </w:t>
      </w:r>
    </w:p>
    <w:p>
      <w:pPr>
        <w:pStyle w:val="TextBody"/>
        <w:bidi w:val="0"/>
        <w:spacing w:before="0" w:after="0"/>
        <w:jc w:val="both"/>
        <w:rPr/>
      </w:pPr>
      <w:r>
        <w:rPr/>
        <w:t xml:space="preserve">  </w:t>
      </w:r>
    </w:p>
    <w:p>
      <w:pPr>
        <w:pStyle w:val="TextBody"/>
        <w:bidi w:val="0"/>
        <w:spacing w:before="150" w:after="15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t>51</w:t>
      </w:r>
    </w:p>
    <w:p>
      <w:pPr>
        <w:pStyle w:val="HorizontalLine"/>
        <w:bidi w:val="0"/>
        <w:spacing w:before="150" w:after="150"/>
        <w:jc w:val="left"/>
        <w:rPr/>
      </w:pPr>
      <w:r>
        <w:rPr/>
      </w:r>
    </w:p>
    <w:p>
      <w:pPr>
        <w:pStyle w:val="TextBody"/>
        <w:bidi w:val="0"/>
        <w:spacing w:before="150" w:after="150"/>
        <w:jc w:val="left"/>
        <w:rPr/>
      </w:pPr>
      <w:hyperlink w:anchor="index">
        <w:r>
          <w:rPr>
            <w:rStyle w:val="InternetLink"/>
            <w:rFonts w:ascii="TimesNewRoman;Times New Roman;Times;Baskerville;Georgia;serif" w:hAnsi="TimesNewRoman;Times New Roman;Times;Baskerville;Georgia;serif"/>
            <w:b w:val="false"/>
            <w:i/>
            <w:caps w:val="false"/>
            <w:smallCaps w:val="false"/>
            <w:strike w:val="false"/>
            <w:dstrike w:val="false"/>
            <w:sz w:val="16"/>
            <w:u w:val="none"/>
            <w:effect w:val="none"/>
          </w:rPr>
          <w:t>Index</w:t>
        </w:r>
      </w:hyperlink>
    </w:p>
    <w:p>
      <w:pPr>
        <w:pStyle w:val="TextBody"/>
        <w:bidi w:val="0"/>
        <w:spacing w:before="0" w:after="0"/>
        <w:ind w:left="0" w:right="0" w:firstLine="720"/>
        <w:jc w:val="both"/>
        <w:rPr>
          <w:rFonts w:ascii="Times New Roman" w:hAnsi="Times New Roman"/>
          <w:sz w:val="20"/>
        </w:rPr>
      </w:pPr>
      <w:r>
        <w:rPr>
          <w:rFonts w:ascii="Times New Roman" w:hAnsi="Times New Roman"/>
          <w:sz w:val="20"/>
        </w:rPr>
        <w:t xml:space="preserve">Also, under the U.S. Foreign Corrupt Practices Act, the United States has increasingly focused on regulating the conduct by U.S. businesses occurring outside of the United States, generally prohibiting remuneration to foreign officials for the purpose of obtaining or retaining business. To enhance compliance with applicable healthcare laws, and mitigate potential liability in the event of noncompliance, regulatory authorities such as the HHS Office of Inspector General (the “OIG”) have recommended the adoption and implementation of a comprehensive healthcare compliance program that generally contains the elements of an effective compliance and ethics program described in Section 8B2.1 of the U.S. Sentencing Commission Guidelines Manual. Most U.S.-based pharmaceutical companies have such programs. We have instituted a healthcare compliance and ethics program that incorporates the OIG’s recommendations and voluntary industry guidelines and have trained our employees. Maintaining such a program can be expensive and may not provide assurance that we will avoid compliance issues. </w:t>
      </w:r>
    </w:p>
    <w:p>
      <w:pPr>
        <w:pStyle w:val="TextBody"/>
        <w:bidi w:val="0"/>
        <w:spacing w:before="0" w:after="0"/>
        <w:jc w:val="both"/>
        <w:rPr/>
      </w:pPr>
      <w:r>
        <w:rPr/>
        <w:t xml:space="preserve">  </w:t>
      </w:r>
    </w:p>
    <w:p>
      <w:pPr>
        <w:pStyle w:val="TextBody"/>
        <w:bidi w:val="0"/>
        <w:spacing w:before="0" w:after="0"/>
        <w:ind w:left="0" w:right="0" w:firstLine="720"/>
        <w:jc w:val="both"/>
        <w:rPr>
          <w:rFonts w:ascii="Times New Roman" w:hAnsi="Times New Roman"/>
          <w:sz w:val="20"/>
        </w:rPr>
      </w:pPr>
      <w:r>
        <w:rPr>
          <w:rFonts w:ascii="Times New Roman" w:hAnsi="Times New Roman"/>
          <w:sz w:val="20"/>
        </w:rPr>
        <w:t xml:space="preserve">We are also required to comply with the applicable laws, rules, regulations and permit requirements of the various states and localities in which our business operates, including the State of Florida where our manufacturing facility is located. These regulations and permit requirements are not always in concert with applicable federal laws, rules and regulations regulating our business. Although compliant with applicable federal requirements, we may be required to comply with additional state and local laws, rules, regulations and permits. Failure to appropriately comply with such state and local requirements could result in temporary or long-term cessation of our manufacturing operations, as well as fines and other sanctions. Any such penalties may have a material adverse effect on our business and results of operations. </w:t>
      </w:r>
    </w:p>
    <w:p>
      <w:pPr>
        <w:pStyle w:val="TextBody"/>
        <w:bidi w:val="0"/>
        <w:spacing w:before="0" w:after="0"/>
        <w:jc w:val="both"/>
        <w:rPr/>
      </w:pPr>
      <w:r>
        <w:rPr/>
        <w:t xml:space="preserve">  </w:t>
      </w:r>
    </w:p>
    <w:p>
      <w:pPr>
        <w:pStyle w:val="TextBody"/>
        <w:bidi w:val="0"/>
        <w:spacing w:before="0" w:after="0"/>
        <w:jc w:val="both"/>
        <w:rPr>
          <w:rFonts w:ascii="Times New Roman" w:hAnsi="Times New Roman"/>
          <w:sz w:val="20"/>
        </w:rPr>
      </w:pPr>
      <w:r>
        <w:rPr>
          <w:rFonts w:ascii="Times New Roman" w:hAnsi="Times New Roman"/>
          <w:b/>
          <w:i/>
          <w:sz w:val="20"/>
        </w:rPr>
        <w:t>We are subject to extensive and rigorous governmental regulation, including the requirement of FDA and other federal, state and local business regulatory</w:t>
      </w:r>
      <w:r>
        <w:rPr>
          <w:rFonts w:ascii="Times New Roman" w:hAnsi="Times New Roman"/>
          <w:color w:val="0000FF"/>
          <w:sz w:val="20"/>
        </w:rPr>
        <w:t> </w:t>
      </w:r>
      <w:r>
        <w:rPr>
          <w:rFonts w:ascii="Times New Roman" w:hAnsi="Times New Roman"/>
          <w:b/>
          <w:i/>
          <w:sz w:val="20"/>
        </w:rPr>
        <w:t>approvals before our products and product candidates may be lawfully marketed, and our ability to obtain regulatory approval of our products and product candidates from the FDA in a timely manner, access the public markets and obtain necessary capital in order to properly capitalize and continue our operations may be hindered by inadequate funding for the FDA, the SEC and other state and local government agencies.</w:t>
      </w:r>
      <w:r>
        <w:rPr>
          <w:rFonts w:ascii="Times New Roman" w:hAnsi="Times New Roman"/>
          <w:sz w:val="20"/>
        </w:rPr>
        <w:t xml:space="preserve"> </w:t>
      </w:r>
    </w:p>
    <w:p>
      <w:pPr>
        <w:pStyle w:val="TextBody"/>
        <w:bidi w:val="0"/>
        <w:spacing w:before="0" w:after="0"/>
        <w:jc w:val="both"/>
        <w:rPr/>
      </w:pPr>
      <w:r>
        <w:rPr/>
        <w:t xml:space="preserve">  </w:t>
      </w:r>
    </w:p>
    <w:p>
      <w:pPr>
        <w:pStyle w:val="TextBody"/>
        <w:bidi w:val="0"/>
        <w:spacing w:before="0" w:after="0"/>
        <w:ind w:left="0" w:right="0" w:firstLine="720"/>
        <w:jc w:val="both"/>
        <w:rPr>
          <w:rFonts w:ascii="Times New Roman" w:hAnsi="Times New Roman"/>
          <w:sz w:val="20"/>
        </w:rPr>
      </w:pPr>
      <w:r>
        <w:rPr>
          <w:rFonts w:ascii="Times New Roman" w:hAnsi="Times New Roman"/>
          <w:sz w:val="20"/>
        </w:rPr>
        <w:t xml:space="preserve">Both before and after the approval of our products, our products, operations, facilities, suppliers and CROs are subject to extensive regulation by federal, state and local governmental authorities in the United States and other countries, with regulations differing from country to country. In the United States, the FDA regulates, among other things, the preclinical and nonclinical testing, clinical trials, manufacturing, safety, efficacy, potency, labeling, storage, record keeping, quality systems, advertising, promotion, sale and distribution of therapeutic products. Failure to comply with applicable requirements could result in, among other things, one or more of the following actions: notices of violation, untitled letters, warning letters, CRLs, fines and other monetary penalties, unanticipated expenditures, delays in approval or refusal to approve a product or product candidate, product recall or seizure, interruption of manufacturing or clinical trials, operating restrictions, injunctions and criminal prosecution. Our products and product candidates cannot be lawfully marketed in the United States without FDA and other federal, state and local business regulatory approvals. Any failure to receive the marketing approvals necessary to commercialize our products or product candidates could harm our business. </w:t>
      </w:r>
    </w:p>
    <w:p>
      <w:pPr>
        <w:pStyle w:val="TextBody"/>
        <w:bidi w:val="0"/>
        <w:spacing w:before="0" w:after="0"/>
        <w:jc w:val="both"/>
        <w:rPr/>
      </w:pPr>
      <w:r>
        <w:rPr/>
        <w:t xml:space="preserve">  </w:t>
      </w:r>
    </w:p>
    <w:p>
      <w:pPr>
        <w:pStyle w:val="TextBody"/>
        <w:bidi w:val="0"/>
        <w:spacing w:before="0" w:after="0"/>
        <w:ind w:left="0" w:right="0" w:firstLine="720"/>
        <w:jc w:val="both"/>
        <w:rPr>
          <w:rFonts w:ascii="Times New Roman" w:hAnsi="Times New Roman"/>
          <w:sz w:val="20"/>
        </w:rPr>
      </w:pPr>
      <w:r>
        <w:rPr>
          <w:rFonts w:ascii="Times New Roman" w:hAnsi="Times New Roman"/>
          <w:sz w:val="20"/>
        </w:rPr>
        <w:t xml:space="preserve">Additionally, the ability of the FDA and other federal, state and local business regulatory agencies to review and approve products and product candidates can be affected by a variety of factors, including government budget and funding levels, ability to hire and retain key personnel and to accept the payment of user fees, as well as statutory, regulatory, and policy changes. Average review times at the FDA and other federal, state and local business regulatory agencies have fluctuated in recent years as a result. In addition, government funding of the SEC and other government agencies on which our operations may rely, including those that fund research and development activities, is subject to the political process, which is inherently fluid and unpredictable. Disruptions at the FDA and other agencies may also slow the time necessary for products and product candidate submissions to be reviewed and/or approved by necessary government agencies, which would adversely affect our business. For example, over the last several years, including in December 2018, January 2019 and most recently October 2025, the U.S. government has shut down several times and certain regulatory agencies, such as the FDA and the SEC, have had to furlough critical employees and stop critical activities. Separately, in response to the COVID-19 pandemic, the FDA postponed most inspections at domestic and foreign manufacturing facilities from March 2020 until July 2021. Also, in 2025, there was an FDA reduction in force. If a prolonged government shutdown or regulatory agency disruption reoccurs, or in the event the FDA has an insufficient amount of staff, it could significantly impact the ability of the FDA to timely review and process our regulatory submissions, conduct evaluations and inspections and other reporting requirements which could have a material adverse effect on our business. Further, future government shutdowns could impact our ability to access the public markets and obtain capital that may be necessary in order to properly capitalize and continue our operations. </w:t>
      </w:r>
    </w:p>
    <w:p>
      <w:pPr>
        <w:pStyle w:val="TextBody"/>
        <w:bidi w:val="0"/>
        <w:spacing w:before="0" w:after="0"/>
        <w:jc w:val="both"/>
        <w:rPr/>
      </w:pPr>
      <w:r>
        <w:rPr/>
        <w:t xml:space="preserve">  </w:t>
      </w:r>
    </w:p>
    <w:p>
      <w:pPr>
        <w:pStyle w:val="TextBody"/>
        <w:bidi w:val="0"/>
        <w:spacing w:before="150" w:after="15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t>52</w:t>
      </w:r>
    </w:p>
    <w:p>
      <w:pPr>
        <w:pStyle w:val="HorizontalLine"/>
        <w:bidi w:val="0"/>
        <w:spacing w:before="150" w:after="150"/>
        <w:jc w:val="left"/>
        <w:rPr/>
      </w:pPr>
      <w:r>
        <w:rPr/>
      </w:r>
    </w:p>
    <w:p>
      <w:pPr>
        <w:pStyle w:val="TextBody"/>
        <w:bidi w:val="0"/>
        <w:spacing w:before="150" w:after="150"/>
        <w:jc w:val="left"/>
        <w:rPr/>
      </w:pPr>
      <w:hyperlink w:anchor="index">
        <w:r>
          <w:rPr>
            <w:rStyle w:val="InternetLink"/>
            <w:rFonts w:ascii="TimesNewRoman;Times New Roman;Times;Baskerville;Georgia;serif" w:hAnsi="TimesNewRoman;Times New Roman;Times;Baskerville;Georgia;serif"/>
            <w:b w:val="false"/>
            <w:i/>
            <w:caps w:val="false"/>
            <w:smallCaps w:val="false"/>
            <w:strike w:val="false"/>
            <w:dstrike w:val="false"/>
            <w:sz w:val="16"/>
            <w:u w:val="none"/>
            <w:effect w:val="none"/>
          </w:rPr>
          <w:t>Index</w:t>
        </w:r>
      </w:hyperlink>
    </w:p>
    <w:p>
      <w:pPr>
        <w:pStyle w:val="TextBody"/>
        <w:bidi w:val="0"/>
        <w:spacing w:before="0" w:after="0"/>
        <w:jc w:val="both"/>
        <w:rPr>
          <w:rFonts w:ascii="Times New Roman" w:hAnsi="Times New Roman"/>
          <w:sz w:val="20"/>
        </w:rPr>
      </w:pPr>
      <w:r>
        <w:rPr>
          <w:rFonts w:ascii="Times New Roman" w:hAnsi="Times New Roman"/>
          <w:b/>
          <w:i/>
          <w:sz w:val="20"/>
        </w:rPr>
        <w:t>There may be and have been changes in legal and regulatory requirements that may materially impact our results of operation.</w:t>
      </w:r>
      <w:r>
        <w:rPr>
          <w:rFonts w:ascii="Times New Roman" w:hAnsi="Times New Roman"/>
          <w:sz w:val="20"/>
        </w:rPr>
        <w:t xml:space="preserve"> </w:t>
      </w:r>
    </w:p>
    <w:p>
      <w:pPr>
        <w:pStyle w:val="TextBody"/>
        <w:bidi w:val="0"/>
        <w:spacing w:before="0" w:after="0"/>
        <w:jc w:val="both"/>
        <w:rPr/>
      </w:pPr>
      <w:r>
        <w:rPr/>
        <w:t xml:space="preserve">  </w:t>
      </w:r>
    </w:p>
    <w:p>
      <w:pPr>
        <w:pStyle w:val="TextBody"/>
        <w:bidi w:val="0"/>
        <w:spacing w:before="0" w:after="0"/>
        <w:ind w:left="0" w:right="0" w:firstLine="720"/>
        <w:jc w:val="both"/>
        <w:rPr>
          <w:rFonts w:ascii="Times New Roman" w:hAnsi="Times New Roman"/>
          <w:sz w:val="20"/>
        </w:rPr>
      </w:pPr>
      <w:r>
        <w:rPr>
          <w:rFonts w:ascii="Times New Roman" w:hAnsi="Times New Roman"/>
          <w:sz w:val="20"/>
        </w:rPr>
        <w:t xml:space="preserve">We may face new risks as a result of changes in legal and regulatory requirements that may impact our operations and future prospects. For example, the 2025 change in the U.S. federal administration, as well as changes in legal standards, including the reduced level of judicial deference due to administrative agencies following a 2024 Supreme Court decision, may and does introduce regulatory and legal uncertainties that impact our operations. New federal or state laws and regulations may be, and have been, passed or enforced differently than they were before, requiring that we adapt, which we may not be able to do, and expend additional resources to ensure that we are able to comply. New laws and regulations, or the enforcement of the same, may also adversely restrict how we conduct our business. There could also be changes in the FDA’s approval standards that could impact our ability to obtain and maintain product approvals and market our product candidates or that otherwise could impact the competitive market for our products. Legal and regulatory changes may additionally impact how we may market and sell our products and how they are reimbursed. We cannot predict the exact nature of any changes that may take place or whether and how they may impact our business and results of operation. </w:t>
      </w:r>
    </w:p>
    <w:p>
      <w:pPr>
        <w:pStyle w:val="TextBody"/>
        <w:bidi w:val="0"/>
        <w:spacing w:before="0" w:after="0"/>
        <w:jc w:val="both"/>
        <w:rPr/>
      </w:pPr>
      <w:r>
        <w:rPr/>
        <w:t xml:space="preserve">  </w:t>
      </w:r>
    </w:p>
    <w:p>
      <w:pPr>
        <w:pStyle w:val="TextBody"/>
        <w:bidi w:val="0"/>
        <w:spacing w:before="0" w:after="0"/>
        <w:jc w:val="both"/>
        <w:rPr>
          <w:rFonts w:ascii="Times New Roman" w:hAnsi="Times New Roman"/>
          <w:sz w:val="20"/>
        </w:rPr>
      </w:pPr>
      <w:r>
        <w:rPr>
          <w:rFonts w:ascii="Times New Roman" w:hAnsi="Times New Roman"/>
          <w:b/>
          <w:i/>
          <w:sz w:val="20"/>
        </w:rPr>
        <w:t>The manufacturing processes for plasma-based biologics are complex and involve biological intermediates that are susceptible to contamination and impurities.</w:t>
      </w:r>
      <w:r>
        <w:rPr>
          <w:rFonts w:ascii="Times New Roman" w:hAnsi="Times New Roman"/>
          <w:sz w:val="20"/>
        </w:rPr>
        <w:t xml:space="preserve"> </w:t>
      </w:r>
    </w:p>
    <w:p>
      <w:pPr>
        <w:pStyle w:val="TextBody"/>
        <w:bidi w:val="0"/>
        <w:spacing w:before="0" w:after="0"/>
        <w:jc w:val="both"/>
        <w:rPr/>
      </w:pPr>
      <w:r>
        <w:rPr/>
        <w:t xml:space="preserve">  </w:t>
      </w:r>
    </w:p>
    <w:p>
      <w:pPr>
        <w:pStyle w:val="TextBody"/>
        <w:bidi w:val="0"/>
        <w:spacing w:before="0" w:after="0"/>
        <w:ind w:left="0" w:right="0" w:firstLine="720"/>
        <w:jc w:val="both"/>
        <w:rPr>
          <w:rFonts w:ascii="Times New Roman" w:hAnsi="Times New Roman"/>
          <w:sz w:val="20"/>
        </w:rPr>
      </w:pPr>
      <w:r>
        <w:rPr>
          <w:rFonts w:ascii="Times New Roman" w:hAnsi="Times New Roman"/>
          <w:sz w:val="20"/>
        </w:rPr>
        <w:t xml:space="preserve">Plasma is a raw material that is susceptible to damage and contamination and may contain human pathogens, any of which would render the plasma unsuitable as raw material for further manufacturing. For instance, improper storage of plasma, by us or third-party suppliers, may require us to destroy some of our raw material. If unsuitable plasma is not identified and discarded prior to the release of the plasma to the manufacturing process, it may be necessary to discard intermediate or finished product made from that plasma or to recall any finished product released to the market, resulting in a charge to cost of product revenue. The manufacture of our plasma products is an extremely complex process of fractionation, purification, testing, filling and finishing. Our products can become non-releasable or otherwise fail to meet our stringent specifications or regulatory agencies’ specifications through a failure in one or more of these process steps. We may detect instances in which an unreleased product was produced without adherence to our manufacturing procedures or plasma used in our production process was not collected or stored in a compliant manner consistent with cGMP or other regulations. Such an event of noncompliance would likely result in our determination that the implicated products should not be released or maybe replaced or withdrawn from the market and therefore should be destroyed. Once manufactured, our plasma-derived products must be handled carefully and kept at appropriate temperatures. Our failure, or the failure of third parties that supply, test, ship or distribute our products or product components to properly care for our products, may require that those products be destroyed. Even if handled properly, biologics may form or contain particulates or have other issues or problems after storage which may require products to be destroyed or recalled. While we expect to write off certain amounts of raw materials and work-in-process inventory in the ordinary course of business due to the complex nature of plasma, our processes and our products, unanticipated events may lead to write-offs and other costs materially in excess of our expectations and the reserves we have established for these purposes. Such write-offs or losses and other costs could cause material fluctuations in our results of operations. Product or component quality issues may also result in regulatory enforcement actions, liability, corrective actions and recalls, among other actions, as described in our 2025 10-K. </w:t>
      </w:r>
    </w:p>
    <w:p>
      <w:pPr>
        <w:pStyle w:val="TextBody"/>
        <w:bidi w:val="0"/>
        <w:spacing w:before="0" w:after="0"/>
        <w:jc w:val="both"/>
        <w:rPr/>
      </w:pPr>
      <w:r>
        <w:rPr/>
        <w:t xml:space="preserve">  </w:t>
      </w:r>
    </w:p>
    <w:p>
      <w:pPr>
        <w:pStyle w:val="TextBody"/>
        <w:bidi w:val="0"/>
        <w:spacing w:before="0" w:after="0"/>
        <w:ind w:left="0" w:right="0" w:firstLine="720"/>
        <w:jc w:val="both"/>
        <w:rPr>
          <w:rFonts w:ascii="Times New Roman" w:hAnsi="Times New Roman"/>
          <w:sz w:val="20"/>
        </w:rPr>
      </w:pPr>
      <w:r>
        <w:rPr>
          <w:rFonts w:ascii="Times New Roman" w:hAnsi="Times New Roman"/>
          <w:sz w:val="20"/>
        </w:rPr>
        <w:t xml:space="preserve">Furthermore, contamination of our products could cause investors, consumers, or other third parties with whom we conduct business to lose confidence in the reliability of our manufacturing procedures, which could adversely affect our revenues. In addition, faulty or contaminated products that are unknowingly distributed could result in patient harm, threaten the reputation of our products and expose us to product liability damages and claims from companies for whom we do contract manufacturing. </w:t>
      </w:r>
    </w:p>
    <w:p>
      <w:pPr>
        <w:pStyle w:val="TextBody"/>
        <w:bidi w:val="0"/>
        <w:spacing w:before="0" w:after="0"/>
        <w:jc w:val="both"/>
        <w:rPr/>
      </w:pPr>
      <w:r>
        <w:rPr/>
        <w:t xml:space="preserve">  </w:t>
      </w:r>
    </w:p>
    <w:p>
      <w:pPr>
        <w:pStyle w:val="TextBody"/>
        <w:bidi w:val="0"/>
        <w:spacing w:before="150" w:after="15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t>53</w:t>
      </w:r>
    </w:p>
    <w:p>
      <w:pPr>
        <w:pStyle w:val="HorizontalLine"/>
        <w:bidi w:val="0"/>
        <w:spacing w:before="150" w:after="150"/>
        <w:jc w:val="left"/>
        <w:rPr/>
      </w:pPr>
      <w:r>
        <w:rPr/>
      </w:r>
    </w:p>
    <w:p>
      <w:pPr>
        <w:pStyle w:val="TextBody"/>
        <w:bidi w:val="0"/>
        <w:spacing w:before="150" w:after="150"/>
        <w:jc w:val="left"/>
        <w:rPr/>
      </w:pPr>
      <w:hyperlink w:anchor="index">
        <w:r>
          <w:rPr>
            <w:rStyle w:val="InternetLink"/>
            <w:rFonts w:ascii="TimesNewRoman;Times New Roman;Times;Baskerville;Georgia;serif" w:hAnsi="TimesNewRoman;Times New Roman;Times;Baskerville;Georgia;serif"/>
            <w:b w:val="false"/>
            <w:i/>
            <w:caps w:val="false"/>
            <w:smallCaps w:val="false"/>
            <w:strike w:val="false"/>
            <w:dstrike w:val="false"/>
            <w:sz w:val="16"/>
            <w:u w:val="none"/>
            <w:effect w:val="none"/>
          </w:rPr>
          <w:t>Index</w:t>
        </w:r>
      </w:hyperlink>
    </w:p>
    <w:p>
      <w:pPr>
        <w:pStyle w:val="TextBody"/>
        <w:bidi w:val="0"/>
        <w:spacing w:before="0" w:after="0"/>
        <w:jc w:val="both"/>
        <w:rPr>
          <w:rFonts w:ascii="Times New Roman" w:hAnsi="Times New Roman"/>
          <w:sz w:val="20"/>
        </w:rPr>
      </w:pPr>
      <w:r>
        <w:rPr>
          <w:rFonts w:ascii="Times New Roman" w:hAnsi="Times New Roman"/>
          <w:b/>
          <w:i/>
          <w:sz w:val="20"/>
        </w:rPr>
        <w:t>Our ability to continue to produce safe and effective products depends on the safety of our plasma supply, testing by third parties and the timing of receiving the testing results, and manufacturing processes we have in place to counter transmittable diseases.</w:t>
      </w:r>
      <w:r>
        <w:rPr>
          <w:rFonts w:ascii="Times New Roman" w:hAnsi="Times New Roman"/>
          <w:sz w:val="20"/>
        </w:rPr>
        <w:t xml:space="preserve"> </w:t>
      </w:r>
    </w:p>
    <w:p>
      <w:pPr>
        <w:pStyle w:val="TextBody"/>
        <w:bidi w:val="0"/>
        <w:spacing w:before="0" w:after="0"/>
        <w:jc w:val="both"/>
        <w:rPr/>
      </w:pPr>
      <w:r>
        <w:rPr/>
        <w:t xml:space="preserve">  </w:t>
      </w:r>
    </w:p>
    <w:p>
      <w:pPr>
        <w:pStyle w:val="TextBody"/>
        <w:bidi w:val="0"/>
        <w:spacing w:before="0" w:after="0"/>
        <w:ind w:left="0" w:right="0" w:firstLine="720"/>
        <w:jc w:val="both"/>
        <w:rPr>
          <w:rFonts w:ascii="Times New Roman" w:hAnsi="Times New Roman"/>
          <w:sz w:val="20"/>
        </w:rPr>
      </w:pPr>
      <w:r>
        <w:rPr>
          <w:rFonts w:ascii="Times New Roman" w:hAnsi="Times New Roman"/>
          <w:sz w:val="20"/>
        </w:rPr>
        <w:t xml:space="preserve">Despite overlapping safeguards, including the screening of donors and other steps to remove or inactivate viruses and other infectious disease-causing agents, the risk of transmissible disease through blood plasma products cannot be entirely eliminated. For example, since plasma-derived therapeutics involves the use and purification of human plasma, there has been concern raised about the risk of transmitting HIV, prions, West Nile virus, H1N1 virus or “swine flu” and other blood-borne pathogens through plasma-derived products. There are also concerns about the future transmission of H5N1 virus, or “bird flu.” In the 1980s, thousands of hemophiliacs worldwide were infected with HIV through the use of contaminated Factor VIII. Other producers of Factor VIII, though not us, were defendants in numerous lawsuits resulting from these infections. New infectious diseases emerge in the human population from time to time. If a new infectious disease has a period during which time the causative agent is present in the bloodstream but symptoms are not present, it is possible that plasma donations could be contaminated by that infectious agent. Typically, early in an outbreak of a new disease, tests for the causative agent do not exist. During this early phase, we must rely on screening of donors for behavioral risk factors or physical symptoms to reduce the risk of plasma contamination. Screening methods are generally less sensitive and specific than a direct test as a means of identifying potentially contaminated plasma units. During the early phase of an outbreak of a new infectious disease, our ability to manufacture safe products would depend on the manufacturing process’ capacity to inactivate or remove the infectious agent. To the extent our manufacturing processes are inadequate to inactivate or remove an infectious agent, our ability to manufacture and distribute our products would be impaired. If a new infectious disease were to emerge in the human population or if there were a reemergence of an infectious disease, the regulatory and public health authorities could impose precautions to limit the transmission of the disease that would impair our ability to procure plasma, manufacture our products or both. Such precautionary measures could be taken before there is conclusive medical or scientific evidence that a disease poses a risk for plasma-derived products. In recent years, new testing and viral inactivation methods have been developed that more effectively detect and inactivate infectious viruses in collected plasma. There can be no assurance, however, that such new testing and inactivation methods will adequately screen for, and inactivate, infectious agents in the plasma used in the production of our products. </w:t>
      </w:r>
    </w:p>
    <w:p>
      <w:pPr>
        <w:pStyle w:val="TextBody"/>
        <w:bidi w:val="0"/>
        <w:spacing w:before="0" w:after="0"/>
        <w:jc w:val="both"/>
        <w:rPr/>
      </w:pPr>
      <w:r>
        <w:rPr/>
        <w:t xml:space="preserve">  </w:t>
      </w:r>
    </w:p>
    <w:p>
      <w:pPr>
        <w:pStyle w:val="TextBody"/>
        <w:bidi w:val="0"/>
        <w:spacing w:before="0" w:after="0"/>
        <w:jc w:val="both"/>
        <w:rPr>
          <w:rFonts w:ascii="Times New Roman" w:hAnsi="Times New Roman"/>
          <w:sz w:val="20"/>
        </w:rPr>
      </w:pPr>
      <w:r>
        <w:rPr>
          <w:rFonts w:ascii="Times New Roman" w:hAnsi="Times New Roman"/>
          <w:b/>
          <w:i/>
          <w:sz w:val="20"/>
        </w:rPr>
        <w:t>We could become supply-constrained and our financial performance would suffer if we cannot obtain adequate quantities of FDA-approved source and high-titer plasma with proper specifications or other necessary raw materials.</w:t>
      </w:r>
      <w:r>
        <w:rPr>
          <w:rFonts w:ascii="Times New Roman" w:hAnsi="Times New Roman"/>
          <w:sz w:val="20"/>
        </w:rPr>
        <w:t xml:space="preserve"> </w:t>
      </w:r>
    </w:p>
    <w:p>
      <w:pPr>
        <w:pStyle w:val="TextBody"/>
        <w:bidi w:val="0"/>
        <w:spacing w:before="0" w:after="0"/>
        <w:jc w:val="both"/>
        <w:rPr/>
      </w:pPr>
      <w:r>
        <w:rPr/>
        <w:t xml:space="preserve">  </w:t>
      </w:r>
    </w:p>
    <w:p>
      <w:pPr>
        <w:pStyle w:val="TextBody"/>
        <w:bidi w:val="0"/>
        <w:spacing w:before="0" w:after="0"/>
        <w:ind w:left="0" w:right="0" w:firstLine="720"/>
        <w:jc w:val="both"/>
        <w:rPr>
          <w:rFonts w:ascii="Times New Roman" w:hAnsi="Times New Roman"/>
          <w:sz w:val="20"/>
        </w:rPr>
      </w:pPr>
      <w:r>
        <w:rPr>
          <w:rFonts w:ascii="Times New Roman" w:hAnsi="Times New Roman"/>
          <w:sz w:val="20"/>
        </w:rPr>
        <w:t xml:space="preserve">In order for plasma to be used in the manufacturing of our products, the individual centers at which the plasma is collected must generally be licensed by the FDA and approved by the regulatory authorities of any country in which we may wish to commercialize our products. States also may have their own licensing and regulatory requirements. When we or our third-party suppliers open a new plasma center, and on an ongoing basis after licensure, it must be inspected by the FDA and the applicable regulatory authorities for compliance with cGMP and other regulatory requirements. Therefore, even if we or our third-party suppliers are able to construct or acquire new plasma collection centers to complement our current plasma collection network, an unsatisfactory inspection could prevent a new center from being licensed or risk the suspension or revocation of an existing license, among other enforcement actions. Additionally, although we are currently self-sufficient in our normal source plasma supply through our existing plasma collection centers, we remain reliant on the purchase of RSV plasma from third parties and the collection of RSV and normal source plasma from our FDA-licensed plasma collection centers to manufacture our products. We can give no assurances that appropriate plasma will be available to us through our own plasma collection facilities or on commercially reasonable terms, or at all, to manufacture our products, or that third parties will be able to supply plasma to us in accordance with plasma purchase agreements. Further, the COVID-19 pandemic resulted in significant constraints in raw material supply across various different industries, including the supply of plasma. It is possible that in the future, pandemics and government responses thereto will have an adverse effect on our ability to source plasma from donors in quantity and quality sufficient for our manufacturing processes. In order to maintain a plasma center’s license, its operations must continue to conform to cGMP and other regulatory requirements. In the event that we determine that plasma was not collected in compliance with cGMP and other applicable regulatory requirements, we may be unable to use and may ultimately destroy plasma collected from that center, which would be recorded as a charge to cost of product revenue. Additionally, if non-compliance in the plasma collection process is identified after the impacted plasma has been pooled with compliant plasma from other sources, entire plasma pools, in-process intermediate materials and final products could be impacted. Consequently, we could experience significant impairment provisions and write-offs which could adversely affect our business and financial results. We plan to increase our supplies of plasma for use in the manufacturing processes through increased purchases of plasma from third-party suppliers as well as collections from our existing ADMA BioCenters plasma collection facilities. This strategy is dependent upon our ability to maintain a cGMP compliant environment at our plasma collection facilities and to expand production and attract donors to our facilities. There is no assurance that the FDA will inspect and license any of our current or future unlicensed plasma collection facilities in a timely manner consistent with our production plans. If we misjudge the readiness of a center for an FDA inspection, we may lose credibility with the FDA and cause the FDA to more closely examine all of our operations. Such additional scrutiny could materially hamper our operations and our ability to increase plasma collections. Our ability to expand production and increase our plasma collection facilities to more efficient production levels may be affected by changes in the economic environment and population in selected regions where ADMA BioCenters operates its current or future plasma facilities, by the entry of competitive plasma centers into regions where ADMA BioCenters operates such centers, by misjudging the demographic potential of individual regions where ADMA BioCenters expects to expand production and attract new donors, by unexpected facility related challenges, or by unexpected management challenges at selected plasma facilities held by us from time to time. </w:t>
      </w:r>
    </w:p>
    <w:p>
      <w:pPr>
        <w:pStyle w:val="TextBody"/>
        <w:bidi w:val="0"/>
        <w:spacing w:before="0" w:after="0"/>
        <w:jc w:val="both"/>
        <w:rPr/>
      </w:pPr>
      <w:r>
        <w:rPr/>
        <w:t xml:space="preserve">  </w:t>
      </w:r>
    </w:p>
    <w:p>
      <w:pPr>
        <w:pStyle w:val="TextBody"/>
        <w:bidi w:val="0"/>
        <w:spacing w:before="150" w:after="15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t>54</w:t>
      </w:r>
    </w:p>
    <w:p>
      <w:pPr>
        <w:pStyle w:val="HorizontalLine"/>
        <w:bidi w:val="0"/>
        <w:spacing w:before="150" w:after="150"/>
        <w:jc w:val="left"/>
        <w:rPr/>
      </w:pPr>
      <w:r>
        <w:rPr/>
      </w:r>
    </w:p>
    <w:p>
      <w:pPr>
        <w:pStyle w:val="TextBody"/>
        <w:bidi w:val="0"/>
        <w:spacing w:before="150" w:after="150"/>
        <w:jc w:val="left"/>
        <w:rPr/>
      </w:pPr>
      <w:hyperlink w:anchor="index">
        <w:r>
          <w:rPr>
            <w:rStyle w:val="InternetLink"/>
            <w:rFonts w:ascii="TimesNewRoman;Times New Roman;Times;Baskerville;Georgia;serif" w:hAnsi="TimesNewRoman;Times New Roman;Times;Baskerville;Georgia;serif"/>
            <w:b w:val="false"/>
            <w:i/>
            <w:caps w:val="false"/>
            <w:smallCaps w:val="false"/>
            <w:strike w:val="false"/>
            <w:dstrike w:val="false"/>
            <w:sz w:val="16"/>
            <w:u w:val="none"/>
            <w:effect w:val="none"/>
          </w:rPr>
          <w:t>Index</w:t>
        </w:r>
      </w:hyperlink>
    </w:p>
    <w:p>
      <w:pPr>
        <w:pStyle w:val="TextBody"/>
        <w:bidi w:val="0"/>
        <w:spacing w:before="0" w:after="0"/>
        <w:jc w:val="both"/>
        <w:rPr>
          <w:rFonts w:ascii="Times New Roman" w:hAnsi="Times New Roman"/>
          <w:sz w:val="20"/>
        </w:rPr>
      </w:pPr>
      <w:r>
        <w:rPr>
          <w:rFonts w:ascii="Times New Roman" w:hAnsi="Times New Roman"/>
          <w:b/>
          <w:i/>
          <w:sz w:val="20"/>
        </w:rPr>
        <w:t>Our ability to commercialize our products, alone or with collaborators, will depend in part upon the extent to which reimbursement will be available from governmental agencies, health administration authorities, private health maintenance organizations and health insurers and other healthcare payers, and also depends upon the approval, timing and representations by the FDA or other governmental authorities for our product candidates.</w:t>
      </w:r>
      <w:r>
        <w:rPr>
          <w:rFonts w:ascii="Times New Roman" w:hAnsi="Times New Roman"/>
          <w:sz w:val="20"/>
        </w:rPr>
        <w:t xml:space="preserve"> </w:t>
      </w:r>
    </w:p>
    <w:p>
      <w:pPr>
        <w:pStyle w:val="TextBody"/>
        <w:bidi w:val="0"/>
        <w:spacing w:before="0" w:after="0"/>
        <w:jc w:val="both"/>
        <w:rPr/>
      </w:pPr>
      <w:r>
        <w:rPr/>
        <w:t xml:space="preserve">  </w:t>
      </w:r>
    </w:p>
    <w:p>
      <w:pPr>
        <w:pStyle w:val="TextBody"/>
        <w:bidi w:val="0"/>
        <w:spacing w:before="0" w:after="0"/>
        <w:ind w:left="0" w:right="0" w:firstLine="720"/>
        <w:jc w:val="both"/>
        <w:rPr>
          <w:rFonts w:ascii="Times New Roman" w:hAnsi="Times New Roman"/>
          <w:sz w:val="20"/>
        </w:rPr>
      </w:pPr>
      <w:r>
        <w:rPr>
          <w:rFonts w:ascii="Times New Roman" w:hAnsi="Times New Roman"/>
          <w:sz w:val="20"/>
        </w:rPr>
        <w:t xml:space="preserve">Our ability to generate product revenues will be diminished if our products sell for inadequate prices or patients are unable to obtain adequate levels of insurance coverage. Significant uncertainty exists as to the reimbursement status of newly approved healthcare products, as well as to the timing, language, specifications and other details pertaining to the approval of such products. Healthcare payers, including Medicare, are challenging the prices charged for medical products and services. Government and other healthcare payers increasingly attempt to contain healthcare costs by limiting both coverage and the level of reimbursement for products. Even if one of our product candidates is approved by the FDA, insurance coverage may not be available, and reimbursement levels may be inadequate, to cover such product. If government and other healthcare payers do not provide adequate coverage and reimbursement levels for one of our products, once approved, market acceptance of such product could be reduced. Prices in many countries, including many in Europe, are subject to local regulation and certain pharmaceutical products, such as plasma-derived products, are subject to price controls in several of the world’s principal markets, including many countries within the European Union. In the United States, where pricing levels for our products are substantially established by third-party payers, including Medicare, if payers reduce the amount of reimbursement for a product, it may cause groups or individuals dispensing the product to discontinue administration of the product, to administer lower doses, to substitute lower cost products or to seek additional price-related concessions. These actions could have a negative effect on our financial results, particularly in cases where our products command a premium price in the marketplace, or where changes in reimbursement induce a shift in the site of treatment. The existence of direct and indirect price controls and pressures over our products could materially adversely affect our financial prospects and performance. </w:t>
      </w:r>
    </w:p>
    <w:p>
      <w:pPr>
        <w:pStyle w:val="TextBody"/>
        <w:bidi w:val="0"/>
        <w:spacing w:before="0" w:after="0"/>
        <w:jc w:val="both"/>
        <w:rPr/>
      </w:pPr>
      <w:r>
        <w:rPr/>
        <w:t xml:space="preserve">  </w:t>
      </w:r>
    </w:p>
    <w:p>
      <w:pPr>
        <w:pStyle w:val="TextBody"/>
        <w:bidi w:val="0"/>
        <w:spacing w:before="0" w:after="0"/>
        <w:jc w:val="both"/>
        <w:rPr>
          <w:rFonts w:ascii="Times New Roman" w:hAnsi="Times New Roman"/>
          <w:sz w:val="20"/>
        </w:rPr>
      </w:pPr>
      <w:r>
        <w:rPr>
          <w:rFonts w:ascii="Times New Roman" w:hAnsi="Times New Roman"/>
          <w:b/>
          <w:i/>
          <w:sz w:val="20"/>
        </w:rPr>
        <w:t>The biosimilar pathway established as part of healthcare reform may make it easier for competitors to market biosimilar products.</w:t>
      </w:r>
      <w:r>
        <w:rPr>
          <w:rFonts w:ascii="Times New Roman" w:hAnsi="Times New Roman"/>
          <w:sz w:val="20"/>
        </w:rPr>
        <w:t xml:space="preserve"> </w:t>
      </w:r>
    </w:p>
    <w:p>
      <w:pPr>
        <w:pStyle w:val="TextBody"/>
        <w:bidi w:val="0"/>
        <w:spacing w:before="0" w:after="0"/>
        <w:jc w:val="both"/>
        <w:rPr/>
      </w:pPr>
      <w:r>
        <w:rPr/>
        <w:t xml:space="preserve">  </w:t>
      </w:r>
    </w:p>
    <w:p>
      <w:pPr>
        <w:pStyle w:val="TextBody"/>
        <w:bidi w:val="0"/>
        <w:spacing w:before="0" w:after="0"/>
        <w:ind w:left="0" w:right="0" w:firstLine="720"/>
        <w:jc w:val="both"/>
        <w:rPr>
          <w:rFonts w:ascii="Times New Roman" w:hAnsi="Times New Roman"/>
          <w:sz w:val="20"/>
        </w:rPr>
      </w:pPr>
      <w:r>
        <w:rPr>
          <w:rFonts w:ascii="Times New Roman" w:hAnsi="Times New Roman"/>
          <w:sz w:val="20"/>
        </w:rPr>
        <w:t xml:space="preserve">The ACA and the companion Healthcare and Education Reconciliation Act (which together are referred to as the “Healthcare Reform Law”) introduced an abbreviated licensure pathway for biological products that are demonstrated to be biosimilar to an FDA-licensed biological product. A biological product may be demonstrated to be “biosimilar” if data shows that, among other things, the product is “highly similar” to an already-approved biological product, known as a reference product, and has no clinically meaningful differences in terms of safety and effectiveness from the reference product. The law provides that a biosimilar application may be submitted as soon as four years after the reference product is first licensed, and that the FDA may not make approval of an application effective until 12 years after the reference product was first licensed. This exclusivity period, however, is subject to certain limitations. For example, the exclusivity only applies to the first licensure of a product, as defined in statute and FDA guidance, and, thus, not all BLAs will have exclusivity protection. There may also be future legislative efforts to decrease this period of exclusivity. The FDA also may not consider a particular biologic to be a reference product or competitors may pursue full traditional BLAs, rather than the biosimilar pathway, which full BLAs would not be blocked by the regulatory exclusivity. Moreover, following the submission of a biosimilar application, we may need to institute patent infringement actions or may be subject to actions for declaratory judgment, which may be time consuming and costly. </w:t>
      </w:r>
    </w:p>
    <w:p>
      <w:pPr>
        <w:pStyle w:val="TextBody"/>
        <w:bidi w:val="0"/>
        <w:spacing w:before="0" w:after="0"/>
        <w:jc w:val="both"/>
        <w:rPr/>
      </w:pPr>
      <w:r>
        <w:rPr/>
        <w:t xml:space="preserve">  </w:t>
      </w:r>
    </w:p>
    <w:p>
      <w:pPr>
        <w:pStyle w:val="TextBody"/>
        <w:bidi w:val="0"/>
        <w:spacing w:before="150" w:after="15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t>55</w:t>
      </w:r>
    </w:p>
    <w:p>
      <w:pPr>
        <w:pStyle w:val="HorizontalLine"/>
        <w:bidi w:val="0"/>
        <w:spacing w:before="150" w:after="150"/>
        <w:jc w:val="left"/>
        <w:rPr/>
      </w:pPr>
      <w:r>
        <w:rPr/>
      </w:r>
    </w:p>
    <w:p>
      <w:pPr>
        <w:pStyle w:val="TextBody"/>
        <w:bidi w:val="0"/>
        <w:spacing w:before="150" w:after="150"/>
        <w:jc w:val="left"/>
        <w:rPr/>
      </w:pPr>
      <w:hyperlink w:anchor="index">
        <w:r>
          <w:rPr>
            <w:rStyle w:val="InternetLink"/>
            <w:rFonts w:ascii="TimesNewRoman;Times New Roman;Times;Baskerville;Georgia;serif" w:hAnsi="TimesNewRoman;Times New Roman;Times;Baskerville;Georgia;serif"/>
            <w:b w:val="false"/>
            <w:i/>
            <w:caps w:val="false"/>
            <w:smallCaps w:val="false"/>
            <w:strike w:val="false"/>
            <w:dstrike w:val="false"/>
            <w:sz w:val="16"/>
            <w:u w:val="none"/>
            <w:effect w:val="none"/>
          </w:rPr>
          <w:t>Index</w:t>
        </w:r>
      </w:hyperlink>
    </w:p>
    <w:p>
      <w:pPr>
        <w:pStyle w:val="TextBody"/>
        <w:bidi w:val="0"/>
        <w:spacing w:before="0" w:after="0"/>
        <w:ind w:left="0" w:right="0" w:firstLine="720"/>
        <w:jc w:val="both"/>
        <w:rPr>
          <w:rFonts w:ascii="Times New Roman" w:hAnsi="Times New Roman"/>
          <w:sz w:val="20"/>
        </w:rPr>
      </w:pPr>
      <w:r>
        <w:rPr>
          <w:rFonts w:ascii="Times New Roman" w:hAnsi="Times New Roman"/>
          <w:sz w:val="20"/>
        </w:rPr>
        <w:t xml:space="preserve">Since the enactment of the law, the FDA has issued several guidance documents to assist sponsors of biosimilar products in preparing their approval applications. Moreover, in an effort to increase competition in the biologic product marketplace, Congress, the executive branch, and the FDA have taken certain legislative and regulatory steps. For example, in 2020 the FDA finalized guidance to facilitate biologic product importation. The 2020 Further Consolidated Appropriations Act included provisions requiring that sponsors of approved biologic products provide samples of the approved products to persons developing biosimilar products within specified timeframes, in sufficient quantities, and on commercially reasonable market-based terms. In 2025, the FDA also potentially made it easier for sponsors of biosimilar or interchangeable products to obtain approval, easing requirements for biosimilar comparative efficacy clinical studies and interchangeable product switching studies. The FDA approved the first biosimilar product in 2015 and has since approved a number of biosimilars. As a result of the biosimilar pathway in the United States, we expect in the future to face greater competition from biosimilar products, including a possible increase in patent challenges. </w:t>
      </w:r>
    </w:p>
    <w:p>
      <w:pPr>
        <w:pStyle w:val="TextBody"/>
        <w:bidi w:val="0"/>
        <w:spacing w:before="0" w:after="0"/>
        <w:jc w:val="left"/>
        <w:rPr/>
      </w:pPr>
      <w:r>
        <w:rPr/>
        <w:t xml:space="preserve">  </w:t>
      </w:r>
    </w:p>
    <w:p>
      <w:pPr>
        <w:pStyle w:val="TextBody"/>
        <w:bidi w:val="0"/>
        <w:spacing w:before="0" w:after="0"/>
        <w:jc w:val="left"/>
        <w:rPr>
          <w:rFonts w:ascii="Times New Roman" w:hAnsi="Times New Roman"/>
          <w:sz w:val="20"/>
        </w:rPr>
      </w:pPr>
      <w:r>
        <w:rPr>
          <w:rFonts w:ascii="Times New Roman" w:hAnsi="Times New Roman"/>
          <w:b/>
          <w:i/>
          <w:sz w:val="20"/>
        </w:rPr>
        <w:t>The implementation of the Healthcare Reform Law in the United States may adversely affect our business.</w:t>
      </w:r>
      <w:r>
        <w:rPr>
          <w:rFonts w:ascii="Times New Roman" w:hAnsi="Times New Roman"/>
          <w:sz w:val="20"/>
        </w:rPr>
        <w:t xml:space="preserve"> </w:t>
      </w:r>
    </w:p>
    <w:p>
      <w:pPr>
        <w:pStyle w:val="TextBody"/>
        <w:bidi w:val="0"/>
        <w:spacing w:before="0" w:after="0"/>
        <w:jc w:val="both"/>
        <w:rPr/>
      </w:pPr>
      <w:r>
        <w:rPr/>
        <w:t xml:space="preserve">  </w:t>
      </w:r>
    </w:p>
    <w:p>
      <w:pPr>
        <w:pStyle w:val="TextBody"/>
        <w:bidi w:val="0"/>
        <w:spacing w:before="0" w:after="0"/>
        <w:ind w:left="0" w:right="0" w:firstLine="720"/>
        <w:jc w:val="both"/>
        <w:rPr>
          <w:rFonts w:ascii="Times New Roman" w:hAnsi="Times New Roman"/>
          <w:sz w:val="20"/>
        </w:rPr>
      </w:pPr>
      <w:r>
        <w:rPr>
          <w:rFonts w:ascii="Times New Roman" w:hAnsi="Times New Roman"/>
          <w:sz w:val="20"/>
        </w:rPr>
        <w:t xml:space="preserve">Through the March 2010 adoption of the Healthcare Reform Law in the United States, substantial changes have been made to the current system for paying for healthcare in the United States, including programs to extend medical benefits to millions of individuals who currently lack insurance coverage. This reform establishes significant cost-saving measures with respect to several government healthcare programs, including Medicaid and Medicare Parts B and D, that may cover the cost of our future products, and these efforts could have a material adverse impact on our future financial prospects and performance. For example, in order for a manufacturer’s products to be reimbursed by federal funding under Medicaid, the manufacturer must enter into a Medicaid rebate agreement with the Secretary of HHS and pay certain rebates to the states based on utilization data provided by each state to the manufacturer and to CMS and pricing data provided by the manufacturer to the federal government. The states share these savings with the federal government, and sometimes implement their own additional supplemental rebate programs. Under the Medicaid drug rebate program, the rebate amount for most branded drug products was previously equal to a minimum of 15.1% of the Average Manufacturer Price (“AMP”) or the AMP less Best Price, whichever is greater, plus the inflation penalty if applicable. Effective January 1, 2010, the Healthcare Reform Law generally increased the size of the Medicaid rebates paid by manufacturers for single source and innovator multiple source (brand name) drug products from a minimum of 15.1% to a minimum of 23.1% of AMP, subject to certain exceptions, plus the inflation penalty if applicable. For non-innovator multiple source (generic) products, the rebate percentage was increased from a minimum of 11.0% to a minimum of 13.0% of AMP, and the Bipartisan Budget Act of 2015 established a new inflation penalty for these drugs. In 2010, the Healthcare Reform Law also newly extended the Medicaid drug rebate obligation to prescription drugs covered by Medicaid managed care organizations. These increases in required rebates may adversely affect our future financial prospects and performance. In order for a pharmaceutical product to receive federal reimbursement under the Medicare Part B and Medicaid programs or to be sold directly to U.S. government agencies, the manufacturer must extend discounts to entities eligible to participate in the 340B drug pricing program. The required 340B discount on a given product is calculated based on the AMP and Medicaid rebate amounts reported by the manufacturer. As the 340B drug pricing is determined based on AMP and Medicaid rebate data, the revisions to the Medicaid rebate formula and AMP definition described above could cause the required 340B discount to increase, and regulations have established a civil monetary penalty for failure to refund these overcharges. </w:t>
      </w:r>
    </w:p>
    <w:p>
      <w:pPr>
        <w:pStyle w:val="TextBody"/>
        <w:bidi w:val="0"/>
        <w:spacing w:before="0" w:after="0"/>
        <w:jc w:val="both"/>
        <w:rPr/>
      </w:pPr>
      <w:r>
        <w:rPr/>
        <w:t xml:space="preserve">  </w:t>
      </w:r>
    </w:p>
    <w:p>
      <w:pPr>
        <w:pStyle w:val="TextBody"/>
        <w:bidi w:val="0"/>
        <w:spacing w:before="0" w:after="0"/>
        <w:ind w:left="0" w:right="0" w:firstLine="720"/>
        <w:jc w:val="both"/>
        <w:rPr>
          <w:rFonts w:ascii="Times New Roman" w:hAnsi="Times New Roman"/>
          <w:sz w:val="20"/>
        </w:rPr>
      </w:pPr>
      <w:r>
        <w:rPr>
          <w:rFonts w:ascii="Times New Roman" w:hAnsi="Times New Roman"/>
          <w:sz w:val="20"/>
        </w:rPr>
        <w:t xml:space="preserve">Effective in 2011, the Healthcare Reform Law imposed an annual, nondeductible fee on any entity that manufactures or imports certain branded prescription drugs and biologic agents, apportioned among these entities according to their market share in certain government healthcare programs. These fees may adversely affect our future financial prospects and performance. </w:t>
      </w:r>
    </w:p>
    <w:p>
      <w:pPr>
        <w:pStyle w:val="TextBody"/>
        <w:bidi w:val="0"/>
        <w:spacing w:before="0" w:after="0"/>
        <w:jc w:val="both"/>
        <w:rPr/>
      </w:pPr>
      <w:r>
        <w:rPr/>
        <w:t xml:space="preserve">  </w:t>
      </w:r>
    </w:p>
    <w:p>
      <w:pPr>
        <w:pStyle w:val="TextBody"/>
        <w:bidi w:val="0"/>
        <w:spacing w:before="150" w:after="15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t>56</w:t>
      </w:r>
    </w:p>
    <w:p>
      <w:pPr>
        <w:pStyle w:val="HorizontalLine"/>
        <w:bidi w:val="0"/>
        <w:spacing w:before="150" w:after="150"/>
        <w:jc w:val="left"/>
        <w:rPr/>
      </w:pPr>
      <w:r>
        <w:rPr/>
      </w:r>
    </w:p>
    <w:p>
      <w:pPr>
        <w:pStyle w:val="TextBody"/>
        <w:bidi w:val="0"/>
        <w:spacing w:before="150" w:after="150"/>
        <w:jc w:val="left"/>
        <w:rPr/>
      </w:pPr>
      <w:hyperlink w:anchor="index">
        <w:r>
          <w:rPr>
            <w:rStyle w:val="InternetLink"/>
            <w:rFonts w:ascii="TimesNewRoman;Times New Roman;Times;Baskerville;Georgia;serif" w:hAnsi="TimesNewRoman;Times New Roman;Times;Baskerville;Georgia;serif"/>
            <w:b w:val="false"/>
            <w:i/>
            <w:caps w:val="false"/>
            <w:smallCaps w:val="false"/>
            <w:strike w:val="false"/>
            <w:dstrike w:val="false"/>
            <w:sz w:val="16"/>
            <w:u w:val="none"/>
            <w:effect w:val="none"/>
          </w:rPr>
          <w:t>Index</w:t>
        </w:r>
      </w:hyperlink>
    </w:p>
    <w:p>
      <w:pPr>
        <w:pStyle w:val="TextBody"/>
        <w:bidi w:val="0"/>
        <w:spacing w:before="0" w:after="0"/>
        <w:ind w:left="0" w:right="0" w:firstLine="720"/>
        <w:jc w:val="both"/>
        <w:rPr>
          <w:rFonts w:ascii="Times New Roman" w:hAnsi="Times New Roman"/>
          <w:sz w:val="20"/>
        </w:rPr>
      </w:pPr>
      <w:r>
        <w:rPr>
          <w:rFonts w:ascii="Times New Roman" w:hAnsi="Times New Roman"/>
          <w:sz w:val="20"/>
        </w:rPr>
        <w:t xml:space="preserve">The Inflation Reduction Act also amended certain discount obligations originally implemented under the Healthcare Reform Law. In January 2025, the Inflation Reduction Act implemented a new manufacturer discount program that requires participating manufacturers to provide discounts on applicable drugs in both the Initial Coverage and Catastrophic Coverage phases of the Part D benefit. The discount requirement could adversely affect our future financial performance, creating continued pressure to lower prices related to units sold to Medicare beneficiaries. Regarding access to our products, the Healthcare Reform Law established and provided significant funding for a Patient-Centered Outcomes Research Institute to coordinate and fund Comparative Effectiveness Research (“CER”). While the stated intent of CER is to develop information to guide providers to the most efficacious therapies, outcomes of CER could influence the reimbursement or coverage for therapies that are determined to be less cost-effective than others. Should any of our products be determined to be less cost effective than alternative therapies, the levels of reimbursement for these products, or the willingness to reimburse at all, could be impacted, which could materially impact our future financial prospects and results. </w:t>
      </w:r>
    </w:p>
    <w:p>
      <w:pPr>
        <w:pStyle w:val="TextBody"/>
        <w:bidi w:val="0"/>
        <w:spacing w:before="0" w:after="0"/>
        <w:jc w:val="both"/>
        <w:rPr/>
      </w:pPr>
      <w:r>
        <w:rPr/>
        <w:t xml:space="preserve">  </w:t>
      </w:r>
    </w:p>
    <w:p>
      <w:pPr>
        <w:pStyle w:val="TextBody"/>
        <w:bidi w:val="0"/>
        <w:spacing w:before="0" w:after="0"/>
        <w:ind w:left="0" w:right="0" w:firstLine="720"/>
        <w:jc w:val="both"/>
        <w:rPr>
          <w:rFonts w:ascii="Times New Roman" w:hAnsi="Times New Roman"/>
          <w:sz w:val="20"/>
        </w:rPr>
      </w:pPr>
      <w:r>
        <w:rPr>
          <w:rFonts w:ascii="Times New Roman" w:hAnsi="Times New Roman"/>
          <w:sz w:val="20"/>
        </w:rPr>
        <w:t xml:space="preserve">There have been repeated legal challenges and attempts by Congress to repeal or change the Healthcare Reform Law and the possibility of future challenges or legislative changes contribute to the uncertainty of the ongoing implementation and impact of the law and also underscores the potential for additional reform going forward. We cannot assure that the law, as currently enacted or as amended in the future, will not adversely affect our business and financial results and we cannot predict how future federal or state legislative or administrative changes relating to healthcare reform will affect our business. Certain provisions of enacted or proposed legislative changes may negatively impact coverage and reimbursement of, or rebates paid by manufacturers for, healthcare items and services. We will continue to evaluate the effect that the Healthcare Reform Law and any potential changes may have on our business. </w:t>
      </w:r>
    </w:p>
    <w:p>
      <w:pPr>
        <w:pStyle w:val="TextBody"/>
        <w:bidi w:val="0"/>
        <w:spacing w:before="0" w:after="0"/>
        <w:jc w:val="both"/>
        <w:rPr/>
      </w:pPr>
      <w:r>
        <w:rPr/>
        <w:t xml:space="preserve">  </w:t>
      </w:r>
    </w:p>
    <w:p>
      <w:pPr>
        <w:pStyle w:val="TextBody"/>
        <w:bidi w:val="0"/>
        <w:spacing w:before="0" w:after="0"/>
        <w:jc w:val="both"/>
        <w:rPr>
          <w:rFonts w:ascii="Times New Roman" w:hAnsi="Times New Roman"/>
          <w:sz w:val="20"/>
        </w:rPr>
      </w:pPr>
      <w:r>
        <w:rPr>
          <w:rFonts w:ascii="Times New Roman" w:hAnsi="Times New Roman"/>
          <w:b/>
          <w:i/>
          <w:sz w:val="20"/>
        </w:rPr>
        <w:t>Corporate responsibility, specifically related to Environmental, Social and Governance (“ESG”) matters, may impose additional costs and expose us to new risks.</w:t>
      </w:r>
      <w:r>
        <w:rPr>
          <w:rFonts w:ascii="Times New Roman" w:hAnsi="Times New Roman"/>
          <w:sz w:val="20"/>
        </w:rPr>
        <w:t xml:space="preserve"> </w:t>
      </w:r>
    </w:p>
    <w:p>
      <w:pPr>
        <w:pStyle w:val="TextBody"/>
        <w:bidi w:val="0"/>
        <w:spacing w:before="0" w:after="0"/>
        <w:jc w:val="both"/>
        <w:rPr/>
      </w:pPr>
      <w:r>
        <w:rPr/>
        <w:t xml:space="preserve">  </w:t>
      </w:r>
    </w:p>
    <w:p>
      <w:pPr>
        <w:pStyle w:val="TextBody"/>
        <w:bidi w:val="0"/>
        <w:spacing w:before="0" w:after="0"/>
        <w:ind w:left="0" w:right="0" w:firstLine="720"/>
        <w:jc w:val="both"/>
        <w:rPr>
          <w:rFonts w:ascii="Times New Roman" w:hAnsi="Times New Roman"/>
          <w:sz w:val="20"/>
        </w:rPr>
      </w:pPr>
      <w:r>
        <w:rPr>
          <w:rFonts w:ascii="Times New Roman" w:hAnsi="Times New Roman"/>
          <w:sz w:val="20"/>
        </w:rPr>
        <w:t>Public ESG and sustainability reporting is becoming more broadly expected by investors, stockholders and other third parties. Certain organizations that provide corporate governance and other corporate risk information to investors and stockholders have developed, and others may in the future develop, scores and ratings to evaluate companies and investment funds based upon ESG or “sustainability” metrics. Many investment funds focus on positive ESG business practices and sustainability scores when making investments and may consider a company’s ESG or sustainability scores as a reputational or other factor in making an investment decision. In addition, investors, particularly institutional investors, use these scores to benchmark companies against their peers and if a company is perceived as lagging, these investors may engage with such company to improve ESG disclosure or performance and may also make voting decisions, or take other actions, to hold these companies and their boards of directors accountable. We may face reputational damage in the event our corporate responsibility initiatives or objectives do not meet the standards set by our investors, stockholders, lawmakers, listing exchanges or other constituencies, or if we are unable to achieve an acceptable ESG or sustainability rating from third-party rating</w:t>
      </w:r>
      <w:r>
        <w:rPr>
          <w:rFonts w:ascii="Times New Roman" w:hAnsi="Times New Roman"/>
          <w:color w:val="FF0000"/>
          <w:sz w:val="20"/>
        </w:rPr>
        <w:t> </w:t>
      </w:r>
      <w:r>
        <w:rPr>
          <w:rFonts w:ascii="Times New Roman" w:hAnsi="Times New Roman"/>
          <w:sz w:val="20"/>
        </w:rPr>
        <w:t xml:space="preserve">services. A low ESG or sustainability rating by a third-party rating service could also result in the exclusion of our common stock from consideration by certain investors who may elect to invest with our competition instead. Ongoing focus on corporate responsibility matters by investors and other parties as described above may impose additional costs or expose us to new risks. </w:t>
      </w:r>
    </w:p>
    <w:p>
      <w:pPr>
        <w:pStyle w:val="TextBody"/>
        <w:bidi w:val="0"/>
        <w:spacing w:before="0" w:after="0"/>
        <w:jc w:val="both"/>
        <w:rPr/>
      </w:pPr>
      <w:r>
        <w:rPr/>
        <w:t xml:space="preserve">  </w:t>
      </w:r>
    </w:p>
    <w:p>
      <w:pPr>
        <w:pStyle w:val="TextBody"/>
        <w:bidi w:val="0"/>
        <w:spacing w:before="0" w:after="0"/>
        <w:jc w:val="both"/>
        <w:rPr>
          <w:rFonts w:ascii="Times New Roman" w:hAnsi="Times New Roman"/>
          <w:sz w:val="20"/>
        </w:rPr>
      </w:pPr>
      <w:r>
        <w:rPr>
          <w:rFonts w:ascii="Times New Roman" w:hAnsi="Times New Roman"/>
          <w:b/>
          <w:sz w:val="20"/>
        </w:rPr>
        <w:t>Risks Relating to our Finances, Capital Requirements and Other Financial Matters</w:t>
      </w:r>
      <w:r>
        <w:rPr>
          <w:rFonts w:ascii="Times New Roman" w:hAnsi="Times New Roman"/>
          <w:sz w:val="20"/>
        </w:rPr>
        <w:t xml:space="preserve"> </w:t>
      </w:r>
    </w:p>
    <w:p>
      <w:pPr>
        <w:pStyle w:val="TextBody"/>
        <w:bidi w:val="0"/>
        <w:spacing w:before="0" w:after="0"/>
        <w:jc w:val="both"/>
        <w:rPr/>
      </w:pPr>
      <w:r>
        <w:rPr/>
        <w:t xml:space="preserve">  </w:t>
      </w:r>
    </w:p>
    <w:p>
      <w:pPr>
        <w:pStyle w:val="TextBody"/>
        <w:bidi w:val="0"/>
        <w:spacing w:before="0" w:after="0"/>
        <w:jc w:val="both"/>
        <w:rPr>
          <w:rFonts w:ascii="Times New Roman" w:hAnsi="Times New Roman"/>
          <w:sz w:val="20"/>
        </w:rPr>
      </w:pPr>
      <w:r>
        <w:rPr>
          <w:rFonts w:ascii="Times New Roman" w:hAnsi="Times New Roman"/>
          <w:b/>
          <w:i/>
          <w:sz w:val="20"/>
        </w:rPr>
        <w:t>We may not have cash available to us in amounts sufficient to enable us to make interest or principal payments on our indebtedness when due.</w:t>
      </w:r>
      <w:r>
        <w:rPr>
          <w:rFonts w:ascii="Times New Roman" w:hAnsi="Times New Roman"/>
          <w:sz w:val="20"/>
        </w:rPr>
        <w:t xml:space="preserve"> </w:t>
      </w:r>
    </w:p>
    <w:p>
      <w:pPr>
        <w:pStyle w:val="TextBody"/>
        <w:bidi w:val="0"/>
        <w:spacing w:before="0" w:after="0"/>
        <w:jc w:val="left"/>
        <w:rPr/>
      </w:pPr>
      <w:r>
        <w:rPr/>
        <w:t xml:space="preserve">  </w:t>
      </w:r>
    </w:p>
    <w:p>
      <w:pPr>
        <w:pStyle w:val="TextBody"/>
        <w:bidi w:val="0"/>
        <w:spacing w:before="0" w:after="0"/>
        <w:ind w:left="0" w:right="0" w:firstLine="720"/>
        <w:jc w:val="both"/>
        <w:rPr>
          <w:rFonts w:ascii="Times New Roman" w:hAnsi="Times New Roman"/>
          <w:sz w:val="20"/>
        </w:rPr>
      </w:pPr>
      <w:r>
        <w:rPr>
          <w:rFonts w:ascii="Times New Roman" w:hAnsi="Times New Roman"/>
          <w:sz w:val="20"/>
        </w:rPr>
        <w:t xml:space="preserve">The JPM Credit Facilities provide for total senior secured loans in an aggregate principal amount of $300.0 million, of which $74.0 million is currently outstanding. The borrowing under the JPM Credit Facilities currently bears interest at a rate equal to approximately 6.4% per annum, which reflects the one-month term SOFR rate; provided, however, that upon, and during the continuance of, an event of default, the interest rate will automatically increase by an additional 200 basis points. We are currently required to make (i) payments of interest for our revolving facility, at quarterly, one-month or three-month intervals, depending upon the type of borrowing, during the remaining term of the JPM Credit Facilities, with all principal and unpaid interest due at maturity, and (ii) principal under our term loan facility, in accordance with and on the dates specified in the amortization schedule set forth in the JPM Credit Agreement, through the JPM Term Maturity Date. In addition, our monthly interest rate obligation under our revolving facility is subject to rising interest rates. The JPM Credit Facilities are subject to acceleration pursuant to the JPM Credit Agreement, including upon an event of default. All of our obligations under the JPM Credit Facilities are secured by a first-priority lien and security interest in substantially all of our and our subsidiaries’ tangible and intangible assets, including intellectual property, and all of the equity interests in our subsidiaries. </w:t>
      </w:r>
    </w:p>
    <w:p>
      <w:pPr>
        <w:pStyle w:val="TextBody"/>
        <w:bidi w:val="0"/>
        <w:spacing w:before="0" w:after="0"/>
        <w:jc w:val="both"/>
        <w:rPr/>
      </w:pPr>
      <w:r>
        <w:rPr/>
        <w:t xml:space="preserve">  </w:t>
      </w:r>
    </w:p>
    <w:p>
      <w:pPr>
        <w:pStyle w:val="TextBody"/>
        <w:bidi w:val="0"/>
        <w:spacing w:before="150" w:after="15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t>57</w:t>
      </w:r>
    </w:p>
    <w:p>
      <w:pPr>
        <w:pStyle w:val="HorizontalLine"/>
        <w:bidi w:val="0"/>
        <w:spacing w:before="150" w:after="150"/>
        <w:jc w:val="left"/>
        <w:rPr/>
      </w:pPr>
      <w:r>
        <w:rPr/>
      </w:r>
    </w:p>
    <w:p>
      <w:pPr>
        <w:pStyle w:val="TextBody"/>
        <w:bidi w:val="0"/>
        <w:spacing w:before="150" w:after="150"/>
        <w:jc w:val="left"/>
        <w:rPr/>
      </w:pPr>
      <w:hyperlink w:anchor="index">
        <w:r>
          <w:rPr>
            <w:rStyle w:val="InternetLink"/>
            <w:rFonts w:ascii="TimesNewRoman;Times New Roman;Times;Baskerville;Georgia;serif" w:hAnsi="TimesNewRoman;Times New Roman;Times;Baskerville;Georgia;serif"/>
            <w:b w:val="false"/>
            <w:i/>
            <w:caps w:val="false"/>
            <w:smallCaps w:val="false"/>
            <w:strike w:val="false"/>
            <w:dstrike w:val="false"/>
            <w:sz w:val="16"/>
            <w:u w:val="none"/>
            <w:effect w:val="none"/>
          </w:rPr>
          <w:t>Index</w:t>
        </w:r>
      </w:hyperlink>
    </w:p>
    <w:p>
      <w:pPr>
        <w:pStyle w:val="TextBody"/>
        <w:bidi w:val="0"/>
        <w:spacing w:before="0" w:after="0"/>
        <w:ind w:left="0" w:right="0" w:firstLine="720"/>
        <w:jc w:val="both"/>
        <w:rPr>
          <w:rFonts w:ascii="Times New Roman" w:hAnsi="Times New Roman"/>
          <w:sz w:val="20"/>
        </w:rPr>
      </w:pPr>
      <w:r>
        <w:rPr>
          <w:rFonts w:ascii="Times New Roman" w:hAnsi="Times New Roman"/>
          <w:sz w:val="20"/>
        </w:rPr>
        <w:t xml:space="preserve">Our current and projected cash, cash equivalents and accounts receivable may not be sufficient to repay all of our current outstanding debt obligations as they mature. If we are unable to maintain sufficient positive cash flows to repay our outstanding debt obligations as they mature, we would need to obtain additional financing in the amounts necessary to repay our outstanding debt obligations when due. If we are unable to repay our outstanding debt obligations when they mature, our creditors would be able to accelerate all of the amounts due and, in the case of the JPM Credit Facilities, seek to enforce their security interests, which could lead to our creditors taking immediate possession of and selling substantially all of our assets with no return provided to our stockholders. </w:t>
      </w:r>
    </w:p>
    <w:p>
      <w:pPr>
        <w:pStyle w:val="TextBody"/>
        <w:bidi w:val="0"/>
        <w:spacing w:before="0" w:after="0"/>
        <w:jc w:val="left"/>
        <w:rPr/>
      </w:pPr>
      <w:r>
        <w:rPr/>
        <w:t xml:space="preserve">  </w:t>
      </w:r>
    </w:p>
    <w:p>
      <w:pPr>
        <w:pStyle w:val="TextBody"/>
        <w:bidi w:val="0"/>
        <w:spacing w:before="0" w:after="0"/>
        <w:jc w:val="both"/>
        <w:rPr>
          <w:rFonts w:ascii="Times New Roman" w:hAnsi="Times New Roman"/>
          <w:sz w:val="20"/>
        </w:rPr>
      </w:pPr>
      <w:r>
        <w:rPr>
          <w:rFonts w:ascii="Times New Roman" w:hAnsi="Times New Roman"/>
          <w:b/>
          <w:i/>
          <w:sz w:val="20"/>
        </w:rPr>
        <w:t>Raising additional funds by issuing securities or through licensing or lending arrangements may cause dilution to our existing stockholders, restrict our operations or require us to relinquish proprietary rights.</w:t>
      </w:r>
      <w:r>
        <w:rPr>
          <w:rFonts w:ascii="Times New Roman" w:hAnsi="Times New Roman"/>
          <w:sz w:val="20"/>
        </w:rPr>
        <w:t xml:space="preserve"> </w:t>
      </w:r>
    </w:p>
    <w:p>
      <w:pPr>
        <w:pStyle w:val="TextBody"/>
        <w:bidi w:val="0"/>
        <w:spacing w:before="0" w:after="0"/>
        <w:jc w:val="both"/>
        <w:rPr/>
      </w:pPr>
      <w:r>
        <w:rPr/>
        <w:t xml:space="preserve">  </w:t>
      </w:r>
    </w:p>
    <w:p>
      <w:pPr>
        <w:pStyle w:val="TextBody"/>
        <w:bidi w:val="0"/>
        <w:spacing w:before="0" w:after="0"/>
        <w:ind w:left="0" w:right="0" w:firstLine="720"/>
        <w:jc w:val="both"/>
        <w:rPr>
          <w:rFonts w:ascii="Times New Roman" w:hAnsi="Times New Roman"/>
          <w:sz w:val="20"/>
        </w:rPr>
      </w:pPr>
      <w:r>
        <w:rPr>
          <w:rFonts w:ascii="Times New Roman" w:hAnsi="Times New Roman"/>
          <w:sz w:val="20"/>
        </w:rPr>
        <w:t xml:space="preserve">To the extent that we raise additional capital by issuing equity securities, the share ownership of existing stockholders will be diluted. Any future debt financing may involve covenants that, among other restrictions, limit our ability to incur liens or additional debt, pay dividends, redeem or repurchase our common stock, make certain investments or engage in certain merger, consolidation or asset sale transactions. In addition, if we raise additional funds through licensing arrangements or the disposition of any of our assets, it may be necessary to relinquish potentially valuable rights to our product candidates or grant licenses on terms that are not favorable to us. </w:t>
      </w:r>
    </w:p>
    <w:p>
      <w:pPr>
        <w:pStyle w:val="TextBody"/>
        <w:bidi w:val="0"/>
        <w:spacing w:before="0" w:after="0"/>
        <w:jc w:val="both"/>
        <w:rPr/>
      </w:pPr>
      <w:r>
        <w:rPr/>
        <w:t xml:space="preserve">  </w:t>
      </w:r>
    </w:p>
    <w:p>
      <w:pPr>
        <w:pStyle w:val="TextBody"/>
        <w:bidi w:val="0"/>
        <w:spacing w:before="0" w:after="0"/>
        <w:jc w:val="both"/>
        <w:rPr>
          <w:rFonts w:ascii="Times New Roman" w:hAnsi="Times New Roman"/>
          <w:sz w:val="20"/>
        </w:rPr>
      </w:pPr>
      <w:r>
        <w:rPr>
          <w:rFonts w:ascii="Times New Roman" w:hAnsi="Times New Roman"/>
          <w:b/>
          <w:i/>
          <w:sz w:val="20"/>
        </w:rPr>
        <w:t>Our cash and cash equivalents could be adversely affected if the financial institutions in which we hold our cash and cash equivalents fail.</w:t>
      </w:r>
      <w:r>
        <w:rPr>
          <w:rFonts w:ascii="Times New Roman" w:hAnsi="Times New Roman"/>
          <w:sz w:val="20"/>
        </w:rPr>
        <w:t xml:space="preserve"> </w:t>
      </w:r>
    </w:p>
    <w:p>
      <w:pPr>
        <w:pStyle w:val="TextBody"/>
        <w:bidi w:val="0"/>
        <w:spacing w:before="0" w:after="0"/>
        <w:jc w:val="both"/>
        <w:rPr/>
      </w:pPr>
      <w:r>
        <w:rPr/>
        <w:t xml:space="preserve">  </w:t>
      </w:r>
    </w:p>
    <w:p>
      <w:pPr>
        <w:pStyle w:val="TextBody"/>
        <w:bidi w:val="0"/>
        <w:spacing w:before="0" w:after="0"/>
        <w:ind w:left="0" w:right="0" w:firstLine="720"/>
        <w:jc w:val="both"/>
        <w:rPr>
          <w:rFonts w:ascii="Times New Roman" w:hAnsi="Times New Roman"/>
          <w:sz w:val="20"/>
        </w:rPr>
      </w:pPr>
      <w:r>
        <w:rPr>
          <w:rFonts w:ascii="Times New Roman" w:hAnsi="Times New Roman"/>
          <w:sz w:val="20"/>
        </w:rPr>
        <w:t xml:space="preserve">We regularly maintain cash balances at third-party financial institutions in excess of the Federal Deposit Insurance Corporation insurance limit. While we monitor the cash balances in our operating accounts on a daily basis and adjust the balances as appropriate, these balances could be impacted, and there could be a material adverse effect on our business, if one or more of the financial institutions with which we deposit cash fails or is subject to other adverse conditions in the financial or credit markets. To date, we have experienced no loss or lack of access to our invested cash or cash equivalents; however, we can provide no assurance that access to our invested cash and cash equivalents will not be impacted by adverse conditions in the financial and credit markets. </w:t>
      </w:r>
    </w:p>
    <w:p>
      <w:pPr>
        <w:pStyle w:val="TextBody"/>
        <w:bidi w:val="0"/>
        <w:spacing w:before="0" w:after="0"/>
        <w:jc w:val="both"/>
        <w:rPr/>
      </w:pPr>
      <w:r>
        <w:rPr/>
        <w:t xml:space="preserve">  </w:t>
      </w:r>
    </w:p>
    <w:p>
      <w:pPr>
        <w:pStyle w:val="TextBody"/>
        <w:bidi w:val="0"/>
        <w:spacing w:before="0" w:after="0"/>
        <w:jc w:val="both"/>
        <w:rPr>
          <w:rFonts w:ascii="Times New Roman" w:hAnsi="Times New Roman"/>
          <w:sz w:val="20"/>
        </w:rPr>
      </w:pPr>
      <w:r>
        <w:rPr>
          <w:rFonts w:ascii="Times New Roman" w:hAnsi="Times New Roman"/>
          <w:b/>
          <w:i/>
          <w:sz w:val="20"/>
        </w:rPr>
        <w:t>If we fail to maintain proper and effective internal control over financial reporting in the future, our ability to produce accurate and timely financial statements could be impaired, which could result in investors losing confidence in the accuracy and completeness of our financial statements, harm our operating results and negatively affect the market price of our common stock.</w:t>
      </w:r>
      <w:r>
        <w:rPr>
          <w:rFonts w:ascii="Times New Roman" w:hAnsi="Times New Roman"/>
          <w:sz w:val="20"/>
        </w:rPr>
        <w:t xml:space="preserve"> </w:t>
      </w:r>
    </w:p>
    <w:p>
      <w:pPr>
        <w:pStyle w:val="TextBody"/>
        <w:bidi w:val="0"/>
        <w:spacing w:before="0" w:after="0"/>
        <w:jc w:val="both"/>
        <w:rPr/>
      </w:pPr>
      <w:r>
        <w:rPr/>
        <w:t xml:space="preserve">  </w:t>
      </w:r>
    </w:p>
    <w:p>
      <w:pPr>
        <w:pStyle w:val="TextBody"/>
        <w:bidi w:val="0"/>
        <w:spacing w:before="0" w:after="0"/>
        <w:ind w:left="0" w:right="0" w:firstLine="720"/>
        <w:jc w:val="both"/>
        <w:rPr>
          <w:rFonts w:ascii="Times New Roman" w:hAnsi="Times New Roman"/>
          <w:sz w:val="20"/>
        </w:rPr>
      </w:pPr>
      <w:r>
        <w:rPr>
          <w:rFonts w:ascii="Times New Roman" w:hAnsi="Times New Roman"/>
          <w:sz w:val="20"/>
        </w:rPr>
        <w:t xml:space="preserve">Pursuant to Section 404 of the Sarbanes-Oxley Act of 2002 and related rules (the “Sarbanes-Oxley Act”), we are required to maintain internal control over financial reporting and our management is required to report on the effectiveness of our internal control over financial reporting, including any material weaknesses in such internal controls. The rules governing the standards that must be met for management to assess our internal control over financial reporting are complex and require significant documentation, testing and possible remediation. To comply with the requirements of being a reporting company under the Exchange Act, we have been required to upgrade, and will need to implement further upgrades, to our financial, information and operating systems, implement additional financial and management controls, reporting systems and procedures and hire additional accounting and finance staff. </w:t>
      </w:r>
    </w:p>
    <w:p>
      <w:pPr>
        <w:pStyle w:val="TextBody"/>
        <w:bidi w:val="0"/>
        <w:spacing w:before="0" w:after="0"/>
        <w:jc w:val="both"/>
        <w:rPr/>
      </w:pPr>
      <w:r>
        <w:rPr/>
        <w:t xml:space="preserve">  </w:t>
      </w:r>
    </w:p>
    <w:p>
      <w:pPr>
        <w:pStyle w:val="TextBody"/>
        <w:bidi w:val="0"/>
        <w:spacing w:before="0" w:after="0"/>
        <w:ind w:left="0" w:right="0" w:firstLine="720"/>
        <w:jc w:val="both"/>
        <w:rPr>
          <w:rFonts w:ascii="Times New Roman" w:hAnsi="Times New Roman"/>
          <w:sz w:val="20"/>
        </w:rPr>
      </w:pPr>
      <w:r>
        <w:rPr>
          <w:rFonts w:ascii="Times New Roman" w:hAnsi="Times New Roman"/>
          <w:sz w:val="20"/>
        </w:rPr>
        <w:t xml:space="preserve">Because we became a large accelerated filer effective December 31, 2023, the Sarbanes-Oxley Act requires our independent registered public accounting firm to attest to the effectiveness of our internal control over financial reporting. Our transition to large accelerated filer status and becoming subject to additional requirements of the Sarbanes-Oxley Act has been and will continue to be time-consuming, and there is a risk of noncompliance. In addition, as a large accelerated filer, we have incurred and anticipate incurring additional fees due to the increased complexity of our financial statements and the additional efforts required by our status, including, but not limited to, higher accounting and auditor costs. Further, the costs associated with the compliance with and implementation of procedures under these and future laws and related rules could have a material impact on our results of operations. </w:t>
      </w:r>
    </w:p>
    <w:p>
      <w:pPr>
        <w:pStyle w:val="TextBody"/>
        <w:bidi w:val="0"/>
        <w:spacing w:before="0" w:after="0"/>
        <w:jc w:val="both"/>
        <w:rPr/>
      </w:pPr>
      <w:r>
        <w:rPr/>
        <w:t xml:space="preserve">  </w:t>
      </w:r>
    </w:p>
    <w:p>
      <w:pPr>
        <w:pStyle w:val="TextBody"/>
        <w:bidi w:val="0"/>
        <w:spacing w:before="150" w:after="15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t>58</w:t>
      </w:r>
    </w:p>
    <w:p>
      <w:pPr>
        <w:pStyle w:val="HorizontalLine"/>
        <w:bidi w:val="0"/>
        <w:spacing w:before="150" w:after="150"/>
        <w:jc w:val="left"/>
        <w:rPr/>
      </w:pPr>
      <w:r>
        <w:rPr/>
      </w:r>
    </w:p>
    <w:p>
      <w:pPr>
        <w:pStyle w:val="TextBody"/>
        <w:bidi w:val="0"/>
        <w:spacing w:before="150" w:after="150"/>
        <w:jc w:val="left"/>
        <w:rPr/>
      </w:pPr>
      <w:hyperlink w:anchor="index">
        <w:r>
          <w:rPr>
            <w:rStyle w:val="InternetLink"/>
            <w:rFonts w:ascii="TimesNewRoman;Times New Roman;Times;Baskerville;Georgia;serif" w:hAnsi="TimesNewRoman;Times New Roman;Times;Baskerville;Georgia;serif"/>
            <w:b w:val="false"/>
            <w:i/>
            <w:caps w:val="false"/>
            <w:smallCaps w:val="false"/>
            <w:strike w:val="false"/>
            <w:dstrike w:val="false"/>
            <w:sz w:val="16"/>
            <w:u w:val="none"/>
            <w:effect w:val="none"/>
          </w:rPr>
          <w:t>Index</w:t>
        </w:r>
      </w:hyperlink>
    </w:p>
    <w:p>
      <w:pPr>
        <w:pStyle w:val="TextBody"/>
        <w:bidi w:val="0"/>
        <w:spacing w:before="0" w:after="0"/>
        <w:ind w:left="0" w:right="0" w:firstLine="720"/>
        <w:jc w:val="both"/>
        <w:rPr>
          <w:rFonts w:ascii="Times New Roman" w:hAnsi="Times New Roman"/>
          <w:sz w:val="20"/>
        </w:rPr>
      </w:pPr>
      <w:r>
        <w:rPr>
          <w:rFonts w:ascii="Times New Roman" w:hAnsi="Times New Roman"/>
          <w:sz w:val="20"/>
        </w:rPr>
        <w:t xml:space="preserve">Consequently, we have incurred increased costs related to our compliance with Section 404 of the Sarbanes-Oxley Act and will continue to do so. Our Audit Committee has retained the services of BDO, a Sarbanes-Oxley advisor, to assist with our internal control over financial reporting and information technology related to the Sarbanes-Oxley Act. Moreover, if we have a material weakness in our internal control over financial reporting, we may not detect errors on a timely basis and our financial statements may be materially misstated. If we identify material weaknesses in our internal control over financial reporting, if we are unable to comply with the requirements of Section 404 of the Sarbanes-Oxley Act in a timely manner, if we are unable to assert that our internal control over financial reporting is effective or if our independent registered public accounting firm is unable to express an opinion as to the effectiveness of our internal control over financial reporting, investors may lose confidence in the accuracy and completeness of our financial reports, and the market price of our common stock could be negatively affected. In addition, we could become subject to investigations by any stock exchange on which our securities are listed, the SEC or other regulatory authorities, which could require additional financial and management resources, which could have an adverse impact on our business. </w:t>
      </w:r>
    </w:p>
    <w:p>
      <w:pPr>
        <w:pStyle w:val="TextBody"/>
        <w:bidi w:val="0"/>
        <w:spacing w:before="0" w:after="0"/>
        <w:jc w:val="both"/>
        <w:rPr/>
      </w:pPr>
      <w:r>
        <w:rPr/>
        <w:t xml:space="preserve">  </w:t>
      </w:r>
    </w:p>
    <w:p>
      <w:pPr>
        <w:pStyle w:val="TextBody"/>
        <w:bidi w:val="0"/>
        <w:spacing w:before="0" w:after="0"/>
        <w:jc w:val="both"/>
        <w:rPr>
          <w:rFonts w:ascii="Times New Roman" w:hAnsi="Times New Roman"/>
          <w:sz w:val="20"/>
        </w:rPr>
      </w:pPr>
      <w:r>
        <w:rPr>
          <w:rFonts w:ascii="Times New Roman" w:hAnsi="Times New Roman"/>
          <w:b/>
          <w:i/>
          <w:sz w:val="20"/>
        </w:rPr>
        <w:t>Our ability to use our net operating loss carryforwards (“NOLs”) may be limited.</w:t>
      </w:r>
      <w:r>
        <w:rPr>
          <w:rFonts w:ascii="Times New Roman" w:hAnsi="Times New Roman"/>
          <w:sz w:val="20"/>
        </w:rPr>
        <w:t xml:space="preserve"> </w:t>
      </w:r>
    </w:p>
    <w:p>
      <w:pPr>
        <w:pStyle w:val="TextBody"/>
        <w:bidi w:val="0"/>
        <w:spacing w:before="0" w:after="0"/>
        <w:jc w:val="left"/>
        <w:rPr/>
      </w:pPr>
      <w:r>
        <w:rPr/>
        <w:t xml:space="preserve">  </w:t>
      </w:r>
    </w:p>
    <w:p>
      <w:pPr>
        <w:pStyle w:val="TextBody"/>
        <w:bidi w:val="0"/>
        <w:spacing w:before="0" w:after="0"/>
        <w:ind w:left="0" w:right="0" w:firstLine="720"/>
        <w:jc w:val="both"/>
        <w:rPr>
          <w:rFonts w:ascii="Times New Roman" w:hAnsi="Times New Roman"/>
          <w:sz w:val="20"/>
        </w:rPr>
      </w:pPr>
      <w:r>
        <w:rPr>
          <w:rFonts w:ascii="Times New Roman" w:hAnsi="Times New Roman"/>
          <w:sz w:val="20"/>
        </w:rPr>
        <w:t xml:space="preserve">We have incurred substantial losses during our history. As of December 31, 2025, we had federal and state NOLs of $265.6 million and $176.9 million, respectively. Federal and state NOLs of approximately $33.4 million and $62.0 million, respectively, will begin to expire at various dates beginning in 2029, if not limited by triggering events prior to such time. Under the provisions of the Internal Revenue Code of 1986, as amended (the “Code”), changes in our ownership, in certain circumstances, will limit the amount of federal NOLs that can be utilized annually in the future to offset taxable income. In particular, Section 382 of the Code ("Section 382") imposes limitations on a company’s ability to use NOLs upon certain changes in such ownership. If we are limited in our ability to use our NOLs in future years in which we have taxable income, we will pay more taxes than if we were able to fully utilize our NOLs. The acquisition transaction that we completed on June 6, 2017, resulted in a change in ownership of ADMA under Section 382 and, as a result, we were required to write off $57.6 million of federal NOLs. On October 25, 2021, we completed a public offering of our common stock whereby we issued 57,500,000 shares of our common stock resulting in another change of ownership for ADMA under section 382 of the Code, resulting in an additional write-off of $3.0 million of federal NOLs, $28.1 million of state NOLs and $1.0 million of research and development credits. Although we did not experience any ownership changes for the years ended December 31, 2025, 2024 and 2023, we may experience ownership changes in the future as a result of subsequent changes in our stock ownership that we cannot predict or control that could result in further limitations being placed on our ability to utilize our federal NOLs. </w:t>
      </w:r>
    </w:p>
    <w:p>
      <w:pPr>
        <w:pStyle w:val="TextBody"/>
        <w:bidi w:val="0"/>
        <w:spacing w:before="0" w:after="0"/>
        <w:jc w:val="left"/>
        <w:rPr/>
      </w:pPr>
      <w:r>
        <w:rPr/>
        <w:t xml:space="preserve">  </w:t>
      </w:r>
    </w:p>
    <w:p>
      <w:pPr>
        <w:pStyle w:val="TextBody"/>
        <w:bidi w:val="0"/>
        <w:spacing w:before="0" w:after="0"/>
        <w:jc w:val="both"/>
        <w:rPr>
          <w:rFonts w:ascii="Times New Roman" w:hAnsi="Times New Roman"/>
          <w:sz w:val="20"/>
        </w:rPr>
      </w:pPr>
      <w:r>
        <w:rPr>
          <w:rFonts w:ascii="Times New Roman" w:hAnsi="Times New Roman"/>
          <w:b/>
          <w:i/>
          <w:sz w:val="20"/>
        </w:rPr>
        <w:t>Fluctuations in our tax obligations and effective tax rate and realization of our net deferred tax assets may result in volatility of our operating results and materially impact our financial condition or financial results.</w:t>
      </w:r>
      <w:r>
        <w:rPr>
          <w:rFonts w:ascii="Times New Roman" w:hAnsi="Times New Roman"/>
          <w:sz w:val="20"/>
        </w:rPr>
        <w:t xml:space="preserve"> </w:t>
      </w:r>
    </w:p>
    <w:p>
      <w:pPr>
        <w:pStyle w:val="TextBody"/>
        <w:bidi w:val="0"/>
        <w:spacing w:before="0" w:after="0"/>
        <w:jc w:val="both"/>
        <w:rPr/>
      </w:pPr>
      <w:r>
        <w:rPr/>
        <w:t xml:space="preserve">  </w:t>
      </w:r>
    </w:p>
    <w:p>
      <w:pPr>
        <w:pStyle w:val="TextBody"/>
        <w:bidi w:val="0"/>
        <w:spacing w:before="0" w:after="0"/>
        <w:ind w:left="0" w:right="0" w:firstLine="720"/>
        <w:jc w:val="both"/>
        <w:rPr>
          <w:rFonts w:ascii="Times New Roman" w:hAnsi="Times New Roman"/>
          <w:sz w:val="20"/>
        </w:rPr>
      </w:pPr>
      <w:r>
        <w:rPr>
          <w:rFonts w:ascii="Times New Roman" w:hAnsi="Times New Roman"/>
          <w:sz w:val="20"/>
        </w:rPr>
        <w:t xml:space="preserve">We are subject to taxes by the U.S. federal, state, and local tax authorities. We record income tax expense based on our estimates of future payments, which may include the recording of, or adjustments to, liabilities for uncertain tax positions, and the determination of a need for a valuation allowance related to our net deferred tax assets. In addition, at any one time multiple tax years may be subject to audit by various tax authorities. The results of these audits and negotiations with taxing authorities may affect the ultimate settlement of these issues and impact our results of operations. For fiscal year 2026 and beyond there could be ongoing variability in our effective tax rate as events occur and exposures are evaluated. The volatility of our future effective tax rate could be materially impacted by a number of factors, including: </w:t>
      </w:r>
    </w:p>
    <w:p>
      <w:pPr>
        <w:pStyle w:val="TextBody"/>
        <w:bidi w:val="0"/>
        <w:spacing w:before="0" w:after="0"/>
        <w:jc w:val="both"/>
        <w:rPr/>
      </w:pPr>
      <w:r>
        <w:rPr/>
        <w:t xml:space="preserve">  </w:t>
      </w:r>
    </w:p>
    <w:p>
      <w:pPr>
        <w:pStyle w:val="TextBody"/>
        <w:bidi w:val="0"/>
        <w:spacing w:before="0" w:after="0"/>
        <w:ind w:left="0" w:right="0" w:hanging="360"/>
        <w:jc w:val="both"/>
        <w:rPr>
          <w:rFonts w:ascii="Times New Roman" w:hAnsi="Times New Roman"/>
          <w:sz w:val="20"/>
        </w:rPr>
      </w:pPr>
      <w:r>
        <w:rPr>
          <w:rFonts w:ascii="Times New Roman" w:hAnsi="Times New Roman"/>
          <w:sz w:val="20"/>
        </w:rPr>
        <w:t xml:space="preserve">changes in our assessment of the lack of a need for a valuation allowance on our deferred tax assets; or </w:t>
      </w:r>
      <w:r>
        <mc:AlternateContent>
          <mc:Choice Requires="wps">
            <w:drawing>
              <wp:anchor behindDoc="0" distT="0" distB="0" distL="0" distR="0" simplePos="0" locked="0" layoutInCell="1" allowOverlap="1" relativeHeight="161">
                <wp:simplePos x="0" y="0"/>
                <wp:positionH relativeFrom="column">
                  <wp:align>left</wp:align>
                </wp:positionH>
                <wp:positionV relativeFrom="line">
                  <wp:posOffset>635</wp:posOffset>
                </wp:positionV>
                <wp:extent cx="228600" cy="175260"/>
                <wp:effectExtent l="0" t="0" r="0" b="0"/>
                <wp:wrapSquare wrapText="right"/>
                <wp:docPr id="160" name="Frame160"/>
                <a:graphic xmlns:a="http://schemas.openxmlformats.org/drawingml/2006/main">
                  <a:graphicData uri="http://schemas.microsoft.com/office/word/2010/wordprocessingShape">
                    <wps:wsp>
                      <wps:cNvSpPr txBox="1"/>
                      <wps:spPr>
                        <a:xfrm>
                          <a:off x="0" y="0"/>
                          <a:ext cx="228600" cy="175260"/>
                        </a:xfrm>
                        <a:prstGeom prst="rect"/>
                        <a:solidFill>
                          <a:srgbClr val="FFFFFF"/>
                        </a:solidFill>
                      </wps:spPr>
                      <wps:txbx>
                        <w:txbxContent>
                          <w:p>
                            <w:pPr>
                              <w:pStyle w:val="TextBody"/>
                              <w:bidi w:val="0"/>
                              <w:spacing w:before="0" w:after="283"/>
                              <w:jc w:val="left"/>
                              <w:rPr/>
                            </w:pPr>
                            <w:r>
                              <w:rPr/>
                              <w:t xml:space="preserve">● </w:t>
                            </w:r>
                          </w:p>
                        </w:txbxContent>
                      </wps:txbx>
                      <wps:bodyPr anchor="t" lIns="0" tIns="0" rIns="0" bIns="0">
                        <a:noAutofit/>
                      </wps:bodyPr>
                    </wps:wsp>
                  </a:graphicData>
                </a:graphic>
              </wp:anchor>
            </w:drawing>
          </mc:Choice>
          <mc:Fallback>
            <w:pict>
              <v:rect style="position:absolute;rotation:-0;width: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 xml:space="preserve">● </w:t>
                      </w:r>
                    </w:p>
                  </w:txbxContent>
                </v:textbox>
                <w10:wrap type="square" side="right"/>
              </v:rect>
            </w:pict>
          </mc:Fallback>
        </mc:AlternateContent>
      </w:r>
    </w:p>
    <w:p>
      <w:pPr>
        <w:pStyle w:val="TextBody"/>
        <w:bidi w:val="0"/>
        <w:spacing w:before="0" w:after="0"/>
        <w:ind w:left="720" w:right="0" w:hanging="0"/>
        <w:jc w:val="both"/>
        <w:rPr/>
      </w:pPr>
      <w:r>
        <w:rPr/>
        <w:t xml:space="preserve">  </w:t>
      </w:r>
    </w:p>
    <w:p>
      <w:pPr>
        <w:pStyle w:val="TextBody"/>
        <w:bidi w:val="0"/>
        <w:spacing w:before="0" w:after="0"/>
        <w:ind w:left="0" w:right="0" w:hanging="360"/>
        <w:jc w:val="both"/>
        <w:rPr>
          <w:rFonts w:ascii="Times New Roman" w:hAnsi="Times New Roman"/>
          <w:sz w:val="20"/>
        </w:rPr>
      </w:pPr>
      <w:r>
        <w:rPr>
          <w:rFonts w:ascii="Times New Roman" w:hAnsi="Times New Roman"/>
          <w:sz w:val="20"/>
        </w:rPr>
        <w:t xml:space="preserve">changes in U.S. federal, state and local tax rates, tax laws, regulations, or interpretations thereof. </w:t>
      </w:r>
      <w:r>
        <mc:AlternateContent>
          <mc:Choice Requires="wps">
            <w:drawing>
              <wp:anchor behindDoc="0" distT="0" distB="0" distL="0" distR="0" simplePos="0" locked="0" layoutInCell="1" allowOverlap="1" relativeHeight="162">
                <wp:simplePos x="0" y="0"/>
                <wp:positionH relativeFrom="column">
                  <wp:align>left</wp:align>
                </wp:positionH>
                <wp:positionV relativeFrom="line">
                  <wp:posOffset>635</wp:posOffset>
                </wp:positionV>
                <wp:extent cx="228600" cy="175260"/>
                <wp:effectExtent l="0" t="0" r="0" b="0"/>
                <wp:wrapSquare wrapText="right"/>
                <wp:docPr id="161" name="Frame161"/>
                <a:graphic xmlns:a="http://schemas.openxmlformats.org/drawingml/2006/main">
                  <a:graphicData uri="http://schemas.microsoft.com/office/word/2010/wordprocessingShape">
                    <wps:wsp>
                      <wps:cNvSpPr txBox="1"/>
                      <wps:spPr>
                        <a:xfrm>
                          <a:off x="0" y="0"/>
                          <a:ext cx="228600" cy="175260"/>
                        </a:xfrm>
                        <a:prstGeom prst="rect"/>
                        <a:solidFill>
                          <a:srgbClr val="FFFFFF"/>
                        </a:solidFill>
                      </wps:spPr>
                      <wps:txbx>
                        <w:txbxContent>
                          <w:p>
                            <w:pPr>
                              <w:pStyle w:val="TextBody"/>
                              <w:bidi w:val="0"/>
                              <w:spacing w:before="0" w:after="283"/>
                              <w:jc w:val="left"/>
                              <w:rPr/>
                            </w:pPr>
                            <w:r>
                              <w:rPr/>
                              <w:t xml:space="preserve">● </w:t>
                            </w:r>
                          </w:p>
                        </w:txbxContent>
                      </wps:txbx>
                      <wps:bodyPr anchor="t" lIns="0" tIns="0" rIns="0" bIns="0">
                        <a:noAutofit/>
                      </wps:bodyPr>
                    </wps:wsp>
                  </a:graphicData>
                </a:graphic>
              </wp:anchor>
            </w:drawing>
          </mc:Choice>
          <mc:Fallback>
            <w:pict>
              <v:rect style="position:absolute;rotation:-0;width: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 xml:space="preserve">● </w:t>
                      </w:r>
                    </w:p>
                  </w:txbxContent>
                </v:textbox>
                <w10:wrap type="square" side="right"/>
              </v:rect>
            </w:pict>
          </mc:Fallback>
        </mc:AlternateContent>
      </w:r>
    </w:p>
    <w:p>
      <w:pPr>
        <w:pStyle w:val="TextBody"/>
        <w:bidi w:val="0"/>
        <w:spacing w:before="0" w:after="0"/>
        <w:ind w:left="720" w:right="0" w:hanging="0"/>
        <w:jc w:val="both"/>
        <w:rPr/>
      </w:pPr>
      <w:r>
        <w:rPr/>
        <w:t xml:space="preserve">  </w:t>
      </w:r>
    </w:p>
    <w:p>
      <w:pPr>
        <w:pStyle w:val="TextBody"/>
        <w:bidi w:val="0"/>
        <w:spacing w:before="0" w:after="0"/>
        <w:ind w:left="0" w:right="0" w:firstLine="720"/>
        <w:jc w:val="both"/>
        <w:rPr>
          <w:rFonts w:ascii="Times New Roman" w:hAnsi="Times New Roman"/>
          <w:sz w:val="20"/>
        </w:rPr>
      </w:pPr>
      <w:r>
        <w:rPr>
          <w:rFonts w:ascii="Times New Roman" w:hAnsi="Times New Roman"/>
          <w:sz w:val="20"/>
        </w:rPr>
        <w:t xml:space="preserve">In addition, our effective tax rate in a given financial statement period may be materially impacted by a variety of other factors including, but not limited to, changes in the mix and level of earnings, changes in the states and other jurisdictions in which we operate, and deductible expenses and limitations on the use of NOLs resulting from ownership changes. Further, tax legislation may be enacted or amended, as applicable, in the future which could materially impact our current or future tax structure and effective tax rates. We may be subject to audits of our income, sales, and other transaction taxes by U.S. federal, state, and local taxing authorities. Outcomes from these audits could have a material effect on our financial condition or financial results. </w:t>
      </w:r>
    </w:p>
    <w:p>
      <w:pPr>
        <w:pStyle w:val="TextBody"/>
        <w:bidi w:val="0"/>
        <w:spacing w:before="0" w:after="0"/>
        <w:jc w:val="left"/>
        <w:rPr/>
      </w:pPr>
      <w:r>
        <w:rPr/>
        <w:t xml:space="preserve">  </w:t>
      </w:r>
    </w:p>
    <w:p>
      <w:pPr>
        <w:pStyle w:val="TextBody"/>
        <w:bidi w:val="0"/>
        <w:spacing w:before="150" w:after="15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t>59</w:t>
      </w:r>
    </w:p>
    <w:p>
      <w:pPr>
        <w:pStyle w:val="HorizontalLine"/>
        <w:bidi w:val="0"/>
        <w:spacing w:before="150" w:after="150"/>
        <w:jc w:val="left"/>
        <w:rPr/>
      </w:pPr>
      <w:r>
        <w:rPr/>
      </w:r>
    </w:p>
    <w:p>
      <w:pPr>
        <w:pStyle w:val="TextBody"/>
        <w:bidi w:val="0"/>
        <w:spacing w:before="150" w:after="150"/>
        <w:jc w:val="left"/>
        <w:rPr/>
      </w:pPr>
      <w:hyperlink w:anchor="index">
        <w:r>
          <w:rPr>
            <w:rStyle w:val="InternetLink"/>
            <w:rFonts w:ascii="TimesNewRoman;Times New Roman;Times;Baskerville;Georgia;serif" w:hAnsi="TimesNewRoman;Times New Roman;Times;Baskerville;Georgia;serif"/>
            <w:b w:val="false"/>
            <w:i/>
            <w:caps w:val="false"/>
            <w:smallCaps w:val="false"/>
            <w:strike w:val="false"/>
            <w:dstrike w:val="false"/>
            <w:sz w:val="16"/>
            <w:u w:val="none"/>
            <w:effect w:val="none"/>
          </w:rPr>
          <w:t>Index</w:t>
        </w:r>
      </w:hyperlink>
    </w:p>
    <w:p>
      <w:pPr>
        <w:pStyle w:val="TextBody"/>
        <w:bidi w:val="0"/>
        <w:spacing w:before="0" w:after="0"/>
        <w:jc w:val="both"/>
        <w:rPr>
          <w:rFonts w:ascii="Times New Roman" w:hAnsi="Times New Roman"/>
          <w:sz w:val="20"/>
        </w:rPr>
      </w:pPr>
      <w:r>
        <w:rPr>
          <w:rFonts w:ascii="Times New Roman" w:hAnsi="Times New Roman"/>
          <w:b/>
          <w:sz w:val="20"/>
        </w:rPr>
        <w:t>Risks Associated with our Common Stock</w:t>
      </w:r>
      <w:r>
        <w:rPr>
          <w:rFonts w:ascii="Times New Roman" w:hAnsi="Times New Roman"/>
          <w:sz w:val="20"/>
        </w:rPr>
        <w:t xml:space="preserve"> </w:t>
      </w:r>
    </w:p>
    <w:p>
      <w:pPr>
        <w:pStyle w:val="TextBody"/>
        <w:bidi w:val="0"/>
        <w:spacing w:before="0" w:after="0"/>
        <w:jc w:val="both"/>
        <w:rPr/>
      </w:pPr>
      <w:r>
        <w:rPr/>
        <w:t xml:space="preserve">  </w:t>
      </w:r>
    </w:p>
    <w:p>
      <w:pPr>
        <w:pStyle w:val="TextBody"/>
        <w:bidi w:val="0"/>
        <w:spacing w:before="0" w:after="0"/>
        <w:jc w:val="both"/>
        <w:rPr>
          <w:rFonts w:ascii="Times New Roman" w:hAnsi="Times New Roman"/>
          <w:sz w:val="20"/>
        </w:rPr>
      </w:pPr>
      <w:r>
        <w:rPr>
          <w:rFonts w:ascii="Times New Roman" w:hAnsi="Times New Roman"/>
          <w:b/>
          <w:i/>
          <w:sz w:val="20"/>
        </w:rPr>
        <w:t>The market price of our common stock may be volatile and may fluctuate in a way that is disproportionate to our operating performance.</w:t>
      </w:r>
      <w:r>
        <w:rPr>
          <w:rFonts w:ascii="Times New Roman" w:hAnsi="Times New Roman"/>
          <w:sz w:val="20"/>
        </w:rPr>
        <w:t xml:space="preserve"> </w:t>
      </w:r>
    </w:p>
    <w:p>
      <w:pPr>
        <w:pStyle w:val="TextBody"/>
        <w:bidi w:val="0"/>
        <w:spacing w:before="0" w:after="0"/>
        <w:jc w:val="both"/>
        <w:rPr/>
      </w:pPr>
      <w:r>
        <w:rPr/>
        <w:t xml:space="preserve">  </w:t>
      </w:r>
    </w:p>
    <w:p>
      <w:pPr>
        <w:pStyle w:val="TextBody"/>
        <w:bidi w:val="0"/>
        <w:spacing w:before="0" w:after="0"/>
        <w:ind w:left="0" w:right="0" w:firstLine="720"/>
        <w:jc w:val="both"/>
        <w:rPr>
          <w:rFonts w:ascii="Times New Roman" w:hAnsi="Times New Roman"/>
          <w:sz w:val="20"/>
        </w:rPr>
      </w:pPr>
      <w:r>
        <w:rPr>
          <w:rFonts w:ascii="Times New Roman" w:hAnsi="Times New Roman"/>
          <w:sz w:val="20"/>
        </w:rPr>
        <w:t xml:space="preserve">Our stock price may experience substantial volatility as a result of a number of factors, including: </w:t>
      </w:r>
    </w:p>
    <w:p>
      <w:pPr>
        <w:pStyle w:val="TextBody"/>
        <w:bidi w:val="0"/>
        <w:spacing w:before="0" w:after="0"/>
        <w:jc w:val="both"/>
        <w:rPr/>
      </w:pPr>
      <w:r>
        <w:rPr/>
        <w:t> </w:t>
      </w:r>
    </w:p>
    <w:p>
      <w:pPr>
        <w:pStyle w:val="TextBody"/>
        <w:bidi w:val="0"/>
        <w:spacing w:before="0" w:after="0"/>
        <w:ind w:left="0" w:right="0" w:hanging="360"/>
        <w:jc w:val="left"/>
        <w:rPr>
          <w:rFonts w:ascii="Times New Roman" w:hAnsi="Times New Roman"/>
          <w:sz w:val="20"/>
        </w:rPr>
      </w:pPr>
      <w:r>
        <w:rPr>
          <w:rFonts w:ascii="Times New Roman" w:hAnsi="Times New Roman"/>
          <w:sz w:val="20"/>
        </w:rPr>
        <w:t xml:space="preserve">sales or potential sales of substantial amounts of our common stock; </w:t>
      </w:r>
      <w:r>
        <mc:AlternateContent>
          <mc:Choice Requires="wps">
            <w:drawing>
              <wp:anchor behindDoc="0" distT="0" distB="0" distL="0" distR="0" simplePos="0" locked="0" layoutInCell="1" allowOverlap="1" relativeHeight="163">
                <wp:simplePos x="0" y="0"/>
                <wp:positionH relativeFrom="column">
                  <wp:align>left</wp:align>
                </wp:positionH>
                <wp:positionV relativeFrom="line">
                  <wp:posOffset>635</wp:posOffset>
                </wp:positionV>
                <wp:extent cx="228600" cy="175260"/>
                <wp:effectExtent l="0" t="0" r="0" b="0"/>
                <wp:wrapSquare wrapText="right"/>
                <wp:docPr id="162" name="Frame162"/>
                <a:graphic xmlns:a="http://schemas.openxmlformats.org/drawingml/2006/main">
                  <a:graphicData uri="http://schemas.microsoft.com/office/word/2010/wordprocessingShape">
                    <wps:wsp>
                      <wps:cNvSpPr txBox="1"/>
                      <wps:spPr>
                        <a:xfrm>
                          <a:off x="0" y="0"/>
                          <a:ext cx="228600" cy="175260"/>
                        </a:xfrm>
                        <a:prstGeom prst="rect"/>
                        <a:solidFill>
                          <a:srgbClr val="FFFFFF"/>
                        </a:solidFill>
                      </wps:spPr>
                      <wps:txbx>
                        <w:txbxContent>
                          <w:p>
                            <w:pPr>
                              <w:pStyle w:val="TextBody"/>
                              <w:bidi w:val="0"/>
                              <w:spacing w:before="0" w:after="283"/>
                              <w:jc w:val="left"/>
                              <w:rPr/>
                            </w:pPr>
                            <w:r>
                              <w:rPr/>
                              <w:t xml:space="preserve">● </w:t>
                            </w:r>
                          </w:p>
                        </w:txbxContent>
                      </wps:txbx>
                      <wps:bodyPr anchor="t" lIns="0" tIns="0" rIns="0" bIns="0">
                        <a:noAutofit/>
                      </wps:bodyPr>
                    </wps:wsp>
                  </a:graphicData>
                </a:graphic>
              </wp:anchor>
            </w:drawing>
          </mc:Choice>
          <mc:Fallback>
            <w:pict>
              <v:rect style="position:absolute;rotation:-0;width: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 xml:space="preserve">● </w:t>
                      </w:r>
                    </w:p>
                  </w:txbxContent>
                </v:textbox>
                <w10:wrap type="square" side="right"/>
              </v:rect>
            </w:pict>
          </mc:Fallback>
        </mc:AlternateContent>
      </w:r>
    </w:p>
    <w:p>
      <w:pPr>
        <w:pStyle w:val="TextBody"/>
        <w:bidi w:val="0"/>
        <w:spacing w:before="0" w:after="0"/>
        <w:ind w:left="0" w:right="0" w:hanging="360"/>
        <w:jc w:val="both"/>
        <w:rPr/>
      </w:pPr>
      <w:r>
        <w:rPr/>
        <w:t xml:space="preserve">  </w:t>
      </w:r>
    </w:p>
    <w:p>
      <w:pPr>
        <w:pStyle w:val="TextBody"/>
        <w:bidi w:val="0"/>
        <w:spacing w:before="0" w:after="0"/>
        <w:ind w:left="0" w:right="0" w:hanging="360"/>
        <w:jc w:val="left"/>
        <w:rPr>
          <w:rFonts w:ascii="Times New Roman" w:hAnsi="Times New Roman"/>
          <w:sz w:val="20"/>
        </w:rPr>
      </w:pPr>
      <w:r>
        <w:rPr>
          <w:rFonts w:ascii="Times New Roman" w:hAnsi="Times New Roman"/>
          <w:sz w:val="20"/>
        </w:rPr>
        <w:t xml:space="preserve">delay or failure in initiating or completing preclinical or clinical trials or unsatisfactory results of these trials; </w:t>
      </w:r>
      <w:r>
        <mc:AlternateContent>
          <mc:Choice Requires="wps">
            <w:drawing>
              <wp:anchor behindDoc="0" distT="0" distB="0" distL="0" distR="0" simplePos="0" locked="0" layoutInCell="1" allowOverlap="1" relativeHeight="164">
                <wp:simplePos x="0" y="0"/>
                <wp:positionH relativeFrom="column">
                  <wp:align>left</wp:align>
                </wp:positionH>
                <wp:positionV relativeFrom="line">
                  <wp:posOffset>635</wp:posOffset>
                </wp:positionV>
                <wp:extent cx="228600" cy="175260"/>
                <wp:effectExtent l="0" t="0" r="0" b="0"/>
                <wp:wrapSquare wrapText="right"/>
                <wp:docPr id="163" name="Frame163"/>
                <a:graphic xmlns:a="http://schemas.openxmlformats.org/drawingml/2006/main">
                  <a:graphicData uri="http://schemas.microsoft.com/office/word/2010/wordprocessingShape">
                    <wps:wsp>
                      <wps:cNvSpPr txBox="1"/>
                      <wps:spPr>
                        <a:xfrm>
                          <a:off x="0" y="0"/>
                          <a:ext cx="228600" cy="175260"/>
                        </a:xfrm>
                        <a:prstGeom prst="rect"/>
                        <a:solidFill>
                          <a:srgbClr val="FFFFFF"/>
                        </a:solidFill>
                      </wps:spPr>
                      <wps:txbx>
                        <w:txbxContent>
                          <w:p>
                            <w:pPr>
                              <w:pStyle w:val="TextBody"/>
                              <w:bidi w:val="0"/>
                              <w:spacing w:before="0" w:after="283"/>
                              <w:jc w:val="left"/>
                              <w:rPr/>
                            </w:pPr>
                            <w:r>
                              <w:rPr/>
                              <w:t xml:space="preserve">● </w:t>
                            </w:r>
                          </w:p>
                        </w:txbxContent>
                      </wps:txbx>
                      <wps:bodyPr anchor="t" lIns="0" tIns="0" rIns="0" bIns="0">
                        <a:noAutofit/>
                      </wps:bodyPr>
                    </wps:wsp>
                  </a:graphicData>
                </a:graphic>
              </wp:anchor>
            </w:drawing>
          </mc:Choice>
          <mc:Fallback>
            <w:pict>
              <v:rect style="position:absolute;rotation:-0;width: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 xml:space="preserve">● </w:t>
                      </w:r>
                    </w:p>
                  </w:txbxContent>
                </v:textbox>
                <w10:wrap type="square" side="right"/>
              </v:rect>
            </w:pict>
          </mc:Fallback>
        </mc:AlternateContent>
      </w:r>
    </w:p>
    <w:p>
      <w:pPr>
        <w:pStyle w:val="TextBody"/>
        <w:bidi w:val="0"/>
        <w:spacing w:before="0" w:after="0"/>
        <w:ind w:left="0" w:right="0" w:hanging="360"/>
        <w:jc w:val="both"/>
        <w:rPr/>
      </w:pPr>
      <w:r>
        <w:rPr/>
        <w:t xml:space="preserve">  </w:t>
      </w:r>
    </w:p>
    <w:p>
      <w:pPr>
        <w:pStyle w:val="TextBody"/>
        <w:bidi w:val="0"/>
        <w:spacing w:before="0" w:after="0"/>
        <w:ind w:left="0" w:right="0" w:hanging="360"/>
        <w:jc w:val="left"/>
        <w:rPr>
          <w:rFonts w:ascii="Times New Roman" w:hAnsi="Times New Roman"/>
          <w:sz w:val="20"/>
        </w:rPr>
      </w:pPr>
      <w:r>
        <w:rPr>
          <w:rFonts w:ascii="Times New Roman" w:hAnsi="Times New Roman"/>
          <w:sz w:val="20"/>
        </w:rPr>
        <w:t xml:space="preserve">delay in a decision by federal, state or local business regulatory authority; </w:t>
      </w:r>
      <w:r>
        <mc:AlternateContent>
          <mc:Choice Requires="wps">
            <w:drawing>
              <wp:anchor behindDoc="0" distT="0" distB="0" distL="0" distR="0" simplePos="0" locked="0" layoutInCell="1" allowOverlap="1" relativeHeight="165">
                <wp:simplePos x="0" y="0"/>
                <wp:positionH relativeFrom="column">
                  <wp:align>left</wp:align>
                </wp:positionH>
                <wp:positionV relativeFrom="line">
                  <wp:posOffset>635</wp:posOffset>
                </wp:positionV>
                <wp:extent cx="228600" cy="175260"/>
                <wp:effectExtent l="0" t="0" r="0" b="0"/>
                <wp:wrapSquare wrapText="right"/>
                <wp:docPr id="164" name="Frame164"/>
                <a:graphic xmlns:a="http://schemas.openxmlformats.org/drawingml/2006/main">
                  <a:graphicData uri="http://schemas.microsoft.com/office/word/2010/wordprocessingShape">
                    <wps:wsp>
                      <wps:cNvSpPr txBox="1"/>
                      <wps:spPr>
                        <a:xfrm>
                          <a:off x="0" y="0"/>
                          <a:ext cx="228600" cy="175260"/>
                        </a:xfrm>
                        <a:prstGeom prst="rect"/>
                        <a:solidFill>
                          <a:srgbClr val="FFFFFF"/>
                        </a:solidFill>
                      </wps:spPr>
                      <wps:txbx>
                        <w:txbxContent>
                          <w:p>
                            <w:pPr>
                              <w:pStyle w:val="TextBody"/>
                              <w:bidi w:val="0"/>
                              <w:spacing w:before="0" w:after="283"/>
                              <w:jc w:val="left"/>
                              <w:rPr/>
                            </w:pPr>
                            <w:r>
                              <w:rPr/>
                              <w:t xml:space="preserve">● </w:t>
                            </w:r>
                          </w:p>
                        </w:txbxContent>
                      </wps:txbx>
                      <wps:bodyPr anchor="t" lIns="0" tIns="0" rIns="0" bIns="0">
                        <a:noAutofit/>
                      </wps:bodyPr>
                    </wps:wsp>
                  </a:graphicData>
                </a:graphic>
              </wp:anchor>
            </w:drawing>
          </mc:Choice>
          <mc:Fallback>
            <w:pict>
              <v:rect style="position:absolute;rotation:-0;width: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 xml:space="preserve">● </w:t>
                      </w:r>
                    </w:p>
                  </w:txbxContent>
                </v:textbox>
                <w10:wrap type="square" side="right"/>
              </v:rect>
            </w:pict>
          </mc:Fallback>
        </mc:AlternateContent>
      </w:r>
    </w:p>
    <w:p>
      <w:pPr>
        <w:pStyle w:val="TextBody"/>
        <w:bidi w:val="0"/>
        <w:spacing w:before="0" w:after="0"/>
        <w:ind w:left="720" w:right="0" w:hanging="0"/>
        <w:jc w:val="both"/>
        <w:rPr/>
      </w:pPr>
      <w:r>
        <w:rPr/>
        <w:t xml:space="preserve">  </w:t>
      </w:r>
    </w:p>
    <w:p>
      <w:pPr>
        <w:pStyle w:val="TextBody"/>
        <w:bidi w:val="0"/>
        <w:spacing w:before="0" w:after="0"/>
        <w:ind w:left="0" w:right="0" w:hanging="360"/>
        <w:jc w:val="left"/>
        <w:rPr>
          <w:rFonts w:ascii="Times New Roman" w:hAnsi="Times New Roman"/>
          <w:sz w:val="20"/>
        </w:rPr>
      </w:pPr>
      <w:r>
        <w:rPr>
          <w:rFonts w:ascii="Times New Roman" w:hAnsi="Times New Roman"/>
          <w:sz w:val="20"/>
        </w:rPr>
        <w:t xml:space="preserve">the timing of acceptance, third-party reimbursement and sales of BIVIGAM and ASCENIV; </w:t>
      </w:r>
      <w:r>
        <mc:AlternateContent>
          <mc:Choice Requires="wps">
            <w:drawing>
              <wp:anchor behindDoc="0" distT="0" distB="0" distL="0" distR="0" simplePos="0" locked="0" layoutInCell="1" allowOverlap="1" relativeHeight="166">
                <wp:simplePos x="0" y="0"/>
                <wp:positionH relativeFrom="column">
                  <wp:align>left</wp:align>
                </wp:positionH>
                <wp:positionV relativeFrom="line">
                  <wp:posOffset>635</wp:posOffset>
                </wp:positionV>
                <wp:extent cx="228600" cy="175260"/>
                <wp:effectExtent l="0" t="0" r="0" b="0"/>
                <wp:wrapSquare wrapText="right"/>
                <wp:docPr id="165" name="Frame165"/>
                <a:graphic xmlns:a="http://schemas.openxmlformats.org/drawingml/2006/main">
                  <a:graphicData uri="http://schemas.microsoft.com/office/word/2010/wordprocessingShape">
                    <wps:wsp>
                      <wps:cNvSpPr txBox="1"/>
                      <wps:spPr>
                        <a:xfrm>
                          <a:off x="0" y="0"/>
                          <a:ext cx="228600" cy="175260"/>
                        </a:xfrm>
                        <a:prstGeom prst="rect"/>
                        <a:solidFill>
                          <a:srgbClr val="FFFFFF"/>
                        </a:solidFill>
                      </wps:spPr>
                      <wps:txbx>
                        <w:txbxContent>
                          <w:p>
                            <w:pPr>
                              <w:pStyle w:val="TextBody"/>
                              <w:bidi w:val="0"/>
                              <w:spacing w:before="0" w:after="283"/>
                              <w:jc w:val="left"/>
                              <w:rPr/>
                            </w:pPr>
                            <w:r>
                              <w:rPr/>
                              <w:t xml:space="preserve">● </w:t>
                            </w:r>
                          </w:p>
                        </w:txbxContent>
                      </wps:txbx>
                      <wps:bodyPr anchor="t" lIns="0" tIns="0" rIns="0" bIns="0">
                        <a:noAutofit/>
                      </wps:bodyPr>
                    </wps:wsp>
                  </a:graphicData>
                </a:graphic>
              </wp:anchor>
            </w:drawing>
          </mc:Choice>
          <mc:Fallback>
            <w:pict>
              <v:rect style="position:absolute;rotation:-0;width: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 xml:space="preserve">● </w:t>
                      </w:r>
                    </w:p>
                  </w:txbxContent>
                </v:textbox>
                <w10:wrap type="square" side="right"/>
              </v:rect>
            </w:pict>
          </mc:Fallback>
        </mc:AlternateContent>
      </w:r>
    </w:p>
    <w:p>
      <w:pPr>
        <w:pStyle w:val="TextBody"/>
        <w:bidi w:val="0"/>
        <w:spacing w:before="0" w:after="0"/>
        <w:ind w:left="720" w:right="0" w:hanging="0"/>
        <w:jc w:val="both"/>
        <w:rPr/>
      </w:pPr>
      <w:r>
        <w:rPr/>
        <w:t xml:space="preserve">  </w:t>
      </w:r>
    </w:p>
    <w:p>
      <w:pPr>
        <w:pStyle w:val="TextBody"/>
        <w:bidi w:val="0"/>
        <w:spacing w:before="0" w:after="0"/>
        <w:ind w:left="0" w:right="0" w:hanging="360"/>
        <w:jc w:val="left"/>
        <w:rPr>
          <w:rFonts w:ascii="Times New Roman" w:hAnsi="Times New Roman"/>
          <w:sz w:val="20"/>
        </w:rPr>
      </w:pPr>
      <w:r>
        <w:rPr>
          <w:rFonts w:ascii="Times New Roman" w:hAnsi="Times New Roman"/>
          <w:sz w:val="20"/>
        </w:rPr>
        <w:t xml:space="preserve">announcements about us or about our competitors, including clinical trial results, regulatory approvals or new product introductions; </w:t>
      </w:r>
      <w:r>
        <mc:AlternateContent>
          <mc:Choice Requires="wps">
            <w:drawing>
              <wp:anchor behindDoc="0" distT="0" distB="0" distL="0" distR="0" simplePos="0" locked="0" layoutInCell="1" allowOverlap="1" relativeHeight="167">
                <wp:simplePos x="0" y="0"/>
                <wp:positionH relativeFrom="column">
                  <wp:align>left</wp:align>
                </wp:positionH>
                <wp:positionV relativeFrom="line">
                  <wp:posOffset>635</wp:posOffset>
                </wp:positionV>
                <wp:extent cx="228600" cy="175260"/>
                <wp:effectExtent l="0" t="0" r="0" b="0"/>
                <wp:wrapSquare wrapText="right"/>
                <wp:docPr id="166" name="Frame166"/>
                <a:graphic xmlns:a="http://schemas.openxmlformats.org/drawingml/2006/main">
                  <a:graphicData uri="http://schemas.microsoft.com/office/word/2010/wordprocessingShape">
                    <wps:wsp>
                      <wps:cNvSpPr txBox="1"/>
                      <wps:spPr>
                        <a:xfrm>
                          <a:off x="0" y="0"/>
                          <a:ext cx="228600" cy="175260"/>
                        </a:xfrm>
                        <a:prstGeom prst="rect"/>
                        <a:solidFill>
                          <a:srgbClr val="FFFFFF"/>
                        </a:solidFill>
                      </wps:spPr>
                      <wps:txbx>
                        <w:txbxContent>
                          <w:p>
                            <w:pPr>
                              <w:pStyle w:val="TextBody"/>
                              <w:bidi w:val="0"/>
                              <w:spacing w:before="0" w:after="283"/>
                              <w:jc w:val="left"/>
                              <w:rPr/>
                            </w:pPr>
                            <w:r>
                              <w:rPr/>
                              <w:t xml:space="preserve">● </w:t>
                            </w:r>
                          </w:p>
                        </w:txbxContent>
                      </wps:txbx>
                      <wps:bodyPr anchor="t" lIns="0" tIns="0" rIns="0" bIns="0">
                        <a:noAutofit/>
                      </wps:bodyPr>
                    </wps:wsp>
                  </a:graphicData>
                </a:graphic>
              </wp:anchor>
            </w:drawing>
          </mc:Choice>
          <mc:Fallback>
            <w:pict>
              <v:rect style="position:absolute;rotation:-0;width: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 xml:space="preserve">● </w:t>
                      </w:r>
                    </w:p>
                  </w:txbxContent>
                </v:textbox>
                <w10:wrap type="square" side="right"/>
              </v:rect>
            </w:pict>
          </mc:Fallback>
        </mc:AlternateContent>
      </w:r>
    </w:p>
    <w:p>
      <w:pPr>
        <w:pStyle w:val="TextBody"/>
        <w:bidi w:val="0"/>
        <w:spacing w:before="0" w:after="0"/>
        <w:ind w:left="720" w:right="0" w:hanging="0"/>
        <w:jc w:val="both"/>
        <w:rPr/>
      </w:pPr>
      <w:r>
        <w:rPr/>
        <w:t xml:space="preserve">  </w:t>
      </w:r>
    </w:p>
    <w:p>
      <w:pPr>
        <w:pStyle w:val="TextBody"/>
        <w:bidi w:val="0"/>
        <w:spacing w:before="0" w:after="0"/>
        <w:ind w:left="0" w:right="0" w:hanging="360"/>
        <w:jc w:val="left"/>
        <w:rPr>
          <w:rFonts w:ascii="Times New Roman" w:hAnsi="Times New Roman"/>
          <w:sz w:val="20"/>
        </w:rPr>
      </w:pPr>
      <w:r>
        <w:rPr>
          <w:rFonts w:ascii="Times New Roman" w:hAnsi="Times New Roman"/>
          <w:sz w:val="20"/>
        </w:rPr>
        <w:t xml:space="preserve">developments concerning our licensors or third-party vendors; </w:t>
      </w:r>
      <w:r>
        <mc:AlternateContent>
          <mc:Choice Requires="wps">
            <w:drawing>
              <wp:anchor behindDoc="0" distT="0" distB="0" distL="0" distR="0" simplePos="0" locked="0" layoutInCell="1" allowOverlap="1" relativeHeight="168">
                <wp:simplePos x="0" y="0"/>
                <wp:positionH relativeFrom="column">
                  <wp:align>left</wp:align>
                </wp:positionH>
                <wp:positionV relativeFrom="line">
                  <wp:posOffset>635</wp:posOffset>
                </wp:positionV>
                <wp:extent cx="228600" cy="175260"/>
                <wp:effectExtent l="0" t="0" r="0" b="0"/>
                <wp:wrapSquare wrapText="right"/>
                <wp:docPr id="167" name="Frame167"/>
                <a:graphic xmlns:a="http://schemas.openxmlformats.org/drawingml/2006/main">
                  <a:graphicData uri="http://schemas.microsoft.com/office/word/2010/wordprocessingShape">
                    <wps:wsp>
                      <wps:cNvSpPr txBox="1"/>
                      <wps:spPr>
                        <a:xfrm>
                          <a:off x="0" y="0"/>
                          <a:ext cx="228600" cy="175260"/>
                        </a:xfrm>
                        <a:prstGeom prst="rect"/>
                        <a:solidFill>
                          <a:srgbClr val="FFFFFF"/>
                        </a:solidFill>
                      </wps:spPr>
                      <wps:txbx>
                        <w:txbxContent>
                          <w:p>
                            <w:pPr>
                              <w:pStyle w:val="TextBody"/>
                              <w:bidi w:val="0"/>
                              <w:spacing w:before="0" w:after="283"/>
                              <w:jc w:val="left"/>
                              <w:rPr/>
                            </w:pPr>
                            <w:r>
                              <w:rPr/>
                              <w:t xml:space="preserve">● </w:t>
                            </w:r>
                          </w:p>
                        </w:txbxContent>
                      </wps:txbx>
                      <wps:bodyPr anchor="t" lIns="0" tIns="0" rIns="0" bIns="0">
                        <a:noAutofit/>
                      </wps:bodyPr>
                    </wps:wsp>
                  </a:graphicData>
                </a:graphic>
              </wp:anchor>
            </w:drawing>
          </mc:Choice>
          <mc:Fallback>
            <w:pict>
              <v:rect style="position:absolute;rotation:-0;width: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 xml:space="preserve">● </w:t>
                      </w:r>
                    </w:p>
                  </w:txbxContent>
                </v:textbox>
                <w10:wrap type="square" side="right"/>
              </v:rect>
            </w:pict>
          </mc:Fallback>
        </mc:AlternateContent>
      </w:r>
    </w:p>
    <w:p>
      <w:pPr>
        <w:pStyle w:val="TextBody"/>
        <w:bidi w:val="0"/>
        <w:spacing w:before="0" w:after="0"/>
        <w:ind w:left="0" w:right="0" w:hanging="360"/>
        <w:jc w:val="both"/>
        <w:rPr/>
      </w:pPr>
      <w:r>
        <w:rPr/>
        <w:t xml:space="preserve">  </w:t>
      </w:r>
    </w:p>
    <w:p>
      <w:pPr>
        <w:pStyle w:val="TextBody"/>
        <w:bidi w:val="0"/>
        <w:spacing w:before="0" w:after="0"/>
        <w:ind w:left="0" w:right="0" w:hanging="360"/>
        <w:jc w:val="left"/>
        <w:rPr>
          <w:rFonts w:ascii="Times New Roman" w:hAnsi="Times New Roman"/>
          <w:sz w:val="20"/>
        </w:rPr>
      </w:pPr>
      <w:r>
        <w:rPr>
          <w:rFonts w:ascii="Times New Roman" w:hAnsi="Times New Roman"/>
          <w:sz w:val="20"/>
        </w:rPr>
        <w:t xml:space="preserve">litigation and other developments relating to our patents or other proprietary rights or those of our competitors; </w:t>
      </w:r>
      <w:r>
        <mc:AlternateContent>
          <mc:Choice Requires="wps">
            <w:drawing>
              <wp:anchor behindDoc="0" distT="0" distB="0" distL="0" distR="0" simplePos="0" locked="0" layoutInCell="1" allowOverlap="1" relativeHeight="169">
                <wp:simplePos x="0" y="0"/>
                <wp:positionH relativeFrom="column">
                  <wp:align>left</wp:align>
                </wp:positionH>
                <wp:positionV relativeFrom="line">
                  <wp:posOffset>635</wp:posOffset>
                </wp:positionV>
                <wp:extent cx="228600" cy="175260"/>
                <wp:effectExtent l="0" t="0" r="0" b="0"/>
                <wp:wrapSquare wrapText="right"/>
                <wp:docPr id="168" name="Frame168"/>
                <a:graphic xmlns:a="http://schemas.openxmlformats.org/drawingml/2006/main">
                  <a:graphicData uri="http://schemas.microsoft.com/office/word/2010/wordprocessingShape">
                    <wps:wsp>
                      <wps:cNvSpPr txBox="1"/>
                      <wps:spPr>
                        <a:xfrm>
                          <a:off x="0" y="0"/>
                          <a:ext cx="228600" cy="175260"/>
                        </a:xfrm>
                        <a:prstGeom prst="rect"/>
                        <a:solidFill>
                          <a:srgbClr val="FFFFFF"/>
                        </a:solidFill>
                      </wps:spPr>
                      <wps:txbx>
                        <w:txbxContent>
                          <w:p>
                            <w:pPr>
                              <w:pStyle w:val="TextBody"/>
                              <w:bidi w:val="0"/>
                              <w:spacing w:before="0" w:after="283"/>
                              <w:jc w:val="left"/>
                              <w:rPr/>
                            </w:pPr>
                            <w:r>
                              <w:rPr/>
                              <w:t xml:space="preserve">● </w:t>
                            </w:r>
                          </w:p>
                        </w:txbxContent>
                      </wps:txbx>
                      <wps:bodyPr anchor="t" lIns="0" tIns="0" rIns="0" bIns="0">
                        <a:noAutofit/>
                      </wps:bodyPr>
                    </wps:wsp>
                  </a:graphicData>
                </a:graphic>
              </wp:anchor>
            </w:drawing>
          </mc:Choice>
          <mc:Fallback>
            <w:pict>
              <v:rect style="position:absolute;rotation:-0;width: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 xml:space="preserve">● </w:t>
                      </w:r>
                    </w:p>
                  </w:txbxContent>
                </v:textbox>
                <w10:wrap type="square" side="right"/>
              </v:rect>
            </w:pict>
          </mc:Fallback>
        </mc:AlternateContent>
      </w:r>
    </w:p>
    <w:p>
      <w:pPr>
        <w:pStyle w:val="TextBody"/>
        <w:bidi w:val="0"/>
        <w:spacing w:before="0" w:after="0"/>
        <w:ind w:left="720" w:right="0" w:hanging="0"/>
        <w:jc w:val="both"/>
        <w:rPr/>
      </w:pPr>
      <w:r>
        <w:rPr/>
        <w:t xml:space="preserve">  </w:t>
      </w:r>
    </w:p>
    <w:p>
      <w:pPr>
        <w:pStyle w:val="TextBody"/>
        <w:bidi w:val="0"/>
        <w:spacing w:before="0" w:after="0"/>
        <w:ind w:left="0" w:right="0" w:hanging="360"/>
        <w:jc w:val="left"/>
        <w:rPr>
          <w:rFonts w:ascii="Times New Roman" w:hAnsi="Times New Roman"/>
          <w:sz w:val="20"/>
        </w:rPr>
      </w:pPr>
      <w:r>
        <w:rPr>
          <w:rFonts w:ascii="Times New Roman" w:hAnsi="Times New Roman"/>
          <w:sz w:val="20"/>
        </w:rPr>
        <w:t xml:space="preserve">conditions in the pharmaceutical or biotechnology industries; </w:t>
      </w:r>
      <w:r>
        <mc:AlternateContent>
          <mc:Choice Requires="wps">
            <w:drawing>
              <wp:anchor behindDoc="0" distT="0" distB="0" distL="0" distR="0" simplePos="0" locked="0" layoutInCell="1" allowOverlap="1" relativeHeight="170">
                <wp:simplePos x="0" y="0"/>
                <wp:positionH relativeFrom="column">
                  <wp:align>left</wp:align>
                </wp:positionH>
                <wp:positionV relativeFrom="line">
                  <wp:posOffset>635</wp:posOffset>
                </wp:positionV>
                <wp:extent cx="228600" cy="175260"/>
                <wp:effectExtent l="0" t="0" r="0" b="0"/>
                <wp:wrapSquare wrapText="right"/>
                <wp:docPr id="169" name="Frame169"/>
                <a:graphic xmlns:a="http://schemas.openxmlformats.org/drawingml/2006/main">
                  <a:graphicData uri="http://schemas.microsoft.com/office/word/2010/wordprocessingShape">
                    <wps:wsp>
                      <wps:cNvSpPr txBox="1"/>
                      <wps:spPr>
                        <a:xfrm>
                          <a:off x="0" y="0"/>
                          <a:ext cx="228600" cy="175260"/>
                        </a:xfrm>
                        <a:prstGeom prst="rect"/>
                        <a:solidFill>
                          <a:srgbClr val="FFFFFF"/>
                        </a:solidFill>
                      </wps:spPr>
                      <wps:txbx>
                        <w:txbxContent>
                          <w:p>
                            <w:pPr>
                              <w:pStyle w:val="TextBody"/>
                              <w:bidi w:val="0"/>
                              <w:spacing w:before="0" w:after="283"/>
                              <w:jc w:val="left"/>
                              <w:rPr/>
                            </w:pPr>
                            <w:r>
                              <w:rPr/>
                              <w:t xml:space="preserve">● </w:t>
                            </w:r>
                          </w:p>
                        </w:txbxContent>
                      </wps:txbx>
                      <wps:bodyPr anchor="t" lIns="0" tIns="0" rIns="0" bIns="0">
                        <a:noAutofit/>
                      </wps:bodyPr>
                    </wps:wsp>
                  </a:graphicData>
                </a:graphic>
              </wp:anchor>
            </w:drawing>
          </mc:Choice>
          <mc:Fallback>
            <w:pict>
              <v:rect style="position:absolute;rotation:-0;width: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 xml:space="preserve">● </w:t>
                      </w:r>
                    </w:p>
                  </w:txbxContent>
                </v:textbox>
                <w10:wrap type="square" side="right"/>
              </v:rect>
            </w:pict>
          </mc:Fallback>
        </mc:AlternateContent>
      </w:r>
    </w:p>
    <w:p>
      <w:pPr>
        <w:pStyle w:val="TextBody"/>
        <w:bidi w:val="0"/>
        <w:spacing w:before="0" w:after="0"/>
        <w:ind w:left="0" w:right="0" w:hanging="360"/>
        <w:jc w:val="both"/>
        <w:rPr/>
      </w:pPr>
      <w:r>
        <w:rPr/>
        <w:t xml:space="preserve">  </w:t>
      </w:r>
    </w:p>
    <w:p>
      <w:pPr>
        <w:pStyle w:val="TextBody"/>
        <w:bidi w:val="0"/>
        <w:spacing w:before="0" w:after="0"/>
        <w:ind w:left="0" w:right="0" w:hanging="360"/>
        <w:jc w:val="left"/>
        <w:rPr>
          <w:rFonts w:ascii="Times New Roman" w:hAnsi="Times New Roman"/>
          <w:sz w:val="20"/>
        </w:rPr>
      </w:pPr>
      <w:r>
        <w:rPr>
          <w:rFonts w:ascii="Times New Roman" w:hAnsi="Times New Roman"/>
          <w:sz w:val="20"/>
        </w:rPr>
        <w:t xml:space="preserve">governmental regulation and legislation; </w:t>
      </w:r>
      <w:r>
        <mc:AlternateContent>
          <mc:Choice Requires="wps">
            <w:drawing>
              <wp:anchor behindDoc="0" distT="0" distB="0" distL="0" distR="0" simplePos="0" locked="0" layoutInCell="1" allowOverlap="1" relativeHeight="171">
                <wp:simplePos x="0" y="0"/>
                <wp:positionH relativeFrom="column">
                  <wp:align>left</wp:align>
                </wp:positionH>
                <wp:positionV relativeFrom="line">
                  <wp:posOffset>635</wp:posOffset>
                </wp:positionV>
                <wp:extent cx="228600" cy="175260"/>
                <wp:effectExtent l="0" t="0" r="0" b="0"/>
                <wp:wrapSquare wrapText="right"/>
                <wp:docPr id="170" name="Frame170"/>
                <a:graphic xmlns:a="http://schemas.openxmlformats.org/drawingml/2006/main">
                  <a:graphicData uri="http://schemas.microsoft.com/office/word/2010/wordprocessingShape">
                    <wps:wsp>
                      <wps:cNvSpPr txBox="1"/>
                      <wps:spPr>
                        <a:xfrm>
                          <a:off x="0" y="0"/>
                          <a:ext cx="228600" cy="175260"/>
                        </a:xfrm>
                        <a:prstGeom prst="rect"/>
                        <a:solidFill>
                          <a:srgbClr val="FFFFFF"/>
                        </a:solidFill>
                      </wps:spPr>
                      <wps:txbx>
                        <w:txbxContent>
                          <w:p>
                            <w:pPr>
                              <w:pStyle w:val="TextBody"/>
                              <w:bidi w:val="0"/>
                              <w:spacing w:before="0" w:after="283"/>
                              <w:jc w:val="left"/>
                              <w:rPr/>
                            </w:pPr>
                            <w:r>
                              <w:rPr/>
                              <w:t xml:space="preserve">● </w:t>
                            </w:r>
                          </w:p>
                        </w:txbxContent>
                      </wps:txbx>
                      <wps:bodyPr anchor="t" lIns="0" tIns="0" rIns="0" bIns="0">
                        <a:noAutofit/>
                      </wps:bodyPr>
                    </wps:wsp>
                  </a:graphicData>
                </a:graphic>
              </wp:anchor>
            </w:drawing>
          </mc:Choice>
          <mc:Fallback>
            <w:pict>
              <v:rect style="position:absolute;rotation:-0;width: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 xml:space="preserve">● </w:t>
                      </w:r>
                    </w:p>
                  </w:txbxContent>
                </v:textbox>
                <w10:wrap type="square" side="right"/>
              </v:rect>
            </w:pict>
          </mc:Fallback>
        </mc:AlternateContent>
      </w:r>
    </w:p>
    <w:p>
      <w:pPr>
        <w:pStyle w:val="TextBody"/>
        <w:bidi w:val="0"/>
        <w:spacing w:before="0" w:after="0"/>
        <w:ind w:left="720" w:right="0" w:hanging="0"/>
        <w:jc w:val="both"/>
        <w:rPr/>
      </w:pPr>
      <w:r>
        <w:rPr/>
        <w:t xml:space="preserve">  </w:t>
      </w:r>
    </w:p>
    <w:p>
      <w:pPr>
        <w:pStyle w:val="TextBody"/>
        <w:bidi w:val="0"/>
        <w:spacing w:before="0" w:after="0"/>
        <w:ind w:left="0" w:right="0" w:hanging="360"/>
        <w:jc w:val="left"/>
        <w:rPr>
          <w:rFonts w:ascii="Times New Roman" w:hAnsi="Times New Roman"/>
          <w:sz w:val="20"/>
        </w:rPr>
      </w:pPr>
      <w:r>
        <w:rPr>
          <w:rFonts w:ascii="Times New Roman" w:hAnsi="Times New Roman"/>
          <w:sz w:val="20"/>
        </w:rPr>
        <w:t xml:space="preserve">overall market volatility; </w:t>
      </w:r>
      <w:r>
        <mc:AlternateContent>
          <mc:Choice Requires="wps">
            <w:drawing>
              <wp:anchor behindDoc="0" distT="0" distB="0" distL="0" distR="0" simplePos="0" locked="0" layoutInCell="1" allowOverlap="1" relativeHeight="172">
                <wp:simplePos x="0" y="0"/>
                <wp:positionH relativeFrom="column">
                  <wp:align>left</wp:align>
                </wp:positionH>
                <wp:positionV relativeFrom="line">
                  <wp:posOffset>635</wp:posOffset>
                </wp:positionV>
                <wp:extent cx="228600" cy="175260"/>
                <wp:effectExtent l="0" t="0" r="0" b="0"/>
                <wp:wrapSquare wrapText="right"/>
                <wp:docPr id="171" name="Frame171"/>
                <a:graphic xmlns:a="http://schemas.openxmlformats.org/drawingml/2006/main">
                  <a:graphicData uri="http://schemas.microsoft.com/office/word/2010/wordprocessingShape">
                    <wps:wsp>
                      <wps:cNvSpPr txBox="1"/>
                      <wps:spPr>
                        <a:xfrm>
                          <a:off x="0" y="0"/>
                          <a:ext cx="228600" cy="175260"/>
                        </a:xfrm>
                        <a:prstGeom prst="rect"/>
                        <a:solidFill>
                          <a:srgbClr val="FFFFFF"/>
                        </a:solidFill>
                      </wps:spPr>
                      <wps:txbx>
                        <w:txbxContent>
                          <w:p>
                            <w:pPr>
                              <w:pStyle w:val="TextBody"/>
                              <w:bidi w:val="0"/>
                              <w:spacing w:before="0" w:after="283"/>
                              <w:jc w:val="left"/>
                              <w:rPr/>
                            </w:pPr>
                            <w:r>
                              <w:rPr/>
                              <w:t xml:space="preserve">● </w:t>
                            </w:r>
                          </w:p>
                        </w:txbxContent>
                      </wps:txbx>
                      <wps:bodyPr anchor="t" lIns="0" tIns="0" rIns="0" bIns="0">
                        <a:noAutofit/>
                      </wps:bodyPr>
                    </wps:wsp>
                  </a:graphicData>
                </a:graphic>
              </wp:anchor>
            </w:drawing>
          </mc:Choice>
          <mc:Fallback>
            <w:pict>
              <v:rect style="position:absolute;rotation:-0;width: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 xml:space="preserve">● </w:t>
                      </w:r>
                    </w:p>
                  </w:txbxContent>
                </v:textbox>
                <w10:wrap type="square" side="right"/>
              </v:rect>
            </w:pict>
          </mc:Fallback>
        </mc:AlternateContent>
      </w:r>
    </w:p>
    <w:p>
      <w:pPr>
        <w:pStyle w:val="TextBody"/>
        <w:bidi w:val="0"/>
        <w:spacing w:before="0" w:after="0"/>
        <w:ind w:left="720" w:right="0" w:hanging="0"/>
        <w:jc w:val="both"/>
        <w:rPr/>
      </w:pPr>
      <w:r>
        <w:rPr/>
        <w:t xml:space="preserve">  </w:t>
      </w:r>
    </w:p>
    <w:p>
      <w:pPr>
        <w:pStyle w:val="TextBody"/>
        <w:bidi w:val="0"/>
        <w:spacing w:before="0" w:after="0"/>
        <w:ind w:left="0" w:right="0" w:hanging="360"/>
        <w:jc w:val="left"/>
        <w:rPr>
          <w:rFonts w:ascii="Times New Roman" w:hAnsi="Times New Roman"/>
          <w:sz w:val="20"/>
        </w:rPr>
      </w:pPr>
      <w:r>
        <w:rPr>
          <w:rFonts w:ascii="Times New Roman" w:hAnsi="Times New Roman"/>
          <w:sz w:val="20"/>
        </w:rPr>
        <w:t xml:space="preserve">global and economic uncertainty; </w:t>
      </w:r>
      <w:r>
        <mc:AlternateContent>
          <mc:Choice Requires="wps">
            <w:drawing>
              <wp:anchor behindDoc="0" distT="0" distB="0" distL="0" distR="0" simplePos="0" locked="0" layoutInCell="1" allowOverlap="1" relativeHeight="173">
                <wp:simplePos x="0" y="0"/>
                <wp:positionH relativeFrom="column">
                  <wp:align>left</wp:align>
                </wp:positionH>
                <wp:positionV relativeFrom="line">
                  <wp:posOffset>635</wp:posOffset>
                </wp:positionV>
                <wp:extent cx="228600" cy="175260"/>
                <wp:effectExtent l="0" t="0" r="0" b="0"/>
                <wp:wrapSquare wrapText="right"/>
                <wp:docPr id="172" name="Frame172"/>
                <a:graphic xmlns:a="http://schemas.openxmlformats.org/drawingml/2006/main">
                  <a:graphicData uri="http://schemas.microsoft.com/office/word/2010/wordprocessingShape">
                    <wps:wsp>
                      <wps:cNvSpPr txBox="1"/>
                      <wps:spPr>
                        <a:xfrm>
                          <a:off x="0" y="0"/>
                          <a:ext cx="228600" cy="175260"/>
                        </a:xfrm>
                        <a:prstGeom prst="rect"/>
                        <a:solidFill>
                          <a:srgbClr val="FFFFFF"/>
                        </a:solidFill>
                      </wps:spPr>
                      <wps:txbx>
                        <w:txbxContent>
                          <w:p>
                            <w:pPr>
                              <w:pStyle w:val="TextBody"/>
                              <w:bidi w:val="0"/>
                              <w:spacing w:before="0" w:after="283"/>
                              <w:jc w:val="left"/>
                              <w:rPr/>
                            </w:pPr>
                            <w:r>
                              <w:rPr/>
                              <w:t xml:space="preserve">● </w:t>
                            </w:r>
                          </w:p>
                        </w:txbxContent>
                      </wps:txbx>
                      <wps:bodyPr anchor="t" lIns="0" tIns="0" rIns="0" bIns="0">
                        <a:noAutofit/>
                      </wps:bodyPr>
                    </wps:wsp>
                  </a:graphicData>
                </a:graphic>
              </wp:anchor>
            </w:drawing>
          </mc:Choice>
          <mc:Fallback>
            <w:pict>
              <v:rect style="position:absolute;rotation:-0;width: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 xml:space="preserve">● </w:t>
                      </w:r>
                    </w:p>
                  </w:txbxContent>
                </v:textbox>
                <w10:wrap type="square" side="right"/>
              </v:rect>
            </w:pict>
          </mc:Fallback>
        </mc:AlternateContent>
      </w:r>
    </w:p>
    <w:p>
      <w:pPr>
        <w:pStyle w:val="TextBody"/>
        <w:bidi w:val="0"/>
        <w:spacing w:before="0" w:after="0"/>
        <w:ind w:left="720" w:right="0" w:hanging="0"/>
        <w:jc w:val="both"/>
        <w:rPr/>
      </w:pPr>
      <w:r>
        <w:rPr/>
        <w:t xml:space="preserve">  </w:t>
      </w:r>
    </w:p>
    <w:p>
      <w:pPr>
        <w:pStyle w:val="TextBody"/>
        <w:bidi w:val="0"/>
        <w:spacing w:before="0" w:after="0"/>
        <w:ind w:left="0" w:right="0" w:hanging="360"/>
        <w:jc w:val="left"/>
        <w:rPr>
          <w:rFonts w:ascii="Times New Roman" w:hAnsi="Times New Roman"/>
          <w:sz w:val="20"/>
        </w:rPr>
      </w:pPr>
      <w:r>
        <w:rPr>
          <w:rFonts w:ascii="Times New Roman" w:hAnsi="Times New Roman"/>
          <w:sz w:val="20"/>
        </w:rPr>
        <w:t xml:space="preserve">variations in our anticipated or actual operating results; and </w:t>
      </w:r>
      <w:r>
        <mc:AlternateContent>
          <mc:Choice Requires="wps">
            <w:drawing>
              <wp:anchor behindDoc="0" distT="0" distB="0" distL="0" distR="0" simplePos="0" locked="0" layoutInCell="1" allowOverlap="1" relativeHeight="174">
                <wp:simplePos x="0" y="0"/>
                <wp:positionH relativeFrom="column">
                  <wp:align>left</wp:align>
                </wp:positionH>
                <wp:positionV relativeFrom="line">
                  <wp:posOffset>635</wp:posOffset>
                </wp:positionV>
                <wp:extent cx="228600" cy="175260"/>
                <wp:effectExtent l="0" t="0" r="0" b="0"/>
                <wp:wrapSquare wrapText="right"/>
                <wp:docPr id="173" name="Frame173"/>
                <a:graphic xmlns:a="http://schemas.openxmlformats.org/drawingml/2006/main">
                  <a:graphicData uri="http://schemas.microsoft.com/office/word/2010/wordprocessingShape">
                    <wps:wsp>
                      <wps:cNvSpPr txBox="1"/>
                      <wps:spPr>
                        <a:xfrm>
                          <a:off x="0" y="0"/>
                          <a:ext cx="228600" cy="175260"/>
                        </a:xfrm>
                        <a:prstGeom prst="rect"/>
                        <a:solidFill>
                          <a:srgbClr val="FFFFFF"/>
                        </a:solidFill>
                      </wps:spPr>
                      <wps:txbx>
                        <w:txbxContent>
                          <w:p>
                            <w:pPr>
                              <w:pStyle w:val="TextBody"/>
                              <w:bidi w:val="0"/>
                              <w:spacing w:before="0" w:after="283"/>
                              <w:jc w:val="left"/>
                              <w:rPr/>
                            </w:pPr>
                            <w:r>
                              <w:rPr/>
                              <w:t xml:space="preserve">● </w:t>
                            </w:r>
                          </w:p>
                        </w:txbxContent>
                      </wps:txbx>
                      <wps:bodyPr anchor="t" lIns="0" tIns="0" rIns="0" bIns="0">
                        <a:noAutofit/>
                      </wps:bodyPr>
                    </wps:wsp>
                  </a:graphicData>
                </a:graphic>
              </wp:anchor>
            </w:drawing>
          </mc:Choice>
          <mc:Fallback>
            <w:pict>
              <v:rect style="position:absolute;rotation:-0;width: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 xml:space="preserve">● </w:t>
                      </w:r>
                    </w:p>
                  </w:txbxContent>
                </v:textbox>
                <w10:wrap type="square" side="right"/>
              </v:rect>
            </w:pict>
          </mc:Fallback>
        </mc:AlternateContent>
      </w:r>
    </w:p>
    <w:p>
      <w:pPr>
        <w:pStyle w:val="TextBody"/>
        <w:bidi w:val="0"/>
        <w:spacing w:before="0" w:after="0"/>
        <w:ind w:left="720" w:right="0" w:hanging="0"/>
        <w:jc w:val="both"/>
        <w:rPr/>
      </w:pPr>
      <w:r>
        <w:rPr/>
        <w:t xml:space="preserve">  </w:t>
      </w:r>
    </w:p>
    <w:p>
      <w:pPr>
        <w:pStyle w:val="TextBody"/>
        <w:bidi w:val="0"/>
        <w:spacing w:before="0" w:after="0"/>
        <w:ind w:left="0" w:right="0" w:hanging="360"/>
        <w:jc w:val="left"/>
        <w:rPr>
          <w:rFonts w:ascii="Times New Roman" w:hAnsi="Times New Roman"/>
          <w:sz w:val="20"/>
        </w:rPr>
      </w:pPr>
      <w:r>
        <w:rPr>
          <w:rFonts w:ascii="Times New Roman" w:hAnsi="Times New Roman"/>
          <w:sz w:val="20"/>
        </w:rPr>
        <w:t xml:space="preserve">change in securities analysts’ estimates of our performance, or our failure to meet analysts’ expectations. </w:t>
      </w:r>
      <w:r>
        <mc:AlternateContent>
          <mc:Choice Requires="wps">
            <w:drawing>
              <wp:anchor behindDoc="0" distT="0" distB="0" distL="0" distR="0" simplePos="0" locked="0" layoutInCell="1" allowOverlap="1" relativeHeight="175">
                <wp:simplePos x="0" y="0"/>
                <wp:positionH relativeFrom="column">
                  <wp:align>left</wp:align>
                </wp:positionH>
                <wp:positionV relativeFrom="line">
                  <wp:posOffset>635</wp:posOffset>
                </wp:positionV>
                <wp:extent cx="228600" cy="175260"/>
                <wp:effectExtent l="0" t="0" r="0" b="0"/>
                <wp:wrapSquare wrapText="right"/>
                <wp:docPr id="174" name="Frame174"/>
                <a:graphic xmlns:a="http://schemas.openxmlformats.org/drawingml/2006/main">
                  <a:graphicData uri="http://schemas.microsoft.com/office/word/2010/wordprocessingShape">
                    <wps:wsp>
                      <wps:cNvSpPr txBox="1"/>
                      <wps:spPr>
                        <a:xfrm>
                          <a:off x="0" y="0"/>
                          <a:ext cx="228600" cy="175260"/>
                        </a:xfrm>
                        <a:prstGeom prst="rect"/>
                        <a:solidFill>
                          <a:srgbClr val="FFFFFF"/>
                        </a:solidFill>
                      </wps:spPr>
                      <wps:txbx>
                        <w:txbxContent>
                          <w:p>
                            <w:pPr>
                              <w:pStyle w:val="TextBody"/>
                              <w:bidi w:val="0"/>
                              <w:spacing w:before="0" w:after="283"/>
                              <w:jc w:val="left"/>
                              <w:rPr/>
                            </w:pPr>
                            <w:r>
                              <w:rPr/>
                              <w:t xml:space="preserve">● </w:t>
                            </w:r>
                          </w:p>
                        </w:txbxContent>
                      </wps:txbx>
                      <wps:bodyPr anchor="t" lIns="0" tIns="0" rIns="0" bIns="0">
                        <a:noAutofit/>
                      </wps:bodyPr>
                    </wps:wsp>
                  </a:graphicData>
                </a:graphic>
              </wp:anchor>
            </w:drawing>
          </mc:Choice>
          <mc:Fallback>
            <w:pict>
              <v:rect style="position:absolute;rotation:-0;width: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 xml:space="preserve">● </w:t>
                      </w:r>
                    </w:p>
                  </w:txbxContent>
                </v:textbox>
                <w10:wrap type="square" side="right"/>
              </v:rect>
            </w:pict>
          </mc:Fallback>
        </mc:AlternateContent>
      </w:r>
    </w:p>
    <w:p>
      <w:pPr>
        <w:pStyle w:val="TextBody"/>
        <w:bidi w:val="0"/>
        <w:spacing w:before="0" w:after="0"/>
        <w:ind w:left="1080" w:right="0" w:hanging="0"/>
        <w:jc w:val="left"/>
        <w:rPr/>
      </w:pPr>
      <w:r>
        <w:rPr/>
        <w:t xml:space="preserve">  </w:t>
      </w:r>
    </w:p>
    <w:p>
      <w:pPr>
        <w:pStyle w:val="TextBody"/>
        <w:bidi w:val="0"/>
        <w:spacing w:before="0" w:after="0"/>
        <w:jc w:val="both"/>
        <w:rPr>
          <w:rFonts w:ascii="Times New Roman" w:hAnsi="Times New Roman"/>
          <w:sz w:val="20"/>
        </w:rPr>
      </w:pPr>
      <w:r>
        <w:rPr>
          <w:rFonts w:ascii="Times New Roman" w:hAnsi="Times New Roman"/>
          <w:sz w:val="20"/>
        </w:rPr>
        <w:t xml:space="preserve">Many of these factors are beyond our control. The stock markets in general, and the market for pharmaceutical and biotechnology companies in particular, have historically experienced extreme price and volume fluctuations. These fluctuations often have been unrelated or disproportionate to the operating performance of these companies. These broad market and industry factors could reduce the market price of our common stock, regardless of our actual operating performance. </w:t>
      </w:r>
    </w:p>
    <w:p>
      <w:pPr>
        <w:pStyle w:val="TextBody"/>
        <w:bidi w:val="0"/>
        <w:spacing w:before="0" w:after="0"/>
        <w:jc w:val="left"/>
        <w:rPr/>
      </w:pPr>
      <w:r>
        <w:rPr/>
        <w:t xml:space="preserve">  </w:t>
      </w:r>
    </w:p>
    <w:p>
      <w:pPr>
        <w:pStyle w:val="TextBody"/>
        <w:bidi w:val="0"/>
        <w:spacing w:before="0" w:after="0"/>
        <w:jc w:val="left"/>
        <w:rPr>
          <w:rFonts w:ascii="Times New Roman" w:hAnsi="Times New Roman"/>
          <w:sz w:val="20"/>
        </w:rPr>
      </w:pPr>
      <w:r>
        <w:rPr>
          <w:rFonts w:ascii="Times New Roman" w:hAnsi="Times New Roman"/>
          <w:b/>
          <w:i/>
          <w:sz w:val="20"/>
        </w:rPr>
        <w:t>Sales of a substantial number of shares of our common stock, or the perception that such sales may occur, may adversely affect the market price of our common stock.</w:t>
      </w:r>
      <w:r>
        <w:rPr>
          <w:rFonts w:ascii="Times New Roman" w:hAnsi="Times New Roman"/>
          <w:sz w:val="20"/>
        </w:rPr>
        <w:t xml:space="preserve"> </w:t>
      </w:r>
    </w:p>
    <w:p>
      <w:pPr>
        <w:pStyle w:val="TextBody"/>
        <w:bidi w:val="0"/>
        <w:spacing w:before="0" w:after="0"/>
        <w:jc w:val="left"/>
        <w:rPr/>
      </w:pPr>
      <w:r>
        <w:rPr/>
        <w:t xml:space="preserve">  </w:t>
      </w:r>
    </w:p>
    <w:p>
      <w:pPr>
        <w:pStyle w:val="TextBody"/>
        <w:bidi w:val="0"/>
        <w:spacing w:before="0" w:after="0"/>
        <w:ind w:left="0" w:right="0" w:firstLine="720"/>
        <w:jc w:val="both"/>
        <w:rPr>
          <w:rFonts w:ascii="Times New Roman" w:hAnsi="Times New Roman"/>
          <w:sz w:val="20"/>
        </w:rPr>
      </w:pPr>
      <w:r>
        <w:rPr>
          <w:rFonts w:ascii="Times New Roman" w:hAnsi="Times New Roman"/>
          <w:sz w:val="20"/>
        </w:rPr>
        <w:t xml:space="preserve">As of May 1, 2026, most of our 231,772,715 outstanding shares of common stock, were available for sale in the public market, subject to certain restrictions with respect to sales of our common stock by our affiliates, either pursuant to Rule 144 under the Securities Act, or under effective registration statements. Sales of a substantial number of shares of our common stock, or the perception that such sales may occur, could cause the market price of our common stock to decline or adversely affect demand for our common stock. </w:t>
      </w:r>
    </w:p>
    <w:p>
      <w:pPr>
        <w:pStyle w:val="TextBody"/>
        <w:bidi w:val="0"/>
        <w:spacing w:before="0" w:after="0"/>
        <w:jc w:val="both"/>
        <w:rPr/>
      </w:pPr>
      <w:r>
        <w:rPr/>
        <w:t xml:space="preserve">  </w:t>
      </w:r>
    </w:p>
    <w:p>
      <w:pPr>
        <w:pStyle w:val="TextBody"/>
        <w:bidi w:val="0"/>
        <w:spacing w:before="150" w:after="15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t>60</w:t>
      </w:r>
    </w:p>
    <w:p>
      <w:pPr>
        <w:pStyle w:val="HorizontalLine"/>
        <w:bidi w:val="0"/>
        <w:spacing w:before="150" w:after="150"/>
        <w:jc w:val="left"/>
        <w:rPr/>
      </w:pPr>
      <w:r>
        <w:rPr/>
      </w:r>
    </w:p>
    <w:p>
      <w:pPr>
        <w:pStyle w:val="TextBody"/>
        <w:bidi w:val="0"/>
        <w:spacing w:before="150" w:after="150"/>
        <w:jc w:val="left"/>
        <w:rPr/>
      </w:pPr>
      <w:hyperlink w:anchor="index">
        <w:r>
          <w:rPr>
            <w:rStyle w:val="InternetLink"/>
            <w:rFonts w:ascii="TimesNewRoman;Times New Roman;Times;Baskerville;Georgia;serif" w:hAnsi="TimesNewRoman;Times New Roman;Times;Baskerville;Georgia;serif"/>
            <w:b w:val="false"/>
            <w:i/>
            <w:caps w:val="false"/>
            <w:smallCaps w:val="false"/>
            <w:strike w:val="false"/>
            <w:dstrike w:val="false"/>
            <w:sz w:val="16"/>
            <w:u w:val="none"/>
            <w:effect w:val="none"/>
          </w:rPr>
          <w:t>Index</w:t>
        </w:r>
      </w:hyperlink>
    </w:p>
    <w:p>
      <w:pPr>
        <w:pStyle w:val="TextBody"/>
        <w:bidi w:val="0"/>
        <w:spacing w:before="0" w:after="0"/>
        <w:jc w:val="both"/>
        <w:rPr>
          <w:rFonts w:ascii="Times New Roman" w:hAnsi="Times New Roman"/>
          <w:b/>
          <w:i/>
          <w:spacing w:val="0"/>
          <w:sz w:val="20"/>
        </w:rPr>
      </w:pPr>
      <w:r>
        <w:rPr>
          <w:rFonts w:ascii="Times New Roman" w:hAnsi="Times New Roman"/>
          <w:b/>
          <w:i/>
          <w:spacing w:val="0"/>
          <w:sz w:val="20"/>
        </w:rPr>
        <w:t>Our affiliates control a substantial amount of our shares of common stock. Provisions in our Second Amended and Restated Certificate of Incorporation, as amended (the “Certificate of Incorporation”), our Amended and Restated Bylaws (the “Bylaws”) and Delaware law might discourage, delay or prevent a change in control of our Company or changes in our management and, therefore, depress the trading price of our common stock.</w:t>
      </w:r>
    </w:p>
    <w:p>
      <w:pPr>
        <w:pStyle w:val="TextBody"/>
        <w:bidi w:val="0"/>
        <w:spacing w:before="0" w:after="0"/>
        <w:ind w:left="0" w:right="0" w:firstLine="720"/>
        <w:jc w:val="both"/>
        <w:rPr/>
      </w:pPr>
      <w:r>
        <w:rPr/>
        <w:t> </w:t>
      </w:r>
    </w:p>
    <w:p>
      <w:pPr>
        <w:pStyle w:val="TextBody"/>
        <w:bidi w:val="0"/>
        <w:spacing w:before="0" w:after="0"/>
        <w:ind w:left="0" w:right="0" w:firstLine="720"/>
        <w:jc w:val="both"/>
        <w:rPr>
          <w:rFonts w:ascii="Times New Roman" w:hAnsi="Times New Roman"/>
          <w:sz w:val="20"/>
        </w:rPr>
      </w:pPr>
      <w:r>
        <w:rPr>
          <w:rFonts w:ascii="Times New Roman" w:hAnsi="Times New Roman"/>
          <w:sz w:val="20"/>
        </w:rPr>
        <w:t xml:space="preserve">As of March 31, 2026, BlackRock, Inc., State Street Corporation, Invesco Ltd., and our directors and executive officers and their affiliates owned approximately 30% of the outstanding shares of our common stock. Provisions of our Certificate of Incorporation, our Bylaws and Delaware law may have the effect of deterring unsolicited takeovers or delaying or preventing a change in control of our Company or changes in our management, including transactions in which our stockholders might otherwise receive a premium for their shares over then current market prices. In addition, these provisions may limit the ability of stockholders to approve transactions that they may deem to be in their best interests. These provisions include: </w:t>
      </w:r>
    </w:p>
    <w:p>
      <w:pPr>
        <w:pStyle w:val="TextBody"/>
        <w:bidi w:val="0"/>
        <w:spacing w:before="0" w:after="0"/>
        <w:jc w:val="both"/>
        <w:rPr/>
      </w:pPr>
      <w:r>
        <w:rPr/>
        <w:t> </w:t>
      </w:r>
    </w:p>
    <w:p>
      <w:pPr>
        <w:pStyle w:val="TextBody"/>
        <w:bidi w:val="0"/>
        <w:spacing w:before="0" w:after="0"/>
        <w:ind w:left="0" w:right="0" w:hanging="360"/>
        <w:jc w:val="left"/>
        <w:rPr>
          <w:rFonts w:ascii="Times New Roman" w:hAnsi="Times New Roman"/>
          <w:sz w:val="20"/>
        </w:rPr>
      </w:pPr>
      <w:r>
        <w:rPr>
          <w:rFonts w:ascii="Times New Roman" w:hAnsi="Times New Roman"/>
          <w:sz w:val="20"/>
        </w:rPr>
        <w:t xml:space="preserve">the inability of stockholders to call special meetings; </w:t>
      </w:r>
      <w:r>
        <mc:AlternateContent>
          <mc:Choice Requires="wps">
            <w:drawing>
              <wp:anchor behindDoc="0" distT="0" distB="0" distL="0" distR="0" simplePos="0" locked="0" layoutInCell="1" allowOverlap="1" relativeHeight="176">
                <wp:simplePos x="0" y="0"/>
                <wp:positionH relativeFrom="column">
                  <wp:align>left</wp:align>
                </wp:positionH>
                <wp:positionV relativeFrom="line">
                  <wp:posOffset>635</wp:posOffset>
                </wp:positionV>
                <wp:extent cx="228600" cy="175260"/>
                <wp:effectExtent l="0" t="0" r="0" b="0"/>
                <wp:wrapSquare wrapText="right"/>
                <wp:docPr id="175" name="Frame175"/>
                <a:graphic xmlns:a="http://schemas.openxmlformats.org/drawingml/2006/main">
                  <a:graphicData uri="http://schemas.microsoft.com/office/word/2010/wordprocessingShape">
                    <wps:wsp>
                      <wps:cNvSpPr txBox="1"/>
                      <wps:spPr>
                        <a:xfrm>
                          <a:off x="0" y="0"/>
                          <a:ext cx="228600" cy="175260"/>
                        </a:xfrm>
                        <a:prstGeom prst="rect"/>
                        <a:solidFill>
                          <a:srgbClr val="FFFFFF"/>
                        </a:solidFill>
                      </wps:spPr>
                      <wps:txbx>
                        <w:txbxContent>
                          <w:p>
                            <w:pPr>
                              <w:pStyle w:val="TextBody"/>
                              <w:bidi w:val="0"/>
                              <w:spacing w:before="0" w:after="283"/>
                              <w:jc w:val="left"/>
                              <w:rPr/>
                            </w:pPr>
                            <w:r>
                              <w:rPr/>
                              <w:t xml:space="preserve">● </w:t>
                            </w:r>
                          </w:p>
                        </w:txbxContent>
                      </wps:txbx>
                      <wps:bodyPr anchor="t" lIns="0" tIns="0" rIns="0" bIns="0">
                        <a:noAutofit/>
                      </wps:bodyPr>
                    </wps:wsp>
                  </a:graphicData>
                </a:graphic>
              </wp:anchor>
            </w:drawing>
          </mc:Choice>
          <mc:Fallback>
            <w:pict>
              <v:rect style="position:absolute;rotation:-0;width: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 xml:space="preserve">● </w:t>
                      </w:r>
                    </w:p>
                  </w:txbxContent>
                </v:textbox>
                <w10:wrap type="square" side="right"/>
              </v:rect>
            </w:pict>
          </mc:Fallback>
        </mc:AlternateContent>
      </w:r>
    </w:p>
    <w:p>
      <w:pPr>
        <w:pStyle w:val="TextBody"/>
        <w:bidi w:val="0"/>
        <w:spacing w:before="0" w:after="0"/>
        <w:jc w:val="left"/>
        <w:rPr/>
      </w:pPr>
      <w:r>
        <w:rPr/>
        <w:t xml:space="preserve">  </w:t>
      </w:r>
    </w:p>
    <w:p>
      <w:pPr>
        <w:pStyle w:val="TextBody"/>
        <w:bidi w:val="0"/>
        <w:spacing w:before="0" w:after="0"/>
        <w:ind w:left="0" w:right="0" w:hanging="360"/>
        <w:jc w:val="left"/>
        <w:rPr>
          <w:rFonts w:ascii="Times New Roman" w:hAnsi="Times New Roman"/>
          <w:sz w:val="20"/>
        </w:rPr>
      </w:pPr>
      <w:r>
        <w:rPr>
          <w:rFonts w:ascii="Times New Roman" w:hAnsi="Times New Roman"/>
          <w:sz w:val="20"/>
        </w:rPr>
        <w:t xml:space="preserve">classification of our Board and limitation on filling of vacancies could make it more difficult for a third party to acquire, or discourage a third party from seeking to acquire, control of our Company; and </w:t>
      </w:r>
      <w:r>
        <mc:AlternateContent>
          <mc:Choice Requires="wps">
            <w:drawing>
              <wp:anchor behindDoc="0" distT="0" distB="0" distL="0" distR="0" simplePos="0" locked="0" layoutInCell="1" allowOverlap="1" relativeHeight="177">
                <wp:simplePos x="0" y="0"/>
                <wp:positionH relativeFrom="column">
                  <wp:align>left</wp:align>
                </wp:positionH>
                <wp:positionV relativeFrom="line">
                  <wp:posOffset>635</wp:posOffset>
                </wp:positionV>
                <wp:extent cx="228600" cy="175260"/>
                <wp:effectExtent l="0" t="0" r="0" b="0"/>
                <wp:wrapSquare wrapText="right"/>
                <wp:docPr id="176" name="Frame176"/>
                <a:graphic xmlns:a="http://schemas.openxmlformats.org/drawingml/2006/main">
                  <a:graphicData uri="http://schemas.microsoft.com/office/word/2010/wordprocessingShape">
                    <wps:wsp>
                      <wps:cNvSpPr txBox="1"/>
                      <wps:spPr>
                        <a:xfrm>
                          <a:off x="0" y="0"/>
                          <a:ext cx="228600" cy="175260"/>
                        </a:xfrm>
                        <a:prstGeom prst="rect"/>
                        <a:solidFill>
                          <a:srgbClr val="FFFFFF"/>
                        </a:solidFill>
                      </wps:spPr>
                      <wps:txbx>
                        <w:txbxContent>
                          <w:p>
                            <w:pPr>
                              <w:pStyle w:val="TextBody"/>
                              <w:bidi w:val="0"/>
                              <w:spacing w:before="0" w:after="283"/>
                              <w:jc w:val="left"/>
                              <w:rPr/>
                            </w:pPr>
                            <w:r>
                              <w:rPr/>
                              <w:t xml:space="preserve">● </w:t>
                            </w:r>
                          </w:p>
                        </w:txbxContent>
                      </wps:txbx>
                      <wps:bodyPr anchor="t" lIns="0" tIns="0" rIns="0" bIns="0">
                        <a:noAutofit/>
                      </wps:bodyPr>
                    </wps:wsp>
                  </a:graphicData>
                </a:graphic>
              </wp:anchor>
            </w:drawing>
          </mc:Choice>
          <mc:Fallback>
            <w:pict>
              <v:rect style="position:absolute;rotation:-0;width: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 xml:space="preserve">● </w:t>
                      </w:r>
                    </w:p>
                  </w:txbxContent>
                </v:textbox>
                <w10:wrap type="square" side="right"/>
              </v:rect>
            </w:pict>
          </mc:Fallback>
        </mc:AlternateContent>
      </w:r>
    </w:p>
    <w:p>
      <w:pPr>
        <w:pStyle w:val="TextBody"/>
        <w:bidi w:val="0"/>
        <w:spacing w:before="0" w:after="0"/>
        <w:jc w:val="left"/>
        <w:rPr/>
      </w:pPr>
      <w:r>
        <w:rPr/>
        <w:t xml:space="preserve">  </w:t>
      </w:r>
    </w:p>
    <w:p>
      <w:pPr>
        <w:pStyle w:val="TextBody"/>
        <w:bidi w:val="0"/>
        <w:spacing w:before="0" w:after="0"/>
        <w:ind w:left="0" w:right="0" w:hanging="360"/>
        <w:jc w:val="left"/>
        <w:rPr>
          <w:rFonts w:ascii="Times New Roman" w:hAnsi="Times New Roman"/>
          <w:sz w:val="20"/>
        </w:rPr>
      </w:pPr>
      <w:r>
        <w:rPr>
          <w:rFonts w:ascii="Times New Roman" w:hAnsi="Times New Roman"/>
          <w:sz w:val="20"/>
        </w:rPr>
        <w:t xml:space="preserve">authorization of the issuance of “blank check” preferred stock, with such designation rights and preferences as may be determined from time to time by the Board, without any need for action by stockholders. </w:t>
      </w:r>
      <w:r>
        <mc:AlternateContent>
          <mc:Choice Requires="wps">
            <w:drawing>
              <wp:anchor behindDoc="0" distT="0" distB="0" distL="0" distR="0" simplePos="0" locked="0" layoutInCell="1" allowOverlap="1" relativeHeight="178">
                <wp:simplePos x="0" y="0"/>
                <wp:positionH relativeFrom="column">
                  <wp:align>left</wp:align>
                </wp:positionH>
                <wp:positionV relativeFrom="line">
                  <wp:posOffset>635</wp:posOffset>
                </wp:positionV>
                <wp:extent cx="228600" cy="175260"/>
                <wp:effectExtent l="0" t="0" r="0" b="0"/>
                <wp:wrapSquare wrapText="right"/>
                <wp:docPr id="177" name="Frame177"/>
                <a:graphic xmlns:a="http://schemas.openxmlformats.org/drawingml/2006/main">
                  <a:graphicData uri="http://schemas.microsoft.com/office/word/2010/wordprocessingShape">
                    <wps:wsp>
                      <wps:cNvSpPr txBox="1"/>
                      <wps:spPr>
                        <a:xfrm>
                          <a:off x="0" y="0"/>
                          <a:ext cx="228600" cy="175260"/>
                        </a:xfrm>
                        <a:prstGeom prst="rect"/>
                        <a:solidFill>
                          <a:srgbClr val="FFFFFF"/>
                        </a:solidFill>
                      </wps:spPr>
                      <wps:txbx>
                        <w:txbxContent>
                          <w:p>
                            <w:pPr>
                              <w:pStyle w:val="TextBody"/>
                              <w:bidi w:val="0"/>
                              <w:spacing w:before="0" w:after="283"/>
                              <w:jc w:val="left"/>
                              <w:rPr/>
                            </w:pPr>
                            <w:r>
                              <w:rPr/>
                              <w:t xml:space="preserve">● </w:t>
                            </w:r>
                          </w:p>
                        </w:txbxContent>
                      </wps:txbx>
                      <wps:bodyPr anchor="t" lIns="0" tIns="0" rIns="0" bIns="0">
                        <a:noAutofit/>
                      </wps:bodyPr>
                    </wps:wsp>
                  </a:graphicData>
                </a:graphic>
              </wp:anchor>
            </w:drawing>
          </mc:Choice>
          <mc:Fallback>
            <w:pict>
              <v:rect style="position:absolute;rotation:-0;width: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 xml:space="preserve">● </w:t>
                      </w:r>
                    </w:p>
                  </w:txbxContent>
                </v:textbox>
                <w10:wrap type="square" side="right"/>
              </v:rect>
            </w:pict>
          </mc:Fallback>
        </mc:AlternateContent>
      </w:r>
    </w:p>
    <w:p>
      <w:pPr>
        <w:pStyle w:val="TextBody"/>
        <w:bidi w:val="0"/>
        <w:spacing w:before="0" w:after="0"/>
        <w:ind w:left="900" w:right="0" w:hanging="0"/>
        <w:jc w:val="left"/>
        <w:rPr/>
      </w:pPr>
      <w:r>
        <w:rPr/>
        <w:t> </w:t>
      </w:r>
    </w:p>
    <w:p>
      <w:pPr>
        <w:pStyle w:val="TextBody"/>
        <w:bidi w:val="0"/>
        <w:spacing w:before="0" w:after="0"/>
        <w:ind w:left="0" w:right="0" w:firstLine="720"/>
        <w:jc w:val="both"/>
        <w:rPr>
          <w:rFonts w:ascii="Times New Roman" w:hAnsi="Times New Roman"/>
          <w:sz w:val="20"/>
        </w:rPr>
      </w:pPr>
      <w:r>
        <w:rPr>
          <w:rFonts w:ascii="Times New Roman" w:hAnsi="Times New Roman"/>
          <w:sz w:val="20"/>
        </w:rPr>
        <w:t xml:space="preserve">In addition, Section 203 of the Delaware General Corporation Law prohibits a publicly-held Delaware corporation from engaging in a business combination with an interested stockholder, generally a person which together with its affiliates owns, or within the last three years, has owned 15% of our voting stock, for a period of three years after the date of the transaction in which the person became an interested stockholder, unless the business combination is approved in a prescribed manner. The existence of the foregoing provisions and anti-takeover measures could limit the price that investors might be willing to pay in the future for shares of our common stock. They could also deter potential acquirers of our Company, thereby reducing the likelihood that you could receive a premium for your common stock in an acquisition. In addition, as a result of the concentration of ownership of our shares of common stock, our stockholders may, from time to time, observe instances where there may be less liquidity in the public markets for our securities. </w:t>
      </w:r>
    </w:p>
    <w:p>
      <w:pPr>
        <w:pStyle w:val="TextBody"/>
        <w:bidi w:val="0"/>
        <w:spacing w:before="0" w:after="0"/>
        <w:jc w:val="left"/>
        <w:rPr/>
      </w:pPr>
      <w:r>
        <w:rPr/>
        <w:t xml:space="preserve">  </w:t>
      </w:r>
    </w:p>
    <w:p>
      <w:pPr>
        <w:pStyle w:val="TextBody"/>
        <w:bidi w:val="0"/>
        <w:spacing w:before="0" w:after="0"/>
        <w:jc w:val="both"/>
        <w:rPr>
          <w:rFonts w:ascii="Times New Roman" w:hAnsi="Times New Roman"/>
          <w:sz w:val="20"/>
        </w:rPr>
      </w:pPr>
      <w:r>
        <w:rPr>
          <w:rFonts w:ascii="Times New Roman" w:hAnsi="Times New Roman"/>
          <w:b/>
          <w:i/>
          <w:sz w:val="20"/>
        </w:rPr>
        <w:t>We have never paid cash dividends and do not intend to pay cash dividends in the foreseeable future. As a result, capital appreciation, if any, will be your sole source of gain.</w:t>
      </w:r>
      <w:r>
        <w:rPr>
          <w:rFonts w:ascii="Times New Roman" w:hAnsi="Times New Roman"/>
          <w:sz w:val="20"/>
        </w:rPr>
        <w:t xml:space="preserve"> </w:t>
      </w:r>
    </w:p>
    <w:p>
      <w:pPr>
        <w:pStyle w:val="TextBody"/>
        <w:bidi w:val="0"/>
        <w:spacing w:before="0" w:after="0"/>
        <w:jc w:val="both"/>
        <w:rPr/>
      </w:pPr>
      <w:r>
        <w:rPr/>
        <w:t xml:space="preserve">  </w:t>
      </w:r>
    </w:p>
    <w:p>
      <w:pPr>
        <w:pStyle w:val="TextBody"/>
        <w:bidi w:val="0"/>
        <w:spacing w:before="0" w:after="0"/>
        <w:ind w:left="0" w:right="0" w:firstLine="720"/>
        <w:jc w:val="both"/>
        <w:rPr>
          <w:rFonts w:ascii="Times New Roman" w:hAnsi="Times New Roman"/>
          <w:sz w:val="20"/>
        </w:rPr>
      </w:pPr>
      <w:r>
        <w:rPr>
          <w:rFonts w:ascii="Times New Roman" w:hAnsi="Times New Roman"/>
          <w:sz w:val="20"/>
        </w:rPr>
        <w:t xml:space="preserve">We have never paid cash dividends on any of our capital stock, and we currently intend to retain future earnings, if any, to fund the development and growth of our business. In addition, the terms of existing and future debt agreements may preclude us from paying dividends. For example, the JPM Credit Agreement prohibits us from paying dividends. As a result, capital appreciation, if any, of our common stock will be your sole source of gain for the foreseeable future. </w:t>
      </w:r>
    </w:p>
    <w:p>
      <w:pPr>
        <w:pStyle w:val="TextBody"/>
        <w:bidi w:val="0"/>
        <w:spacing w:before="0" w:after="0"/>
        <w:jc w:val="both"/>
        <w:rPr/>
      </w:pPr>
      <w:r>
        <w:rPr/>
        <w:t xml:space="preserve">  </w:t>
      </w:r>
    </w:p>
    <w:p>
      <w:pPr>
        <w:pStyle w:val="TextBody"/>
        <w:bidi w:val="0"/>
        <w:spacing w:before="0" w:after="0"/>
        <w:jc w:val="both"/>
        <w:rPr>
          <w:rFonts w:ascii="Times New Roman" w:hAnsi="Times New Roman"/>
          <w:sz w:val="20"/>
        </w:rPr>
      </w:pPr>
      <w:r>
        <w:rPr>
          <w:rFonts w:ascii="Times New Roman" w:hAnsi="Times New Roman"/>
          <w:b/>
          <w:i/>
          <w:sz w:val="20"/>
        </w:rPr>
        <w:t>If we fail to adhere to the strict listing requirements of the Nasdaq Global Market (“Nasdaq”), we may be subject to delisting. As a result, our stock price may decline and our common stock may be delisted. If our stock were no longer listed on Nasdaq, the liquidity of our securities likely would be impaired.</w:t>
      </w:r>
      <w:r>
        <w:rPr>
          <w:rFonts w:ascii="Times New Roman" w:hAnsi="Times New Roman"/>
          <w:sz w:val="20"/>
        </w:rPr>
        <w:t xml:space="preserve"> </w:t>
      </w:r>
    </w:p>
    <w:p>
      <w:pPr>
        <w:pStyle w:val="TextBody"/>
        <w:bidi w:val="0"/>
        <w:spacing w:before="0" w:after="0"/>
        <w:jc w:val="both"/>
        <w:rPr/>
      </w:pPr>
      <w:r>
        <w:rPr/>
        <w:t xml:space="preserve">  </w:t>
      </w:r>
    </w:p>
    <w:p>
      <w:pPr>
        <w:pStyle w:val="TextBody"/>
        <w:bidi w:val="0"/>
        <w:spacing w:before="0" w:after="0"/>
        <w:ind w:left="0" w:right="0" w:firstLine="720"/>
        <w:jc w:val="both"/>
        <w:rPr>
          <w:rFonts w:ascii="Times New Roman" w:hAnsi="Times New Roman"/>
          <w:sz w:val="20"/>
        </w:rPr>
      </w:pPr>
      <w:r>
        <w:rPr>
          <w:rFonts w:ascii="Times New Roman" w:hAnsi="Times New Roman"/>
          <w:sz w:val="20"/>
        </w:rPr>
        <w:t xml:space="preserve">Our Common Stock currently trades on the Nasdaq Global Market under the symbol “ADMA.” If we fail to adhere to Nasdaq’s strict listing criteria, including with respect to stock price, market capitalization and stockholders’ equity, our stock may be delisted. This could potentially impair the liquidity of our securities not only in the number of shares that could be bought and sold at a given price, which may be depressed by the relative illiquidity, but also through delays in the timing of transactions and the potential reduction in media coverage. As a result, an investor might find it more difficult to dispose of our common stock. We believe that current and prospective investors would view an investment in our common stock more favorably if it continues to be listed on Nasdaq. Any failure at any time to meet the Nasdaq continued listing requirements could have an adverse impact on the value and trading activity of our common stock. Although we currently satisfy the listing criteria for Nasdaq, if our stock price declines dramatically, we could be at risk of failing to meet the Nasdaq continued listing criteria. </w:t>
      </w:r>
    </w:p>
    <w:p>
      <w:pPr>
        <w:pStyle w:val="TextBody"/>
        <w:bidi w:val="0"/>
        <w:spacing w:before="0" w:after="0"/>
        <w:jc w:val="left"/>
        <w:rPr/>
      </w:pPr>
      <w:r>
        <w:rPr/>
        <w:t xml:space="preserve">  </w:t>
      </w:r>
    </w:p>
    <w:p>
      <w:pPr>
        <w:pStyle w:val="TextBody"/>
        <w:bidi w:val="0"/>
        <w:spacing w:before="0" w:after="0"/>
        <w:jc w:val="both"/>
        <w:rPr>
          <w:rFonts w:ascii="Times New Roman" w:hAnsi="Times New Roman"/>
          <w:sz w:val="20"/>
        </w:rPr>
      </w:pPr>
      <w:r>
        <w:rPr>
          <w:rFonts w:ascii="Times New Roman" w:hAnsi="Times New Roman"/>
          <w:b/>
          <w:i/>
          <w:sz w:val="20"/>
        </w:rPr>
        <w:t>Our Board may, without stockholder approval, issue and fix the terms of shares of preferred stock and issue additional shares of common stock adversely affecting the rights of holders of our common stock.</w:t>
      </w:r>
      <w:r>
        <w:rPr>
          <w:rFonts w:ascii="Times New Roman" w:hAnsi="Times New Roman"/>
          <w:sz w:val="20"/>
        </w:rPr>
        <w:t xml:space="preserve"> </w:t>
      </w:r>
    </w:p>
    <w:p>
      <w:pPr>
        <w:pStyle w:val="TextBody"/>
        <w:bidi w:val="0"/>
        <w:spacing w:before="0" w:after="0"/>
        <w:jc w:val="both"/>
        <w:rPr/>
      </w:pPr>
      <w:r>
        <w:rPr/>
        <w:t xml:space="preserve">  </w:t>
      </w:r>
    </w:p>
    <w:p>
      <w:pPr>
        <w:pStyle w:val="TextBody"/>
        <w:bidi w:val="0"/>
        <w:spacing w:before="0" w:after="0"/>
        <w:ind w:left="0" w:right="0" w:firstLine="720"/>
        <w:jc w:val="both"/>
        <w:rPr>
          <w:rFonts w:ascii="Times New Roman" w:hAnsi="Times New Roman"/>
          <w:sz w:val="20"/>
        </w:rPr>
      </w:pPr>
      <w:r>
        <w:rPr>
          <w:rFonts w:ascii="Times New Roman" w:hAnsi="Times New Roman"/>
          <w:sz w:val="20"/>
        </w:rPr>
        <w:t xml:space="preserve">Our Certificate of Incorporation authorizes the issuance of up to 10,000,000 shares of “blank check” preferred stock, with such designation rights and preferences as may be determined from time to time by the Board. Currently, our Certificate of Incorporation authorizes the issuance of up to 300,000,000 shares of common stock. As of March 31, 2026, there were 45,996,496 shares remaining available for issuance, after giving effect to 9,844,535 shares of our common stock that were subject to outstanding stock options and RSUs as of March 31, 2026 that may be issued by us without stockholder approval, as well as an additional 11,869,992 shares reserved for the future issuance of awards under our equity compensation plans. </w:t>
      </w:r>
    </w:p>
    <w:p>
      <w:pPr>
        <w:pStyle w:val="TextBody"/>
        <w:bidi w:val="0"/>
        <w:spacing w:before="0" w:after="0"/>
        <w:jc w:val="left"/>
        <w:rPr/>
      </w:pPr>
      <w:r>
        <w:rPr/>
        <w:t xml:space="preserve">  </w:t>
      </w:r>
    </w:p>
    <w:p>
      <w:pPr>
        <w:pStyle w:val="TextBody"/>
        <w:bidi w:val="0"/>
        <w:spacing w:before="150" w:after="15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t>61</w:t>
      </w:r>
    </w:p>
    <w:p>
      <w:pPr>
        <w:pStyle w:val="HorizontalLine"/>
        <w:bidi w:val="0"/>
        <w:spacing w:before="150" w:after="150"/>
        <w:jc w:val="left"/>
        <w:rPr/>
      </w:pPr>
      <w:r>
        <w:rPr/>
      </w:r>
    </w:p>
    <w:p>
      <w:pPr>
        <w:pStyle w:val="TextBody"/>
        <w:bidi w:val="0"/>
        <w:spacing w:before="150" w:after="150"/>
        <w:jc w:val="left"/>
        <w:rPr/>
      </w:pPr>
      <w:hyperlink w:anchor="index">
        <w:r>
          <w:rPr>
            <w:rStyle w:val="InternetLink"/>
            <w:rFonts w:ascii="TimesNewRoman;Times New Roman;Times;Baskerville;Georgia;serif" w:hAnsi="TimesNewRoman;Times New Roman;Times;Baskerville;Georgia;serif"/>
            <w:b w:val="false"/>
            <w:i/>
            <w:caps w:val="false"/>
            <w:smallCaps w:val="false"/>
            <w:strike w:val="false"/>
            <w:dstrike w:val="false"/>
            <w:sz w:val="16"/>
            <w:u w:val="none"/>
            <w:effect w:val="none"/>
          </w:rPr>
          <w:t>Index</w:t>
        </w:r>
      </w:hyperlink>
    </w:p>
    <w:p>
      <w:pPr>
        <w:pStyle w:val="TextBody"/>
        <w:bidi w:val="0"/>
        <w:spacing w:before="0" w:after="0"/>
        <w:ind w:left="0" w:right="0" w:hanging="1440"/>
        <w:jc w:val="left"/>
        <w:rPr>
          <w:rFonts w:ascii="Times New Roman" w:hAnsi="Times New Roman"/>
          <w:b/>
          <w:sz w:val="20"/>
        </w:rPr>
      </w:pPr>
      <w:bookmarkStart w:id="16" w:name="a2"/>
      <w:bookmarkEnd w:id="16"/>
      <w:r>
        <w:rPr>
          <w:rFonts w:ascii="Times New Roman" w:hAnsi="Times New Roman"/>
          <w:b/>
          <w:sz w:val="20"/>
        </w:rPr>
        <w:t xml:space="preserve">Unregistered Sales of Equity Securities and Use of Proceeds. </w:t>
      </w:r>
      <w:r>
        <mc:AlternateContent>
          <mc:Choice Requires="wps">
            <w:drawing>
              <wp:anchor behindDoc="0" distT="0" distB="0" distL="0" distR="0" simplePos="0" locked="0" layoutInCell="1" allowOverlap="1" relativeHeight="179">
                <wp:simplePos x="0" y="0"/>
                <wp:positionH relativeFrom="column">
                  <wp:align>left</wp:align>
                </wp:positionH>
                <wp:positionV relativeFrom="line">
                  <wp:posOffset>635</wp:posOffset>
                </wp:positionV>
                <wp:extent cx="914400" cy="175260"/>
                <wp:effectExtent l="0" t="0" r="0" b="0"/>
                <wp:wrapSquare wrapText="right"/>
                <wp:docPr id="178" name="Frame178"/>
                <a:graphic xmlns:a="http://schemas.openxmlformats.org/drawingml/2006/main">
                  <a:graphicData uri="http://schemas.microsoft.com/office/word/2010/wordprocessingShape">
                    <wps:wsp>
                      <wps:cNvSpPr txBox="1"/>
                      <wps:spPr>
                        <a:xfrm>
                          <a:off x="0" y="0"/>
                          <a:ext cx="914400" cy="175260"/>
                        </a:xfrm>
                        <a:prstGeom prst="rect"/>
                        <a:solidFill>
                          <a:srgbClr val="FFFFFF"/>
                        </a:solidFill>
                      </wps:spPr>
                      <wps:txbx>
                        <w:txbxContent>
                          <w:p>
                            <w:pPr>
                              <w:pStyle w:val="TextBody"/>
                              <w:bidi w:val="0"/>
                              <w:spacing w:before="0" w:after="283"/>
                              <w:jc w:val="left"/>
                              <w:rPr/>
                            </w:pPr>
                            <w:r>
                              <w:rPr/>
                              <w:t xml:space="preserve">Item 2. </w:t>
                            </w:r>
                          </w:p>
                        </w:txbxContent>
                      </wps:txbx>
                      <wps:bodyPr anchor="t" lIns="0" tIns="0" rIns="0" bIns="0">
                        <a:noAutofit/>
                      </wps:bodyPr>
                    </wps:wsp>
                  </a:graphicData>
                </a:graphic>
              </wp:anchor>
            </w:drawing>
          </mc:Choice>
          <mc:Fallback>
            <w:pict>
              <v:rect style="position:absolute;rotation:-0;width:7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 xml:space="preserve">Item 2. </w:t>
                      </w:r>
                    </w:p>
                  </w:txbxContent>
                </v:textbox>
                <w10:wrap type="square" side="right"/>
              </v:rect>
            </w:pict>
          </mc:Fallback>
        </mc:AlternateContent>
      </w:r>
    </w:p>
    <w:p>
      <w:pPr>
        <w:pStyle w:val="TextBody"/>
        <w:bidi w:val="0"/>
        <w:spacing w:before="0" w:after="0"/>
        <w:ind w:left="1440" w:right="0" w:hanging="0"/>
        <w:jc w:val="left"/>
        <w:rPr/>
      </w:pPr>
      <w:r>
        <w:rPr/>
        <w:t xml:space="preserve">  </w:t>
      </w:r>
    </w:p>
    <w:p>
      <w:pPr>
        <w:pStyle w:val="TextBody"/>
        <w:bidi w:val="0"/>
        <w:spacing w:before="0" w:after="0"/>
        <w:ind w:left="0" w:right="0" w:firstLine="720"/>
        <w:jc w:val="both"/>
        <w:rPr>
          <w:rFonts w:ascii="Times New Roman" w:hAnsi="Times New Roman"/>
          <w:sz w:val="20"/>
        </w:rPr>
      </w:pPr>
      <w:r>
        <w:rPr>
          <w:rFonts w:ascii="Times New Roman" w:hAnsi="Times New Roman"/>
          <w:i/>
          <w:sz w:val="20"/>
        </w:rPr>
        <w:t>Repurchases of Equity Securities</w:t>
      </w:r>
      <w:r>
        <w:rPr>
          <w:rFonts w:ascii="Times New Roman" w:hAnsi="Times New Roman"/>
          <w:sz w:val="20"/>
        </w:rPr>
        <w:t xml:space="preserve"> </w:t>
      </w:r>
    </w:p>
    <w:p>
      <w:pPr>
        <w:pStyle w:val="TextBody"/>
        <w:bidi w:val="0"/>
        <w:spacing w:before="0" w:after="0"/>
        <w:jc w:val="both"/>
        <w:rPr/>
      </w:pPr>
      <w:r>
        <w:rPr/>
        <w:t xml:space="preserve">  </w:t>
      </w:r>
    </w:p>
    <w:p>
      <w:pPr>
        <w:pStyle w:val="TextBody"/>
        <w:bidi w:val="0"/>
        <w:spacing w:before="0" w:after="0"/>
        <w:ind w:left="0" w:right="0" w:firstLine="720"/>
        <w:jc w:val="both"/>
        <w:rPr>
          <w:rFonts w:ascii="Times New Roman" w:hAnsi="Times New Roman"/>
          <w:sz w:val="20"/>
        </w:rPr>
      </w:pPr>
      <w:r>
        <w:rPr>
          <w:rFonts w:ascii="Times New Roman" w:hAnsi="Times New Roman"/>
          <w:sz w:val="20"/>
        </w:rPr>
        <w:t xml:space="preserve">In May 2025, the Board authorized the share Repurchase Program of up to $500.0 million of the Company’s outstanding shares of common stock. The Repurchase Program does not obligate the Company to acquire any particular amount of its common stock, and may be modified, suspended, or terminated at any time. The Repurchase Program has no expiration date. </w:t>
      </w:r>
    </w:p>
    <w:p>
      <w:pPr>
        <w:pStyle w:val="TextBody"/>
        <w:bidi w:val="0"/>
        <w:spacing w:before="0" w:after="0"/>
        <w:jc w:val="both"/>
        <w:rPr/>
      </w:pPr>
      <w:r>
        <w:rPr/>
        <w:t xml:space="preserve">  </w:t>
      </w:r>
    </w:p>
    <w:p>
      <w:pPr>
        <w:pStyle w:val="TextBody"/>
        <w:bidi w:val="0"/>
        <w:spacing w:before="0" w:after="0"/>
        <w:ind w:left="0" w:right="0" w:firstLine="720"/>
        <w:jc w:val="both"/>
        <w:rPr>
          <w:rFonts w:ascii="Times New Roman" w:hAnsi="Times New Roman"/>
          <w:sz w:val="20"/>
        </w:rPr>
      </w:pPr>
      <w:r>
        <w:rPr>
          <w:rFonts w:ascii="Times New Roman" w:hAnsi="Times New Roman"/>
          <w:sz w:val="20"/>
        </w:rPr>
        <w:t xml:space="preserve">During the three months ended March 31, 2026, the Company repurchased approximately 331,548 shares of common stock under the Repurchase Program at a total cost of $5.2 million. </w:t>
      </w:r>
    </w:p>
    <w:p>
      <w:pPr>
        <w:pStyle w:val="TextBody"/>
        <w:bidi w:val="0"/>
        <w:spacing w:before="0" w:after="0"/>
        <w:jc w:val="both"/>
        <w:rPr/>
      </w:pPr>
      <w:r>
        <w:rPr/>
        <w:t xml:space="preserve">  </w:t>
      </w:r>
    </w:p>
    <w:p>
      <w:pPr>
        <w:pStyle w:val="TextBody"/>
        <w:bidi w:val="0"/>
        <w:spacing w:before="0" w:after="0"/>
        <w:ind w:left="0" w:right="0" w:firstLine="720"/>
        <w:jc w:val="both"/>
        <w:rPr>
          <w:rFonts w:ascii="Times New Roman" w:hAnsi="Times New Roman"/>
          <w:sz w:val="20"/>
        </w:rPr>
      </w:pPr>
      <w:r>
        <w:rPr>
          <w:rFonts w:ascii="Times New Roman" w:hAnsi="Times New Roman"/>
          <w:i/>
          <w:sz w:val="20"/>
        </w:rPr>
        <w:t>Accelerated Share Repurchase Program</w:t>
      </w:r>
      <w:r>
        <w:rPr>
          <w:rFonts w:ascii="Times New Roman" w:hAnsi="Times New Roman"/>
          <w:sz w:val="20"/>
        </w:rPr>
        <w:t xml:space="preserve"> </w:t>
      </w:r>
    </w:p>
    <w:p>
      <w:pPr>
        <w:pStyle w:val="TextBody"/>
        <w:bidi w:val="0"/>
        <w:spacing w:before="0" w:after="0"/>
        <w:jc w:val="both"/>
        <w:rPr/>
      </w:pPr>
      <w:r>
        <w:rPr/>
        <w:t xml:space="preserve">  </w:t>
      </w:r>
    </w:p>
    <w:p>
      <w:pPr>
        <w:pStyle w:val="TextBody"/>
        <w:bidi w:val="0"/>
        <w:spacing w:before="0" w:after="0"/>
        <w:ind w:left="0" w:right="0" w:firstLine="720"/>
        <w:jc w:val="both"/>
        <w:rPr>
          <w:rFonts w:ascii="Times New Roman" w:hAnsi="Times New Roman"/>
          <w:sz w:val="20"/>
        </w:rPr>
      </w:pPr>
      <w:r>
        <w:rPr>
          <w:rFonts w:ascii="Times New Roman" w:hAnsi="Times New Roman"/>
          <w:sz w:val="20"/>
        </w:rPr>
        <w:t xml:space="preserve">On March 2, 2026, the Company entered into an ASR Agreement with JPMorgan to repurchase $125.0 million of shares of the Company’s common stock under the Repurchase Program. During the period ended March 31, 2026, the Company initially received 6,422,608 shares related to the ASR Agreement. The remaining shares under the ASR Agreement are expected to be repurchased by August 2026. </w:t>
      </w:r>
    </w:p>
    <w:p>
      <w:pPr>
        <w:pStyle w:val="TextBody"/>
        <w:bidi w:val="0"/>
        <w:spacing w:before="0" w:after="0"/>
        <w:jc w:val="both"/>
        <w:rPr/>
      </w:pPr>
      <w:r>
        <w:rPr/>
        <w:t xml:space="preserve">  </w:t>
      </w:r>
    </w:p>
    <w:p>
      <w:pPr>
        <w:pStyle w:val="TextBody"/>
        <w:bidi w:val="0"/>
        <w:spacing w:before="0" w:after="0"/>
        <w:ind w:left="0" w:right="0" w:firstLine="720"/>
        <w:jc w:val="both"/>
        <w:rPr>
          <w:rFonts w:ascii="Times New Roman" w:hAnsi="Times New Roman"/>
          <w:sz w:val="20"/>
        </w:rPr>
      </w:pPr>
      <w:r>
        <w:rPr>
          <w:rFonts w:ascii="Times New Roman" w:hAnsi="Times New Roman"/>
          <w:sz w:val="20"/>
        </w:rPr>
        <w:t xml:space="preserve">The table below reflects shares of common stock we repurchased during the first quarter of 2026: </w:t>
      </w:r>
    </w:p>
    <w:p>
      <w:pPr>
        <w:pStyle w:val="TextBody"/>
        <w:bidi w:val="0"/>
        <w:spacing w:before="0" w:after="0"/>
        <w:jc w:val="both"/>
        <w:rPr/>
      </w:pPr>
      <w:r>
        <w:rPr/>
        <w:t xml:space="preserve">  </w:t>
      </w:r>
    </w:p>
    <w:tbl>
      <w:tblPr>
        <w:tblW w:w="10205" w:type="dxa"/>
        <w:jc w:val="left"/>
        <w:tblInd w:w="0" w:type="dxa"/>
        <w:tblLayout w:type="fixed"/>
        <w:tblCellMar>
          <w:top w:w="0" w:type="dxa"/>
          <w:left w:w="0" w:type="dxa"/>
          <w:bottom w:w="28" w:type="dxa"/>
          <w:right w:w="0" w:type="dxa"/>
        </w:tblCellMar>
      </w:tblPr>
      <w:tblGrid>
        <w:gridCol w:w="1673"/>
        <w:gridCol w:w="90"/>
        <w:gridCol w:w="90"/>
        <w:gridCol w:w="1553"/>
        <w:gridCol w:w="90"/>
        <w:gridCol w:w="90"/>
        <w:gridCol w:w="170"/>
        <w:gridCol w:w="1896"/>
        <w:gridCol w:w="90"/>
        <w:gridCol w:w="90"/>
        <w:gridCol w:w="90"/>
        <w:gridCol w:w="1643"/>
        <w:gridCol w:w="90"/>
        <w:gridCol w:w="90"/>
        <w:gridCol w:w="170"/>
        <w:gridCol w:w="2153"/>
        <w:gridCol w:w="137"/>
      </w:tblGrid>
      <w:tr>
        <w:trPr/>
        <w:tc>
          <w:tcPr>
            <w:tcW w:w="1673" w:type="dxa"/>
            <w:tcBorders>
              <w:bottom w:val="single" w:sz="12" w:space="0" w:color="000000"/>
            </w:tcBorders>
            <w:vAlign w:val="center"/>
          </w:tcPr>
          <w:p>
            <w:pPr>
              <w:pStyle w:val="TableContents"/>
              <w:bidi w:val="0"/>
              <w:spacing w:before="0" w:after="0"/>
              <w:jc w:val="left"/>
              <w:rPr/>
            </w:pPr>
            <w:r>
              <w:rPr>
                <w:b/>
              </w:rPr>
              <w:t>For the Month Ended</w:t>
            </w:r>
            <w:r>
              <w:rPr/>
              <w:t xml:space="preserve"> </w:t>
            </w:r>
          </w:p>
        </w:tc>
        <w:tc>
          <w:tcPr>
            <w:tcW w:w="90" w:type="dxa"/>
            <w:tcBorders/>
            <w:tcMar>
              <w:bottom w:w="0" w:type="dxa"/>
            </w:tcMar>
            <w:vAlign w:val="center"/>
          </w:tcPr>
          <w:p>
            <w:pPr>
              <w:pStyle w:val="TableContents"/>
              <w:bidi w:val="0"/>
              <w:spacing w:before="0" w:after="283"/>
              <w:jc w:val="center"/>
              <w:rPr/>
            </w:pPr>
            <w:r>
              <w:rPr/>
              <w:t> </w:t>
            </w:r>
          </w:p>
        </w:tc>
        <w:tc>
          <w:tcPr>
            <w:tcW w:w="90" w:type="dxa"/>
            <w:tcBorders>
              <w:bottom w:val="single" w:sz="12" w:space="0" w:color="000000"/>
            </w:tcBorders>
            <w:vAlign w:val="center"/>
          </w:tcPr>
          <w:p>
            <w:pPr>
              <w:pStyle w:val="TableContents"/>
              <w:bidi w:val="0"/>
              <w:spacing w:before="0" w:after="283"/>
              <w:jc w:val="center"/>
              <w:rPr/>
            </w:pPr>
            <w:r>
              <w:rPr/>
              <w:t> </w:t>
            </w:r>
          </w:p>
        </w:tc>
        <w:tc>
          <w:tcPr>
            <w:tcW w:w="1553" w:type="dxa"/>
            <w:tcBorders>
              <w:bottom w:val="single" w:sz="12" w:space="0" w:color="000000"/>
            </w:tcBorders>
            <w:vAlign w:val="center"/>
          </w:tcPr>
          <w:p>
            <w:pPr>
              <w:pStyle w:val="TableContents"/>
              <w:bidi w:val="0"/>
              <w:spacing w:before="0" w:after="283"/>
              <w:jc w:val="center"/>
              <w:rPr/>
            </w:pPr>
            <w:r>
              <w:rPr>
                <w:b/>
              </w:rPr>
              <w:t>Total Number of</w:t>
              <w:br/>
              <w:t>Shares Purchased</w:t>
            </w:r>
            <w:r>
              <w:rPr/>
              <w:t xml:space="preserve"> </w:t>
            </w:r>
          </w:p>
        </w:tc>
        <w:tc>
          <w:tcPr>
            <w:tcW w:w="90" w:type="dxa"/>
            <w:tcBorders/>
            <w:tcMar>
              <w:bottom w:w="0" w:type="dxa"/>
            </w:tcMar>
            <w:vAlign w:val="center"/>
          </w:tcPr>
          <w:p>
            <w:pPr>
              <w:pStyle w:val="TableContents"/>
              <w:bidi w:val="0"/>
              <w:spacing w:before="0" w:after="283"/>
              <w:jc w:val="center"/>
              <w:rPr/>
            </w:pPr>
            <w:r>
              <w:rPr/>
              <w:t> </w:t>
            </w:r>
          </w:p>
        </w:tc>
        <w:tc>
          <w:tcPr>
            <w:tcW w:w="90" w:type="dxa"/>
            <w:tcBorders/>
            <w:tcMar>
              <w:bottom w:w="0" w:type="dxa"/>
            </w:tcMar>
            <w:vAlign w:val="center"/>
          </w:tcPr>
          <w:p>
            <w:pPr>
              <w:pStyle w:val="TableContents"/>
              <w:bidi w:val="0"/>
              <w:spacing w:before="0" w:after="283"/>
              <w:jc w:val="center"/>
              <w:rPr/>
            </w:pPr>
            <w:r>
              <w:rPr/>
              <w:t> </w:t>
            </w:r>
          </w:p>
        </w:tc>
        <w:tc>
          <w:tcPr>
            <w:tcW w:w="170" w:type="dxa"/>
            <w:tcBorders>
              <w:bottom w:val="single" w:sz="12" w:space="0" w:color="000000"/>
            </w:tcBorders>
            <w:vAlign w:val="center"/>
          </w:tcPr>
          <w:p>
            <w:pPr>
              <w:pStyle w:val="TableContents"/>
              <w:bidi w:val="0"/>
              <w:spacing w:before="0" w:after="283"/>
              <w:jc w:val="center"/>
              <w:rPr/>
            </w:pPr>
            <w:r>
              <w:rPr/>
              <w:t> </w:t>
            </w:r>
          </w:p>
        </w:tc>
        <w:tc>
          <w:tcPr>
            <w:tcW w:w="1896" w:type="dxa"/>
            <w:tcBorders>
              <w:bottom w:val="single" w:sz="12" w:space="0" w:color="000000"/>
            </w:tcBorders>
            <w:vAlign w:val="center"/>
          </w:tcPr>
          <w:p>
            <w:pPr>
              <w:pStyle w:val="TableContents"/>
              <w:bidi w:val="0"/>
              <w:spacing w:before="0" w:after="283"/>
              <w:jc w:val="center"/>
              <w:rPr/>
            </w:pPr>
            <w:r>
              <w:rPr>
                <w:b/>
              </w:rPr>
              <w:t>Average Price</w:t>
              <w:br/>
              <w:t>Paid per Share(1)</w:t>
            </w:r>
            <w:r>
              <w:rPr/>
              <w:t xml:space="preserve"> </w:t>
            </w:r>
          </w:p>
        </w:tc>
        <w:tc>
          <w:tcPr>
            <w:tcW w:w="90" w:type="dxa"/>
            <w:tcBorders/>
            <w:tcMar>
              <w:bottom w:w="0" w:type="dxa"/>
            </w:tcMar>
            <w:vAlign w:val="center"/>
          </w:tcPr>
          <w:p>
            <w:pPr>
              <w:pStyle w:val="TableContents"/>
              <w:bidi w:val="0"/>
              <w:spacing w:before="0" w:after="283"/>
              <w:jc w:val="center"/>
              <w:rPr/>
            </w:pPr>
            <w:r>
              <w:rPr/>
              <w:t> </w:t>
            </w:r>
          </w:p>
        </w:tc>
        <w:tc>
          <w:tcPr>
            <w:tcW w:w="90" w:type="dxa"/>
            <w:tcBorders/>
            <w:tcMar>
              <w:bottom w:w="0" w:type="dxa"/>
            </w:tcMar>
            <w:vAlign w:val="center"/>
          </w:tcPr>
          <w:p>
            <w:pPr>
              <w:pStyle w:val="TableContents"/>
              <w:bidi w:val="0"/>
              <w:spacing w:before="0" w:after="283"/>
              <w:jc w:val="center"/>
              <w:rPr/>
            </w:pPr>
            <w:r>
              <w:rPr/>
              <w:t> </w:t>
            </w:r>
          </w:p>
        </w:tc>
        <w:tc>
          <w:tcPr>
            <w:tcW w:w="90" w:type="dxa"/>
            <w:tcBorders>
              <w:bottom w:val="single" w:sz="12" w:space="0" w:color="000000"/>
            </w:tcBorders>
            <w:vAlign w:val="center"/>
          </w:tcPr>
          <w:p>
            <w:pPr>
              <w:pStyle w:val="TableContents"/>
              <w:bidi w:val="0"/>
              <w:spacing w:before="0" w:after="283"/>
              <w:jc w:val="center"/>
              <w:rPr/>
            </w:pPr>
            <w:r>
              <w:rPr/>
              <w:t> </w:t>
            </w:r>
          </w:p>
        </w:tc>
        <w:tc>
          <w:tcPr>
            <w:tcW w:w="1643" w:type="dxa"/>
            <w:tcBorders>
              <w:bottom w:val="single" w:sz="12" w:space="0" w:color="000000"/>
            </w:tcBorders>
            <w:vAlign w:val="center"/>
          </w:tcPr>
          <w:p>
            <w:pPr>
              <w:pStyle w:val="TableContents"/>
              <w:bidi w:val="0"/>
              <w:spacing w:before="0" w:after="283"/>
              <w:jc w:val="center"/>
              <w:rPr/>
            </w:pPr>
            <w:r>
              <w:rPr>
                <w:b/>
              </w:rPr>
              <w:t>Total Number of</w:t>
              <w:br/>
              <w:t>Shares Purchased</w:t>
              <w:br/>
              <w:t>as Part of Publicly</w:t>
              <w:br/>
              <w:t>Announced</w:t>
              <w:br/>
              <w:t>Plans or Programs</w:t>
            </w:r>
            <w:r>
              <w:rPr/>
              <w:t xml:space="preserve"> </w:t>
            </w:r>
          </w:p>
        </w:tc>
        <w:tc>
          <w:tcPr>
            <w:tcW w:w="90" w:type="dxa"/>
            <w:tcBorders/>
            <w:tcMar>
              <w:bottom w:w="0" w:type="dxa"/>
            </w:tcMar>
            <w:vAlign w:val="center"/>
          </w:tcPr>
          <w:p>
            <w:pPr>
              <w:pStyle w:val="TableContents"/>
              <w:bidi w:val="0"/>
              <w:spacing w:before="0" w:after="283"/>
              <w:jc w:val="center"/>
              <w:rPr/>
            </w:pPr>
            <w:r>
              <w:rPr/>
              <w:t> </w:t>
            </w:r>
          </w:p>
        </w:tc>
        <w:tc>
          <w:tcPr>
            <w:tcW w:w="90" w:type="dxa"/>
            <w:tcBorders/>
            <w:tcMar>
              <w:bottom w:w="0" w:type="dxa"/>
            </w:tcMar>
            <w:vAlign w:val="center"/>
          </w:tcPr>
          <w:p>
            <w:pPr>
              <w:pStyle w:val="TableContents"/>
              <w:bidi w:val="0"/>
              <w:spacing w:before="0" w:after="283"/>
              <w:jc w:val="center"/>
              <w:rPr/>
            </w:pPr>
            <w:r>
              <w:rPr/>
              <w:t> </w:t>
            </w:r>
          </w:p>
        </w:tc>
        <w:tc>
          <w:tcPr>
            <w:tcW w:w="170" w:type="dxa"/>
            <w:tcBorders>
              <w:bottom w:val="single" w:sz="12" w:space="0" w:color="000000"/>
            </w:tcBorders>
            <w:vAlign w:val="center"/>
          </w:tcPr>
          <w:p>
            <w:pPr>
              <w:pStyle w:val="TableContents"/>
              <w:bidi w:val="0"/>
              <w:spacing w:before="0" w:after="283"/>
              <w:jc w:val="center"/>
              <w:rPr/>
            </w:pPr>
            <w:r>
              <w:rPr/>
              <w:t> </w:t>
            </w:r>
          </w:p>
        </w:tc>
        <w:tc>
          <w:tcPr>
            <w:tcW w:w="2153" w:type="dxa"/>
            <w:tcBorders>
              <w:bottom w:val="single" w:sz="12" w:space="0" w:color="000000"/>
            </w:tcBorders>
            <w:vAlign w:val="center"/>
          </w:tcPr>
          <w:p>
            <w:pPr>
              <w:pStyle w:val="TableContents"/>
              <w:bidi w:val="0"/>
              <w:spacing w:before="0" w:after="283"/>
              <w:jc w:val="center"/>
              <w:rPr/>
            </w:pPr>
            <w:r>
              <w:rPr>
                <w:b/>
              </w:rPr>
              <w:t>Approximate Dollar Value</w:t>
              <w:br/>
              <w:t>of shares they may yet be</w:t>
              <w:br/>
              <w:t>Purchased Under the Plans</w:t>
              <w:br/>
              <w:t>or Programs(2)</w:t>
            </w:r>
            <w:r>
              <w:rPr/>
              <w:t xml:space="preserve"> </w:t>
            </w:r>
          </w:p>
        </w:tc>
        <w:tc>
          <w:tcPr>
            <w:tcW w:w="137" w:type="dxa"/>
            <w:tcBorders/>
            <w:tcMar>
              <w:bottom w:w="0" w:type="dxa"/>
            </w:tcMar>
            <w:vAlign w:val="center"/>
          </w:tcPr>
          <w:p>
            <w:pPr>
              <w:pStyle w:val="TableContents"/>
              <w:bidi w:val="0"/>
              <w:spacing w:before="0" w:after="283"/>
              <w:jc w:val="center"/>
              <w:rPr/>
            </w:pPr>
            <w:r>
              <w:rPr/>
              <w:t> </w:t>
            </w:r>
          </w:p>
        </w:tc>
      </w:tr>
      <w:tr>
        <w:trPr/>
        <w:tc>
          <w:tcPr>
            <w:tcW w:w="1673" w:type="dxa"/>
            <w:tcBorders/>
            <w:shd w:fill="CCEEFF" w:val="clear"/>
            <w:tcMar>
              <w:bottom w:w="0" w:type="dxa"/>
            </w:tcMar>
            <w:vAlign w:val="center"/>
          </w:tcPr>
          <w:p>
            <w:pPr>
              <w:pStyle w:val="TableContents"/>
              <w:bidi w:val="0"/>
              <w:spacing w:before="0" w:after="0"/>
              <w:jc w:val="left"/>
              <w:rPr/>
            </w:pPr>
            <w:r>
              <w:rPr/>
              <w:t xml:space="preserve">January 31, 2026 </w:t>
            </w:r>
          </w:p>
        </w:tc>
        <w:tc>
          <w:tcPr>
            <w:tcW w:w="90" w:type="dxa"/>
            <w:tcBorders/>
            <w:shd w:fill="CCEEFF" w:val="clear"/>
            <w:tcMar>
              <w:bottom w:w="0" w:type="dxa"/>
            </w:tcMar>
            <w:vAlign w:val="center"/>
          </w:tcPr>
          <w:p>
            <w:pPr>
              <w:pStyle w:val="TableContents"/>
              <w:bidi w:val="0"/>
              <w:spacing w:before="0" w:after="283"/>
              <w:jc w:val="righ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553" w:type="dxa"/>
            <w:tcBorders/>
            <w:shd w:fill="CCEEFF" w:val="clear"/>
            <w:tcMar>
              <w:bottom w:w="0" w:type="dxa"/>
            </w:tcMar>
            <w:vAlign w:val="center"/>
          </w:tcPr>
          <w:p>
            <w:pPr>
              <w:pStyle w:val="TableContents"/>
              <w:bidi w:val="0"/>
              <w:spacing w:before="0" w:after="283"/>
              <w:jc w:val="right"/>
              <w:rPr/>
            </w:pPr>
            <w:r>
              <w:rPr/>
              <w:t xml:space="preserve">-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right"/>
              <w:rPr/>
            </w:pPr>
            <w:r>
              <w:rPr/>
              <w:t> </w:t>
            </w:r>
          </w:p>
        </w:tc>
        <w:tc>
          <w:tcPr>
            <w:tcW w:w="170" w:type="dxa"/>
            <w:tcBorders/>
            <w:shd w:fill="CCEEFF" w:val="clear"/>
            <w:tcMar>
              <w:bottom w:w="0" w:type="dxa"/>
            </w:tcMar>
            <w:vAlign w:val="center"/>
          </w:tcPr>
          <w:p>
            <w:pPr>
              <w:pStyle w:val="TableContents"/>
              <w:bidi w:val="0"/>
              <w:spacing w:before="0" w:after="283"/>
              <w:jc w:val="left"/>
              <w:rPr/>
            </w:pPr>
            <w:r>
              <w:rPr/>
              <w:t>$</w:t>
            </w:r>
          </w:p>
        </w:tc>
        <w:tc>
          <w:tcPr>
            <w:tcW w:w="1896" w:type="dxa"/>
            <w:tcBorders/>
            <w:shd w:fill="CCEEFF" w:val="clear"/>
            <w:tcMar>
              <w:bottom w:w="0" w:type="dxa"/>
            </w:tcMar>
            <w:vAlign w:val="center"/>
          </w:tcPr>
          <w:p>
            <w:pPr>
              <w:pStyle w:val="TableContents"/>
              <w:bidi w:val="0"/>
              <w:spacing w:before="0" w:after="283"/>
              <w:jc w:val="right"/>
              <w:rPr/>
            </w:pPr>
            <w:r>
              <w:rPr/>
              <w:t>                             </w:t>
            </w:r>
            <w:r>
              <w:rPr/>
              <w:t xml:space="preserve">-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righ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643" w:type="dxa"/>
            <w:tcBorders/>
            <w:shd w:fill="CCEEFF" w:val="clear"/>
            <w:tcMar>
              <w:bottom w:w="0" w:type="dxa"/>
            </w:tcMar>
            <w:vAlign w:val="center"/>
          </w:tcPr>
          <w:p>
            <w:pPr>
              <w:pStyle w:val="TableContents"/>
              <w:bidi w:val="0"/>
              <w:spacing w:before="0" w:after="283"/>
              <w:jc w:val="right"/>
              <w:rPr/>
            </w:pPr>
            <w:r>
              <w:rPr/>
              <w:t xml:space="preserve">-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right"/>
              <w:rPr/>
            </w:pPr>
            <w:r>
              <w:rPr/>
              <w:t> </w:t>
            </w:r>
          </w:p>
        </w:tc>
        <w:tc>
          <w:tcPr>
            <w:tcW w:w="170" w:type="dxa"/>
            <w:tcBorders/>
            <w:shd w:fill="CCEEFF" w:val="clear"/>
            <w:tcMar>
              <w:bottom w:w="0" w:type="dxa"/>
            </w:tcMar>
            <w:vAlign w:val="center"/>
          </w:tcPr>
          <w:p>
            <w:pPr>
              <w:pStyle w:val="TableContents"/>
              <w:bidi w:val="0"/>
              <w:spacing w:before="0" w:after="283"/>
              <w:jc w:val="left"/>
              <w:rPr/>
            </w:pPr>
            <w:r>
              <w:rPr/>
              <w:t>$</w:t>
            </w:r>
          </w:p>
        </w:tc>
        <w:tc>
          <w:tcPr>
            <w:tcW w:w="2153" w:type="dxa"/>
            <w:tcBorders/>
            <w:shd w:fill="CCEEFF" w:val="clear"/>
            <w:tcMar>
              <w:bottom w:w="0" w:type="dxa"/>
            </w:tcMar>
            <w:vAlign w:val="center"/>
          </w:tcPr>
          <w:p>
            <w:pPr>
              <w:pStyle w:val="TableContents"/>
              <w:bidi w:val="0"/>
              <w:spacing w:before="0" w:after="283"/>
              <w:jc w:val="right"/>
              <w:rPr/>
            </w:pPr>
            <w:r>
              <w:rPr/>
              <w:t>468,059,744</w:t>
            </w:r>
          </w:p>
        </w:tc>
        <w:tc>
          <w:tcPr>
            <w:tcW w:w="137" w:type="dxa"/>
            <w:tcBorders/>
            <w:shd w:fill="CCEEFF" w:val="clear"/>
            <w:tcMar>
              <w:bottom w:w="0" w:type="dxa"/>
            </w:tcMar>
            <w:vAlign w:val="center"/>
          </w:tcPr>
          <w:p>
            <w:pPr>
              <w:pStyle w:val="TableContents"/>
              <w:bidi w:val="0"/>
              <w:spacing w:before="0" w:after="283"/>
              <w:jc w:val="left"/>
              <w:rPr/>
            </w:pPr>
            <w:r>
              <w:rPr/>
              <w:t> </w:t>
            </w:r>
          </w:p>
        </w:tc>
      </w:tr>
      <w:tr>
        <w:trPr/>
        <w:tc>
          <w:tcPr>
            <w:tcW w:w="1673" w:type="dxa"/>
            <w:tcBorders/>
            <w:tcMar>
              <w:bottom w:w="0" w:type="dxa"/>
            </w:tcMar>
            <w:vAlign w:val="center"/>
          </w:tcPr>
          <w:p>
            <w:pPr>
              <w:pStyle w:val="TableContents"/>
              <w:bidi w:val="0"/>
              <w:spacing w:before="0" w:after="0"/>
              <w:jc w:val="left"/>
              <w:rPr/>
            </w:pPr>
            <w:r>
              <w:rPr/>
              <w:t xml:space="preserve">February 28, 2026 </w:t>
            </w:r>
          </w:p>
        </w:tc>
        <w:tc>
          <w:tcPr>
            <w:tcW w:w="90" w:type="dxa"/>
            <w:tcBorders/>
            <w:tcMar>
              <w:bottom w:w="0" w:type="dxa"/>
            </w:tcMar>
            <w:vAlign w:val="center"/>
          </w:tcPr>
          <w:p>
            <w:pPr>
              <w:pStyle w:val="TableContents"/>
              <w:bidi w:val="0"/>
              <w:spacing w:before="0" w:after="283"/>
              <w:jc w:val="right"/>
              <w:rPr/>
            </w:pPr>
            <w:r>
              <w:rPr/>
              <w:t> </w:t>
            </w:r>
          </w:p>
        </w:tc>
        <w:tc>
          <w:tcPr>
            <w:tcW w:w="90" w:type="dxa"/>
            <w:tcBorders/>
            <w:tcMar>
              <w:bottom w:w="0" w:type="dxa"/>
            </w:tcMar>
            <w:vAlign w:val="center"/>
          </w:tcPr>
          <w:p>
            <w:pPr>
              <w:pStyle w:val="TableContents"/>
              <w:bidi w:val="0"/>
              <w:spacing w:before="0" w:after="283"/>
              <w:jc w:val="left"/>
              <w:rPr/>
            </w:pPr>
            <w:r>
              <w:rPr/>
              <w:t> </w:t>
            </w:r>
          </w:p>
        </w:tc>
        <w:tc>
          <w:tcPr>
            <w:tcW w:w="1553" w:type="dxa"/>
            <w:tcBorders/>
            <w:tcMar>
              <w:bottom w:w="0" w:type="dxa"/>
            </w:tcMar>
            <w:vAlign w:val="center"/>
          </w:tcPr>
          <w:p>
            <w:pPr>
              <w:pStyle w:val="TableContents"/>
              <w:bidi w:val="0"/>
              <w:spacing w:before="0" w:after="283"/>
              <w:jc w:val="right"/>
              <w:rPr/>
            </w:pPr>
            <w:r>
              <w:rPr/>
              <w:t>234,368</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right"/>
              <w:rPr/>
            </w:pPr>
            <w:r>
              <w:rPr/>
              <w:t> </w:t>
            </w:r>
          </w:p>
        </w:tc>
        <w:tc>
          <w:tcPr>
            <w:tcW w:w="170" w:type="dxa"/>
            <w:tcBorders/>
            <w:tcMar>
              <w:bottom w:w="0" w:type="dxa"/>
            </w:tcMar>
            <w:vAlign w:val="center"/>
          </w:tcPr>
          <w:p>
            <w:pPr>
              <w:pStyle w:val="TableContents"/>
              <w:bidi w:val="0"/>
              <w:spacing w:before="0" w:after="283"/>
              <w:jc w:val="left"/>
              <w:rPr/>
            </w:pPr>
            <w:r>
              <w:rPr/>
              <w:t>$</w:t>
            </w:r>
          </w:p>
        </w:tc>
        <w:tc>
          <w:tcPr>
            <w:tcW w:w="1896" w:type="dxa"/>
            <w:tcBorders/>
            <w:tcMar>
              <w:bottom w:w="0" w:type="dxa"/>
            </w:tcMar>
            <w:vAlign w:val="center"/>
          </w:tcPr>
          <w:p>
            <w:pPr>
              <w:pStyle w:val="TableContents"/>
              <w:bidi w:val="0"/>
              <w:spacing w:before="0" w:after="283"/>
              <w:jc w:val="right"/>
              <w:rPr/>
            </w:pPr>
            <w:r>
              <w:rPr/>
              <w:t>15.75</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right"/>
              <w:rPr/>
            </w:pPr>
            <w:r>
              <w:rPr/>
              <w:t> </w:t>
            </w:r>
          </w:p>
        </w:tc>
        <w:tc>
          <w:tcPr>
            <w:tcW w:w="90" w:type="dxa"/>
            <w:tcBorders/>
            <w:tcMar>
              <w:bottom w:w="0" w:type="dxa"/>
            </w:tcMar>
            <w:vAlign w:val="center"/>
          </w:tcPr>
          <w:p>
            <w:pPr>
              <w:pStyle w:val="TableContents"/>
              <w:bidi w:val="0"/>
              <w:spacing w:before="0" w:after="283"/>
              <w:jc w:val="left"/>
              <w:rPr/>
            </w:pPr>
            <w:r>
              <w:rPr/>
              <w:t> </w:t>
            </w:r>
          </w:p>
        </w:tc>
        <w:tc>
          <w:tcPr>
            <w:tcW w:w="1643" w:type="dxa"/>
            <w:tcBorders/>
            <w:tcMar>
              <w:bottom w:w="0" w:type="dxa"/>
            </w:tcMar>
            <w:vAlign w:val="center"/>
          </w:tcPr>
          <w:p>
            <w:pPr>
              <w:pStyle w:val="TableContents"/>
              <w:bidi w:val="0"/>
              <w:spacing w:before="0" w:after="283"/>
              <w:jc w:val="right"/>
              <w:rPr/>
            </w:pPr>
            <w:r>
              <w:rPr/>
              <w:t>234,368</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right"/>
              <w:rPr/>
            </w:pPr>
            <w:r>
              <w:rPr/>
              <w:t> </w:t>
            </w:r>
          </w:p>
        </w:tc>
        <w:tc>
          <w:tcPr>
            <w:tcW w:w="170" w:type="dxa"/>
            <w:tcBorders/>
            <w:tcMar>
              <w:bottom w:w="0" w:type="dxa"/>
            </w:tcMar>
            <w:vAlign w:val="center"/>
          </w:tcPr>
          <w:p>
            <w:pPr>
              <w:pStyle w:val="TableContents"/>
              <w:bidi w:val="0"/>
              <w:spacing w:before="0" w:after="283"/>
              <w:jc w:val="left"/>
              <w:rPr/>
            </w:pPr>
            <w:r>
              <w:rPr/>
              <w:t>$</w:t>
            </w:r>
          </w:p>
        </w:tc>
        <w:tc>
          <w:tcPr>
            <w:tcW w:w="2153" w:type="dxa"/>
            <w:tcBorders/>
            <w:tcMar>
              <w:bottom w:w="0" w:type="dxa"/>
            </w:tcMar>
            <w:vAlign w:val="center"/>
          </w:tcPr>
          <w:p>
            <w:pPr>
              <w:pStyle w:val="TableContents"/>
              <w:bidi w:val="0"/>
              <w:spacing w:before="0" w:after="283"/>
              <w:jc w:val="right"/>
              <w:rPr/>
            </w:pPr>
            <w:r>
              <w:rPr/>
              <w:t>464,368,655</w:t>
            </w:r>
          </w:p>
        </w:tc>
        <w:tc>
          <w:tcPr>
            <w:tcW w:w="137" w:type="dxa"/>
            <w:tcBorders/>
            <w:tcMar>
              <w:bottom w:w="0" w:type="dxa"/>
            </w:tcMar>
            <w:vAlign w:val="center"/>
          </w:tcPr>
          <w:p>
            <w:pPr>
              <w:pStyle w:val="TableContents"/>
              <w:bidi w:val="0"/>
              <w:spacing w:before="0" w:after="283"/>
              <w:jc w:val="left"/>
              <w:rPr/>
            </w:pPr>
            <w:r>
              <w:rPr/>
              <w:t> </w:t>
            </w:r>
          </w:p>
        </w:tc>
      </w:tr>
      <w:tr>
        <w:trPr/>
        <w:tc>
          <w:tcPr>
            <w:tcW w:w="1673" w:type="dxa"/>
            <w:tcBorders/>
            <w:shd w:fill="CCEEFF" w:val="clear"/>
            <w:tcMar>
              <w:bottom w:w="0" w:type="dxa"/>
            </w:tcMar>
            <w:vAlign w:val="center"/>
          </w:tcPr>
          <w:p>
            <w:pPr>
              <w:pStyle w:val="TableContents"/>
              <w:bidi w:val="0"/>
              <w:spacing w:before="0" w:after="0"/>
              <w:jc w:val="left"/>
              <w:rPr/>
            </w:pPr>
            <w:r>
              <w:rPr/>
              <w:t xml:space="preserve">March 31, 2026 </w:t>
            </w:r>
          </w:p>
        </w:tc>
        <w:tc>
          <w:tcPr>
            <w:tcW w:w="90" w:type="dxa"/>
            <w:tcBorders/>
            <w:shd w:fill="CCEEFF" w:val="clear"/>
            <w:tcMar>
              <w:bottom w:w="0" w:type="dxa"/>
            </w:tcMar>
            <w:vAlign w:val="center"/>
          </w:tcPr>
          <w:p>
            <w:pPr>
              <w:pStyle w:val="TableContents"/>
              <w:bidi w:val="0"/>
              <w:spacing w:before="0" w:after="283"/>
              <w:jc w:val="right"/>
              <w:rPr/>
            </w:pPr>
            <w:r>
              <w:rPr/>
              <w:t> </w:t>
            </w:r>
          </w:p>
        </w:tc>
        <w:tc>
          <w:tcPr>
            <w:tcW w:w="90" w:type="dxa"/>
            <w:tcBorders>
              <w:bottom w:val="single" w:sz="12" w:space="0" w:color="000000"/>
            </w:tcBorders>
            <w:shd w:fill="CCEEFF" w:val="clear"/>
            <w:vAlign w:val="center"/>
          </w:tcPr>
          <w:p>
            <w:pPr>
              <w:pStyle w:val="TableContents"/>
              <w:bidi w:val="0"/>
              <w:spacing w:before="0" w:after="283"/>
              <w:jc w:val="left"/>
              <w:rPr/>
            </w:pPr>
            <w:r>
              <w:rPr/>
              <w:t> </w:t>
            </w:r>
          </w:p>
        </w:tc>
        <w:tc>
          <w:tcPr>
            <w:tcW w:w="1553" w:type="dxa"/>
            <w:tcBorders>
              <w:bottom w:val="single" w:sz="12" w:space="0" w:color="000000"/>
            </w:tcBorders>
            <w:shd w:fill="CCEEFF" w:val="clear"/>
            <w:vAlign w:val="center"/>
          </w:tcPr>
          <w:p>
            <w:pPr>
              <w:pStyle w:val="TableContents"/>
              <w:bidi w:val="0"/>
              <w:spacing w:before="0" w:after="283"/>
              <w:jc w:val="right"/>
              <w:rPr/>
            </w:pPr>
            <w:r>
              <w:rPr/>
              <w:t>6,519,788</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right"/>
              <w:rPr/>
            </w:pPr>
            <w:r>
              <w:rPr/>
              <w:t> </w:t>
            </w:r>
          </w:p>
        </w:tc>
        <w:tc>
          <w:tcPr>
            <w:tcW w:w="170" w:type="dxa"/>
            <w:tcBorders>
              <w:bottom w:val="single" w:sz="12" w:space="0" w:color="000000"/>
            </w:tcBorders>
            <w:shd w:fill="CCEEFF" w:val="clear"/>
            <w:vAlign w:val="center"/>
          </w:tcPr>
          <w:p>
            <w:pPr>
              <w:pStyle w:val="TableContents"/>
              <w:bidi w:val="0"/>
              <w:spacing w:before="0" w:after="283"/>
              <w:jc w:val="left"/>
              <w:rPr/>
            </w:pPr>
            <w:r>
              <w:rPr/>
              <w:t>$</w:t>
            </w:r>
          </w:p>
        </w:tc>
        <w:tc>
          <w:tcPr>
            <w:tcW w:w="1896" w:type="dxa"/>
            <w:tcBorders>
              <w:bottom w:val="single" w:sz="12" w:space="0" w:color="000000"/>
            </w:tcBorders>
            <w:shd w:fill="CCEEFF" w:val="clear"/>
            <w:vAlign w:val="center"/>
          </w:tcPr>
          <w:p>
            <w:pPr>
              <w:pStyle w:val="TableContents"/>
              <w:bidi w:val="0"/>
              <w:spacing w:before="0" w:after="283"/>
              <w:jc w:val="right"/>
              <w:rPr/>
            </w:pPr>
            <w:r>
              <w:rPr/>
              <w:t>16.37</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right"/>
              <w:rPr/>
            </w:pPr>
            <w:r>
              <w:rPr/>
              <w:t> </w:t>
            </w:r>
          </w:p>
        </w:tc>
        <w:tc>
          <w:tcPr>
            <w:tcW w:w="90" w:type="dxa"/>
            <w:tcBorders>
              <w:bottom w:val="single" w:sz="12" w:space="0" w:color="000000"/>
            </w:tcBorders>
            <w:shd w:fill="CCEEFF" w:val="clear"/>
            <w:vAlign w:val="center"/>
          </w:tcPr>
          <w:p>
            <w:pPr>
              <w:pStyle w:val="TableContents"/>
              <w:bidi w:val="0"/>
              <w:spacing w:before="0" w:after="283"/>
              <w:jc w:val="left"/>
              <w:rPr/>
            </w:pPr>
            <w:r>
              <w:rPr/>
              <w:t> </w:t>
            </w:r>
          </w:p>
        </w:tc>
        <w:tc>
          <w:tcPr>
            <w:tcW w:w="1643" w:type="dxa"/>
            <w:tcBorders>
              <w:bottom w:val="single" w:sz="12" w:space="0" w:color="000000"/>
            </w:tcBorders>
            <w:shd w:fill="CCEEFF" w:val="clear"/>
            <w:vAlign w:val="center"/>
          </w:tcPr>
          <w:p>
            <w:pPr>
              <w:pStyle w:val="TableContents"/>
              <w:bidi w:val="0"/>
              <w:spacing w:before="0" w:after="283"/>
              <w:jc w:val="right"/>
              <w:rPr/>
            </w:pPr>
            <w:r>
              <w:rPr/>
              <w:t>6,519,788</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right"/>
              <w:rPr/>
            </w:pPr>
            <w:r>
              <w:rPr/>
              <w:t> </w:t>
            </w:r>
          </w:p>
        </w:tc>
        <w:tc>
          <w:tcPr>
            <w:tcW w:w="170" w:type="dxa"/>
            <w:tcBorders/>
            <w:shd w:fill="CCEEFF" w:val="clear"/>
            <w:tcMar>
              <w:bottom w:w="0" w:type="dxa"/>
            </w:tcMar>
            <w:vAlign w:val="center"/>
          </w:tcPr>
          <w:p>
            <w:pPr>
              <w:pStyle w:val="TableContents"/>
              <w:bidi w:val="0"/>
              <w:spacing w:before="0" w:after="283"/>
              <w:jc w:val="left"/>
              <w:rPr/>
            </w:pPr>
            <w:r>
              <w:rPr/>
              <w:t>$</w:t>
            </w:r>
          </w:p>
        </w:tc>
        <w:tc>
          <w:tcPr>
            <w:tcW w:w="2153" w:type="dxa"/>
            <w:tcBorders/>
            <w:shd w:fill="CCEEFF" w:val="clear"/>
            <w:tcMar>
              <w:bottom w:w="0" w:type="dxa"/>
            </w:tcMar>
            <w:vAlign w:val="center"/>
          </w:tcPr>
          <w:p>
            <w:pPr>
              <w:pStyle w:val="TableContents"/>
              <w:bidi w:val="0"/>
              <w:spacing w:before="0" w:after="283"/>
              <w:jc w:val="right"/>
              <w:rPr/>
            </w:pPr>
            <w:r>
              <w:rPr/>
              <w:t>357,666,638</w:t>
            </w:r>
          </w:p>
        </w:tc>
        <w:tc>
          <w:tcPr>
            <w:tcW w:w="137" w:type="dxa"/>
            <w:tcBorders/>
            <w:shd w:fill="CCEEFF" w:val="clear"/>
            <w:tcMar>
              <w:bottom w:w="0" w:type="dxa"/>
            </w:tcMar>
            <w:vAlign w:val="center"/>
          </w:tcPr>
          <w:p>
            <w:pPr>
              <w:pStyle w:val="TableContents"/>
              <w:bidi w:val="0"/>
              <w:spacing w:before="0" w:after="283"/>
              <w:jc w:val="left"/>
              <w:rPr/>
            </w:pPr>
            <w:r>
              <w:rPr/>
              <w:t> </w:t>
            </w:r>
          </w:p>
        </w:tc>
      </w:tr>
      <w:tr>
        <w:trPr/>
        <w:tc>
          <w:tcPr>
            <w:tcW w:w="1673" w:type="dxa"/>
            <w:tcBorders/>
            <w:tcMar>
              <w:bottom w:w="0" w:type="dxa"/>
            </w:tcMar>
            <w:vAlign w:val="center"/>
          </w:tcPr>
          <w:p>
            <w:pPr>
              <w:pStyle w:val="TableContents"/>
              <w:bidi w:val="0"/>
              <w:spacing w:before="0" w:after="0"/>
              <w:jc w:val="left"/>
              <w:rPr/>
            </w:pPr>
            <w:r>
              <w:rPr/>
              <w:t xml:space="preserve">Total </w:t>
            </w:r>
          </w:p>
        </w:tc>
        <w:tc>
          <w:tcPr>
            <w:tcW w:w="90" w:type="dxa"/>
            <w:tcBorders/>
            <w:tcMar>
              <w:bottom w:w="0" w:type="dxa"/>
            </w:tcMar>
            <w:vAlign w:val="center"/>
          </w:tcPr>
          <w:p>
            <w:pPr>
              <w:pStyle w:val="TableContents"/>
              <w:bidi w:val="0"/>
              <w:spacing w:before="0" w:after="283"/>
              <w:jc w:val="right"/>
              <w:rPr/>
            </w:pPr>
            <w:r>
              <w:rPr/>
              <w:t> </w:t>
            </w:r>
          </w:p>
        </w:tc>
        <w:tc>
          <w:tcPr>
            <w:tcW w:w="90" w:type="dxa"/>
            <w:tcBorders>
              <w:bottom w:val="single" w:sz="12" w:space="0" w:color="000000"/>
            </w:tcBorders>
            <w:vAlign w:val="center"/>
          </w:tcPr>
          <w:p>
            <w:pPr>
              <w:pStyle w:val="TableContents"/>
              <w:bidi w:val="0"/>
              <w:spacing w:before="0" w:after="283"/>
              <w:jc w:val="left"/>
              <w:rPr/>
            </w:pPr>
            <w:r>
              <w:rPr/>
              <w:t> </w:t>
            </w:r>
          </w:p>
        </w:tc>
        <w:tc>
          <w:tcPr>
            <w:tcW w:w="1553" w:type="dxa"/>
            <w:tcBorders>
              <w:bottom w:val="single" w:sz="12" w:space="0" w:color="000000"/>
            </w:tcBorders>
            <w:vAlign w:val="center"/>
          </w:tcPr>
          <w:p>
            <w:pPr>
              <w:pStyle w:val="TableContents"/>
              <w:bidi w:val="0"/>
              <w:spacing w:before="0" w:after="283"/>
              <w:jc w:val="right"/>
              <w:rPr>
                <w:b/>
              </w:rPr>
            </w:pPr>
            <w:r>
              <w:rPr>
                <w:b/>
              </w:rPr>
              <w:t>6,754,156</w:t>
            </w:r>
          </w:p>
        </w:tc>
        <w:tc>
          <w:tcPr>
            <w:tcW w:w="90" w:type="dxa"/>
            <w:tcBorders>
              <w:bottom w:val="single" w:sz="12" w:space="0" w:color="000000"/>
            </w:tcBorders>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right"/>
              <w:rPr/>
            </w:pPr>
            <w:r>
              <w:rPr/>
              <w:t> </w:t>
            </w:r>
          </w:p>
        </w:tc>
        <w:tc>
          <w:tcPr>
            <w:tcW w:w="170" w:type="dxa"/>
            <w:tcBorders>
              <w:bottom w:val="single" w:sz="12" w:space="0" w:color="000000"/>
            </w:tcBorders>
            <w:vAlign w:val="center"/>
          </w:tcPr>
          <w:p>
            <w:pPr>
              <w:pStyle w:val="TableContents"/>
              <w:bidi w:val="0"/>
              <w:spacing w:before="0" w:after="283"/>
              <w:jc w:val="left"/>
              <w:rPr>
                <w:b/>
              </w:rPr>
            </w:pPr>
            <w:r>
              <w:rPr>
                <w:b/>
              </w:rPr>
              <w:t>$</w:t>
            </w:r>
          </w:p>
        </w:tc>
        <w:tc>
          <w:tcPr>
            <w:tcW w:w="1896" w:type="dxa"/>
            <w:tcBorders>
              <w:bottom w:val="single" w:sz="12" w:space="0" w:color="000000"/>
            </w:tcBorders>
            <w:vAlign w:val="center"/>
          </w:tcPr>
          <w:p>
            <w:pPr>
              <w:pStyle w:val="TableContents"/>
              <w:bidi w:val="0"/>
              <w:spacing w:before="0" w:after="283"/>
              <w:jc w:val="right"/>
              <w:rPr>
                <w:b/>
              </w:rPr>
            </w:pPr>
            <w:r>
              <w:rPr>
                <w:b/>
              </w:rPr>
              <w:t>16.06</w:t>
            </w:r>
          </w:p>
        </w:tc>
        <w:tc>
          <w:tcPr>
            <w:tcW w:w="90" w:type="dxa"/>
            <w:tcBorders>
              <w:bottom w:val="single" w:sz="12" w:space="0" w:color="000000"/>
            </w:tcBorders>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right"/>
              <w:rPr/>
            </w:pPr>
            <w:r>
              <w:rPr/>
              <w:t> </w:t>
            </w:r>
          </w:p>
        </w:tc>
        <w:tc>
          <w:tcPr>
            <w:tcW w:w="90" w:type="dxa"/>
            <w:tcBorders>
              <w:bottom w:val="single" w:sz="12" w:space="0" w:color="000000"/>
            </w:tcBorders>
            <w:vAlign w:val="center"/>
          </w:tcPr>
          <w:p>
            <w:pPr>
              <w:pStyle w:val="TableContents"/>
              <w:bidi w:val="0"/>
              <w:spacing w:before="0" w:after="283"/>
              <w:jc w:val="left"/>
              <w:rPr/>
            </w:pPr>
            <w:r>
              <w:rPr/>
              <w:t> </w:t>
            </w:r>
          </w:p>
        </w:tc>
        <w:tc>
          <w:tcPr>
            <w:tcW w:w="1643" w:type="dxa"/>
            <w:tcBorders>
              <w:bottom w:val="single" w:sz="12" w:space="0" w:color="000000"/>
            </w:tcBorders>
            <w:vAlign w:val="center"/>
          </w:tcPr>
          <w:p>
            <w:pPr>
              <w:pStyle w:val="TableContents"/>
              <w:bidi w:val="0"/>
              <w:spacing w:before="0" w:after="283"/>
              <w:jc w:val="right"/>
              <w:rPr>
                <w:b/>
              </w:rPr>
            </w:pPr>
            <w:r>
              <w:rPr>
                <w:b/>
              </w:rPr>
              <w:t>6,754,156</w:t>
            </w:r>
          </w:p>
        </w:tc>
        <w:tc>
          <w:tcPr>
            <w:tcW w:w="90" w:type="dxa"/>
            <w:tcBorders>
              <w:bottom w:val="single" w:sz="12" w:space="0" w:color="000000"/>
            </w:tcBorders>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70" w:type="dxa"/>
            <w:tcBorders/>
            <w:tcMar>
              <w:bottom w:w="0" w:type="dxa"/>
            </w:tcMar>
            <w:vAlign w:val="center"/>
          </w:tcPr>
          <w:p>
            <w:pPr>
              <w:pStyle w:val="TableContents"/>
              <w:bidi w:val="0"/>
              <w:spacing w:before="0" w:after="283"/>
              <w:jc w:val="left"/>
              <w:rPr/>
            </w:pPr>
            <w:r>
              <w:rPr/>
              <w:t> </w:t>
            </w:r>
          </w:p>
        </w:tc>
        <w:tc>
          <w:tcPr>
            <w:tcW w:w="2153" w:type="dxa"/>
            <w:tcBorders/>
            <w:tcMar>
              <w:bottom w:w="0" w:type="dxa"/>
            </w:tcMar>
            <w:vAlign w:val="center"/>
          </w:tcPr>
          <w:p>
            <w:pPr>
              <w:pStyle w:val="TableContents"/>
              <w:bidi w:val="0"/>
              <w:spacing w:before="0" w:after="283"/>
              <w:jc w:val="left"/>
              <w:rPr/>
            </w:pPr>
            <w:r>
              <w:rPr/>
              <w:t> </w:t>
            </w:r>
          </w:p>
        </w:tc>
        <w:tc>
          <w:tcPr>
            <w:tcW w:w="137" w:type="dxa"/>
            <w:tcBorders/>
            <w:tcMar>
              <w:bottom w:w="0" w:type="dxa"/>
            </w:tcMar>
            <w:vAlign w:val="center"/>
          </w:tcPr>
          <w:p>
            <w:pPr>
              <w:pStyle w:val="TableContents"/>
              <w:bidi w:val="0"/>
              <w:spacing w:before="0" w:after="283"/>
              <w:jc w:val="left"/>
              <w:rPr/>
            </w:pPr>
            <w:r>
              <w:rPr/>
              <w:t> </w:t>
            </w:r>
          </w:p>
        </w:tc>
      </w:tr>
    </w:tbl>
    <w:p>
      <w:pPr>
        <w:pStyle w:val="TextBody"/>
        <w:bidi w:val="0"/>
        <w:spacing w:before="0" w:after="0"/>
        <w:jc w:val="both"/>
        <w:rPr/>
      </w:pPr>
      <w:r>
        <w:rPr/>
        <w:t> </w:t>
      </w:r>
    </w:p>
    <w:p>
      <w:pPr>
        <w:pStyle w:val="TextBody"/>
        <w:bidi w:val="0"/>
        <w:spacing w:before="0" w:after="0"/>
        <w:jc w:val="left"/>
        <w:rPr>
          <w:rFonts w:ascii="Times New Roman" w:hAnsi="Times New Roman"/>
          <w:sz w:val="20"/>
        </w:rPr>
      </w:pPr>
      <w:r>
        <w:rPr>
          <w:rFonts w:ascii="Times New Roman" w:hAnsi="Times New Roman"/>
          <w:sz w:val="20"/>
        </w:rPr>
        <w:t>(1) Includes broker commissions.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(2) Shares were repurchased pursuant to our share repurchase program publicly announced on May 5, 2025. There is no expiration date for this share repurchase program. The authorization to repurchase shares will end when we have repurchased the maximum number of shares authorized, or if we have determined to terminate such program.</w:t>
      </w:r>
    </w:p>
    <w:p>
      <w:pPr>
        <w:pStyle w:val="TextBody"/>
        <w:bidi w:val="0"/>
        <w:spacing w:before="0" w:after="0"/>
        <w:jc w:val="both"/>
        <w:rPr/>
      </w:pPr>
      <w:r>
        <w:rPr/>
        <w:t> </w:t>
      </w:r>
    </w:p>
    <w:p>
      <w:pPr>
        <w:pStyle w:val="TextBody"/>
        <w:bidi w:val="0"/>
        <w:spacing w:before="0" w:after="0"/>
        <w:ind w:left="0" w:right="0" w:hanging="1440"/>
        <w:jc w:val="left"/>
        <w:rPr>
          <w:rFonts w:ascii="Times New Roman" w:hAnsi="Times New Roman"/>
          <w:b/>
          <w:sz w:val="20"/>
        </w:rPr>
      </w:pPr>
      <w:bookmarkStart w:id="17" w:name="a3"/>
      <w:bookmarkEnd w:id="17"/>
      <w:r>
        <w:rPr>
          <w:rFonts w:ascii="Times New Roman" w:hAnsi="Times New Roman"/>
          <w:b/>
          <w:sz w:val="20"/>
        </w:rPr>
        <w:t xml:space="preserve">Defaults Upon Senior Securities. </w:t>
      </w:r>
      <w:r>
        <mc:AlternateContent>
          <mc:Choice Requires="wps">
            <w:drawing>
              <wp:anchor behindDoc="0" distT="0" distB="0" distL="0" distR="0" simplePos="0" locked="0" layoutInCell="1" allowOverlap="1" relativeHeight="180">
                <wp:simplePos x="0" y="0"/>
                <wp:positionH relativeFrom="column">
                  <wp:align>left</wp:align>
                </wp:positionH>
                <wp:positionV relativeFrom="line">
                  <wp:posOffset>635</wp:posOffset>
                </wp:positionV>
                <wp:extent cx="914400" cy="175260"/>
                <wp:effectExtent l="0" t="0" r="0" b="0"/>
                <wp:wrapSquare wrapText="right"/>
                <wp:docPr id="179" name="Frame179"/>
                <a:graphic xmlns:a="http://schemas.openxmlformats.org/drawingml/2006/main">
                  <a:graphicData uri="http://schemas.microsoft.com/office/word/2010/wordprocessingShape">
                    <wps:wsp>
                      <wps:cNvSpPr txBox="1"/>
                      <wps:spPr>
                        <a:xfrm>
                          <a:off x="0" y="0"/>
                          <a:ext cx="914400" cy="175260"/>
                        </a:xfrm>
                        <a:prstGeom prst="rect"/>
                        <a:solidFill>
                          <a:srgbClr val="FFFFFF"/>
                        </a:solidFill>
                      </wps:spPr>
                      <wps:txbx>
                        <w:txbxContent>
                          <w:p>
                            <w:pPr>
                              <w:pStyle w:val="TextBody"/>
                              <w:bidi w:val="0"/>
                              <w:spacing w:before="0" w:after="283"/>
                              <w:jc w:val="left"/>
                              <w:rPr/>
                            </w:pPr>
                            <w:r>
                              <w:rPr/>
                              <w:t xml:space="preserve">Item 3. </w:t>
                            </w:r>
                          </w:p>
                        </w:txbxContent>
                      </wps:txbx>
                      <wps:bodyPr anchor="t" lIns="0" tIns="0" rIns="0" bIns="0">
                        <a:noAutofit/>
                      </wps:bodyPr>
                    </wps:wsp>
                  </a:graphicData>
                </a:graphic>
              </wp:anchor>
            </w:drawing>
          </mc:Choice>
          <mc:Fallback>
            <w:pict>
              <v:rect style="position:absolute;rotation:-0;width:7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 xml:space="preserve">Item 3. </w:t>
                      </w:r>
                    </w:p>
                  </w:txbxContent>
                </v:textbox>
                <w10:wrap type="square" side="right"/>
              </v:rect>
            </w:pict>
          </mc:Fallback>
        </mc:AlternateContent>
      </w:r>
    </w:p>
    <w:p>
      <w:pPr>
        <w:pStyle w:val="TextBody"/>
        <w:bidi w:val="0"/>
        <w:spacing w:before="0" w:after="0"/>
        <w:ind w:left="1440" w:right="0" w:hanging="0"/>
        <w:jc w:val="left"/>
        <w:rPr/>
      </w:pPr>
      <w:r>
        <w:rPr/>
        <w:t xml:space="preserve">  </w:t>
      </w:r>
    </w:p>
    <w:p>
      <w:pPr>
        <w:pStyle w:val="TextBody"/>
        <w:bidi w:val="0"/>
        <w:spacing w:before="0" w:after="0"/>
        <w:ind w:left="720" w:right="0" w:firstLine="720"/>
        <w:jc w:val="left"/>
        <w:rPr>
          <w:rFonts w:ascii="Times New Roman" w:hAnsi="Times New Roman"/>
          <w:sz w:val="20"/>
        </w:rPr>
      </w:pPr>
      <w:r>
        <w:rPr>
          <w:rFonts w:ascii="Times New Roman" w:hAnsi="Times New Roman"/>
          <w:sz w:val="20"/>
        </w:rPr>
        <w:t xml:space="preserve">None. </w:t>
      </w:r>
    </w:p>
    <w:p>
      <w:pPr>
        <w:pStyle w:val="TextBody"/>
        <w:bidi w:val="0"/>
        <w:spacing w:before="0" w:after="0"/>
        <w:jc w:val="left"/>
        <w:rPr/>
      </w:pPr>
      <w:r>
        <w:rPr/>
        <w:t xml:space="preserve">  </w:t>
      </w:r>
    </w:p>
    <w:p>
      <w:pPr>
        <w:pStyle w:val="TextBody"/>
        <w:bidi w:val="0"/>
        <w:spacing w:before="0" w:after="0"/>
        <w:ind w:left="0" w:right="0" w:hanging="1440"/>
        <w:jc w:val="left"/>
        <w:rPr>
          <w:rFonts w:ascii="Times New Roman" w:hAnsi="Times New Roman"/>
          <w:b/>
          <w:sz w:val="20"/>
        </w:rPr>
      </w:pPr>
      <w:bookmarkStart w:id="18" w:name="a4"/>
      <w:bookmarkEnd w:id="18"/>
      <w:r>
        <w:rPr>
          <w:rFonts w:ascii="Times New Roman" w:hAnsi="Times New Roman"/>
          <w:b/>
          <w:sz w:val="20"/>
        </w:rPr>
        <w:t xml:space="preserve">Mine Safety Disclosures. </w:t>
      </w:r>
      <w:r>
        <mc:AlternateContent>
          <mc:Choice Requires="wps">
            <w:drawing>
              <wp:anchor behindDoc="0" distT="0" distB="0" distL="0" distR="0" simplePos="0" locked="0" layoutInCell="1" allowOverlap="1" relativeHeight="181">
                <wp:simplePos x="0" y="0"/>
                <wp:positionH relativeFrom="column">
                  <wp:align>left</wp:align>
                </wp:positionH>
                <wp:positionV relativeFrom="line">
                  <wp:posOffset>635</wp:posOffset>
                </wp:positionV>
                <wp:extent cx="914400" cy="175260"/>
                <wp:effectExtent l="0" t="0" r="0" b="0"/>
                <wp:wrapSquare wrapText="right"/>
                <wp:docPr id="180" name="Frame180"/>
                <a:graphic xmlns:a="http://schemas.openxmlformats.org/drawingml/2006/main">
                  <a:graphicData uri="http://schemas.microsoft.com/office/word/2010/wordprocessingShape">
                    <wps:wsp>
                      <wps:cNvSpPr txBox="1"/>
                      <wps:spPr>
                        <a:xfrm>
                          <a:off x="0" y="0"/>
                          <a:ext cx="914400" cy="175260"/>
                        </a:xfrm>
                        <a:prstGeom prst="rect"/>
                        <a:solidFill>
                          <a:srgbClr val="FFFFFF"/>
                        </a:solidFill>
                      </wps:spPr>
                      <wps:txbx>
                        <w:txbxContent>
                          <w:p>
                            <w:pPr>
                              <w:pStyle w:val="TextBody"/>
                              <w:bidi w:val="0"/>
                              <w:spacing w:before="0" w:after="283"/>
                              <w:jc w:val="left"/>
                              <w:rPr/>
                            </w:pPr>
                            <w:r>
                              <w:rPr/>
                              <w:t xml:space="preserve">Item 4. </w:t>
                            </w:r>
                          </w:p>
                        </w:txbxContent>
                      </wps:txbx>
                      <wps:bodyPr anchor="t" lIns="0" tIns="0" rIns="0" bIns="0">
                        <a:noAutofit/>
                      </wps:bodyPr>
                    </wps:wsp>
                  </a:graphicData>
                </a:graphic>
              </wp:anchor>
            </w:drawing>
          </mc:Choice>
          <mc:Fallback>
            <w:pict>
              <v:rect style="position:absolute;rotation:-0;width:7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 xml:space="preserve">Item 4. </w:t>
                      </w:r>
                    </w:p>
                  </w:txbxContent>
                </v:textbox>
                <w10:wrap type="square" side="right"/>
              </v:rect>
            </w:pict>
          </mc:Fallback>
        </mc:AlternateContent>
      </w:r>
    </w:p>
    <w:p>
      <w:pPr>
        <w:pStyle w:val="TextBody"/>
        <w:bidi w:val="0"/>
        <w:spacing w:before="0" w:after="0"/>
        <w:ind w:left="1440" w:right="0" w:hanging="0"/>
        <w:jc w:val="left"/>
        <w:rPr/>
      </w:pPr>
      <w:r>
        <w:rPr/>
        <w:t xml:space="preserve">  </w:t>
      </w:r>
    </w:p>
    <w:p>
      <w:pPr>
        <w:pStyle w:val="TextBody"/>
        <w:bidi w:val="0"/>
        <w:spacing w:before="0" w:after="0"/>
        <w:ind w:left="720" w:right="0" w:firstLine="720"/>
        <w:jc w:val="left"/>
        <w:rPr>
          <w:rFonts w:ascii="Times New Roman" w:hAnsi="Times New Roman"/>
          <w:sz w:val="20"/>
        </w:rPr>
      </w:pPr>
      <w:r>
        <w:rPr>
          <w:rFonts w:ascii="Times New Roman" w:hAnsi="Times New Roman"/>
          <w:sz w:val="20"/>
        </w:rPr>
        <w:t xml:space="preserve">Not applicable. </w:t>
      </w:r>
    </w:p>
    <w:p>
      <w:pPr>
        <w:pStyle w:val="TextBody"/>
        <w:bidi w:val="0"/>
        <w:spacing w:before="0" w:after="0"/>
        <w:jc w:val="left"/>
        <w:rPr/>
      </w:pPr>
      <w:r>
        <w:rPr/>
        <w:t xml:space="preserve">  </w:t>
      </w:r>
    </w:p>
    <w:p>
      <w:pPr>
        <w:pStyle w:val="TextBody"/>
        <w:bidi w:val="0"/>
        <w:spacing w:before="0" w:after="0"/>
        <w:ind w:left="0" w:right="0" w:hanging="1440"/>
        <w:jc w:val="left"/>
        <w:rPr>
          <w:rFonts w:ascii="Times New Roman" w:hAnsi="Times New Roman"/>
          <w:b/>
          <w:sz w:val="20"/>
        </w:rPr>
      </w:pPr>
      <w:bookmarkStart w:id="19" w:name="a5"/>
      <w:bookmarkEnd w:id="19"/>
      <w:r>
        <w:rPr>
          <w:rFonts w:ascii="Times New Roman" w:hAnsi="Times New Roman"/>
          <w:b/>
          <w:sz w:val="20"/>
        </w:rPr>
        <w:t xml:space="preserve">Other Information. </w:t>
      </w:r>
      <w:r>
        <mc:AlternateContent>
          <mc:Choice Requires="wps">
            <w:drawing>
              <wp:anchor behindDoc="0" distT="0" distB="0" distL="0" distR="0" simplePos="0" locked="0" layoutInCell="1" allowOverlap="1" relativeHeight="182">
                <wp:simplePos x="0" y="0"/>
                <wp:positionH relativeFrom="column">
                  <wp:align>left</wp:align>
                </wp:positionH>
                <wp:positionV relativeFrom="line">
                  <wp:posOffset>635</wp:posOffset>
                </wp:positionV>
                <wp:extent cx="914400" cy="175260"/>
                <wp:effectExtent l="0" t="0" r="0" b="0"/>
                <wp:wrapSquare wrapText="right"/>
                <wp:docPr id="181" name="Frame181"/>
                <a:graphic xmlns:a="http://schemas.openxmlformats.org/drawingml/2006/main">
                  <a:graphicData uri="http://schemas.microsoft.com/office/word/2010/wordprocessingShape">
                    <wps:wsp>
                      <wps:cNvSpPr txBox="1"/>
                      <wps:spPr>
                        <a:xfrm>
                          <a:off x="0" y="0"/>
                          <a:ext cx="914400" cy="175260"/>
                        </a:xfrm>
                        <a:prstGeom prst="rect"/>
                        <a:solidFill>
                          <a:srgbClr val="FFFFFF"/>
                        </a:solidFill>
                      </wps:spPr>
                      <wps:txbx>
                        <w:txbxContent>
                          <w:p>
                            <w:pPr>
                              <w:pStyle w:val="TextBody"/>
                              <w:bidi w:val="0"/>
                              <w:spacing w:before="0" w:after="283"/>
                              <w:jc w:val="left"/>
                              <w:rPr/>
                            </w:pPr>
                            <w:r>
                              <w:rPr/>
                              <w:t xml:space="preserve">Item 5. </w:t>
                            </w:r>
                          </w:p>
                        </w:txbxContent>
                      </wps:txbx>
                      <wps:bodyPr anchor="t" lIns="0" tIns="0" rIns="0" bIns="0">
                        <a:noAutofit/>
                      </wps:bodyPr>
                    </wps:wsp>
                  </a:graphicData>
                </a:graphic>
              </wp:anchor>
            </w:drawing>
          </mc:Choice>
          <mc:Fallback>
            <w:pict>
              <v:rect style="position:absolute;rotation:-0;width:7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 xml:space="preserve">Item 5. </w:t>
                      </w:r>
                    </w:p>
                  </w:txbxContent>
                </v:textbox>
                <w10:wrap type="square" side="right"/>
              </v:rect>
            </w:pict>
          </mc:Fallback>
        </mc:AlternateContent>
      </w:r>
    </w:p>
    <w:p>
      <w:pPr>
        <w:pStyle w:val="TextBody"/>
        <w:bidi w:val="0"/>
        <w:spacing w:before="0" w:after="0"/>
        <w:ind w:left="1440" w:right="0" w:hanging="0"/>
        <w:jc w:val="left"/>
        <w:rPr/>
      </w:pPr>
      <w:r>
        <w:rPr/>
        <w:t xml:space="preserve">  </w:t>
      </w:r>
    </w:p>
    <w:p>
      <w:pPr>
        <w:pStyle w:val="TextBody"/>
        <w:bidi w:val="0"/>
        <w:spacing w:before="0" w:after="0"/>
        <w:jc w:val="both"/>
        <w:rPr>
          <w:rFonts w:ascii="Times New Roman" w:hAnsi="Times New Roman"/>
          <w:sz w:val="20"/>
        </w:rPr>
      </w:pPr>
      <w:r>
        <w:rPr>
          <w:rFonts w:ascii="Times New Roman" w:hAnsi="Times New Roman"/>
          <w:b/>
          <w:sz w:val="20"/>
        </w:rPr>
        <w:t>Insider Trading Arrangements</w:t>
      </w:r>
      <w:r>
        <w:rPr>
          <w:rFonts w:ascii="Times New Roman" w:hAnsi="Times New Roman"/>
          <w:sz w:val="20"/>
        </w:rPr>
        <w:t xml:space="preserve"> </w:t>
      </w:r>
    </w:p>
    <w:p>
      <w:pPr>
        <w:pStyle w:val="TextBody"/>
        <w:bidi w:val="0"/>
        <w:spacing w:before="0" w:after="0"/>
        <w:jc w:val="both"/>
        <w:rPr/>
      </w:pPr>
      <w:r>
        <w:rPr/>
        <w:t xml:space="preserve">  </w:t>
      </w:r>
    </w:p>
    <w:p>
      <w:pPr>
        <w:pStyle w:val="TextBody"/>
        <w:bidi w:val="0"/>
        <w:spacing w:before="0" w:after="0"/>
        <w:ind w:left="0" w:right="0" w:firstLine="720"/>
        <w:jc w:val="both"/>
        <w:rPr>
          <w:rFonts w:ascii="Times New Roman" w:hAnsi="Times New Roman"/>
          <w:sz w:val="20"/>
        </w:rPr>
      </w:pPr>
      <w:r>
        <w:rPr>
          <w:rFonts w:ascii="Times New Roman" w:hAnsi="Times New Roman"/>
          <w:sz w:val="20"/>
        </w:rPr>
        <w:t xml:space="preserve">Our directors and executive officers may from time to time enter into plans or other arrangements for the purchase or sale of our common stock that are intended to satisfy the affirmative defense conditions of Rule 10b5-1(c) or may represent a non-Rule 10b5-1 trading arrangement under the Exchange Act. During the quarter ended March 31, 2026, no such plans or other arrangements were adopted or terminated. </w:t>
      </w:r>
    </w:p>
    <w:p>
      <w:pPr>
        <w:pStyle w:val="TextBody"/>
        <w:bidi w:val="0"/>
        <w:spacing w:before="0" w:after="0"/>
        <w:jc w:val="both"/>
        <w:rPr/>
      </w:pPr>
      <w:r>
        <w:rPr/>
        <w:t xml:space="preserve">  </w:t>
      </w:r>
    </w:p>
    <w:p>
      <w:pPr>
        <w:pStyle w:val="TextBody"/>
        <w:bidi w:val="0"/>
        <w:spacing w:before="0" w:after="0"/>
        <w:jc w:val="left"/>
        <w:rPr>
          <w:rFonts w:ascii="Times New Roman" w:hAnsi="Times New Roman"/>
          <w:sz w:val="20"/>
        </w:rPr>
      </w:pPr>
      <w:bookmarkStart w:id="20" w:name="a6"/>
      <w:bookmarkEnd w:id="20"/>
      <w:r>
        <w:rPr>
          <w:rFonts w:ascii="Times New Roman" w:hAnsi="Times New Roman"/>
          <w:b/>
          <w:sz w:val="20"/>
        </w:rPr>
        <w:t>Exhibits</w:t>
      </w:r>
      <w:r>
        <w:rPr>
          <w:rFonts w:ascii="Times New Roman" w:hAnsi="Times New Roman"/>
          <w:sz w:val="20"/>
        </w:rPr>
        <w:t xml:space="preserve"> </w:t>
      </w:r>
      <w:r>
        <mc:AlternateContent>
          <mc:Choice Requires="wps">
            <w:drawing>
              <wp:anchor behindDoc="0" distT="0" distB="0" distL="0" distR="0" simplePos="0" locked="0" layoutInCell="1" allowOverlap="1" relativeHeight="183">
                <wp:simplePos x="0" y="0"/>
                <wp:positionH relativeFrom="column">
                  <wp:align>left</wp:align>
                </wp:positionH>
                <wp:positionV relativeFrom="line">
                  <wp:posOffset>635</wp:posOffset>
                </wp:positionV>
                <wp:extent cx="457200" cy="175260"/>
                <wp:effectExtent l="0" t="0" r="0" b="0"/>
                <wp:wrapSquare wrapText="right"/>
                <wp:docPr id="182" name="Frame182"/>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b/>
                              </w:rPr>
                              <w:t>Item 6.</w:t>
                            </w:r>
                            <w:r>
                              <w:rPr/>
                              <w:t xml:space="preserve"> </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b/>
                        </w:rPr>
                        <w:t>Item 6.</w:t>
                      </w:r>
                      <w:r>
                        <w:rPr/>
                        <w:t xml:space="preserve"> </w:t>
                      </w:r>
                    </w:p>
                  </w:txbxContent>
                </v:textbox>
                <w10:wrap type="square" side="right"/>
              </v:rect>
            </w:pict>
          </mc:Fallback>
        </mc:AlternateContent>
      </w:r>
    </w:p>
    <w:p>
      <w:pPr>
        <w:pStyle w:val="TextBody"/>
        <w:bidi w:val="0"/>
        <w:spacing w:before="0" w:after="0"/>
        <w:jc w:val="left"/>
        <w:rPr/>
      </w:pPr>
      <w:r>
        <w:rPr/>
        <w:t xml:space="preserve">  </w:t>
      </w:r>
    </w:p>
    <w:p>
      <w:pPr>
        <w:pStyle w:val="TextBody"/>
        <w:bidi w:val="0"/>
        <w:spacing w:before="0" w:after="0"/>
        <w:ind w:left="0" w:right="0" w:firstLine="720"/>
        <w:jc w:val="both"/>
        <w:rPr>
          <w:rFonts w:ascii="Times New Roman" w:hAnsi="Times New Roman"/>
          <w:sz w:val="20"/>
        </w:rPr>
      </w:pPr>
      <w:r>
        <w:rPr>
          <w:rFonts w:ascii="Times New Roman" w:hAnsi="Times New Roman"/>
          <w:sz w:val="20"/>
        </w:rPr>
        <w:t xml:space="preserve">See the Exhibit Index immediately preceding the signature page of this Quarterly Report on Form 10-Q. </w:t>
      </w:r>
    </w:p>
    <w:p>
      <w:pPr>
        <w:pStyle w:val="TextBody"/>
        <w:bidi w:val="0"/>
        <w:spacing w:before="150" w:after="15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t>62</w:t>
      </w:r>
    </w:p>
    <w:p>
      <w:pPr>
        <w:pStyle w:val="HorizontalLine"/>
        <w:bidi w:val="0"/>
        <w:spacing w:before="150" w:after="150"/>
        <w:jc w:val="left"/>
        <w:rPr/>
      </w:pPr>
      <w:r>
        <w:rPr/>
      </w:r>
    </w:p>
    <w:p>
      <w:pPr>
        <w:pStyle w:val="TextBody"/>
        <w:bidi w:val="0"/>
        <w:spacing w:before="150" w:after="150"/>
        <w:jc w:val="left"/>
        <w:rPr/>
      </w:pPr>
      <w:hyperlink w:anchor="index">
        <w:r>
          <w:rPr>
            <w:rStyle w:val="InternetLink"/>
            <w:rFonts w:ascii="TimesNewRoman;Times New Roman;Times;Baskerville;Georgia;serif" w:hAnsi="TimesNewRoman;Times New Roman;Times;Baskerville;Georgia;serif"/>
            <w:b w:val="false"/>
            <w:i/>
            <w:caps w:val="false"/>
            <w:smallCaps w:val="false"/>
            <w:strike w:val="false"/>
            <w:dstrike w:val="false"/>
            <w:sz w:val="16"/>
            <w:u w:val="none"/>
            <w:effect w:val="none"/>
          </w:rPr>
          <w:t>Index</w:t>
        </w:r>
      </w:hyperlink>
    </w:p>
    <w:p>
      <w:pPr>
        <w:pStyle w:val="TextBody"/>
        <w:bidi w:val="0"/>
        <w:spacing w:before="0" w:after="0"/>
        <w:jc w:val="center"/>
        <w:rPr>
          <w:rFonts w:ascii="Times New Roman" w:hAnsi="Times New Roman"/>
          <w:sz w:val="20"/>
        </w:rPr>
      </w:pPr>
      <w:r>
        <w:rPr>
          <w:rFonts w:ascii="Times New Roman" w:hAnsi="Times New Roman"/>
          <w:b/>
          <w:sz w:val="20"/>
        </w:rPr>
        <w:t>EXHIBIT INDEX</w:t>
      </w:r>
      <w:r>
        <w:rPr>
          <w:rFonts w:ascii="Times New Roman" w:hAnsi="Times New Roman"/>
          <w:sz w:val="20"/>
        </w:rPr>
        <w:t xml:space="preserve"> </w:t>
      </w:r>
    </w:p>
    <w:p>
      <w:pPr>
        <w:pStyle w:val="TextBody"/>
        <w:bidi w:val="0"/>
        <w:spacing w:before="0" w:after="0"/>
        <w:jc w:val="center"/>
        <w:rPr/>
      </w:pPr>
      <w:r>
        <w:rPr/>
        <w:t xml:space="preserve">  </w:t>
      </w:r>
    </w:p>
    <w:tbl>
      <w:tblPr>
        <w:tblW w:w="10205" w:type="dxa"/>
        <w:jc w:val="left"/>
        <w:tblInd w:w="0" w:type="dxa"/>
        <w:tblLayout w:type="fixed"/>
        <w:tblCellMar>
          <w:top w:w="28" w:type="dxa"/>
          <w:left w:w="28" w:type="dxa"/>
          <w:bottom w:w="28" w:type="dxa"/>
          <w:right w:w="28" w:type="dxa"/>
        </w:tblCellMar>
      </w:tblPr>
      <w:tblGrid>
        <w:gridCol w:w="517"/>
        <w:gridCol w:w="469"/>
        <w:gridCol w:w="146"/>
        <w:gridCol w:w="4548"/>
        <w:gridCol w:w="4332"/>
        <w:gridCol w:w="193"/>
      </w:tblGrid>
      <w:tr>
        <w:trPr/>
        <w:tc>
          <w:tcPr>
            <w:tcW w:w="517" w:type="dxa"/>
            <w:tcBorders/>
            <w:vAlign w:val="center"/>
          </w:tcPr>
          <w:p>
            <w:pPr>
              <w:pStyle w:val="TableContents"/>
              <w:bidi w:val="0"/>
              <w:spacing w:before="0" w:after="283"/>
              <w:jc w:val="left"/>
              <w:rPr/>
            </w:pPr>
            <w:r>
              <w:rPr/>
              <w:t> </w:t>
            </w:r>
          </w:p>
        </w:tc>
        <w:tc>
          <w:tcPr>
            <w:tcW w:w="469"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4548" w:type="dxa"/>
            <w:tcBorders/>
            <w:vAlign w:val="center"/>
          </w:tcPr>
          <w:p>
            <w:pPr>
              <w:pStyle w:val="TableContents"/>
              <w:bidi w:val="0"/>
              <w:spacing w:before="0" w:after="283"/>
              <w:jc w:val="left"/>
              <w:rPr/>
            </w:pPr>
            <w:r>
              <w:rPr/>
              <w:t> </w:t>
            </w:r>
          </w:p>
        </w:tc>
        <w:tc>
          <w:tcPr>
            <w:tcW w:w="4332" w:type="dxa"/>
            <w:tcBorders/>
            <w:vAlign w:val="center"/>
          </w:tcPr>
          <w:p>
            <w:pPr>
              <w:pStyle w:val="TableContents"/>
              <w:bidi w:val="0"/>
              <w:spacing w:before="0" w:after="283"/>
              <w:jc w:val="left"/>
              <w:rPr/>
            </w:pPr>
            <w:r>
              <w:rPr/>
              <w:t> </w:t>
            </w:r>
          </w:p>
        </w:tc>
        <w:tc>
          <w:tcPr>
            <w:tcW w:w="193" w:type="dxa"/>
            <w:tcBorders/>
            <w:vAlign w:val="center"/>
          </w:tcPr>
          <w:p>
            <w:pPr>
              <w:pStyle w:val="TableContents"/>
              <w:bidi w:val="0"/>
              <w:spacing w:before="0" w:after="283"/>
              <w:jc w:val="left"/>
              <w:rPr/>
            </w:pPr>
            <w:r>
              <w:rPr/>
              <w:t> </w:t>
            </w:r>
          </w:p>
        </w:tc>
      </w:tr>
      <w:tr>
        <w:trPr/>
        <w:tc>
          <w:tcPr>
            <w:tcW w:w="986" w:type="dxa"/>
            <w:gridSpan w:val="2"/>
            <w:tcBorders/>
            <w:vAlign w:val="center"/>
          </w:tcPr>
          <w:p>
            <w:pPr>
              <w:pStyle w:val="TableContents"/>
              <w:bidi w:val="0"/>
              <w:spacing w:before="0" w:after="0"/>
              <w:jc w:val="left"/>
              <w:rPr/>
            </w:pPr>
            <w:r>
              <w:rPr>
                <w:u w:val="single"/>
              </w:rPr>
              <w:t>Exhibit Number</w:t>
            </w:r>
            <w:r>
              <w:rPr/>
              <w:t xml:space="preserve">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880" w:type="dxa"/>
            <w:gridSpan w:val="2"/>
            <w:tcBorders/>
            <w:vAlign w:val="center"/>
          </w:tcPr>
          <w:p>
            <w:pPr>
              <w:pStyle w:val="TableContents"/>
              <w:bidi w:val="0"/>
              <w:spacing w:before="0" w:after="0"/>
              <w:jc w:val="left"/>
              <w:rPr/>
            </w:pPr>
            <w:r>
              <w:rPr>
                <w:u w:val="single"/>
              </w:rPr>
              <w:t>Description</w:t>
            </w:r>
            <w:r>
              <w:rPr/>
              <w:t xml:space="preserve"> </w:t>
            </w:r>
          </w:p>
        </w:tc>
        <w:tc>
          <w:tcPr>
            <w:tcW w:w="193" w:type="dxa"/>
            <w:tcBorders/>
          </w:tcPr>
          <w:p>
            <w:pPr>
              <w:pStyle w:val="TableContents"/>
              <w:bidi w:val="0"/>
              <w:spacing w:before="0" w:after="283"/>
              <w:jc w:val="left"/>
              <w:rPr>
                <w:sz w:val="4"/>
                <w:szCs w:val="4"/>
              </w:rPr>
            </w:pPr>
            <w:r>
              <w:rPr>
                <w:sz w:val="4"/>
                <w:szCs w:val="4"/>
              </w:rPr>
            </w:r>
          </w:p>
        </w:tc>
      </w:tr>
      <w:tr>
        <w:trPr/>
        <w:tc>
          <w:tcPr>
            <w:tcW w:w="986" w:type="dxa"/>
            <w:gridSpan w:val="2"/>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8880" w:type="dxa"/>
            <w:gridSpan w:val="2"/>
            <w:tcBorders/>
            <w:vAlign w:val="center"/>
          </w:tcPr>
          <w:p>
            <w:pPr>
              <w:pStyle w:val="TableContents"/>
              <w:bidi w:val="0"/>
              <w:spacing w:before="0" w:after="283"/>
              <w:jc w:val="left"/>
              <w:rPr/>
            </w:pPr>
            <w:r>
              <w:rPr/>
              <w:t> </w:t>
            </w:r>
          </w:p>
        </w:tc>
        <w:tc>
          <w:tcPr>
            <w:tcW w:w="193" w:type="dxa"/>
            <w:tcBorders/>
          </w:tcPr>
          <w:p>
            <w:pPr>
              <w:pStyle w:val="TableContents"/>
              <w:bidi w:val="0"/>
              <w:spacing w:before="0" w:after="283"/>
              <w:jc w:val="left"/>
              <w:rPr>
                <w:sz w:val="4"/>
                <w:szCs w:val="4"/>
              </w:rPr>
            </w:pPr>
            <w:r>
              <w:rPr>
                <w:sz w:val="4"/>
                <w:szCs w:val="4"/>
              </w:rPr>
            </w:r>
          </w:p>
        </w:tc>
      </w:tr>
      <w:tr>
        <w:trPr/>
        <w:tc>
          <w:tcPr>
            <w:tcW w:w="986" w:type="dxa"/>
            <w:gridSpan w:val="2"/>
            <w:tcBorders/>
            <w:shd w:fill="CCEEFF" w:val="clear"/>
            <w:vAlign w:val="center"/>
          </w:tcPr>
          <w:p>
            <w:pPr>
              <w:pStyle w:val="TableContents"/>
              <w:bidi w:val="0"/>
              <w:spacing w:before="0" w:after="0"/>
              <w:jc w:val="left"/>
              <w:rPr/>
            </w:pPr>
            <w:hyperlink r:id="rId2">
              <w:r>
                <w:rPr>
                  <w:rStyle w:val="InternetLink"/>
                </w:rPr>
                <w:t>10.1</w:t>
              </w:r>
            </w:hyperlink>
            <w:r>
              <w:rPr/>
              <w:t xml:space="preserve">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both"/>
              <w:rPr/>
            </w:pPr>
            <w:r>
              <w:rPr/>
              <w:t> </w:t>
            </w:r>
          </w:p>
        </w:tc>
        <w:tc>
          <w:tcPr>
            <w:tcW w:w="8880" w:type="dxa"/>
            <w:gridSpan w:val="2"/>
            <w:tcBorders/>
            <w:shd w:fill="CCEEFF" w:val="clear"/>
            <w:tcMar>
              <w:top w:w="0" w:type="dxa"/>
              <w:left w:w="0" w:type="dxa"/>
              <w:bottom w:w="0" w:type="dxa"/>
              <w:right w:w="0" w:type="dxa"/>
            </w:tcMar>
            <w:vAlign w:val="center"/>
          </w:tcPr>
          <w:p>
            <w:pPr>
              <w:pStyle w:val="TableContents"/>
              <w:bidi w:val="0"/>
              <w:spacing w:before="0" w:after="283"/>
              <w:jc w:val="both"/>
              <w:rPr/>
            </w:pPr>
            <w:r>
              <w:rPr/>
              <w:t xml:space="preserve">Separation Agreement and Release, and Consulting Services Agreement attached as Exhibit A thereto, each dated as of February 25, 2026, by and between ADMA Biologics, Inc. and Brad Tade (incorporated herein by reference to Exhibit 10.1 to the Company’s Current Report on Form 8-K, filed with the SEC on February 25, 2026). </w:t>
            </w:r>
          </w:p>
        </w:tc>
        <w:tc>
          <w:tcPr>
            <w:tcW w:w="193" w:type="dxa"/>
            <w:tcBorders/>
            <w:shd w:fill="CCEEFF" w:val="clear"/>
          </w:tcPr>
          <w:p>
            <w:pPr>
              <w:pStyle w:val="TableContents"/>
              <w:bidi w:val="0"/>
              <w:spacing w:before="0" w:after="283"/>
              <w:jc w:val="left"/>
              <w:rPr>
                <w:sz w:val="4"/>
                <w:szCs w:val="4"/>
              </w:rPr>
            </w:pPr>
            <w:r>
              <w:rPr>
                <w:sz w:val="4"/>
                <w:szCs w:val="4"/>
              </w:rPr>
            </w:r>
          </w:p>
        </w:tc>
      </w:tr>
      <w:tr>
        <w:trPr/>
        <w:tc>
          <w:tcPr>
            <w:tcW w:w="986" w:type="dxa"/>
            <w:gridSpan w:val="2"/>
            <w:tcBorders/>
            <w:vAlign w:val="center"/>
          </w:tcPr>
          <w:p>
            <w:pPr>
              <w:pStyle w:val="TableContents"/>
              <w:bidi w:val="0"/>
              <w:spacing w:before="0" w:after="0"/>
              <w:jc w:val="left"/>
              <w:rPr/>
            </w:pPr>
            <w:hyperlink r:id="rId3">
              <w:r>
                <w:rPr>
                  <w:rStyle w:val="InternetLink"/>
                </w:rPr>
                <w:t>10.2</w:t>
              </w:r>
            </w:hyperlink>
            <w:r>
              <w:rPr/>
              <w:t xml:space="preserve"> </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8880" w:type="dxa"/>
            <w:gridSpan w:val="2"/>
            <w:tcBorders/>
            <w:tcMar>
              <w:top w:w="0" w:type="dxa"/>
              <w:left w:w="0" w:type="dxa"/>
              <w:bottom w:w="0" w:type="dxa"/>
              <w:right w:w="0" w:type="dxa"/>
            </w:tcMar>
            <w:vAlign w:val="center"/>
          </w:tcPr>
          <w:p>
            <w:pPr>
              <w:pStyle w:val="TableContents"/>
              <w:bidi w:val="0"/>
              <w:spacing w:before="0" w:after="283"/>
              <w:jc w:val="both"/>
              <w:rPr/>
            </w:pPr>
            <w:r>
              <w:rPr/>
              <w:t xml:space="preserve">Employment Agreement, dated November 25, 2025, by and between ADMA Biologics, Inc. and Paul Terence Kohler, Jr. (incorporated herein by reference to Exhibit 10.2 to the Company’s Current Report on Form 8-K, filed with the SEC on February 25, 2026). </w:t>
            </w:r>
          </w:p>
        </w:tc>
        <w:tc>
          <w:tcPr>
            <w:tcW w:w="193" w:type="dxa"/>
            <w:tcBorders/>
          </w:tcPr>
          <w:p>
            <w:pPr>
              <w:pStyle w:val="TableContents"/>
              <w:bidi w:val="0"/>
              <w:spacing w:before="0" w:after="283"/>
              <w:jc w:val="left"/>
              <w:rPr>
                <w:sz w:val="4"/>
                <w:szCs w:val="4"/>
              </w:rPr>
            </w:pPr>
            <w:r>
              <w:rPr>
                <w:sz w:val="4"/>
                <w:szCs w:val="4"/>
              </w:rPr>
            </w:r>
          </w:p>
        </w:tc>
      </w:tr>
      <w:tr>
        <w:trPr/>
        <w:tc>
          <w:tcPr>
            <w:tcW w:w="986" w:type="dxa"/>
            <w:gridSpan w:val="2"/>
            <w:tcBorders/>
            <w:shd w:fill="CCEEFF" w:val="clear"/>
            <w:vAlign w:val="center"/>
          </w:tcPr>
          <w:p>
            <w:pPr>
              <w:pStyle w:val="TableContents"/>
              <w:bidi w:val="0"/>
              <w:spacing w:before="0" w:after="0"/>
              <w:jc w:val="left"/>
              <w:rPr/>
            </w:pPr>
            <w:hyperlink w:anchor="ef20070429_ex31-1.htm">
              <w:r>
                <w:rPr>
                  <w:rStyle w:val="InternetLink"/>
                </w:rPr>
                <w:t>31.1*</w:t>
              </w:r>
            </w:hyperlink>
            <w:r>
              <w:rPr/>
              <w:t xml:space="preserve">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both"/>
              <w:rPr/>
            </w:pPr>
            <w:r>
              <w:rPr/>
              <w:t> </w:t>
            </w:r>
          </w:p>
        </w:tc>
        <w:tc>
          <w:tcPr>
            <w:tcW w:w="8880" w:type="dxa"/>
            <w:gridSpan w:val="2"/>
            <w:tcBorders/>
            <w:shd w:fill="CCEEFF" w:val="clear"/>
            <w:tcMar>
              <w:top w:w="0" w:type="dxa"/>
              <w:left w:w="0" w:type="dxa"/>
              <w:bottom w:w="0" w:type="dxa"/>
              <w:right w:w="0" w:type="dxa"/>
            </w:tcMar>
            <w:vAlign w:val="center"/>
          </w:tcPr>
          <w:p>
            <w:pPr>
              <w:pStyle w:val="TableContents"/>
              <w:bidi w:val="0"/>
              <w:spacing w:before="0" w:after="283"/>
              <w:jc w:val="both"/>
              <w:rPr/>
            </w:pPr>
            <w:r>
              <w:rPr/>
              <w:t xml:space="preserve">Certification of Principal Executive Officer pursuant to Rules 13a-14(a) and 15d-14(a), as adopted pursuant to Section 302 of the Sarbanes-Oxley Act of 2002. </w:t>
            </w:r>
          </w:p>
        </w:tc>
        <w:tc>
          <w:tcPr>
            <w:tcW w:w="193" w:type="dxa"/>
            <w:tcBorders/>
            <w:shd w:fill="CCEEFF" w:val="clear"/>
          </w:tcPr>
          <w:p>
            <w:pPr>
              <w:pStyle w:val="TableContents"/>
              <w:bidi w:val="0"/>
              <w:spacing w:before="0" w:after="283"/>
              <w:jc w:val="left"/>
              <w:rPr>
                <w:sz w:val="4"/>
                <w:szCs w:val="4"/>
              </w:rPr>
            </w:pPr>
            <w:r>
              <w:rPr>
                <w:sz w:val="4"/>
                <w:szCs w:val="4"/>
              </w:rPr>
            </w:r>
          </w:p>
        </w:tc>
      </w:tr>
      <w:tr>
        <w:trPr/>
        <w:tc>
          <w:tcPr>
            <w:tcW w:w="986" w:type="dxa"/>
            <w:gridSpan w:val="2"/>
            <w:tcBorders/>
            <w:vAlign w:val="center"/>
          </w:tcPr>
          <w:p>
            <w:pPr>
              <w:pStyle w:val="TableContents"/>
              <w:bidi w:val="0"/>
              <w:spacing w:before="0" w:after="0"/>
              <w:jc w:val="left"/>
              <w:rPr/>
            </w:pPr>
            <w:hyperlink w:anchor="ef20070429_ex31-2.htm">
              <w:r>
                <w:rPr>
                  <w:rStyle w:val="InternetLink"/>
                </w:rPr>
                <w:t>31.2*</w:t>
              </w:r>
            </w:hyperlink>
            <w:r>
              <w:rPr/>
              <w:t xml:space="preserve"> </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8880" w:type="dxa"/>
            <w:gridSpan w:val="2"/>
            <w:tcBorders/>
            <w:tcMar>
              <w:top w:w="0" w:type="dxa"/>
              <w:left w:w="0" w:type="dxa"/>
              <w:bottom w:w="0" w:type="dxa"/>
              <w:right w:w="0" w:type="dxa"/>
            </w:tcMar>
            <w:vAlign w:val="center"/>
          </w:tcPr>
          <w:p>
            <w:pPr>
              <w:pStyle w:val="TableContents"/>
              <w:bidi w:val="0"/>
              <w:spacing w:before="0" w:after="283"/>
              <w:jc w:val="both"/>
              <w:rPr/>
            </w:pPr>
            <w:r>
              <w:rPr/>
              <w:t xml:space="preserve">Certification of Principal Financial Officer pursuant to Rules 13a-14(a) and 15d-14(a), as adopted pursuant to Section 302 of the Sarbanes-Oxley Act of 2002. </w:t>
            </w:r>
          </w:p>
        </w:tc>
        <w:tc>
          <w:tcPr>
            <w:tcW w:w="193" w:type="dxa"/>
            <w:tcBorders/>
          </w:tcPr>
          <w:p>
            <w:pPr>
              <w:pStyle w:val="TableContents"/>
              <w:bidi w:val="0"/>
              <w:spacing w:before="0" w:after="283"/>
              <w:jc w:val="left"/>
              <w:rPr>
                <w:sz w:val="4"/>
                <w:szCs w:val="4"/>
              </w:rPr>
            </w:pPr>
            <w:r>
              <w:rPr>
                <w:sz w:val="4"/>
                <w:szCs w:val="4"/>
              </w:rPr>
            </w:r>
          </w:p>
        </w:tc>
      </w:tr>
      <w:tr>
        <w:trPr/>
        <w:tc>
          <w:tcPr>
            <w:tcW w:w="986" w:type="dxa"/>
            <w:gridSpan w:val="2"/>
            <w:tcBorders/>
            <w:shd w:fill="CCEEFF" w:val="clear"/>
            <w:vAlign w:val="center"/>
          </w:tcPr>
          <w:p>
            <w:pPr>
              <w:pStyle w:val="TableContents"/>
              <w:bidi w:val="0"/>
              <w:spacing w:before="0" w:after="0"/>
              <w:jc w:val="left"/>
              <w:rPr/>
            </w:pPr>
            <w:hyperlink w:anchor="ef20070429_ex32-1.htm">
              <w:r>
                <w:rPr>
                  <w:rStyle w:val="InternetLink"/>
                </w:rPr>
                <w:t>32.1**</w:t>
              </w:r>
            </w:hyperlink>
            <w:r>
              <w:rPr/>
              <w:t xml:space="preserve">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both"/>
              <w:rPr/>
            </w:pPr>
            <w:r>
              <w:rPr/>
              <w:t> </w:t>
            </w:r>
          </w:p>
        </w:tc>
        <w:tc>
          <w:tcPr>
            <w:tcW w:w="8880" w:type="dxa"/>
            <w:gridSpan w:val="2"/>
            <w:tcBorders/>
            <w:shd w:fill="CCEEFF" w:val="clear"/>
            <w:tcMar>
              <w:top w:w="0" w:type="dxa"/>
              <w:left w:w="0" w:type="dxa"/>
              <w:bottom w:w="0" w:type="dxa"/>
              <w:right w:w="0" w:type="dxa"/>
            </w:tcMar>
            <w:vAlign w:val="center"/>
          </w:tcPr>
          <w:p>
            <w:pPr>
              <w:pStyle w:val="TableContents"/>
              <w:bidi w:val="0"/>
              <w:spacing w:before="0" w:after="283"/>
              <w:jc w:val="both"/>
              <w:rPr/>
            </w:pPr>
            <w:r>
              <w:rPr/>
              <w:t xml:space="preserve">Certification of Principal Executive Officer pursuant to 18 U.S.C. Section 1350, as adopted pursuant to Section 906 of the Sarbanes-Oxley Act of 2002. </w:t>
            </w:r>
          </w:p>
        </w:tc>
        <w:tc>
          <w:tcPr>
            <w:tcW w:w="193" w:type="dxa"/>
            <w:tcBorders/>
            <w:shd w:fill="CCEEFF" w:val="clear"/>
          </w:tcPr>
          <w:p>
            <w:pPr>
              <w:pStyle w:val="TableContents"/>
              <w:bidi w:val="0"/>
              <w:spacing w:before="0" w:after="283"/>
              <w:jc w:val="left"/>
              <w:rPr>
                <w:sz w:val="4"/>
                <w:szCs w:val="4"/>
              </w:rPr>
            </w:pPr>
            <w:r>
              <w:rPr>
                <w:sz w:val="4"/>
                <w:szCs w:val="4"/>
              </w:rPr>
            </w:r>
          </w:p>
        </w:tc>
      </w:tr>
      <w:tr>
        <w:trPr/>
        <w:tc>
          <w:tcPr>
            <w:tcW w:w="986" w:type="dxa"/>
            <w:gridSpan w:val="2"/>
            <w:tcBorders/>
            <w:vAlign w:val="center"/>
          </w:tcPr>
          <w:p>
            <w:pPr>
              <w:pStyle w:val="TableContents"/>
              <w:bidi w:val="0"/>
              <w:spacing w:before="0" w:after="0"/>
              <w:jc w:val="left"/>
              <w:rPr/>
            </w:pPr>
            <w:hyperlink w:anchor="ef20070429_ex32-2.htm">
              <w:r>
                <w:rPr>
                  <w:rStyle w:val="InternetLink"/>
                </w:rPr>
                <w:t>32.2**</w:t>
              </w:r>
            </w:hyperlink>
            <w:r>
              <w:rPr/>
              <w:t xml:space="preserve"> </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8880" w:type="dxa"/>
            <w:gridSpan w:val="2"/>
            <w:tcBorders/>
            <w:tcMar>
              <w:top w:w="0" w:type="dxa"/>
              <w:left w:w="0" w:type="dxa"/>
              <w:bottom w:w="0" w:type="dxa"/>
              <w:right w:w="0" w:type="dxa"/>
            </w:tcMar>
            <w:vAlign w:val="center"/>
          </w:tcPr>
          <w:p>
            <w:pPr>
              <w:pStyle w:val="TableContents"/>
              <w:bidi w:val="0"/>
              <w:spacing w:before="0" w:after="283"/>
              <w:jc w:val="both"/>
              <w:rPr/>
            </w:pPr>
            <w:r>
              <w:rPr/>
              <w:t xml:space="preserve">Certification of Principal Financial Officer pursuant to 18 U.S.C. Section 1350, as adopted pursuant to Section 906 of the Sarbanes-Oxley Act of 2002. </w:t>
            </w:r>
          </w:p>
        </w:tc>
        <w:tc>
          <w:tcPr>
            <w:tcW w:w="193" w:type="dxa"/>
            <w:tcBorders/>
          </w:tcPr>
          <w:p>
            <w:pPr>
              <w:pStyle w:val="TableContents"/>
              <w:bidi w:val="0"/>
              <w:spacing w:before="0" w:after="283"/>
              <w:jc w:val="left"/>
              <w:rPr>
                <w:sz w:val="4"/>
                <w:szCs w:val="4"/>
              </w:rPr>
            </w:pPr>
            <w:r>
              <w:rPr>
                <w:sz w:val="4"/>
                <w:szCs w:val="4"/>
              </w:rPr>
            </w:r>
          </w:p>
        </w:tc>
      </w:tr>
      <w:tr>
        <w:trPr/>
        <w:tc>
          <w:tcPr>
            <w:tcW w:w="986" w:type="dxa"/>
            <w:gridSpan w:val="2"/>
            <w:tcBorders/>
            <w:shd w:fill="CCEEFF" w:val="clear"/>
            <w:vAlign w:val="center"/>
          </w:tcPr>
          <w:p>
            <w:pPr>
              <w:pStyle w:val="TableContents"/>
              <w:bidi w:val="0"/>
              <w:spacing w:before="0" w:after="0"/>
              <w:jc w:val="left"/>
              <w:rPr/>
            </w:pPr>
            <w:r>
              <w:rPr/>
              <w:t xml:space="preserve">101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both"/>
              <w:rPr/>
            </w:pPr>
            <w:r>
              <w:rPr/>
              <w:t> </w:t>
            </w:r>
          </w:p>
        </w:tc>
        <w:tc>
          <w:tcPr>
            <w:tcW w:w="8880" w:type="dxa"/>
            <w:gridSpan w:val="2"/>
            <w:tcBorders/>
            <w:shd w:fill="CCEEFF" w:val="clear"/>
            <w:tcMar>
              <w:top w:w="0" w:type="dxa"/>
              <w:left w:w="0" w:type="dxa"/>
              <w:bottom w:w="0" w:type="dxa"/>
              <w:right w:w="0" w:type="dxa"/>
            </w:tcMar>
            <w:vAlign w:val="center"/>
          </w:tcPr>
          <w:p>
            <w:pPr>
              <w:pStyle w:val="TableContents"/>
              <w:bidi w:val="0"/>
              <w:spacing w:before="0" w:after="0"/>
              <w:jc w:val="both"/>
              <w:rPr/>
            </w:pPr>
            <w:r>
              <w:rPr/>
              <w:t xml:space="preserve">The following materials from ADMA Biologics, Inc.’s Form 10-Q for the quarter ended March 31, 2026, formatted in Extensible Business Reporting Language (XBRL): (i) Condensed Consolidated Balance Sheets as of March 31, 2026 (Unaudited) and December 31, 2025, (ii) Unaudited Condensed Consolidated Statements of Operations for the three months ended March 31, 2026 and 2025, (iii) Unaudited Condensed Consolidated Statements of Changes in Stockholders' Equity for the three months ended March 31, 2026 and 2025, (iv) Unaudited Condensed Consolidated Statements of Cash Flows for the three months ended March 31, 2026 and 2025, and (v) Notes to (Unaudited) Condensed Consolidated Financial Statements. </w:t>
            </w:r>
          </w:p>
        </w:tc>
        <w:tc>
          <w:tcPr>
            <w:tcW w:w="193" w:type="dxa"/>
            <w:tcBorders/>
            <w:shd w:fill="CCEEFF" w:val="clear"/>
          </w:tcPr>
          <w:p>
            <w:pPr>
              <w:pStyle w:val="TableContents"/>
              <w:bidi w:val="0"/>
              <w:spacing w:before="0" w:after="283"/>
              <w:jc w:val="left"/>
              <w:rPr>
                <w:sz w:val="4"/>
                <w:szCs w:val="4"/>
              </w:rPr>
            </w:pPr>
            <w:r>
              <w:rPr>
                <w:sz w:val="4"/>
                <w:szCs w:val="4"/>
              </w:rPr>
            </w:r>
          </w:p>
        </w:tc>
      </w:tr>
      <w:tr>
        <w:trPr/>
        <w:tc>
          <w:tcPr>
            <w:tcW w:w="986" w:type="dxa"/>
            <w:gridSpan w:val="2"/>
            <w:tcBorders/>
            <w:vAlign w:val="center"/>
          </w:tcPr>
          <w:p>
            <w:pPr>
              <w:pStyle w:val="TableContents"/>
              <w:bidi w:val="0"/>
              <w:spacing w:before="0" w:after="0"/>
              <w:jc w:val="left"/>
              <w:rPr/>
            </w:pPr>
            <w:r>
              <w:rPr/>
              <w:t xml:space="preserve">104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880" w:type="dxa"/>
            <w:gridSpan w:val="2"/>
            <w:tcBorders/>
            <w:vAlign w:val="center"/>
          </w:tcPr>
          <w:p>
            <w:pPr>
              <w:pStyle w:val="TableContents"/>
              <w:bidi w:val="0"/>
              <w:spacing w:before="0" w:after="0"/>
              <w:jc w:val="left"/>
              <w:rPr/>
            </w:pPr>
            <w:r>
              <w:rPr/>
              <w:t xml:space="preserve">Cover Page Interactive Data File (formatted as Inline XBRL and contained in Exhibit 101). </w:t>
            </w:r>
          </w:p>
        </w:tc>
        <w:tc>
          <w:tcPr>
            <w:tcW w:w="193"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t xml:space="preserve">  </w:t>
      </w:r>
    </w:p>
    <w:p>
      <w:pPr>
        <w:pStyle w:val="TextBody"/>
        <w:bidi w:val="0"/>
        <w:spacing w:before="0" w:after="0"/>
        <w:jc w:val="left"/>
        <w:rPr>
          <w:rFonts w:ascii="Times New Roman" w:hAnsi="Times New Roman"/>
          <w:sz w:val="20"/>
        </w:rPr>
      </w:pPr>
      <w:r>
        <w:rPr>
          <w:rFonts w:ascii="Times New Roman" w:hAnsi="Times New Roman"/>
          <w:sz w:val="20"/>
        </w:rPr>
        <w:t xml:space="preserve">____________________________ </w:t>
      </w:r>
    </w:p>
    <w:p>
      <w:pPr>
        <w:pStyle w:val="TextBody"/>
        <w:bidi w:val="0"/>
        <w:spacing w:before="0" w:after="0"/>
        <w:jc w:val="left"/>
        <w:rPr>
          <w:rFonts w:ascii="Times New Roman" w:hAnsi="Times New Roman"/>
          <w:sz w:val="20"/>
        </w:rPr>
      </w:pPr>
      <w:r>
        <w:rPr>
          <w:rFonts w:ascii="Times New Roman" w:hAnsi="Times New Roman"/>
          <w:sz w:val="20"/>
        </w:rPr>
        <w:t xml:space="preserve">* Filed herewith. </w:t>
      </w:r>
    </w:p>
    <w:p>
      <w:pPr>
        <w:pStyle w:val="TextBody"/>
        <w:bidi w:val="0"/>
        <w:spacing w:before="0" w:after="0"/>
        <w:jc w:val="left"/>
        <w:rPr/>
      </w:pPr>
      <w:r>
        <w:rPr/>
        <w:t xml:space="preserve">  </w:t>
      </w:r>
    </w:p>
    <w:p>
      <w:pPr>
        <w:pStyle w:val="TextBody"/>
        <w:bidi w:val="0"/>
        <w:spacing w:before="0" w:after="0"/>
        <w:jc w:val="left"/>
        <w:rPr>
          <w:rFonts w:ascii="Times New Roman" w:hAnsi="Times New Roman"/>
          <w:sz w:val="20"/>
        </w:rPr>
      </w:pPr>
      <w:r>
        <w:rPr>
          <w:rFonts w:ascii="Times New Roman" w:hAnsi="Times New Roman"/>
          <w:sz w:val="20"/>
        </w:rPr>
        <w:t xml:space="preserve">** In accordance with SEC Release 33-8238, Exhibit 32.1 and Exhibit 32.2 are being furnished and not filed. </w:t>
      </w:r>
    </w:p>
    <w:p>
      <w:pPr>
        <w:pStyle w:val="TextBody"/>
        <w:bidi w:val="0"/>
        <w:spacing w:before="0" w:after="0"/>
        <w:jc w:val="left"/>
        <w:rPr/>
      </w:pPr>
      <w:r>
        <w:rPr/>
        <w:t xml:space="preserve">  </w:t>
      </w:r>
    </w:p>
    <w:p>
      <w:pPr>
        <w:pStyle w:val="TextBody"/>
        <w:bidi w:val="0"/>
        <w:spacing w:before="150" w:after="15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t>63</w:t>
      </w:r>
    </w:p>
    <w:p>
      <w:pPr>
        <w:pStyle w:val="HorizontalLine"/>
        <w:bidi w:val="0"/>
        <w:spacing w:before="150" w:after="150"/>
        <w:jc w:val="left"/>
        <w:rPr/>
      </w:pPr>
      <w:r>
        <w:rPr/>
      </w:r>
    </w:p>
    <w:p>
      <w:pPr>
        <w:pStyle w:val="TextBody"/>
        <w:bidi w:val="0"/>
        <w:spacing w:before="150" w:after="150"/>
        <w:jc w:val="left"/>
        <w:rPr/>
      </w:pPr>
      <w:hyperlink w:anchor="index">
        <w:r>
          <w:rPr>
            <w:rStyle w:val="InternetLink"/>
            <w:rFonts w:ascii="TimesNewRoman;Times New Roman;Times;Baskerville;Georgia;serif" w:hAnsi="TimesNewRoman;Times New Roman;Times;Baskerville;Georgia;serif"/>
            <w:b w:val="false"/>
            <w:i/>
            <w:caps w:val="false"/>
            <w:smallCaps w:val="false"/>
            <w:strike w:val="false"/>
            <w:dstrike w:val="false"/>
            <w:sz w:val="16"/>
            <w:u w:val="none"/>
            <w:effect w:val="none"/>
          </w:rPr>
          <w:t>Index</w:t>
        </w:r>
      </w:hyperlink>
    </w:p>
    <w:p>
      <w:pPr>
        <w:pStyle w:val="TextBody"/>
        <w:bidi w:val="0"/>
        <w:spacing w:before="0" w:after="0"/>
        <w:jc w:val="center"/>
        <w:rPr>
          <w:rFonts w:ascii="Times New Roman" w:hAnsi="Times New Roman"/>
          <w:b/>
          <w:sz w:val="20"/>
        </w:rPr>
      </w:pPr>
      <w:bookmarkStart w:id="21" w:name="sg"/>
      <w:bookmarkEnd w:id="21"/>
      <w:r>
        <w:rPr>
          <w:rFonts w:ascii="Times New Roman" w:hAnsi="Times New Roman"/>
          <w:b/>
          <w:sz w:val="20"/>
        </w:rPr>
        <w:t xml:space="preserve">SIGNATURES </w:t>
      </w:r>
    </w:p>
    <w:p>
      <w:pPr>
        <w:pStyle w:val="TextBody"/>
        <w:bidi w:val="0"/>
        <w:spacing w:before="0" w:after="0"/>
        <w:jc w:val="center"/>
        <w:rPr/>
      </w:pPr>
      <w:r>
        <w:rPr/>
        <w:t xml:space="preserve">  </w:t>
      </w:r>
    </w:p>
    <w:p>
      <w:pPr>
        <w:pStyle w:val="TextBody"/>
        <w:bidi w:val="0"/>
        <w:spacing w:before="0" w:after="0"/>
        <w:ind w:left="0" w:right="0" w:firstLine="720"/>
        <w:jc w:val="left"/>
        <w:rPr>
          <w:rFonts w:ascii="Times New Roman" w:hAnsi="Times New Roman"/>
          <w:sz w:val="20"/>
        </w:rPr>
      </w:pPr>
      <w:r>
        <w:rPr>
          <w:rFonts w:ascii="Times New Roman" w:hAnsi="Times New Roman"/>
          <w:sz w:val="20"/>
        </w:rPr>
        <w:t xml:space="preserve">Pursuant to the requirements of the Securities Exchange Act of 1934, the registrant has duly caused this report to be signed on its behalf by the undersigned thereunto duly authorized. </w:t>
      </w:r>
    </w:p>
    <w:p>
      <w:pPr>
        <w:pStyle w:val="TextBody"/>
        <w:bidi w:val="0"/>
        <w:spacing w:before="0" w:after="0"/>
        <w:jc w:val="left"/>
        <w:rPr/>
      </w:pPr>
      <w:r>
        <w:rPr/>
        <w:t xml:space="preserve">  </w:t>
      </w:r>
    </w:p>
    <w:tbl>
      <w:tblPr>
        <w:tblW w:w="7234" w:type="dxa"/>
        <w:jc w:val="left"/>
        <w:tblInd w:w="0" w:type="dxa"/>
        <w:tblLayout w:type="fixed"/>
        <w:tblCellMar>
          <w:top w:w="28" w:type="dxa"/>
          <w:left w:w="28" w:type="dxa"/>
          <w:bottom w:w="28" w:type="dxa"/>
          <w:right w:w="28" w:type="dxa"/>
        </w:tblCellMar>
      </w:tblPr>
      <w:tblGrid>
        <w:gridCol w:w="2116"/>
        <w:gridCol w:w="511"/>
        <w:gridCol w:w="796"/>
        <w:gridCol w:w="3811"/>
      </w:tblGrid>
      <w:tr>
        <w:trPr/>
        <w:tc>
          <w:tcPr>
            <w:tcW w:w="2116" w:type="dxa"/>
            <w:tcBorders/>
            <w:vAlign w:val="center"/>
          </w:tcPr>
          <w:p>
            <w:pPr>
              <w:pStyle w:val="TableContents"/>
              <w:bidi w:val="0"/>
              <w:spacing w:before="0" w:after="283"/>
              <w:jc w:val="left"/>
              <w:rPr/>
            </w:pPr>
            <w:r>
              <w:rPr/>
              <w:t> </w:t>
            </w:r>
          </w:p>
        </w:tc>
        <w:tc>
          <w:tcPr>
            <w:tcW w:w="511" w:type="dxa"/>
            <w:tcBorders/>
            <w:vAlign w:val="center"/>
          </w:tcPr>
          <w:p>
            <w:pPr>
              <w:pStyle w:val="TableContents"/>
              <w:bidi w:val="0"/>
              <w:spacing w:before="0" w:after="283"/>
              <w:jc w:val="left"/>
              <w:rPr/>
            </w:pPr>
            <w:r>
              <w:rPr/>
              <w:t> </w:t>
            </w:r>
          </w:p>
        </w:tc>
        <w:tc>
          <w:tcPr>
            <w:tcW w:w="796" w:type="dxa"/>
            <w:tcBorders/>
            <w:vAlign w:val="center"/>
          </w:tcPr>
          <w:p>
            <w:pPr>
              <w:pStyle w:val="TableContents"/>
              <w:bidi w:val="0"/>
              <w:spacing w:before="0" w:after="283"/>
              <w:jc w:val="left"/>
              <w:rPr/>
            </w:pPr>
            <w:r>
              <w:rPr/>
              <w:t> </w:t>
            </w:r>
          </w:p>
        </w:tc>
        <w:tc>
          <w:tcPr>
            <w:tcW w:w="3811" w:type="dxa"/>
            <w:tcBorders/>
            <w:vAlign w:val="center"/>
          </w:tcPr>
          <w:p>
            <w:pPr>
              <w:pStyle w:val="TableContents"/>
              <w:bidi w:val="0"/>
              <w:spacing w:before="0" w:after="283"/>
              <w:jc w:val="left"/>
              <w:rPr/>
            </w:pPr>
            <w:r>
              <w:rPr/>
              <w:t> </w:t>
            </w:r>
          </w:p>
        </w:tc>
      </w:tr>
      <w:tr>
        <w:trPr/>
        <w:tc>
          <w:tcPr>
            <w:tcW w:w="2116" w:type="dxa"/>
            <w:tcBorders/>
            <w:tcMar>
              <w:top w:w="0" w:type="dxa"/>
              <w:left w:w="0" w:type="dxa"/>
              <w:bottom w:w="0" w:type="dxa"/>
              <w:right w:w="0" w:type="dxa"/>
            </w:tcMar>
            <w:vAlign w:val="center"/>
          </w:tcPr>
          <w:p>
            <w:pPr>
              <w:pStyle w:val="TableContents"/>
              <w:bidi w:val="0"/>
              <w:spacing w:before="0" w:after="283"/>
              <w:jc w:val="both"/>
              <w:rPr/>
            </w:pPr>
            <w:r>
              <w:rPr/>
              <w:t> </w:t>
            </w:r>
          </w:p>
        </w:tc>
        <w:tc>
          <w:tcPr>
            <w:tcW w:w="5118" w:type="dxa"/>
            <w:gridSpan w:val="3"/>
            <w:tcBorders/>
            <w:tcMar>
              <w:top w:w="0" w:type="dxa"/>
              <w:left w:w="0" w:type="dxa"/>
              <w:bottom w:w="0" w:type="dxa"/>
              <w:right w:w="0" w:type="dxa"/>
            </w:tcMar>
            <w:vAlign w:val="center"/>
          </w:tcPr>
          <w:p>
            <w:pPr>
              <w:pStyle w:val="TableContents"/>
              <w:bidi w:val="0"/>
              <w:spacing w:before="0" w:after="283"/>
              <w:jc w:val="both"/>
              <w:rPr/>
            </w:pPr>
            <w:r>
              <w:rPr>
                <w:b/>
              </w:rPr>
              <w:t>ADMA Biologics, Inc.</w:t>
            </w:r>
            <w:r>
              <w:rPr/>
              <w:t xml:space="preserve"> </w:t>
            </w:r>
          </w:p>
        </w:tc>
      </w:tr>
      <w:tr>
        <w:trPr/>
        <w:tc>
          <w:tcPr>
            <w:tcW w:w="2116" w:type="dxa"/>
            <w:tcBorders/>
            <w:tcMar>
              <w:top w:w="0" w:type="dxa"/>
              <w:left w:w="0" w:type="dxa"/>
              <w:bottom w:w="0" w:type="dxa"/>
              <w:right w:w="0" w:type="dxa"/>
            </w:tcMar>
            <w:vAlign w:val="center"/>
          </w:tcPr>
          <w:p>
            <w:pPr>
              <w:pStyle w:val="TableContents"/>
              <w:bidi w:val="0"/>
              <w:spacing w:before="0" w:after="283"/>
              <w:jc w:val="both"/>
              <w:rPr/>
            </w:pPr>
            <w:r>
              <w:rPr/>
              <w:t> </w:t>
            </w:r>
          </w:p>
        </w:tc>
        <w:tc>
          <w:tcPr>
            <w:tcW w:w="5118" w:type="dxa"/>
            <w:gridSpan w:val="3"/>
            <w:tcBorders/>
            <w:tcMar>
              <w:top w:w="0" w:type="dxa"/>
              <w:left w:w="0" w:type="dxa"/>
              <w:bottom w:w="0" w:type="dxa"/>
              <w:right w:w="0" w:type="dxa"/>
            </w:tcMar>
            <w:vAlign w:val="center"/>
          </w:tcPr>
          <w:p>
            <w:pPr>
              <w:pStyle w:val="TableContents"/>
              <w:bidi w:val="0"/>
              <w:spacing w:before="0" w:after="283"/>
              <w:jc w:val="both"/>
              <w:rPr/>
            </w:pPr>
            <w:r>
              <w:rPr/>
              <w:t> </w:t>
            </w:r>
          </w:p>
        </w:tc>
      </w:tr>
      <w:tr>
        <w:trPr/>
        <w:tc>
          <w:tcPr>
            <w:tcW w:w="2116" w:type="dxa"/>
            <w:tcBorders/>
            <w:tcMar>
              <w:top w:w="0" w:type="dxa"/>
              <w:left w:w="0" w:type="dxa"/>
              <w:bottom w:w="0" w:type="dxa"/>
              <w:right w:w="0" w:type="dxa"/>
            </w:tcMar>
            <w:vAlign w:val="center"/>
          </w:tcPr>
          <w:p>
            <w:pPr>
              <w:pStyle w:val="TableContents"/>
              <w:bidi w:val="0"/>
              <w:spacing w:before="0" w:after="0"/>
              <w:jc w:val="both"/>
              <w:rPr/>
            </w:pPr>
            <w:r>
              <w:rPr/>
              <w:t xml:space="preserve">May 6, 2026 </w:t>
            </w:r>
            <w:r>
              <mc:AlternateContent>
                <mc:Choice Requires="wps">
                  <w:drawing>
                    <wp:anchor behindDoc="0" distT="0" distB="0" distL="0" distR="0" simplePos="0" locked="0" layoutInCell="1" allowOverlap="1" relativeHeight="184">
                      <wp:simplePos x="0" y="0"/>
                      <wp:positionH relativeFrom="column">
                        <wp:align>left</wp:align>
                      </wp:positionH>
                      <wp:positionV relativeFrom="line">
                        <wp:posOffset>635</wp:posOffset>
                      </wp:positionV>
                      <wp:extent cx="457200" cy="175260"/>
                      <wp:effectExtent l="0" t="0" r="0" b="0"/>
                      <wp:wrapSquare wrapText="right"/>
                      <wp:docPr id="183" name="Frame183"/>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 xml:space="preserve">Date: </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 xml:space="preserve">Date: </w:t>
                            </w:r>
                          </w:p>
                        </w:txbxContent>
                      </v:textbox>
                      <w10:wrap type="square" side="right"/>
                    </v:rect>
                  </w:pict>
                </mc:Fallback>
              </mc:AlternateContent>
            </w:r>
          </w:p>
        </w:tc>
        <w:tc>
          <w:tcPr>
            <w:tcW w:w="511" w:type="dxa"/>
            <w:tcBorders/>
            <w:tcMar>
              <w:top w:w="0" w:type="dxa"/>
              <w:left w:w="0" w:type="dxa"/>
              <w:bottom w:w="0" w:type="dxa"/>
              <w:right w:w="0" w:type="dxa"/>
            </w:tcMar>
            <w:vAlign w:val="center"/>
          </w:tcPr>
          <w:p>
            <w:pPr>
              <w:pStyle w:val="TableContents"/>
              <w:bidi w:val="0"/>
              <w:spacing w:before="0" w:after="283"/>
              <w:jc w:val="both"/>
              <w:rPr/>
            </w:pPr>
            <w:r>
              <w:rPr/>
              <w:t xml:space="preserve">By: </w:t>
            </w:r>
          </w:p>
        </w:tc>
        <w:tc>
          <w:tcPr>
            <w:tcW w:w="4607" w:type="dxa"/>
            <w:gridSpan w:val="2"/>
            <w:tcBorders/>
            <w:tcMar>
              <w:top w:w="0" w:type="dxa"/>
              <w:left w:w="0" w:type="dxa"/>
              <w:bottom w:w="0" w:type="dxa"/>
              <w:right w:w="0" w:type="dxa"/>
            </w:tcMar>
            <w:vAlign w:val="center"/>
          </w:tcPr>
          <w:p>
            <w:pPr>
              <w:pStyle w:val="TableContents"/>
              <w:bidi w:val="0"/>
              <w:spacing w:before="0" w:after="0"/>
              <w:jc w:val="both"/>
              <w:rPr>
                <w:bdr w:val="single" w:sz="8" w:space="1" w:color="000000"/>
              </w:rPr>
            </w:pPr>
            <w:r>
              <w:rPr>
                <w:bdr w:val="single" w:sz="8" w:space="1" w:color="000000"/>
              </w:rPr>
              <w:t xml:space="preserve">/s/ Adam S. Grossman </w:t>
            </w:r>
          </w:p>
        </w:tc>
      </w:tr>
      <w:tr>
        <w:trPr/>
        <w:tc>
          <w:tcPr>
            <w:tcW w:w="2116" w:type="dxa"/>
            <w:tcBorders/>
            <w:tcMar>
              <w:top w:w="0" w:type="dxa"/>
              <w:left w:w="0" w:type="dxa"/>
              <w:bottom w:w="0" w:type="dxa"/>
              <w:right w:w="0" w:type="dxa"/>
            </w:tcMar>
            <w:vAlign w:val="center"/>
          </w:tcPr>
          <w:p>
            <w:pPr>
              <w:pStyle w:val="TableContents"/>
              <w:bidi w:val="0"/>
              <w:spacing w:before="0" w:after="283"/>
              <w:jc w:val="both"/>
              <w:rPr/>
            </w:pPr>
            <w:r>
              <w:rPr/>
              <w:t> </w:t>
            </w:r>
          </w:p>
        </w:tc>
        <w:tc>
          <w:tcPr>
            <w:tcW w:w="511" w:type="dxa"/>
            <w:tcBorders/>
            <w:tcMar>
              <w:top w:w="0" w:type="dxa"/>
              <w:left w:w="0" w:type="dxa"/>
              <w:bottom w:w="0" w:type="dxa"/>
              <w:right w:w="0" w:type="dxa"/>
            </w:tcMar>
            <w:vAlign w:val="center"/>
          </w:tcPr>
          <w:p>
            <w:pPr>
              <w:pStyle w:val="TableContents"/>
              <w:bidi w:val="0"/>
              <w:spacing w:before="0" w:after="283"/>
              <w:jc w:val="both"/>
              <w:rPr/>
            </w:pPr>
            <w:r>
              <w:rPr/>
              <w:t> </w:t>
            </w:r>
          </w:p>
        </w:tc>
        <w:tc>
          <w:tcPr>
            <w:tcW w:w="796" w:type="dxa"/>
            <w:tcBorders/>
            <w:tcMar>
              <w:top w:w="0" w:type="dxa"/>
              <w:left w:w="0" w:type="dxa"/>
              <w:bottom w:w="0" w:type="dxa"/>
              <w:right w:w="0" w:type="dxa"/>
            </w:tcMar>
            <w:vAlign w:val="center"/>
          </w:tcPr>
          <w:p>
            <w:pPr>
              <w:pStyle w:val="TableContents"/>
              <w:bidi w:val="0"/>
              <w:spacing w:before="0" w:after="283"/>
              <w:jc w:val="both"/>
              <w:rPr/>
            </w:pPr>
            <w:r>
              <w:rPr/>
              <w:t xml:space="preserve">Name: </w:t>
            </w:r>
          </w:p>
        </w:tc>
        <w:tc>
          <w:tcPr>
            <w:tcW w:w="3811" w:type="dxa"/>
            <w:tcBorders/>
            <w:tcMar>
              <w:top w:w="0" w:type="dxa"/>
              <w:left w:w="0" w:type="dxa"/>
              <w:bottom w:w="0" w:type="dxa"/>
              <w:right w:w="0" w:type="dxa"/>
            </w:tcMar>
            <w:vAlign w:val="center"/>
          </w:tcPr>
          <w:p>
            <w:pPr>
              <w:pStyle w:val="TableContents"/>
              <w:bidi w:val="0"/>
              <w:spacing w:before="0" w:after="283"/>
              <w:jc w:val="both"/>
              <w:rPr/>
            </w:pPr>
            <w:r>
              <w:rPr/>
              <w:t xml:space="preserve">Adam S. Grossman </w:t>
            </w:r>
          </w:p>
        </w:tc>
      </w:tr>
      <w:tr>
        <w:trPr/>
        <w:tc>
          <w:tcPr>
            <w:tcW w:w="2116" w:type="dxa"/>
            <w:tcBorders/>
            <w:tcMar>
              <w:top w:w="0" w:type="dxa"/>
              <w:left w:w="0" w:type="dxa"/>
              <w:bottom w:w="0" w:type="dxa"/>
              <w:right w:w="0" w:type="dxa"/>
            </w:tcMar>
            <w:vAlign w:val="center"/>
          </w:tcPr>
          <w:p>
            <w:pPr>
              <w:pStyle w:val="TableContents"/>
              <w:bidi w:val="0"/>
              <w:spacing w:before="0" w:after="283"/>
              <w:jc w:val="both"/>
              <w:rPr/>
            </w:pPr>
            <w:r>
              <w:rPr/>
              <w:t> </w:t>
            </w:r>
          </w:p>
        </w:tc>
        <w:tc>
          <w:tcPr>
            <w:tcW w:w="511" w:type="dxa"/>
            <w:tcBorders/>
            <w:tcMar>
              <w:top w:w="0" w:type="dxa"/>
              <w:left w:w="0" w:type="dxa"/>
              <w:bottom w:w="0" w:type="dxa"/>
              <w:right w:w="0" w:type="dxa"/>
            </w:tcMar>
            <w:vAlign w:val="center"/>
          </w:tcPr>
          <w:p>
            <w:pPr>
              <w:pStyle w:val="TableContents"/>
              <w:bidi w:val="0"/>
              <w:spacing w:before="0" w:after="283"/>
              <w:jc w:val="both"/>
              <w:rPr/>
            </w:pPr>
            <w:r>
              <w:rPr/>
              <w:t> </w:t>
            </w:r>
          </w:p>
        </w:tc>
        <w:tc>
          <w:tcPr>
            <w:tcW w:w="796" w:type="dxa"/>
            <w:tcBorders/>
            <w:tcMar>
              <w:top w:w="0" w:type="dxa"/>
              <w:left w:w="0" w:type="dxa"/>
              <w:bottom w:w="0" w:type="dxa"/>
              <w:right w:w="0" w:type="dxa"/>
            </w:tcMar>
            <w:vAlign w:val="center"/>
          </w:tcPr>
          <w:p>
            <w:pPr>
              <w:pStyle w:val="TableContents"/>
              <w:bidi w:val="0"/>
              <w:spacing w:before="0" w:after="283"/>
              <w:jc w:val="both"/>
              <w:rPr/>
            </w:pPr>
            <w:r>
              <w:rPr/>
              <w:t xml:space="preserve">Title: </w:t>
            </w:r>
          </w:p>
        </w:tc>
        <w:tc>
          <w:tcPr>
            <w:tcW w:w="3811" w:type="dxa"/>
            <w:tcBorders/>
            <w:tcMar>
              <w:top w:w="0" w:type="dxa"/>
              <w:left w:w="0" w:type="dxa"/>
              <w:bottom w:w="0" w:type="dxa"/>
              <w:right w:w="0" w:type="dxa"/>
            </w:tcMar>
            <w:vAlign w:val="center"/>
          </w:tcPr>
          <w:p>
            <w:pPr>
              <w:pStyle w:val="TableContents"/>
              <w:bidi w:val="0"/>
              <w:spacing w:before="0" w:after="283"/>
              <w:jc w:val="both"/>
              <w:rPr/>
            </w:pPr>
            <w:r>
              <w:rPr/>
              <w:t xml:space="preserve">President and Chief Executive Officer </w:t>
            </w:r>
          </w:p>
        </w:tc>
      </w:tr>
      <w:tr>
        <w:trPr/>
        <w:tc>
          <w:tcPr>
            <w:tcW w:w="2116" w:type="dxa"/>
            <w:tcBorders/>
            <w:tcMar>
              <w:top w:w="0" w:type="dxa"/>
              <w:left w:w="0" w:type="dxa"/>
              <w:bottom w:w="0" w:type="dxa"/>
              <w:right w:w="0" w:type="dxa"/>
            </w:tcMar>
            <w:vAlign w:val="center"/>
          </w:tcPr>
          <w:p>
            <w:pPr>
              <w:pStyle w:val="TableContents"/>
              <w:bidi w:val="0"/>
              <w:spacing w:before="0" w:after="283"/>
              <w:jc w:val="both"/>
              <w:rPr/>
            </w:pPr>
            <w:r>
              <w:rPr/>
              <w:t> </w:t>
            </w:r>
          </w:p>
        </w:tc>
        <w:tc>
          <w:tcPr>
            <w:tcW w:w="511" w:type="dxa"/>
            <w:tcBorders/>
            <w:tcMar>
              <w:top w:w="0" w:type="dxa"/>
              <w:left w:w="0" w:type="dxa"/>
              <w:bottom w:w="0" w:type="dxa"/>
              <w:right w:w="0" w:type="dxa"/>
            </w:tcMar>
            <w:vAlign w:val="center"/>
          </w:tcPr>
          <w:p>
            <w:pPr>
              <w:pStyle w:val="TableContents"/>
              <w:bidi w:val="0"/>
              <w:spacing w:before="0" w:after="283"/>
              <w:jc w:val="both"/>
              <w:rPr/>
            </w:pPr>
            <w:r>
              <w:rPr/>
              <w:t> </w:t>
            </w:r>
          </w:p>
        </w:tc>
        <w:tc>
          <w:tcPr>
            <w:tcW w:w="796" w:type="dxa"/>
            <w:tcBorders/>
            <w:tcMar>
              <w:top w:w="0" w:type="dxa"/>
              <w:left w:w="0" w:type="dxa"/>
              <w:bottom w:w="0" w:type="dxa"/>
              <w:right w:w="0" w:type="dxa"/>
            </w:tcMar>
            <w:vAlign w:val="center"/>
          </w:tcPr>
          <w:p>
            <w:pPr>
              <w:pStyle w:val="TableContents"/>
              <w:bidi w:val="0"/>
              <w:spacing w:before="0" w:after="283"/>
              <w:jc w:val="both"/>
              <w:rPr/>
            </w:pPr>
            <w:r>
              <w:rPr/>
              <w:t> </w:t>
            </w:r>
          </w:p>
        </w:tc>
        <w:tc>
          <w:tcPr>
            <w:tcW w:w="3811" w:type="dxa"/>
            <w:tcBorders/>
            <w:tcMar>
              <w:top w:w="0" w:type="dxa"/>
              <w:left w:w="0" w:type="dxa"/>
              <w:bottom w:w="0" w:type="dxa"/>
              <w:right w:w="0" w:type="dxa"/>
            </w:tcMar>
            <w:vAlign w:val="center"/>
          </w:tcPr>
          <w:p>
            <w:pPr>
              <w:pStyle w:val="TableContents"/>
              <w:bidi w:val="0"/>
              <w:spacing w:before="0" w:after="283"/>
              <w:jc w:val="both"/>
              <w:rPr/>
            </w:pPr>
            <w:r>
              <w:rPr/>
              <w:t> </w:t>
            </w:r>
          </w:p>
        </w:tc>
      </w:tr>
      <w:tr>
        <w:trPr/>
        <w:tc>
          <w:tcPr>
            <w:tcW w:w="2116" w:type="dxa"/>
            <w:tcBorders/>
            <w:tcMar>
              <w:top w:w="0" w:type="dxa"/>
              <w:left w:w="0" w:type="dxa"/>
              <w:bottom w:w="0" w:type="dxa"/>
              <w:right w:w="0" w:type="dxa"/>
            </w:tcMar>
            <w:vAlign w:val="center"/>
          </w:tcPr>
          <w:p>
            <w:pPr>
              <w:pStyle w:val="TableContents"/>
              <w:bidi w:val="0"/>
              <w:spacing w:before="0" w:after="0"/>
              <w:jc w:val="both"/>
              <w:rPr/>
            </w:pPr>
            <w:r>
              <w:rPr/>
              <w:t xml:space="preserve">May 6, 2026 </w:t>
            </w:r>
            <w:r>
              <mc:AlternateContent>
                <mc:Choice Requires="wps">
                  <w:drawing>
                    <wp:anchor behindDoc="0" distT="0" distB="0" distL="0" distR="0" simplePos="0" locked="0" layoutInCell="1" allowOverlap="1" relativeHeight="185">
                      <wp:simplePos x="0" y="0"/>
                      <wp:positionH relativeFrom="column">
                        <wp:align>left</wp:align>
                      </wp:positionH>
                      <wp:positionV relativeFrom="line">
                        <wp:posOffset>635</wp:posOffset>
                      </wp:positionV>
                      <wp:extent cx="457200" cy="175260"/>
                      <wp:effectExtent l="0" t="0" r="0" b="0"/>
                      <wp:wrapSquare wrapText="right"/>
                      <wp:docPr id="184" name="Frame184"/>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 xml:space="preserve">Date: </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 xml:space="preserve">Date: </w:t>
                            </w:r>
                          </w:p>
                        </w:txbxContent>
                      </v:textbox>
                      <w10:wrap type="square" side="right"/>
                    </v:rect>
                  </w:pict>
                </mc:Fallback>
              </mc:AlternateContent>
            </w:r>
          </w:p>
        </w:tc>
        <w:tc>
          <w:tcPr>
            <w:tcW w:w="511" w:type="dxa"/>
            <w:tcBorders/>
            <w:tcMar>
              <w:top w:w="0" w:type="dxa"/>
              <w:left w:w="0" w:type="dxa"/>
              <w:bottom w:w="0" w:type="dxa"/>
              <w:right w:w="0" w:type="dxa"/>
            </w:tcMar>
            <w:vAlign w:val="center"/>
          </w:tcPr>
          <w:p>
            <w:pPr>
              <w:pStyle w:val="TableContents"/>
              <w:bidi w:val="0"/>
              <w:spacing w:before="0" w:after="283"/>
              <w:jc w:val="both"/>
              <w:rPr/>
            </w:pPr>
            <w:r>
              <w:rPr/>
              <w:t xml:space="preserve">By: </w:t>
            </w:r>
          </w:p>
        </w:tc>
        <w:tc>
          <w:tcPr>
            <w:tcW w:w="4607" w:type="dxa"/>
            <w:gridSpan w:val="2"/>
            <w:tcBorders>
              <w:bottom w:val="single" w:sz="8" w:space="0" w:color="000000"/>
            </w:tcBorders>
            <w:tcMar>
              <w:top w:w="0" w:type="dxa"/>
              <w:left w:w="0" w:type="dxa"/>
              <w:right w:w="0" w:type="dxa"/>
            </w:tcMar>
            <w:vAlign w:val="center"/>
          </w:tcPr>
          <w:p>
            <w:pPr>
              <w:pStyle w:val="TableContents"/>
              <w:bidi w:val="0"/>
              <w:spacing w:before="0" w:after="283"/>
              <w:jc w:val="both"/>
              <w:rPr/>
            </w:pPr>
            <w:r>
              <w:rPr/>
              <w:t xml:space="preserve">/s/ Paul Terence Kohler, Jr. </w:t>
            </w:r>
          </w:p>
        </w:tc>
      </w:tr>
      <w:tr>
        <w:trPr/>
        <w:tc>
          <w:tcPr>
            <w:tcW w:w="2116" w:type="dxa"/>
            <w:tcBorders/>
            <w:tcMar>
              <w:top w:w="0" w:type="dxa"/>
              <w:left w:w="0" w:type="dxa"/>
              <w:bottom w:w="0" w:type="dxa"/>
              <w:right w:w="0" w:type="dxa"/>
            </w:tcMar>
            <w:vAlign w:val="center"/>
          </w:tcPr>
          <w:p>
            <w:pPr>
              <w:pStyle w:val="TableContents"/>
              <w:bidi w:val="0"/>
              <w:spacing w:before="0" w:after="283"/>
              <w:jc w:val="both"/>
              <w:rPr/>
            </w:pPr>
            <w:r>
              <w:rPr/>
              <w:t> </w:t>
            </w:r>
          </w:p>
        </w:tc>
        <w:tc>
          <w:tcPr>
            <w:tcW w:w="511" w:type="dxa"/>
            <w:tcBorders/>
            <w:tcMar>
              <w:top w:w="0" w:type="dxa"/>
              <w:left w:w="0" w:type="dxa"/>
              <w:bottom w:w="0" w:type="dxa"/>
              <w:right w:w="0" w:type="dxa"/>
            </w:tcMar>
            <w:vAlign w:val="center"/>
          </w:tcPr>
          <w:p>
            <w:pPr>
              <w:pStyle w:val="TableContents"/>
              <w:bidi w:val="0"/>
              <w:spacing w:before="0" w:after="283"/>
              <w:jc w:val="both"/>
              <w:rPr/>
            </w:pPr>
            <w:r>
              <w:rPr/>
              <w:t> </w:t>
            </w:r>
          </w:p>
        </w:tc>
        <w:tc>
          <w:tcPr>
            <w:tcW w:w="796" w:type="dxa"/>
            <w:tcBorders>
              <w:top w:val="single" w:sz="8" w:space="0" w:color="000000"/>
            </w:tcBorders>
            <w:tcMar>
              <w:left w:w="0" w:type="dxa"/>
              <w:bottom w:w="0" w:type="dxa"/>
              <w:right w:w="0" w:type="dxa"/>
            </w:tcMar>
            <w:vAlign w:val="center"/>
          </w:tcPr>
          <w:p>
            <w:pPr>
              <w:pStyle w:val="TableContents"/>
              <w:bidi w:val="0"/>
              <w:spacing w:before="0" w:after="283"/>
              <w:jc w:val="both"/>
              <w:rPr/>
            </w:pPr>
            <w:r>
              <w:rPr/>
              <w:t xml:space="preserve">Name: </w:t>
            </w:r>
          </w:p>
        </w:tc>
        <w:tc>
          <w:tcPr>
            <w:tcW w:w="3811" w:type="dxa"/>
            <w:tcBorders>
              <w:top w:val="single" w:sz="8" w:space="0" w:color="000000"/>
            </w:tcBorders>
            <w:tcMar>
              <w:left w:w="0" w:type="dxa"/>
              <w:bottom w:w="0" w:type="dxa"/>
              <w:right w:w="0" w:type="dxa"/>
            </w:tcMar>
            <w:vAlign w:val="center"/>
          </w:tcPr>
          <w:p>
            <w:pPr>
              <w:pStyle w:val="TableContents"/>
              <w:bidi w:val="0"/>
              <w:spacing w:before="0" w:after="283"/>
              <w:jc w:val="both"/>
              <w:rPr/>
            </w:pPr>
            <w:r>
              <w:rPr/>
              <w:t xml:space="preserve">Paul Terence Kohler, Jr. </w:t>
            </w:r>
          </w:p>
        </w:tc>
      </w:tr>
      <w:tr>
        <w:trPr/>
        <w:tc>
          <w:tcPr>
            <w:tcW w:w="2116" w:type="dxa"/>
            <w:tcBorders/>
            <w:tcMar>
              <w:top w:w="0" w:type="dxa"/>
              <w:left w:w="0" w:type="dxa"/>
              <w:bottom w:w="0" w:type="dxa"/>
              <w:right w:w="0" w:type="dxa"/>
            </w:tcMar>
            <w:vAlign w:val="center"/>
          </w:tcPr>
          <w:p>
            <w:pPr>
              <w:pStyle w:val="TableContents"/>
              <w:bidi w:val="0"/>
              <w:spacing w:before="0" w:after="283"/>
              <w:jc w:val="both"/>
              <w:rPr/>
            </w:pPr>
            <w:r>
              <w:rPr/>
              <w:t> </w:t>
            </w:r>
          </w:p>
        </w:tc>
        <w:tc>
          <w:tcPr>
            <w:tcW w:w="511" w:type="dxa"/>
            <w:tcBorders/>
            <w:tcMar>
              <w:top w:w="0" w:type="dxa"/>
              <w:left w:w="0" w:type="dxa"/>
              <w:bottom w:w="0" w:type="dxa"/>
              <w:right w:w="0" w:type="dxa"/>
            </w:tcMar>
            <w:vAlign w:val="center"/>
          </w:tcPr>
          <w:p>
            <w:pPr>
              <w:pStyle w:val="TableContents"/>
              <w:bidi w:val="0"/>
              <w:spacing w:before="0" w:after="283"/>
              <w:jc w:val="both"/>
              <w:rPr/>
            </w:pPr>
            <w:r>
              <w:rPr/>
              <w:t> </w:t>
            </w:r>
          </w:p>
        </w:tc>
        <w:tc>
          <w:tcPr>
            <w:tcW w:w="796" w:type="dxa"/>
            <w:tcBorders/>
            <w:tcMar>
              <w:top w:w="0" w:type="dxa"/>
              <w:left w:w="0" w:type="dxa"/>
              <w:bottom w:w="0" w:type="dxa"/>
              <w:right w:w="0" w:type="dxa"/>
            </w:tcMar>
            <w:vAlign w:val="center"/>
          </w:tcPr>
          <w:p>
            <w:pPr>
              <w:pStyle w:val="TableContents"/>
              <w:bidi w:val="0"/>
              <w:spacing w:before="0" w:after="283"/>
              <w:jc w:val="both"/>
              <w:rPr/>
            </w:pPr>
            <w:r>
              <w:rPr/>
              <w:t xml:space="preserve">Title: </w:t>
            </w:r>
          </w:p>
        </w:tc>
        <w:tc>
          <w:tcPr>
            <w:tcW w:w="3811" w:type="dxa"/>
            <w:tcBorders/>
            <w:tcMar>
              <w:top w:w="0" w:type="dxa"/>
              <w:left w:w="0" w:type="dxa"/>
              <w:bottom w:w="0" w:type="dxa"/>
              <w:right w:w="0" w:type="dxa"/>
            </w:tcMar>
            <w:vAlign w:val="center"/>
          </w:tcPr>
          <w:p>
            <w:pPr>
              <w:pStyle w:val="TableContents"/>
              <w:bidi w:val="0"/>
              <w:spacing w:before="0" w:after="283"/>
              <w:jc w:val="both"/>
              <w:rPr/>
            </w:pPr>
            <w:r>
              <w:rPr/>
              <w:t xml:space="preserve">Chief Financial Officer </w:t>
            </w:r>
          </w:p>
        </w:tc>
      </w:tr>
    </w:tbl>
    <w:p>
      <w:pPr>
        <w:pStyle w:val="TextBody"/>
        <w:bidi w:val="0"/>
        <w:spacing w:before="0" w:after="0"/>
        <w:jc w:val="left"/>
        <w:rPr/>
      </w:pPr>
      <w:r>
        <w:rPr/>
        <w:t xml:space="preserve">  </w:t>
      </w:r>
    </w:p>
    <w:p>
      <w:pPr>
        <w:pStyle w:val="TextBody"/>
        <w:bidi w:val="0"/>
        <w:spacing w:before="0" w:after="0"/>
        <w:jc w:val="both"/>
        <w:rPr/>
      </w:pPr>
      <w:r>
        <w:rPr/>
        <w:t> </w:t>
      </w:r>
    </w:p>
    <w:p>
      <w:pPr>
        <w:pStyle w:val="TextBody"/>
        <w:bidi w:val="0"/>
        <w:spacing w:before="0" w:after="0"/>
        <w:jc w:val="center"/>
        <w:rPr>
          <w:rFonts w:ascii="Times New Roman" w:hAnsi="Times New Roman"/>
          <w:sz w:val="16"/>
        </w:rPr>
      </w:pPr>
      <w:r>
        <w:rPr>
          <w:rFonts w:ascii="Times New Roman" w:hAnsi="Times New Roman"/>
          <w:sz w:val="16"/>
        </w:rPr>
        <w:t>64</w:t>
      </w:r>
    </w:p>
    <w:p>
      <w:pPr>
        <w:pStyle w:val="HorizontalLine"/>
        <w:pBdr>
          <w:bottom w:val="double" w:sz="2" w:space="0" w:color="808080"/>
        </w:pBdr>
        <w:bidi w:val="0"/>
        <w:spacing w:before="0" w:after="283"/>
        <w:jc w:val="left"/>
        <w:rPr/>
      </w:pPr>
      <w:r>
        <w:rPr/>
      </w:r>
    </w:p>
    <w:p>
      <w:pPr>
        <w:pStyle w:val="HorizontalLine"/>
        <w:bidi w:val="0"/>
        <w:jc w:val="left"/>
        <w:rPr/>
      </w:pPr>
      <w:r>
        <w:rPr/>
      </w:r>
      <w:bookmarkStart w:id="22" w:name="ef20070429_ex31-1.htm"/>
      <w:bookmarkStart w:id="23" w:name="ksef20070429_ex311"/>
      <w:bookmarkStart w:id="24" w:name="ef20070429_ex31-1.htm"/>
      <w:bookmarkStart w:id="25" w:name="ksef20070429_ex311"/>
      <w:bookmarkEnd w:id="24"/>
      <w:bookmarkEnd w:id="25"/>
      <w:r>
        <w:br w:type="page"/>
      </w:r>
    </w:p>
    <w:p>
      <w:pPr>
        <w:pStyle w:val="TextBody"/>
        <w:bidi w:val="0"/>
        <w:spacing w:before="0" w:after="0"/>
        <w:ind w:left="0" w:right="0" w:firstLine="720"/>
        <w:jc w:val="right"/>
        <w:rPr/>
      </w:pPr>
      <w:r>
        <w:rPr>
          <w:b/>
          <w:sz w:val="20"/>
        </w:rPr>
        <w:t>Exhibit 31.1</w:t>
      </w:r>
      <w:r>
        <w:rPr/>
        <w:t xml:space="preserve"> </w:t>
      </w:r>
    </w:p>
    <w:p>
      <w:pPr>
        <w:pStyle w:val="TextBody"/>
        <w:bidi w:val="0"/>
        <w:spacing w:before="0" w:after="0"/>
        <w:jc w:val="right"/>
        <w:rPr/>
      </w:pPr>
      <w:r>
        <w:rPr/>
        <w:t xml:space="preserve">  </w:t>
      </w:r>
    </w:p>
    <w:p>
      <w:pPr>
        <w:pStyle w:val="TextBody"/>
        <w:bidi w:val="0"/>
        <w:spacing w:before="0" w:after="0"/>
        <w:jc w:val="center"/>
        <w:rPr/>
      </w:pPr>
      <w:r>
        <w:rPr>
          <w:b/>
          <w:sz w:val="20"/>
        </w:rPr>
        <w:t>CERTIFICATIONS</w:t>
      </w:r>
      <w:r>
        <w:rPr/>
        <w:t xml:space="preserve"> </w:t>
      </w:r>
    </w:p>
    <w:p>
      <w:pPr>
        <w:pStyle w:val="TextBody"/>
        <w:bidi w:val="0"/>
        <w:spacing w:before="0" w:after="0"/>
        <w:jc w:val="center"/>
        <w:rPr/>
      </w:pPr>
      <w:r>
        <w:rPr/>
        <w:t xml:space="preserve">  </w:t>
      </w:r>
    </w:p>
    <w:p>
      <w:pPr>
        <w:pStyle w:val="TextBody"/>
        <w:bidi w:val="0"/>
        <w:spacing w:before="0" w:after="0"/>
        <w:jc w:val="both"/>
        <w:rPr/>
      </w:pPr>
      <w:r>
        <w:rPr>
          <w:sz w:val="20"/>
        </w:rPr>
        <w:t>I, Adam S. Grossman, certify that:</w:t>
      </w:r>
      <w:r>
        <w:rPr/>
        <w:t xml:space="preserve"> </w:t>
      </w:r>
    </w:p>
    <w:p>
      <w:pPr>
        <w:pStyle w:val="TextBody"/>
        <w:bidi w:val="0"/>
        <w:spacing w:before="0" w:after="0"/>
        <w:jc w:val="both"/>
        <w:rPr/>
      </w:pPr>
      <w:r>
        <w:rPr/>
        <w:t xml:space="preserve">  </w:t>
      </w:r>
    </w:p>
    <w:p>
      <w:pPr>
        <w:pStyle w:val="TextBody"/>
        <w:bidi w:val="0"/>
        <w:spacing w:before="0" w:after="0"/>
        <w:ind w:left="0" w:right="0" w:hanging="360"/>
        <w:jc w:val="both"/>
        <w:rPr/>
      </w:pPr>
      <w:r>
        <w:rPr>
          <w:sz w:val="20"/>
        </w:rPr>
        <w:t>I have reviewed this Quarterly Report on Form 10-Q of ADMA Biologics, Inc. (the “registrant”);</w:t>
      </w:r>
      <w:r>
        <w:rPr/>
        <w:t xml:space="preserve"> </w:t>
      </w:r>
      <w:r>
        <mc:AlternateContent>
          <mc:Choice Requires="wps">
            <w:drawing>
              <wp:anchor behindDoc="0" distT="0" distB="0" distL="0" distR="0" simplePos="0" locked="0" layoutInCell="1" allowOverlap="1" relativeHeight="186">
                <wp:simplePos x="0" y="0"/>
                <wp:positionH relativeFrom="column">
                  <wp:align>left</wp:align>
                </wp:positionH>
                <wp:positionV relativeFrom="line">
                  <wp:posOffset>635</wp:posOffset>
                </wp:positionV>
                <wp:extent cx="228600" cy="175260"/>
                <wp:effectExtent l="0" t="0" r="0" b="0"/>
                <wp:wrapSquare wrapText="right"/>
                <wp:docPr id="185" name="Frame185"/>
                <a:graphic xmlns:a="http://schemas.openxmlformats.org/drawingml/2006/main">
                  <a:graphicData uri="http://schemas.microsoft.com/office/word/2010/wordprocessingShape">
                    <wps:wsp>
                      <wps:cNvSpPr txBox="1"/>
                      <wps:spPr>
                        <a:xfrm>
                          <a:off x="0" y="0"/>
                          <a:ext cx="228600" cy="175260"/>
                        </a:xfrm>
                        <a:prstGeom prst="rect"/>
                        <a:solidFill>
                          <a:srgbClr val="FFFFFF"/>
                        </a:solidFill>
                      </wps:spPr>
                      <wps:txbx>
                        <w:txbxContent>
                          <w:p>
                            <w:pPr>
                              <w:pStyle w:val="TextBody"/>
                              <w:bidi w:val="0"/>
                              <w:spacing w:before="0" w:after="283"/>
                              <w:jc w:val="left"/>
                              <w:rPr/>
                            </w:pPr>
                            <w:r>
                              <w:rPr>
                                <w:sz w:val="20"/>
                              </w:rPr>
                              <w:t>1.</w:t>
                            </w:r>
                            <w:r>
                              <w:rPr/>
                              <w:t xml:space="preserve"> </w:t>
                            </w:r>
                          </w:p>
                        </w:txbxContent>
                      </wps:txbx>
                      <wps:bodyPr anchor="t" lIns="0" tIns="0" rIns="0" bIns="0">
                        <a:noAutofit/>
                      </wps:bodyPr>
                    </wps:wsp>
                  </a:graphicData>
                </a:graphic>
              </wp:anchor>
            </w:drawing>
          </mc:Choice>
          <mc:Fallback>
            <w:pict>
              <v:rect style="position:absolute;rotation:-0;width: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sz w:val="20"/>
                        </w:rPr>
                        <w:t>1.</w:t>
                      </w:r>
                      <w:r>
                        <w:rPr/>
                        <w:t xml:space="preserve"> </w:t>
                      </w:r>
                    </w:p>
                  </w:txbxContent>
                </v:textbox>
                <w10:wrap type="square" side="right"/>
              </v:rect>
            </w:pict>
          </mc:Fallback>
        </mc:AlternateContent>
      </w:r>
    </w:p>
    <w:p>
      <w:pPr>
        <w:pStyle w:val="TextBody"/>
        <w:bidi w:val="0"/>
        <w:spacing w:before="0" w:after="0"/>
        <w:ind w:left="720" w:right="0" w:hanging="0"/>
        <w:jc w:val="both"/>
        <w:rPr/>
      </w:pPr>
      <w:r>
        <w:rPr/>
        <w:t xml:space="preserve">  </w:t>
      </w:r>
    </w:p>
    <w:p>
      <w:pPr>
        <w:pStyle w:val="TextBody"/>
        <w:bidi w:val="0"/>
        <w:spacing w:before="0" w:after="0"/>
        <w:ind w:left="0" w:right="0" w:hanging="360"/>
        <w:jc w:val="both"/>
        <w:rPr/>
      </w:pPr>
      <w:r>
        <w:rPr>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r>
        <w:rPr/>
        <w:t xml:space="preserve"> </w:t>
      </w:r>
      <w:r>
        <mc:AlternateContent>
          <mc:Choice Requires="wps">
            <w:drawing>
              <wp:anchor behindDoc="0" distT="0" distB="0" distL="0" distR="0" simplePos="0" locked="0" layoutInCell="1" allowOverlap="1" relativeHeight="187">
                <wp:simplePos x="0" y="0"/>
                <wp:positionH relativeFrom="column">
                  <wp:align>left</wp:align>
                </wp:positionH>
                <wp:positionV relativeFrom="line">
                  <wp:posOffset>635</wp:posOffset>
                </wp:positionV>
                <wp:extent cx="228600" cy="175260"/>
                <wp:effectExtent l="0" t="0" r="0" b="0"/>
                <wp:wrapSquare wrapText="right"/>
                <wp:docPr id="186" name="Frame186"/>
                <a:graphic xmlns:a="http://schemas.openxmlformats.org/drawingml/2006/main">
                  <a:graphicData uri="http://schemas.microsoft.com/office/word/2010/wordprocessingShape">
                    <wps:wsp>
                      <wps:cNvSpPr txBox="1"/>
                      <wps:spPr>
                        <a:xfrm>
                          <a:off x="0" y="0"/>
                          <a:ext cx="228600" cy="175260"/>
                        </a:xfrm>
                        <a:prstGeom prst="rect"/>
                        <a:solidFill>
                          <a:srgbClr val="FFFFFF"/>
                        </a:solidFill>
                      </wps:spPr>
                      <wps:txbx>
                        <w:txbxContent>
                          <w:p>
                            <w:pPr>
                              <w:pStyle w:val="TextBody"/>
                              <w:bidi w:val="0"/>
                              <w:spacing w:before="0" w:after="283"/>
                              <w:jc w:val="left"/>
                              <w:rPr/>
                            </w:pPr>
                            <w:r>
                              <w:rPr>
                                <w:sz w:val="20"/>
                              </w:rPr>
                              <w:t>2.</w:t>
                            </w:r>
                            <w:r>
                              <w:rPr/>
                              <w:t xml:space="preserve"> </w:t>
                            </w:r>
                          </w:p>
                        </w:txbxContent>
                      </wps:txbx>
                      <wps:bodyPr anchor="t" lIns="0" tIns="0" rIns="0" bIns="0">
                        <a:noAutofit/>
                      </wps:bodyPr>
                    </wps:wsp>
                  </a:graphicData>
                </a:graphic>
              </wp:anchor>
            </w:drawing>
          </mc:Choice>
          <mc:Fallback>
            <w:pict>
              <v:rect style="position:absolute;rotation:-0;width: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sz w:val="20"/>
                        </w:rPr>
                        <w:t>2.</w:t>
                      </w:r>
                      <w:r>
                        <w:rPr/>
                        <w:t xml:space="preserve"> </w:t>
                      </w:r>
                    </w:p>
                  </w:txbxContent>
                </v:textbox>
                <w10:wrap type="square" side="right"/>
              </v:rect>
            </w:pict>
          </mc:Fallback>
        </mc:AlternateContent>
      </w:r>
    </w:p>
    <w:p>
      <w:pPr>
        <w:pStyle w:val="TextBody"/>
        <w:bidi w:val="0"/>
        <w:spacing w:before="0" w:after="0"/>
        <w:ind w:left="720" w:right="0" w:hanging="0"/>
        <w:jc w:val="both"/>
        <w:rPr/>
      </w:pPr>
      <w:r>
        <w:rPr/>
        <w:t xml:space="preserve">  </w:t>
      </w:r>
    </w:p>
    <w:p>
      <w:pPr>
        <w:pStyle w:val="TextBody"/>
        <w:bidi w:val="0"/>
        <w:spacing w:before="0" w:after="0"/>
        <w:ind w:left="0" w:right="0" w:hanging="360"/>
        <w:jc w:val="both"/>
        <w:rPr/>
      </w:pPr>
      <w:r>
        <w:rPr>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r>
        <w:rPr/>
        <w:t xml:space="preserve"> </w:t>
      </w:r>
      <w:r>
        <mc:AlternateContent>
          <mc:Choice Requires="wps">
            <w:drawing>
              <wp:anchor behindDoc="0" distT="0" distB="0" distL="0" distR="0" simplePos="0" locked="0" layoutInCell="1" allowOverlap="1" relativeHeight="188">
                <wp:simplePos x="0" y="0"/>
                <wp:positionH relativeFrom="column">
                  <wp:align>left</wp:align>
                </wp:positionH>
                <wp:positionV relativeFrom="line">
                  <wp:posOffset>635</wp:posOffset>
                </wp:positionV>
                <wp:extent cx="228600" cy="175260"/>
                <wp:effectExtent l="0" t="0" r="0" b="0"/>
                <wp:wrapSquare wrapText="right"/>
                <wp:docPr id="187" name="Frame187"/>
                <a:graphic xmlns:a="http://schemas.openxmlformats.org/drawingml/2006/main">
                  <a:graphicData uri="http://schemas.microsoft.com/office/word/2010/wordprocessingShape">
                    <wps:wsp>
                      <wps:cNvSpPr txBox="1"/>
                      <wps:spPr>
                        <a:xfrm>
                          <a:off x="0" y="0"/>
                          <a:ext cx="228600" cy="175260"/>
                        </a:xfrm>
                        <a:prstGeom prst="rect"/>
                        <a:solidFill>
                          <a:srgbClr val="FFFFFF"/>
                        </a:solidFill>
                      </wps:spPr>
                      <wps:txbx>
                        <w:txbxContent>
                          <w:p>
                            <w:pPr>
                              <w:pStyle w:val="TextBody"/>
                              <w:bidi w:val="0"/>
                              <w:spacing w:before="0" w:after="283"/>
                              <w:jc w:val="left"/>
                              <w:rPr/>
                            </w:pPr>
                            <w:r>
                              <w:rPr>
                                <w:sz w:val="20"/>
                              </w:rPr>
                              <w:t>3.</w:t>
                            </w:r>
                            <w:r>
                              <w:rPr/>
                              <w:t xml:space="preserve"> </w:t>
                            </w:r>
                          </w:p>
                        </w:txbxContent>
                      </wps:txbx>
                      <wps:bodyPr anchor="t" lIns="0" tIns="0" rIns="0" bIns="0">
                        <a:noAutofit/>
                      </wps:bodyPr>
                    </wps:wsp>
                  </a:graphicData>
                </a:graphic>
              </wp:anchor>
            </w:drawing>
          </mc:Choice>
          <mc:Fallback>
            <w:pict>
              <v:rect style="position:absolute;rotation:-0;width: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sz w:val="20"/>
                        </w:rPr>
                        <w:t>3.</w:t>
                      </w:r>
                      <w:r>
                        <w:rPr/>
                        <w:t xml:space="preserve"> </w:t>
                      </w:r>
                    </w:p>
                  </w:txbxContent>
                </v:textbox>
                <w10:wrap type="square" side="right"/>
              </v:rect>
            </w:pict>
          </mc:Fallback>
        </mc:AlternateContent>
      </w:r>
    </w:p>
    <w:p>
      <w:pPr>
        <w:pStyle w:val="TextBody"/>
        <w:bidi w:val="0"/>
        <w:spacing w:before="0" w:after="0"/>
        <w:ind w:left="720" w:right="0" w:hanging="0"/>
        <w:jc w:val="both"/>
        <w:rPr/>
      </w:pPr>
      <w:r>
        <w:rPr/>
        <w:t xml:space="preserve">  </w:t>
      </w:r>
    </w:p>
    <w:p>
      <w:pPr>
        <w:pStyle w:val="TextBody"/>
        <w:bidi w:val="0"/>
        <w:spacing w:before="0" w:after="0"/>
        <w:ind w:left="0" w:right="0" w:hanging="360"/>
        <w:jc w:val="both"/>
        <w:rPr/>
      </w:pPr>
      <w:r>
        <w:rPr>
          <w:sz w:val="20"/>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r>
        <w:rPr/>
        <w:t xml:space="preserve"> </w:t>
      </w:r>
      <w:r>
        <mc:AlternateContent>
          <mc:Choice Requires="wps">
            <w:drawing>
              <wp:anchor behindDoc="0" distT="0" distB="0" distL="0" distR="0" simplePos="0" locked="0" layoutInCell="1" allowOverlap="1" relativeHeight="189">
                <wp:simplePos x="0" y="0"/>
                <wp:positionH relativeFrom="column">
                  <wp:align>left</wp:align>
                </wp:positionH>
                <wp:positionV relativeFrom="line">
                  <wp:posOffset>635</wp:posOffset>
                </wp:positionV>
                <wp:extent cx="228600" cy="175260"/>
                <wp:effectExtent l="0" t="0" r="0" b="0"/>
                <wp:wrapSquare wrapText="right"/>
                <wp:docPr id="188" name="Frame188"/>
                <a:graphic xmlns:a="http://schemas.openxmlformats.org/drawingml/2006/main">
                  <a:graphicData uri="http://schemas.microsoft.com/office/word/2010/wordprocessingShape">
                    <wps:wsp>
                      <wps:cNvSpPr txBox="1"/>
                      <wps:spPr>
                        <a:xfrm>
                          <a:off x="0" y="0"/>
                          <a:ext cx="228600" cy="175260"/>
                        </a:xfrm>
                        <a:prstGeom prst="rect"/>
                        <a:solidFill>
                          <a:srgbClr val="FFFFFF"/>
                        </a:solidFill>
                      </wps:spPr>
                      <wps:txbx>
                        <w:txbxContent>
                          <w:p>
                            <w:pPr>
                              <w:pStyle w:val="TextBody"/>
                              <w:bidi w:val="0"/>
                              <w:spacing w:before="0" w:after="283"/>
                              <w:jc w:val="left"/>
                              <w:rPr/>
                            </w:pPr>
                            <w:r>
                              <w:rPr>
                                <w:sz w:val="20"/>
                              </w:rPr>
                              <w:t>4.</w:t>
                            </w:r>
                            <w:r>
                              <w:rPr/>
                              <w:t xml:space="preserve"> </w:t>
                            </w:r>
                          </w:p>
                        </w:txbxContent>
                      </wps:txbx>
                      <wps:bodyPr anchor="t" lIns="0" tIns="0" rIns="0" bIns="0">
                        <a:noAutofit/>
                      </wps:bodyPr>
                    </wps:wsp>
                  </a:graphicData>
                </a:graphic>
              </wp:anchor>
            </w:drawing>
          </mc:Choice>
          <mc:Fallback>
            <w:pict>
              <v:rect style="position:absolute;rotation:-0;width: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sz w:val="20"/>
                        </w:rPr>
                        <w:t>4.</w:t>
                      </w:r>
                      <w:r>
                        <w:rPr/>
                        <w:t xml:space="preserve"> </w:t>
                      </w:r>
                    </w:p>
                  </w:txbxContent>
                </v:textbox>
                <w10:wrap type="square" side="right"/>
              </v:rect>
            </w:pict>
          </mc:Fallback>
        </mc:AlternateContent>
      </w:r>
    </w:p>
    <w:p>
      <w:pPr>
        <w:pStyle w:val="TextBody"/>
        <w:bidi w:val="0"/>
        <w:spacing w:before="0" w:after="0"/>
        <w:ind w:left="720" w:right="0" w:hanging="0"/>
        <w:jc w:val="both"/>
        <w:rPr/>
      </w:pPr>
      <w:r>
        <w:rPr/>
        <w:t xml:space="preserve">  </w:t>
      </w:r>
    </w:p>
    <w:p>
      <w:pPr>
        <w:pStyle w:val="TextBody"/>
        <w:bidi w:val="0"/>
        <w:spacing w:before="0" w:after="0"/>
        <w:ind w:left="0" w:right="0" w:hanging="360"/>
        <w:jc w:val="both"/>
        <w:rPr/>
      </w:pPr>
      <w:r>
        <w:rPr>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r>
        <w:rPr/>
        <w:t xml:space="preserve"> </w:t>
      </w:r>
      <w:r>
        <mc:AlternateContent>
          <mc:Choice Requires="wps">
            <w:drawing>
              <wp:anchor behindDoc="0" distT="0" distB="0" distL="0" distR="0" simplePos="0" locked="0" layoutInCell="1" allowOverlap="1" relativeHeight="190">
                <wp:simplePos x="0" y="0"/>
                <wp:positionH relativeFrom="column">
                  <wp:align>left</wp:align>
                </wp:positionH>
                <wp:positionV relativeFrom="line">
                  <wp:posOffset>635</wp:posOffset>
                </wp:positionV>
                <wp:extent cx="228600" cy="175260"/>
                <wp:effectExtent l="0" t="0" r="0" b="0"/>
                <wp:wrapSquare wrapText="right"/>
                <wp:docPr id="189" name="Frame189"/>
                <a:graphic xmlns:a="http://schemas.openxmlformats.org/drawingml/2006/main">
                  <a:graphicData uri="http://schemas.microsoft.com/office/word/2010/wordprocessingShape">
                    <wps:wsp>
                      <wps:cNvSpPr txBox="1"/>
                      <wps:spPr>
                        <a:xfrm>
                          <a:off x="0" y="0"/>
                          <a:ext cx="228600" cy="175260"/>
                        </a:xfrm>
                        <a:prstGeom prst="rect"/>
                        <a:solidFill>
                          <a:srgbClr val="FFFFFF"/>
                        </a:solidFill>
                      </wps:spPr>
                      <wps:txbx>
                        <w:txbxContent>
                          <w:p>
                            <w:pPr>
                              <w:pStyle w:val="TextBody"/>
                              <w:bidi w:val="0"/>
                              <w:spacing w:before="0" w:after="283"/>
                              <w:jc w:val="left"/>
                              <w:rPr/>
                            </w:pPr>
                            <w:r>
                              <w:rPr>
                                <w:sz w:val="20"/>
                              </w:rPr>
                              <w:t>a)</w:t>
                            </w:r>
                            <w:r>
                              <w:rPr/>
                              <w:t xml:space="preserve"> </w:t>
                            </w:r>
                          </w:p>
                        </w:txbxContent>
                      </wps:txbx>
                      <wps:bodyPr anchor="t" lIns="0" tIns="0" rIns="0" bIns="0">
                        <a:noAutofit/>
                      </wps:bodyPr>
                    </wps:wsp>
                  </a:graphicData>
                </a:graphic>
              </wp:anchor>
            </w:drawing>
          </mc:Choice>
          <mc:Fallback>
            <w:pict>
              <v:rect style="position:absolute;rotation:-0;width: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sz w:val="20"/>
                        </w:rPr>
                        <w:t>a)</w:t>
                      </w:r>
                      <w:r>
                        <w:rPr/>
                        <w:t xml:space="preserve"> </w:t>
                      </w:r>
                    </w:p>
                  </w:txbxContent>
                </v:textbox>
                <w10:wrap type="square" side="right"/>
              </v:rect>
            </w:pict>
          </mc:Fallback>
        </mc:AlternateContent>
      </w:r>
    </w:p>
    <w:p>
      <w:pPr>
        <w:pStyle w:val="TextBody"/>
        <w:bidi w:val="0"/>
        <w:spacing w:before="0" w:after="0"/>
        <w:ind w:left="1260" w:right="0" w:hanging="0"/>
        <w:jc w:val="both"/>
        <w:rPr/>
      </w:pPr>
      <w:r>
        <w:rPr/>
        <w:t xml:space="preserve">  </w:t>
      </w:r>
    </w:p>
    <w:p>
      <w:pPr>
        <w:pStyle w:val="TextBody"/>
        <w:bidi w:val="0"/>
        <w:spacing w:before="0" w:after="0"/>
        <w:ind w:left="0" w:right="0" w:hanging="360"/>
        <w:jc w:val="both"/>
        <w:rPr/>
      </w:pPr>
      <w:r>
        <w:rPr>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r>
        <w:rPr/>
        <w:t xml:space="preserve"> </w:t>
      </w:r>
      <w:r>
        <mc:AlternateContent>
          <mc:Choice Requires="wps">
            <w:drawing>
              <wp:anchor behindDoc="0" distT="0" distB="0" distL="0" distR="0" simplePos="0" locked="0" layoutInCell="1" allowOverlap="1" relativeHeight="191">
                <wp:simplePos x="0" y="0"/>
                <wp:positionH relativeFrom="column">
                  <wp:align>left</wp:align>
                </wp:positionH>
                <wp:positionV relativeFrom="line">
                  <wp:posOffset>635</wp:posOffset>
                </wp:positionV>
                <wp:extent cx="228600" cy="175260"/>
                <wp:effectExtent l="0" t="0" r="0" b="0"/>
                <wp:wrapSquare wrapText="right"/>
                <wp:docPr id="190" name="Frame190"/>
                <a:graphic xmlns:a="http://schemas.openxmlformats.org/drawingml/2006/main">
                  <a:graphicData uri="http://schemas.microsoft.com/office/word/2010/wordprocessingShape">
                    <wps:wsp>
                      <wps:cNvSpPr txBox="1"/>
                      <wps:spPr>
                        <a:xfrm>
                          <a:off x="0" y="0"/>
                          <a:ext cx="228600" cy="175260"/>
                        </a:xfrm>
                        <a:prstGeom prst="rect"/>
                        <a:solidFill>
                          <a:srgbClr val="FFFFFF"/>
                        </a:solidFill>
                      </wps:spPr>
                      <wps:txbx>
                        <w:txbxContent>
                          <w:p>
                            <w:pPr>
                              <w:pStyle w:val="TextBody"/>
                              <w:bidi w:val="0"/>
                              <w:spacing w:before="0" w:after="283"/>
                              <w:jc w:val="left"/>
                              <w:rPr/>
                            </w:pPr>
                            <w:r>
                              <w:rPr>
                                <w:sz w:val="20"/>
                              </w:rPr>
                              <w:t>b)</w:t>
                            </w:r>
                            <w:r>
                              <w:rPr/>
                              <w:t xml:space="preserve"> </w:t>
                            </w:r>
                          </w:p>
                        </w:txbxContent>
                      </wps:txbx>
                      <wps:bodyPr anchor="t" lIns="0" tIns="0" rIns="0" bIns="0">
                        <a:noAutofit/>
                      </wps:bodyPr>
                    </wps:wsp>
                  </a:graphicData>
                </a:graphic>
              </wp:anchor>
            </w:drawing>
          </mc:Choice>
          <mc:Fallback>
            <w:pict>
              <v:rect style="position:absolute;rotation:-0;width: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sz w:val="20"/>
                        </w:rPr>
                        <w:t>b)</w:t>
                      </w:r>
                      <w:r>
                        <w:rPr/>
                        <w:t xml:space="preserve"> </w:t>
                      </w:r>
                    </w:p>
                  </w:txbxContent>
                </v:textbox>
                <w10:wrap type="square" side="right"/>
              </v:rect>
            </w:pict>
          </mc:Fallback>
        </mc:AlternateContent>
      </w:r>
    </w:p>
    <w:p>
      <w:pPr>
        <w:pStyle w:val="TextBody"/>
        <w:bidi w:val="0"/>
        <w:spacing w:before="0" w:after="0"/>
        <w:ind w:left="1260" w:right="0" w:hanging="0"/>
        <w:jc w:val="both"/>
        <w:rPr/>
      </w:pPr>
      <w:r>
        <w:rPr/>
        <w:t xml:space="preserve">  </w:t>
      </w:r>
    </w:p>
    <w:p>
      <w:pPr>
        <w:pStyle w:val="TextBody"/>
        <w:bidi w:val="0"/>
        <w:spacing w:before="0" w:after="0"/>
        <w:ind w:left="0" w:right="0" w:hanging="360"/>
        <w:jc w:val="both"/>
        <w:rPr/>
      </w:pPr>
      <w:r>
        <w:rPr>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r>
        <w:rPr/>
        <w:t xml:space="preserve"> </w:t>
      </w:r>
      <w:r>
        <mc:AlternateContent>
          <mc:Choice Requires="wps">
            <w:drawing>
              <wp:anchor behindDoc="0" distT="0" distB="0" distL="0" distR="0" simplePos="0" locked="0" layoutInCell="1" allowOverlap="1" relativeHeight="192">
                <wp:simplePos x="0" y="0"/>
                <wp:positionH relativeFrom="column">
                  <wp:align>left</wp:align>
                </wp:positionH>
                <wp:positionV relativeFrom="line">
                  <wp:posOffset>635</wp:posOffset>
                </wp:positionV>
                <wp:extent cx="228600" cy="175260"/>
                <wp:effectExtent l="0" t="0" r="0" b="0"/>
                <wp:wrapSquare wrapText="right"/>
                <wp:docPr id="191" name="Frame191"/>
                <a:graphic xmlns:a="http://schemas.openxmlformats.org/drawingml/2006/main">
                  <a:graphicData uri="http://schemas.microsoft.com/office/word/2010/wordprocessingShape">
                    <wps:wsp>
                      <wps:cNvSpPr txBox="1"/>
                      <wps:spPr>
                        <a:xfrm>
                          <a:off x="0" y="0"/>
                          <a:ext cx="228600" cy="175260"/>
                        </a:xfrm>
                        <a:prstGeom prst="rect"/>
                        <a:solidFill>
                          <a:srgbClr val="FFFFFF"/>
                        </a:solidFill>
                      </wps:spPr>
                      <wps:txbx>
                        <w:txbxContent>
                          <w:p>
                            <w:pPr>
                              <w:pStyle w:val="TextBody"/>
                              <w:bidi w:val="0"/>
                              <w:spacing w:before="0" w:after="283"/>
                              <w:jc w:val="left"/>
                              <w:rPr/>
                            </w:pPr>
                            <w:r>
                              <w:rPr>
                                <w:sz w:val="20"/>
                              </w:rPr>
                              <w:t>c)</w:t>
                            </w:r>
                            <w:r>
                              <w:rPr/>
                              <w:t xml:space="preserve"> </w:t>
                            </w:r>
                          </w:p>
                        </w:txbxContent>
                      </wps:txbx>
                      <wps:bodyPr anchor="t" lIns="0" tIns="0" rIns="0" bIns="0">
                        <a:noAutofit/>
                      </wps:bodyPr>
                    </wps:wsp>
                  </a:graphicData>
                </a:graphic>
              </wp:anchor>
            </w:drawing>
          </mc:Choice>
          <mc:Fallback>
            <w:pict>
              <v:rect style="position:absolute;rotation:-0;width: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sz w:val="20"/>
                        </w:rPr>
                        <w:t>c)</w:t>
                      </w:r>
                      <w:r>
                        <w:rPr/>
                        <w:t xml:space="preserve"> </w:t>
                      </w:r>
                    </w:p>
                  </w:txbxContent>
                </v:textbox>
                <w10:wrap type="square" side="right"/>
              </v:rect>
            </w:pict>
          </mc:Fallback>
        </mc:AlternateContent>
      </w:r>
    </w:p>
    <w:p>
      <w:pPr>
        <w:pStyle w:val="TextBody"/>
        <w:bidi w:val="0"/>
        <w:spacing w:before="0" w:after="0"/>
        <w:ind w:left="1260" w:right="0" w:hanging="0"/>
        <w:jc w:val="both"/>
        <w:rPr/>
      </w:pPr>
      <w:r>
        <w:rPr/>
        <w:t xml:space="preserve">  </w:t>
      </w:r>
    </w:p>
    <w:p>
      <w:pPr>
        <w:pStyle w:val="TextBody"/>
        <w:bidi w:val="0"/>
        <w:spacing w:before="0" w:after="0"/>
        <w:ind w:left="0" w:right="0" w:hanging="360"/>
        <w:jc w:val="both"/>
        <w:rPr/>
      </w:pPr>
      <w:r>
        <w:rPr>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r>
        <w:rPr/>
        <w:t xml:space="preserve"> </w:t>
      </w:r>
      <w:r>
        <mc:AlternateContent>
          <mc:Choice Requires="wps">
            <w:drawing>
              <wp:anchor behindDoc="0" distT="0" distB="0" distL="0" distR="0" simplePos="0" locked="0" layoutInCell="1" allowOverlap="1" relativeHeight="193">
                <wp:simplePos x="0" y="0"/>
                <wp:positionH relativeFrom="column">
                  <wp:align>left</wp:align>
                </wp:positionH>
                <wp:positionV relativeFrom="line">
                  <wp:posOffset>635</wp:posOffset>
                </wp:positionV>
                <wp:extent cx="228600" cy="175260"/>
                <wp:effectExtent l="0" t="0" r="0" b="0"/>
                <wp:wrapSquare wrapText="right"/>
                <wp:docPr id="192" name="Frame192"/>
                <a:graphic xmlns:a="http://schemas.openxmlformats.org/drawingml/2006/main">
                  <a:graphicData uri="http://schemas.microsoft.com/office/word/2010/wordprocessingShape">
                    <wps:wsp>
                      <wps:cNvSpPr txBox="1"/>
                      <wps:spPr>
                        <a:xfrm>
                          <a:off x="0" y="0"/>
                          <a:ext cx="228600" cy="175260"/>
                        </a:xfrm>
                        <a:prstGeom prst="rect"/>
                        <a:solidFill>
                          <a:srgbClr val="FFFFFF"/>
                        </a:solidFill>
                      </wps:spPr>
                      <wps:txbx>
                        <w:txbxContent>
                          <w:p>
                            <w:pPr>
                              <w:pStyle w:val="TextBody"/>
                              <w:bidi w:val="0"/>
                              <w:spacing w:before="0" w:after="283"/>
                              <w:jc w:val="left"/>
                              <w:rPr/>
                            </w:pPr>
                            <w:r>
                              <w:rPr>
                                <w:sz w:val="20"/>
                              </w:rPr>
                              <w:t>d)</w:t>
                            </w:r>
                            <w:r>
                              <w:rPr/>
                              <w:t xml:space="preserve"> </w:t>
                            </w:r>
                          </w:p>
                        </w:txbxContent>
                      </wps:txbx>
                      <wps:bodyPr anchor="t" lIns="0" tIns="0" rIns="0" bIns="0">
                        <a:noAutofit/>
                      </wps:bodyPr>
                    </wps:wsp>
                  </a:graphicData>
                </a:graphic>
              </wp:anchor>
            </w:drawing>
          </mc:Choice>
          <mc:Fallback>
            <w:pict>
              <v:rect style="position:absolute;rotation:-0;width: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sz w:val="20"/>
                        </w:rPr>
                        <w:t>d)</w:t>
                      </w:r>
                      <w:r>
                        <w:rPr/>
                        <w:t xml:space="preserve"> </w:t>
                      </w:r>
                    </w:p>
                  </w:txbxContent>
                </v:textbox>
                <w10:wrap type="square" side="right"/>
              </v:rect>
            </w:pict>
          </mc:Fallback>
        </mc:AlternateContent>
      </w:r>
    </w:p>
    <w:p>
      <w:pPr>
        <w:pStyle w:val="TextBody"/>
        <w:bidi w:val="0"/>
        <w:spacing w:before="0" w:after="0"/>
        <w:ind w:left="1260" w:right="0" w:hanging="0"/>
        <w:jc w:val="both"/>
        <w:rPr/>
      </w:pPr>
      <w:r>
        <w:rPr/>
        <w:t xml:space="preserve">  </w:t>
      </w:r>
    </w:p>
    <w:p>
      <w:pPr>
        <w:pStyle w:val="TextBody"/>
        <w:bidi w:val="0"/>
        <w:spacing w:before="0" w:after="0"/>
        <w:ind w:left="0" w:right="0" w:hanging="360"/>
        <w:jc w:val="both"/>
        <w:rPr/>
      </w:pPr>
      <w:r>
        <w:rPr>
          <w:sz w:val="20"/>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r>
        <w:rPr/>
        <w:t xml:space="preserve"> </w:t>
      </w:r>
      <w:r>
        <mc:AlternateContent>
          <mc:Choice Requires="wps">
            <w:drawing>
              <wp:anchor behindDoc="0" distT="0" distB="0" distL="0" distR="0" simplePos="0" locked="0" layoutInCell="1" allowOverlap="1" relativeHeight="194">
                <wp:simplePos x="0" y="0"/>
                <wp:positionH relativeFrom="column">
                  <wp:align>left</wp:align>
                </wp:positionH>
                <wp:positionV relativeFrom="line">
                  <wp:posOffset>635</wp:posOffset>
                </wp:positionV>
                <wp:extent cx="228600" cy="175260"/>
                <wp:effectExtent l="0" t="0" r="0" b="0"/>
                <wp:wrapSquare wrapText="right"/>
                <wp:docPr id="193" name="Frame193"/>
                <a:graphic xmlns:a="http://schemas.openxmlformats.org/drawingml/2006/main">
                  <a:graphicData uri="http://schemas.microsoft.com/office/word/2010/wordprocessingShape">
                    <wps:wsp>
                      <wps:cNvSpPr txBox="1"/>
                      <wps:spPr>
                        <a:xfrm>
                          <a:off x="0" y="0"/>
                          <a:ext cx="228600" cy="175260"/>
                        </a:xfrm>
                        <a:prstGeom prst="rect"/>
                        <a:solidFill>
                          <a:srgbClr val="FFFFFF"/>
                        </a:solidFill>
                      </wps:spPr>
                      <wps:txbx>
                        <w:txbxContent>
                          <w:p>
                            <w:pPr>
                              <w:pStyle w:val="TextBody"/>
                              <w:bidi w:val="0"/>
                              <w:spacing w:before="0" w:after="283"/>
                              <w:jc w:val="left"/>
                              <w:rPr/>
                            </w:pPr>
                            <w:r>
                              <w:rPr>
                                <w:sz w:val="20"/>
                              </w:rPr>
                              <w:t>5.</w:t>
                            </w:r>
                            <w:r>
                              <w:rPr/>
                              <w:t xml:space="preserve"> </w:t>
                            </w:r>
                          </w:p>
                        </w:txbxContent>
                      </wps:txbx>
                      <wps:bodyPr anchor="t" lIns="0" tIns="0" rIns="0" bIns="0">
                        <a:noAutofit/>
                      </wps:bodyPr>
                    </wps:wsp>
                  </a:graphicData>
                </a:graphic>
              </wp:anchor>
            </w:drawing>
          </mc:Choice>
          <mc:Fallback>
            <w:pict>
              <v:rect style="position:absolute;rotation:-0;width: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sz w:val="20"/>
                        </w:rPr>
                        <w:t>5.</w:t>
                      </w:r>
                      <w:r>
                        <w:rPr/>
                        <w:t xml:space="preserve"> </w:t>
                      </w:r>
                    </w:p>
                  </w:txbxContent>
                </v:textbox>
                <w10:wrap type="square" side="right"/>
              </v:rect>
            </w:pict>
          </mc:Fallback>
        </mc:AlternateContent>
      </w:r>
    </w:p>
    <w:p>
      <w:pPr>
        <w:pStyle w:val="TextBody"/>
        <w:bidi w:val="0"/>
        <w:spacing w:before="0" w:after="0"/>
        <w:ind w:left="720" w:right="0" w:hanging="0"/>
        <w:jc w:val="both"/>
        <w:rPr/>
      </w:pPr>
      <w:r>
        <w:rPr/>
        <w:t xml:space="preserve">  </w:t>
      </w:r>
    </w:p>
    <w:p>
      <w:pPr>
        <w:pStyle w:val="TextBody"/>
        <w:bidi w:val="0"/>
        <w:spacing w:before="0" w:after="0"/>
        <w:ind w:left="0" w:right="0" w:hanging="360"/>
        <w:jc w:val="both"/>
        <w:rPr/>
      </w:pPr>
      <w:r>
        <w:rPr>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r>
        <w:rPr/>
        <w:t xml:space="preserve"> </w:t>
      </w:r>
      <w:r>
        <mc:AlternateContent>
          <mc:Choice Requires="wps">
            <w:drawing>
              <wp:anchor behindDoc="0" distT="0" distB="0" distL="0" distR="0" simplePos="0" locked="0" layoutInCell="1" allowOverlap="1" relativeHeight="195">
                <wp:simplePos x="0" y="0"/>
                <wp:positionH relativeFrom="column">
                  <wp:align>left</wp:align>
                </wp:positionH>
                <wp:positionV relativeFrom="line">
                  <wp:posOffset>635</wp:posOffset>
                </wp:positionV>
                <wp:extent cx="228600" cy="175260"/>
                <wp:effectExtent l="0" t="0" r="0" b="0"/>
                <wp:wrapSquare wrapText="right"/>
                <wp:docPr id="194" name="Frame194"/>
                <a:graphic xmlns:a="http://schemas.openxmlformats.org/drawingml/2006/main">
                  <a:graphicData uri="http://schemas.microsoft.com/office/word/2010/wordprocessingShape">
                    <wps:wsp>
                      <wps:cNvSpPr txBox="1"/>
                      <wps:spPr>
                        <a:xfrm>
                          <a:off x="0" y="0"/>
                          <a:ext cx="228600" cy="175260"/>
                        </a:xfrm>
                        <a:prstGeom prst="rect"/>
                        <a:solidFill>
                          <a:srgbClr val="FFFFFF"/>
                        </a:solidFill>
                      </wps:spPr>
                      <wps:txbx>
                        <w:txbxContent>
                          <w:p>
                            <w:pPr>
                              <w:pStyle w:val="TextBody"/>
                              <w:bidi w:val="0"/>
                              <w:spacing w:before="0" w:after="283"/>
                              <w:jc w:val="left"/>
                              <w:rPr/>
                            </w:pPr>
                            <w:r>
                              <w:rPr>
                                <w:sz w:val="20"/>
                              </w:rPr>
                              <w:t>a)</w:t>
                            </w:r>
                            <w:r>
                              <w:rPr/>
                              <w:t xml:space="preserve"> </w:t>
                            </w:r>
                          </w:p>
                        </w:txbxContent>
                      </wps:txbx>
                      <wps:bodyPr anchor="t" lIns="0" tIns="0" rIns="0" bIns="0">
                        <a:noAutofit/>
                      </wps:bodyPr>
                    </wps:wsp>
                  </a:graphicData>
                </a:graphic>
              </wp:anchor>
            </w:drawing>
          </mc:Choice>
          <mc:Fallback>
            <w:pict>
              <v:rect style="position:absolute;rotation:-0;width: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sz w:val="20"/>
                        </w:rPr>
                        <w:t>a)</w:t>
                      </w:r>
                      <w:r>
                        <w:rPr/>
                        <w:t xml:space="preserve"> </w:t>
                      </w:r>
                    </w:p>
                  </w:txbxContent>
                </v:textbox>
                <w10:wrap type="square" side="right"/>
              </v:rect>
            </w:pict>
          </mc:Fallback>
        </mc:AlternateContent>
      </w:r>
    </w:p>
    <w:p>
      <w:pPr>
        <w:pStyle w:val="TextBody"/>
        <w:bidi w:val="0"/>
        <w:spacing w:before="0" w:after="0"/>
        <w:ind w:left="1260" w:right="0" w:hanging="0"/>
        <w:jc w:val="both"/>
        <w:rPr/>
      </w:pPr>
      <w:r>
        <w:rPr/>
        <w:t xml:space="preserve">  </w:t>
      </w:r>
    </w:p>
    <w:p>
      <w:pPr>
        <w:pStyle w:val="TextBody"/>
        <w:bidi w:val="0"/>
        <w:spacing w:before="0" w:after="0"/>
        <w:ind w:left="0" w:right="0" w:hanging="360"/>
        <w:jc w:val="both"/>
        <w:rPr/>
      </w:pPr>
      <w:r>
        <w:rPr>
          <w:sz w:val="20"/>
        </w:rPr>
        <w:t>Any fraud, whether or not material, that involves management or other employees who have a significant role in the registrant’s internal control over financial reporting.</w:t>
      </w:r>
      <w:r>
        <w:rPr/>
        <w:t xml:space="preserve"> </w:t>
      </w:r>
      <w:r>
        <mc:AlternateContent>
          <mc:Choice Requires="wps">
            <w:drawing>
              <wp:anchor behindDoc="0" distT="0" distB="0" distL="0" distR="0" simplePos="0" locked="0" layoutInCell="1" allowOverlap="1" relativeHeight="196">
                <wp:simplePos x="0" y="0"/>
                <wp:positionH relativeFrom="column">
                  <wp:align>left</wp:align>
                </wp:positionH>
                <wp:positionV relativeFrom="line">
                  <wp:posOffset>635</wp:posOffset>
                </wp:positionV>
                <wp:extent cx="228600" cy="175260"/>
                <wp:effectExtent l="0" t="0" r="0" b="0"/>
                <wp:wrapSquare wrapText="right"/>
                <wp:docPr id="195" name="Frame195"/>
                <a:graphic xmlns:a="http://schemas.openxmlformats.org/drawingml/2006/main">
                  <a:graphicData uri="http://schemas.microsoft.com/office/word/2010/wordprocessingShape">
                    <wps:wsp>
                      <wps:cNvSpPr txBox="1"/>
                      <wps:spPr>
                        <a:xfrm>
                          <a:off x="0" y="0"/>
                          <a:ext cx="228600" cy="175260"/>
                        </a:xfrm>
                        <a:prstGeom prst="rect"/>
                        <a:solidFill>
                          <a:srgbClr val="FFFFFF"/>
                        </a:solidFill>
                      </wps:spPr>
                      <wps:txbx>
                        <w:txbxContent>
                          <w:p>
                            <w:pPr>
                              <w:pStyle w:val="TextBody"/>
                              <w:bidi w:val="0"/>
                              <w:spacing w:before="0" w:after="283"/>
                              <w:jc w:val="left"/>
                              <w:rPr/>
                            </w:pPr>
                            <w:r>
                              <w:rPr>
                                <w:sz w:val="20"/>
                              </w:rPr>
                              <w:t>b)</w:t>
                            </w:r>
                            <w:r>
                              <w:rPr/>
                              <w:t xml:space="preserve"> </w:t>
                            </w:r>
                          </w:p>
                        </w:txbxContent>
                      </wps:txbx>
                      <wps:bodyPr anchor="t" lIns="0" tIns="0" rIns="0" bIns="0">
                        <a:noAutofit/>
                      </wps:bodyPr>
                    </wps:wsp>
                  </a:graphicData>
                </a:graphic>
              </wp:anchor>
            </w:drawing>
          </mc:Choice>
          <mc:Fallback>
            <w:pict>
              <v:rect style="position:absolute;rotation:-0;width: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sz w:val="20"/>
                        </w:rPr>
                        <w:t>b)</w:t>
                      </w:r>
                      <w:r>
                        <w:rPr/>
                        <w:t xml:space="preserve"> </w:t>
                      </w:r>
                    </w:p>
                  </w:txbxContent>
                </v:textbox>
                <w10:wrap type="square" side="right"/>
              </v:rect>
            </w:pict>
          </mc:Fallback>
        </mc:AlternateContent>
      </w:r>
    </w:p>
    <w:p>
      <w:pPr>
        <w:pStyle w:val="TextBody"/>
        <w:bidi w:val="0"/>
        <w:spacing w:before="0" w:after="0"/>
        <w:ind w:left="1260" w:right="0" w:hanging="0"/>
        <w:jc w:val="both"/>
        <w:rPr/>
      </w:pPr>
      <w:r>
        <w:rPr/>
        <w:t xml:space="preserve">  </w:t>
      </w:r>
    </w:p>
    <w:tbl>
      <w:tblPr>
        <w:tblW w:w="6573" w:type="dxa"/>
        <w:jc w:val="left"/>
        <w:tblInd w:w="0" w:type="dxa"/>
        <w:tblLayout w:type="fixed"/>
        <w:tblCellMar>
          <w:top w:w="28" w:type="dxa"/>
          <w:left w:w="28" w:type="dxa"/>
          <w:bottom w:w="28" w:type="dxa"/>
          <w:right w:w="28" w:type="dxa"/>
        </w:tblCellMar>
      </w:tblPr>
      <w:tblGrid>
        <w:gridCol w:w="1966"/>
        <w:gridCol w:w="796"/>
        <w:gridCol w:w="3811"/>
      </w:tblGrid>
      <w:tr>
        <w:trPr/>
        <w:tc>
          <w:tcPr>
            <w:tcW w:w="1966" w:type="dxa"/>
            <w:tcBorders/>
            <w:vAlign w:val="center"/>
          </w:tcPr>
          <w:p>
            <w:pPr>
              <w:pStyle w:val="TableContents"/>
              <w:bidi w:val="0"/>
              <w:spacing w:before="0" w:after="283"/>
              <w:jc w:val="left"/>
              <w:rPr/>
            </w:pPr>
            <w:r>
              <w:rPr/>
              <w:t> </w:t>
            </w:r>
          </w:p>
        </w:tc>
        <w:tc>
          <w:tcPr>
            <w:tcW w:w="796" w:type="dxa"/>
            <w:tcBorders/>
            <w:vAlign w:val="center"/>
          </w:tcPr>
          <w:p>
            <w:pPr>
              <w:pStyle w:val="TableContents"/>
              <w:bidi w:val="0"/>
              <w:spacing w:before="0" w:after="283"/>
              <w:jc w:val="left"/>
              <w:rPr/>
            </w:pPr>
            <w:r>
              <w:rPr/>
              <w:t> </w:t>
            </w:r>
          </w:p>
        </w:tc>
        <w:tc>
          <w:tcPr>
            <w:tcW w:w="3811" w:type="dxa"/>
            <w:tcBorders/>
            <w:vAlign w:val="center"/>
          </w:tcPr>
          <w:p>
            <w:pPr>
              <w:pStyle w:val="TableContents"/>
              <w:bidi w:val="0"/>
              <w:spacing w:before="0" w:after="283"/>
              <w:jc w:val="left"/>
              <w:rPr/>
            </w:pPr>
            <w:r>
              <w:rPr/>
              <w:t> </w:t>
            </w:r>
          </w:p>
        </w:tc>
      </w:tr>
      <w:tr>
        <w:trPr/>
        <w:tc>
          <w:tcPr>
            <w:tcW w:w="1966" w:type="dxa"/>
            <w:tcBorders/>
            <w:tcMar>
              <w:top w:w="0" w:type="dxa"/>
              <w:left w:w="0" w:type="dxa"/>
              <w:bottom w:w="0" w:type="dxa"/>
              <w:right w:w="0" w:type="dxa"/>
            </w:tcMar>
            <w:vAlign w:val="center"/>
          </w:tcPr>
          <w:p>
            <w:pPr>
              <w:pStyle w:val="TableContents"/>
              <w:bidi w:val="0"/>
              <w:spacing w:before="0" w:after="0"/>
              <w:jc w:val="left"/>
              <w:rPr/>
            </w:pPr>
            <w:r>
              <w:rPr/>
              <w:t xml:space="preserve">Date: May 6, 2026 </w:t>
            </w:r>
          </w:p>
        </w:tc>
        <w:tc>
          <w:tcPr>
            <w:tcW w:w="796" w:type="dxa"/>
            <w:tcBorders/>
            <w:tcMar>
              <w:top w:w="0" w:type="dxa"/>
              <w:left w:w="0" w:type="dxa"/>
              <w:bottom w:w="0" w:type="dxa"/>
              <w:right w:w="0" w:type="dxa"/>
            </w:tcMar>
            <w:vAlign w:val="center"/>
          </w:tcPr>
          <w:p>
            <w:pPr>
              <w:pStyle w:val="TableContents"/>
              <w:bidi w:val="0"/>
              <w:spacing w:before="0" w:after="0"/>
              <w:jc w:val="left"/>
              <w:rPr/>
            </w:pPr>
            <w:r>
              <w:rPr/>
              <w:t xml:space="preserve">By: </w:t>
            </w:r>
          </w:p>
        </w:tc>
        <w:tc>
          <w:tcPr>
            <w:tcW w:w="3811" w:type="dxa"/>
            <w:tcBorders/>
            <w:tcMar>
              <w:top w:w="0" w:type="dxa"/>
              <w:left w:w="0" w:type="dxa"/>
              <w:bottom w:w="0" w:type="dxa"/>
              <w:right w:w="0" w:type="dxa"/>
            </w:tcMar>
            <w:vAlign w:val="center"/>
          </w:tcPr>
          <w:p>
            <w:pPr>
              <w:pStyle w:val="TableContents"/>
              <w:bidi w:val="0"/>
              <w:spacing w:before="0" w:after="0"/>
              <w:jc w:val="left"/>
              <w:rPr>
                <w:bdr w:val="single" w:sz="8" w:space="1" w:color="000000"/>
              </w:rPr>
            </w:pPr>
            <w:r>
              <w:rPr>
                <w:bdr w:val="single" w:sz="8" w:space="1" w:color="000000"/>
              </w:rPr>
              <w:t xml:space="preserve">/s/ Adam S. Grossman </w:t>
            </w:r>
          </w:p>
        </w:tc>
      </w:tr>
      <w:tr>
        <w:trPr/>
        <w:tc>
          <w:tcPr>
            <w:tcW w:w="1966" w:type="dxa"/>
            <w:tcBorders/>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tcMar>
              <w:top w:w="0" w:type="dxa"/>
              <w:left w:w="0" w:type="dxa"/>
              <w:bottom w:w="0" w:type="dxa"/>
              <w:right w:w="0" w:type="dxa"/>
            </w:tcMar>
            <w:vAlign w:val="center"/>
          </w:tcPr>
          <w:p>
            <w:pPr>
              <w:pStyle w:val="TableContents"/>
              <w:bidi w:val="0"/>
              <w:spacing w:before="0" w:after="0"/>
              <w:jc w:val="left"/>
              <w:rPr/>
            </w:pPr>
            <w:r>
              <w:rPr/>
              <w:t xml:space="preserve">Name: </w:t>
            </w:r>
          </w:p>
        </w:tc>
        <w:tc>
          <w:tcPr>
            <w:tcW w:w="3811" w:type="dxa"/>
            <w:tcBorders/>
            <w:tcMar>
              <w:top w:w="0" w:type="dxa"/>
              <w:left w:w="0" w:type="dxa"/>
              <w:bottom w:w="0" w:type="dxa"/>
              <w:right w:w="0" w:type="dxa"/>
            </w:tcMar>
            <w:vAlign w:val="center"/>
          </w:tcPr>
          <w:p>
            <w:pPr>
              <w:pStyle w:val="TableContents"/>
              <w:bidi w:val="0"/>
              <w:spacing w:before="0" w:after="0"/>
              <w:jc w:val="left"/>
              <w:rPr/>
            </w:pPr>
            <w:r>
              <w:rPr/>
              <w:t xml:space="preserve">Adam S. Grossman </w:t>
            </w:r>
          </w:p>
        </w:tc>
      </w:tr>
      <w:tr>
        <w:trPr/>
        <w:tc>
          <w:tcPr>
            <w:tcW w:w="1966" w:type="dxa"/>
            <w:tcBorders/>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tcMar>
              <w:top w:w="0" w:type="dxa"/>
              <w:left w:w="0" w:type="dxa"/>
              <w:bottom w:w="0" w:type="dxa"/>
              <w:right w:w="0" w:type="dxa"/>
            </w:tcMar>
            <w:vAlign w:val="center"/>
          </w:tcPr>
          <w:p>
            <w:pPr>
              <w:pStyle w:val="TableContents"/>
              <w:bidi w:val="0"/>
              <w:spacing w:before="0" w:after="0"/>
              <w:jc w:val="left"/>
              <w:rPr/>
            </w:pPr>
            <w:r>
              <w:rPr/>
              <w:t xml:space="preserve">Title: </w:t>
            </w:r>
          </w:p>
        </w:tc>
        <w:tc>
          <w:tcPr>
            <w:tcW w:w="3811" w:type="dxa"/>
            <w:tcBorders/>
            <w:tcMar>
              <w:top w:w="0" w:type="dxa"/>
              <w:left w:w="0" w:type="dxa"/>
              <w:bottom w:w="0" w:type="dxa"/>
              <w:right w:w="0" w:type="dxa"/>
            </w:tcMar>
            <w:vAlign w:val="center"/>
          </w:tcPr>
          <w:p>
            <w:pPr>
              <w:pStyle w:val="TableContents"/>
              <w:bidi w:val="0"/>
              <w:spacing w:before="0" w:after="0"/>
              <w:jc w:val="left"/>
              <w:rPr/>
            </w:pPr>
            <w:r>
              <w:rPr/>
              <w:t xml:space="preserve">President and Chief Executive Officer </w:t>
            </w:r>
          </w:p>
          <w:p>
            <w:pPr>
              <w:pStyle w:val="TableContents"/>
              <w:bidi w:val="0"/>
              <w:spacing w:before="0" w:after="0"/>
              <w:jc w:val="left"/>
              <w:rPr/>
            </w:pPr>
            <w:r>
              <w:rPr/>
              <w:t xml:space="preserve">(Principal Executive Officer) </w:t>
            </w:r>
          </w:p>
        </w:tc>
      </w:tr>
    </w:tbl>
    <w:p>
      <w:pPr>
        <w:pStyle w:val="TextBody"/>
        <w:bidi w:val="0"/>
        <w:spacing w:before="0" w:after="0"/>
        <w:jc w:val="right"/>
        <w:rPr/>
      </w:pPr>
      <w:r>
        <w:rPr/>
        <w:t xml:space="preserve">  </w:t>
      </w:r>
    </w:p>
    <w:p>
      <w:pPr>
        <w:pStyle w:val="TextBody"/>
        <w:bidi w:val="0"/>
        <w:spacing w:before="0" w:after="0"/>
        <w:jc w:val="left"/>
        <w:rPr/>
      </w:pPr>
      <w:r>
        <w:rPr/>
        <w:t xml:space="preserve">  </w:t>
      </w:r>
    </w:p>
    <w:p>
      <w:pPr>
        <w:pStyle w:val="HorizontalLine"/>
        <w:pBdr>
          <w:bottom w:val="double" w:sz="2" w:space="0" w:color="808080"/>
        </w:pBdr>
        <w:bidi w:val="0"/>
        <w:spacing w:before="0" w:after="283"/>
        <w:jc w:val="left"/>
        <w:rPr/>
      </w:pPr>
      <w:r>
        <w:rPr/>
      </w:r>
    </w:p>
    <w:p>
      <w:pPr>
        <w:pStyle w:val="HorizontalLine"/>
        <w:bidi w:val="0"/>
        <w:jc w:val="left"/>
        <w:rPr/>
      </w:pPr>
      <w:r>
        <w:rPr/>
      </w:r>
      <w:bookmarkStart w:id="26" w:name="ef20070429_ex31-2.htm"/>
      <w:bookmarkStart w:id="27" w:name="ksef20070429_ex312"/>
      <w:bookmarkStart w:id="28" w:name="ef20070429_ex31-2.htm"/>
      <w:bookmarkStart w:id="29" w:name="ksef20070429_ex312"/>
      <w:bookmarkEnd w:id="28"/>
      <w:bookmarkEnd w:id="29"/>
      <w:r>
        <w:br w:type="page"/>
      </w:r>
    </w:p>
    <w:p>
      <w:pPr>
        <w:pStyle w:val="TextBody"/>
        <w:bidi w:val="0"/>
        <w:spacing w:before="0" w:after="0"/>
        <w:ind w:left="0" w:right="0" w:firstLine="720"/>
        <w:jc w:val="right"/>
        <w:rPr/>
      </w:pPr>
      <w:r>
        <w:rPr>
          <w:b/>
          <w:sz w:val="20"/>
        </w:rPr>
        <w:t>Exhibit 31.2</w:t>
      </w:r>
      <w:r>
        <w:rPr/>
        <w:t xml:space="preserve"> </w:t>
      </w:r>
    </w:p>
    <w:p>
      <w:pPr>
        <w:pStyle w:val="TextBody"/>
        <w:bidi w:val="0"/>
        <w:spacing w:before="0" w:after="0"/>
        <w:jc w:val="right"/>
        <w:rPr/>
      </w:pPr>
      <w:r>
        <w:rPr/>
        <w:t xml:space="preserve">  </w:t>
      </w:r>
    </w:p>
    <w:p>
      <w:pPr>
        <w:pStyle w:val="TextBody"/>
        <w:bidi w:val="0"/>
        <w:spacing w:before="0" w:after="0"/>
        <w:jc w:val="center"/>
        <w:rPr/>
      </w:pPr>
      <w:r>
        <w:rPr>
          <w:b/>
          <w:sz w:val="20"/>
        </w:rPr>
        <w:t>CERTIFICATIONS</w:t>
      </w:r>
      <w:r>
        <w:rPr/>
        <w:t xml:space="preserve"> </w:t>
      </w:r>
    </w:p>
    <w:p>
      <w:pPr>
        <w:pStyle w:val="TextBody"/>
        <w:bidi w:val="0"/>
        <w:spacing w:before="0" w:after="0"/>
        <w:jc w:val="center"/>
        <w:rPr/>
      </w:pPr>
      <w:r>
        <w:rPr/>
        <w:t xml:space="preserve">  </w:t>
      </w:r>
    </w:p>
    <w:p>
      <w:pPr>
        <w:pStyle w:val="TextBody"/>
        <w:bidi w:val="0"/>
        <w:spacing w:before="0" w:after="0"/>
        <w:jc w:val="both"/>
        <w:rPr/>
      </w:pPr>
      <w:r>
        <w:rPr>
          <w:sz w:val="20"/>
        </w:rPr>
        <w:t>I, Paul Terence Kohler, Jr., certify that:</w:t>
      </w:r>
      <w:r>
        <w:rPr/>
        <w:t xml:space="preserve"> </w:t>
      </w:r>
    </w:p>
    <w:p>
      <w:pPr>
        <w:pStyle w:val="TextBody"/>
        <w:bidi w:val="0"/>
        <w:spacing w:before="0" w:after="0"/>
        <w:jc w:val="both"/>
        <w:rPr/>
      </w:pPr>
      <w:r>
        <w:rPr/>
        <w:t xml:space="preserve">  </w:t>
      </w:r>
    </w:p>
    <w:p>
      <w:pPr>
        <w:pStyle w:val="TextBody"/>
        <w:bidi w:val="0"/>
        <w:spacing w:before="0" w:after="0"/>
        <w:ind w:left="0" w:right="0" w:hanging="360"/>
        <w:jc w:val="both"/>
        <w:rPr>
          <w:sz w:val="22"/>
        </w:rPr>
      </w:pPr>
      <w:r>
        <w:rPr>
          <w:sz w:val="20"/>
        </w:rPr>
        <w:t>I have reviewed this Quarterly Report on Form 10-Q of ADMA Biologics, Inc. (the “registrant”);</w:t>
      </w:r>
      <w:r>
        <w:rPr>
          <w:sz w:val="22"/>
        </w:rPr>
        <w:t xml:space="preserve"> </w:t>
      </w:r>
      <w:r>
        <mc:AlternateContent>
          <mc:Choice Requires="wps">
            <w:drawing>
              <wp:anchor behindDoc="0" distT="0" distB="0" distL="0" distR="0" simplePos="0" locked="0" layoutInCell="1" allowOverlap="1" relativeHeight="197">
                <wp:simplePos x="0" y="0"/>
                <wp:positionH relativeFrom="column">
                  <wp:align>left</wp:align>
                </wp:positionH>
                <wp:positionV relativeFrom="line">
                  <wp:posOffset>635</wp:posOffset>
                </wp:positionV>
                <wp:extent cx="228600" cy="175260"/>
                <wp:effectExtent l="0" t="0" r="0" b="0"/>
                <wp:wrapSquare wrapText="right"/>
                <wp:docPr id="196" name="Frame196"/>
                <a:graphic xmlns:a="http://schemas.openxmlformats.org/drawingml/2006/main">
                  <a:graphicData uri="http://schemas.microsoft.com/office/word/2010/wordprocessingShape">
                    <wps:wsp>
                      <wps:cNvSpPr txBox="1"/>
                      <wps:spPr>
                        <a:xfrm>
                          <a:off x="0" y="0"/>
                          <a:ext cx="228600" cy="175260"/>
                        </a:xfrm>
                        <a:prstGeom prst="rect"/>
                        <a:solidFill>
                          <a:srgbClr val="FFFFFF"/>
                        </a:solidFill>
                      </wps:spPr>
                      <wps:txbx>
                        <w:txbxContent>
                          <w:p>
                            <w:pPr>
                              <w:pStyle w:val="TextBody"/>
                              <w:bidi w:val="0"/>
                              <w:spacing w:before="0" w:after="283"/>
                              <w:jc w:val="left"/>
                              <w:rPr/>
                            </w:pPr>
                            <w:r>
                              <w:rPr>
                                <w:sz w:val="20"/>
                              </w:rPr>
                              <w:t>1.</w:t>
                            </w:r>
                            <w:r>
                              <w:rPr/>
                              <w:t xml:space="preserve"> </w:t>
                            </w:r>
                          </w:p>
                        </w:txbxContent>
                      </wps:txbx>
                      <wps:bodyPr anchor="t" lIns="0" tIns="0" rIns="0" bIns="0">
                        <a:noAutofit/>
                      </wps:bodyPr>
                    </wps:wsp>
                  </a:graphicData>
                </a:graphic>
              </wp:anchor>
            </w:drawing>
          </mc:Choice>
          <mc:Fallback>
            <w:pict>
              <v:rect style="position:absolute;rotation:-0;width: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sz w:val="20"/>
                        </w:rPr>
                        <w:t>1.</w:t>
                      </w:r>
                      <w:r>
                        <w:rPr/>
                        <w:t xml:space="preserve"> </w:t>
                      </w:r>
                    </w:p>
                  </w:txbxContent>
                </v:textbox>
                <w10:wrap type="square" side="right"/>
              </v:rect>
            </w:pict>
          </mc:Fallback>
        </mc:AlternateContent>
      </w:r>
    </w:p>
    <w:p>
      <w:pPr>
        <w:pStyle w:val="TextBody"/>
        <w:bidi w:val="0"/>
        <w:spacing w:before="0" w:after="0"/>
        <w:ind w:left="1080" w:right="0" w:hanging="0"/>
        <w:jc w:val="both"/>
        <w:rPr/>
      </w:pPr>
      <w:r>
        <w:rPr/>
        <w:t xml:space="preserve">  </w:t>
      </w:r>
    </w:p>
    <w:p>
      <w:pPr>
        <w:pStyle w:val="TextBody"/>
        <w:bidi w:val="0"/>
        <w:spacing w:before="0" w:after="0"/>
        <w:ind w:left="0" w:right="0" w:hanging="360"/>
        <w:jc w:val="both"/>
        <w:rPr/>
      </w:pPr>
      <w:r>
        <w:rPr>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r>
        <w:rPr/>
        <w:t xml:space="preserve"> </w:t>
      </w:r>
      <w:r>
        <mc:AlternateContent>
          <mc:Choice Requires="wps">
            <w:drawing>
              <wp:anchor behindDoc="0" distT="0" distB="0" distL="0" distR="0" simplePos="0" locked="0" layoutInCell="1" allowOverlap="1" relativeHeight="198">
                <wp:simplePos x="0" y="0"/>
                <wp:positionH relativeFrom="column">
                  <wp:align>left</wp:align>
                </wp:positionH>
                <wp:positionV relativeFrom="line">
                  <wp:posOffset>635</wp:posOffset>
                </wp:positionV>
                <wp:extent cx="228600" cy="175260"/>
                <wp:effectExtent l="0" t="0" r="0" b="0"/>
                <wp:wrapSquare wrapText="right"/>
                <wp:docPr id="197" name="Frame197"/>
                <a:graphic xmlns:a="http://schemas.openxmlformats.org/drawingml/2006/main">
                  <a:graphicData uri="http://schemas.microsoft.com/office/word/2010/wordprocessingShape">
                    <wps:wsp>
                      <wps:cNvSpPr txBox="1"/>
                      <wps:spPr>
                        <a:xfrm>
                          <a:off x="0" y="0"/>
                          <a:ext cx="228600" cy="175260"/>
                        </a:xfrm>
                        <a:prstGeom prst="rect"/>
                        <a:solidFill>
                          <a:srgbClr val="FFFFFF"/>
                        </a:solidFill>
                      </wps:spPr>
                      <wps:txbx>
                        <w:txbxContent>
                          <w:p>
                            <w:pPr>
                              <w:pStyle w:val="TextBody"/>
                              <w:bidi w:val="0"/>
                              <w:spacing w:before="0" w:after="283"/>
                              <w:jc w:val="left"/>
                              <w:rPr/>
                            </w:pPr>
                            <w:r>
                              <w:rPr>
                                <w:sz w:val="20"/>
                              </w:rPr>
                              <w:t>2.</w:t>
                            </w:r>
                            <w:r>
                              <w:rPr/>
                              <w:t xml:space="preserve"> </w:t>
                            </w:r>
                          </w:p>
                        </w:txbxContent>
                      </wps:txbx>
                      <wps:bodyPr anchor="t" lIns="0" tIns="0" rIns="0" bIns="0">
                        <a:noAutofit/>
                      </wps:bodyPr>
                    </wps:wsp>
                  </a:graphicData>
                </a:graphic>
              </wp:anchor>
            </w:drawing>
          </mc:Choice>
          <mc:Fallback>
            <w:pict>
              <v:rect style="position:absolute;rotation:-0;width: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sz w:val="20"/>
                        </w:rPr>
                        <w:t>2.</w:t>
                      </w:r>
                      <w:r>
                        <w:rPr/>
                        <w:t xml:space="preserve"> </w:t>
                      </w:r>
                    </w:p>
                  </w:txbxContent>
                </v:textbox>
                <w10:wrap type="square" side="right"/>
              </v:rect>
            </w:pict>
          </mc:Fallback>
        </mc:AlternateContent>
      </w:r>
    </w:p>
    <w:p>
      <w:pPr>
        <w:pStyle w:val="TextBody"/>
        <w:bidi w:val="0"/>
        <w:spacing w:before="0" w:after="0"/>
        <w:ind w:left="720" w:right="0" w:hanging="0"/>
        <w:jc w:val="both"/>
        <w:rPr/>
      </w:pPr>
      <w:r>
        <w:rPr/>
        <w:t xml:space="preserve">  </w:t>
      </w:r>
    </w:p>
    <w:p>
      <w:pPr>
        <w:pStyle w:val="TextBody"/>
        <w:bidi w:val="0"/>
        <w:spacing w:before="0" w:after="0"/>
        <w:ind w:left="0" w:right="0" w:hanging="360"/>
        <w:jc w:val="both"/>
        <w:rPr/>
      </w:pPr>
      <w:r>
        <w:rPr>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r>
        <w:rPr/>
        <w:t xml:space="preserve"> </w:t>
      </w:r>
      <w:r>
        <mc:AlternateContent>
          <mc:Choice Requires="wps">
            <w:drawing>
              <wp:anchor behindDoc="0" distT="0" distB="0" distL="0" distR="0" simplePos="0" locked="0" layoutInCell="1" allowOverlap="1" relativeHeight="199">
                <wp:simplePos x="0" y="0"/>
                <wp:positionH relativeFrom="column">
                  <wp:align>left</wp:align>
                </wp:positionH>
                <wp:positionV relativeFrom="line">
                  <wp:posOffset>635</wp:posOffset>
                </wp:positionV>
                <wp:extent cx="228600" cy="175260"/>
                <wp:effectExtent l="0" t="0" r="0" b="0"/>
                <wp:wrapSquare wrapText="right"/>
                <wp:docPr id="198" name="Frame198"/>
                <a:graphic xmlns:a="http://schemas.openxmlformats.org/drawingml/2006/main">
                  <a:graphicData uri="http://schemas.microsoft.com/office/word/2010/wordprocessingShape">
                    <wps:wsp>
                      <wps:cNvSpPr txBox="1"/>
                      <wps:spPr>
                        <a:xfrm>
                          <a:off x="0" y="0"/>
                          <a:ext cx="228600" cy="175260"/>
                        </a:xfrm>
                        <a:prstGeom prst="rect"/>
                        <a:solidFill>
                          <a:srgbClr val="FFFFFF"/>
                        </a:solidFill>
                      </wps:spPr>
                      <wps:txbx>
                        <w:txbxContent>
                          <w:p>
                            <w:pPr>
                              <w:pStyle w:val="TextBody"/>
                              <w:bidi w:val="0"/>
                              <w:spacing w:before="0" w:after="283"/>
                              <w:jc w:val="left"/>
                              <w:rPr/>
                            </w:pPr>
                            <w:r>
                              <w:rPr>
                                <w:sz w:val="20"/>
                              </w:rPr>
                              <w:t>3.</w:t>
                            </w:r>
                            <w:r>
                              <w:rPr/>
                              <w:t xml:space="preserve"> </w:t>
                            </w:r>
                          </w:p>
                        </w:txbxContent>
                      </wps:txbx>
                      <wps:bodyPr anchor="t" lIns="0" tIns="0" rIns="0" bIns="0">
                        <a:noAutofit/>
                      </wps:bodyPr>
                    </wps:wsp>
                  </a:graphicData>
                </a:graphic>
              </wp:anchor>
            </w:drawing>
          </mc:Choice>
          <mc:Fallback>
            <w:pict>
              <v:rect style="position:absolute;rotation:-0;width: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sz w:val="20"/>
                        </w:rPr>
                        <w:t>3.</w:t>
                      </w:r>
                      <w:r>
                        <w:rPr/>
                        <w:t xml:space="preserve"> </w:t>
                      </w:r>
                    </w:p>
                  </w:txbxContent>
                </v:textbox>
                <w10:wrap type="square" side="right"/>
              </v:rect>
            </w:pict>
          </mc:Fallback>
        </mc:AlternateContent>
      </w:r>
    </w:p>
    <w:p>
      <w:pPr>
        <w:pStyle w:val="TextBody"/>
        <w:bidi w:val="0"/>
        <w:spacing w:before="0" w:after="0"/>
        <w:ind w:left="720" w:right="0" w:hanging="0"/>
        <w:jc w:val="both"/>
        <w:rPr/>
      </w:pPr>
      <w:r>
        <w:rPr/>
        <w:t xml:space="preserve">  </w:t>
      </w:r>
    </w:p>
    <w:p>
      <w:pPr>
        <w:pStyle w:val="TextBody"/>
        <w:bidi w:val="0"/>
        <w:spacing w:before="0" w:after="0"/>
        <w:ind w:left="0" w:right="0" w:hanging="360"/>
        <w:jc w:val="both"/>
        <w:rPr/>
      </w:pPr>
      <w:r>
        <w:rPr>
          <w:sz w:val="20"/>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r>
        <w:rPr/>
        <w:t xml:space="preserve"> </w:t>
      </w:r>
      <w:r>
        <mc:AlternateContent>
          <mc:Choice Requires="wps">
            <w:drawing>
              <wp:anchor behindDoc="0" distT="0" distB="0" distL="0" distR="0" simplePos="0" locked="0" layoutInCell="1" allowOverlap="1" relativeHeight="200">
                <wp:simplePos x="0" y="0"/>
                <wp:positionH relativeFrom="column">
                  <wp:align>left</wp:align>
                </wp:positionH>
                <wp:positionV relativeFrom="line">
                  <wp:posOffset>635</wp:posOffset>
                </wp:positionV>
                <wp:extent cx="228600" cy="175260"/>
                <wp:effectExtent l="0" t="0" r="0" b="0"/>
                <wp:wrapSquare wrapText="right"/>
                <wp:docPr id="199" name="Frame199"/>
                <a:graphic xmlns:a="http://schemas.openxmlformats.org/drawingml/2006/main">
                  <a:graphicData uri="http://schemas.microsoft.com/office/word/2010/wordprocessingShape">
                    <wps:wsp>
                      <wps:cNvSpPr txBox="1"/>
                      <wps:spPr>
                        <a:xfrm>
                          <a:off x="0" y="0"/>
                          <a:ext cx="228600" cy="175260"/>
                        </a:xfrm>
                        <a:prstGeom prst="rect"/>
                        <a:solidFill>
                          <a:srgbClr val="FFFFFF"/>
                        </a:solidFill>
                      </wps:spPr>
                      <wps:txbx>
                        <w:txbxContent>
                          <w:p>
                            <w:pPr>
                              <w:pStyle w:val="TextBody"/>
                              <w:bidi w:val="0"/>
                              <w:spacing w:before="0" w:after="283"/>
                              <w:jc w:val="left"/>
                              <w:rPr/>
                            </w:pPr>
                            <w:r>
                              <w:rPr>
                                <w:sz w:val="20"/>
                              </w:rPr>
                              <w:t>4.</w:t>
                            </w:r>
                            <w:r>
                              <w:rPr/>
                              <w:t xml:space="preserve"> </w:t>
                            </w:r>
                          </w:p>
                        </w:txbxContent>
                      </wps:txbx>
                      <wps:bodyPr anchor="t" lIns="0" tIns="0" rIns="0" bIns="0">
                        <a:noAutofit/>
                      </wps:bodyPr>
                    </wps:wsp>
                  </a:graphicData>
                </a:graphic>
              </wp:anchor>
            </w:drawing>
          </mc:Choice>
          <mc:Fallback>
            <w:pict>
              <v:rect style="position:absolute;rotation:-0;width: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sz w:val="20"/>
                        </w:rPr>
                        <w:t>4.</w:t>
                      </w:r>
                      <w:r>
                        <w:rPr/>
                        <w:t xml:space="preserve"> </w:t>
                      </w:r>
                    </w:p>
                  </w:txbxContent>
                </v:textbox>
                <w10:wrap type="square" side="right"/>
              </v:rect>
            </w:pict>
          </mc:Fallback>
        </mc:AlternateContent>
      </w:r>
    </w:p>
    <w:p>
      <w:pPr>
        <w:pStyle w:val="TextBody"/>
        <w:bidi w:val="0"/>
        <w:spacing w:before="0" w:after="0"/>
        <w:ind w:left="720" w:right="0" w:hanging="0"/>
        <w:jc w:val="both"/>
        <w:rPr/>
      </w:pPr>
      <w:r>
        <w:rPr/>
        <w:t xml:space="preserve">  </w:t>
      </w:r>
    </w:p>
    <w:p>
      <w:pPr>
        <w:pStyle w:val="TextBody"/>
        <w:bidi w:val="0"/>
        <w:spacing w:before="0" w:after="0"/>
        <w:ind w:left="0" w:right="0" w:hanging="360"/>
        <w:jc w:val="both"/>
        <w:rPr/>
      </w:pPr>
      <w:r>
        <w:rPr>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r>
        <w:rPr/>
        <w:t xml:space="preserve"> </w:t>
      </w:r>
      <w:r>
        <mc:AlternateContent>
          <mc:Choice Requires="wps">
            <w:drawing>
              <wp:anchor behindDoc="0" distT="0" distB="0" distL="0" distR="0" simplePos="0" locked="0" layoutInCell="1" allowOverlap="1" relativeHeight="201">
                <wp:simplePos x="0" y="0"/>
                <wp:positionH relativeFrom="column">
                  <wp:align>left</wp:align>
                </wp:positionH>
                <wp:positionV relativeFrom="line">
                  <wp:posOffset>635</wp:posOffset>
                </wp:positionV>
                <wp:extent cx="228600" cy="175260"/>
                <wp:effectExtent l="0" t="0" r="0" b="0"/>
                <wp:wrapSquare wrapText="right"/>
                <wp:docPr id="200" name="Frame200"/>
                <a:graphic xmlns:a="http://schemas.openxmlformats.org/drawingml/2006/main">
                  <a:graphicData uri="http://schemas.microsoft.com/office/word/2010/wordprocessingShape">
                    <wps:wsp>
                      <wps:cNvSpPr txBox="1"/>
                      <wps:spPr>
                        <a:xfrm>
                          <a:off x="0" y="0"/>
                          <a:ext cx="228600" cy="175260"/>
                        </a:xfrm>
                        <a:prstGeom prst="rect"/>
                        <a:solidFill>
                          <a:srgbClr val="FFFFFF"/>
                        </a:solidFill>
                      </wps:spPr>
                      <wps:txbx>
                        <w:txbxContent>
                          <w:p>
                            <w:pPr>
                              <w:pStyle w:val="TextBody"/>
                              <w:bidi w:val="0"/>
                              <w:spacing w:before="0" w:after="283"/>
                              <w:jc w:val="left"/>
                              <w:rPr/>
                            </w:pPr>
                            <w:r>
                              <w:rPr>
                                <w:sz w:val="20"/>
                              </w:rPr>
                              <w:t>a)</w:t>
                            </w:r>
                            <w:r>
                              <w:rPr/>
                              <w:t xml:space="preserve"> </w:t>
                            </w:r>
                          </w:p>
                        </w:txbxContent>
                      </wps:txbx>
                      <wps:bodyPr anchor="t" lIns="0" tIns="0" rIns="0" bIns="0">
                        <a:noAutofit/>
                      </wps:bodyPr>
                    </wps:wsp>
                  </a:graphicData>
                </a:graphic>
              </wp:anchor>
            </w:drawing>
          </mc:Choice>
          <mc:Fallback>
            <w:pict>
              <v:rect style="position:absolute;rotation:-0;width: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sz w:val="20"/>
                        </w:rPr>
                        <w:t>a)</w:t>
                      </w:r>
                      <w:r>
                        <w:rPr/>
                        <w:t xml:space="preserve"> </w:t>
                      </w:r>
                    </w:p>
                  </w:txbxContent>
                </v:textbox>
                <w10:wrap type="square" side="right"/>
              </v:rect>
            </w:pict>
          </mc:Fallback>
        </mc:AlternateContent>
      </w:r>
    </w:p>
    <w:p>
      <w:pPr>
        <w:pStyle w:val="TextBody"/>
        <w:bidi w:val="0"/>
        <w:spacing w:before="0" w:after="0"/>
        <w:ind w:left="1260" w:right="0" w:hanging="0"/>
        <w:jc w:val="both"/>
        <w:rPr/>
      </w:pPr>
      <w:r>
        <w:rPr/>
        <w:t xml:space="preserve">  </w:t>
      </w:r>
    </w:p>
    <w:p>
      <w:pPr>
        <w:pStyle w:val="TextBody"/>
        <w:bidi w:val="0"/>
        <w:spacing w:before="0" w:after="0"/>
        <w:ind w:left="0" w:right="0" w:hanging="360"/>
        <w:jc w:val="both"/>
        <w:rPr/>
      </w:pPr>
      <w:r>
        <w:rPr>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r>
        <w:rPr/>
        <w:t xml:space="preserve"> </w:t>
      </w:r>
      <w:r>
        <mc:AlternateContent>
          <mc:Choice Requires="wps">
            <w:drawing>
              <wp:anchor behindDoc="0" distT="0" distB="0" distL="0" distR="0" simplePos="0" locked="0" layoutInCell="1" allowOverlap="1" relativeHeight="202">
                <wp:simplePos x="0" y="0"/>
                <wp:positionH relativeFrom="column">
                  <wp:align>left</wp:align>
                </wp:positionH>
                <wp:positionV relativeFrom="line">
                  <wp:posOffset>635</wp:posOffset>
                </wp:positionV>
                <wp:extent cx="228600" cy="175260"/>
                <wp:effectExtent l="0" t="0" r="0" b="0"/>
                <wp:wrapSquare wrapText="right"/>
                <wp:docPr id="201" name="Frame201"/>
                <a:graphic xmlns:a="http://schemas.openxmlformats.org/drawingml/2006/main">
                  <a:graphicData uri="http://schemas.microsoft.com/office/word/2010/wordprocessingShape">
                    <wps:wsp>
                      <wps:cNvSpPr txBox="1"/>
                      <wps:spPr>
                        <a:xfrm>
                          <a:off x="0" y="0"/>
                          <a:ext cx="228600" cy="175260"/>
                        </a:xfrm>
                        <a:prstGeom prst="rect"/>
                        <a:solidFill>
                          <a:srgbClr val="FFFFFF"/>
                        </a:solidFill>
                      </wps:spPr>
                      <wps:txbx>
                        <w:txbxContent>
                          <w:p>
                            <w:pPr>
                              <w:pStyle w:val="TextBody"/>
                              <w:bidi w:val="0"/>
                              <w:spacing w:before="0" w:after="283"/>
                              <w:jc w:val="left"/>
                              <w:rPr/>
                            </w:pPr>
                            <w:r>
                              <w:rPr>
                                <w:sz w:val="20"/>
                              </w:rPr>
                              <w:t>b)</w:t>
                            </w:r>
                            <w:r>
                              <w:rPr/>
                              <w:t xml:space="preserve"> </w:t>
                            </w:r>
                          </w:p>
                        </w:txbxContent>
                      </wps:txbx>
                      <wps:bodyPr anchor="t" lIns="0" tIns="0" rIns="0" bIns="0">
                        <a:noAutofit/>
                      </wps:bodyPr>
                    </wps:wsp>
                  </a:graphicData>
                </a:graphic>
              </wp:anchor>
            </w:drawing>
          </mc:Choice>
          <mc:Fallback>
            <w:pict>
              <v:rect style="position:absolute;rotation:-0;width: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sz w:val="20"/>
                        </w:rPr>
                        <w:t>b)</w:t>
                      </w:r>
                      <w:r>
                        <w:rPr/>
                        <w:t xml:space="preserve"> </w:t>
                      </w:r>
                    </w:p>
                  </w:txbxContent>
                </v:textbox>
                <w10:wrap type="square" side="right"/>
              </v:rect>
            </w:pict>
          </mc:Fallback>
        </mc:AlternateContent>
      </w:r>
    </w:p>
    <w:p>
      <w:pPr>
        <w:pStyle w:val="TextBody"/>
        <w:bidi w:val="0"/>
        <w:spacing w:before="0" w:after="0"/>
        <w:ind w:left="1260" w:right="0" w:hanging="0"/>
        <w:jc w:val="both"/>
        <w:rPr/>
      </w:pPr>
      <w:r>
        <w:rPr/>
        <w:t xml:space="preserve">  </w:t>
      </w:r>
    </w:p>
    <w:p>
      <w:pPr>
        <w:pStyle w:val="TextBody"/>
        <w:bidi w:val="0"/>
        <w:spacing w:before="0" w:after="0"/>
        <w:ind w:left="0" w:right="0" w:hanging="360"/>
        <w:jc w:val="both"/>
        <w:rPr/>
      </w:pPr>
      <w:r>
        <w:rPr>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r>
        <w:rPr/>
        <w:t xml:space="preserve"> </w:t>
      </w:r>
      <w:r>
        <mc:AlternateContent>
          <mc:Choice Requires="wps">
            <w:drawing>
              <wp:anchor behindDoc="0" distT="0" distB="0" distL="0" distR="0" simplePos="0" locked="0" layoutInCell="1" allowOverlap="1" relativeHeight="203">
                <wp:simplePos x="0" y="0"/>
                <wp:positionH relativeFrom="column">
                  <wp:align>left</wp:align>
                </wp:positionH>
                <wp:positionV relativeFrom="line">
                  <wp:posOffset>635</wp:posOffset>
                </wp:positionV>
                <wp:extent cx="228600" cy="175260"/>
                <wp:effectExtent l="0" t="0" r="0" b="0"/>
                <wp:wrapSquare wrapText="right"/>
                <wp:docPr id="202" name="Frame202"/>
                <a:graphic xmlns:a="http://schemas.openxmlformats.org/drawingml/2006/main">
                  <a:graphicData uri="http://schemas.microsoft.com/office/word/2010/wordprocessingShape">
                    <wps:wsp>
                      <wps:cNvSpPr txBox="1"/>
                      <wps:spPr>
                        <a:xfrm>
                          <a:off x="0" y="0"/>
                          <a:ext cx="228600" cy="175260"/>
                        </a:xfrm>
                        <a:prstGeom prst="rect"/>
                        <a:solidFill>
                          <a:srgbClr val="FFFFFF"/>
                        </a:solidFill>
                      </wps:spPr>
                      <wps:txbx>
                        <w:txbxContent>
                          <w:p>
                            <w:pPr>
                              <w:pStyle w:val="TextBody"/>
                              <w:bidi w:val="0"/>
                              <w:spacing w:before="0" w:after="283"/>
                              <w:jc w:val="left"/>
                              <w:rPr/>
                            </w:pPr>
                            <w:r>
                              <w:rPr>
                                <w:sz w:val="20"/>
                              </w:rPr>
                              <w:t>c)</w:t>
                            </w:r>
                            <w:r>
                              <w:rPr/>
                              <w:t xml:space="preserve"> </w:t>
                            </w:r>
                          </w:p>
                        </w:txbxContent>
                      </wps:txbx>
                      <wps:bodyPr anchor="t" lIns="0" tIns="0" rIns="0" bIns="0">
                        <a:noAutofit/>
                      </wps:bodyPr>
                    </wps:wsp>
                  </a:graphicData>
                </a:graphic>
              </wp:anchor>
            </w:drawing>
          </mc:Choice>
          <mc:Fallback>
            <w:pict>
              <v:rect style="position:absolute;rotation:-0;width: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sz w:val="20"/>
                        </w:rPr>
                        <w:t>c)</w:t>
                      </w:r>
                      <w:r>
                        <w:rPr/>
                        <w:t xml:space="preserve"> </w:t>
                      </w:r>
                    </w:p>
                  </w:txbxContent>
                </v:textbox>
                <w10:wrap type="square" side="right"/>
              </v:rect>
            </w:pict>
          </mc:Fallback>
        </mc:AlternateContent>
      </w:r>
    </w:p>
    <w:p>
      <w:pPr>
        <w:pStyle w:val="TextBody"/>
        <w:bidi w:val="0"/>
        <w:spacing w:before="0" w:after="0"/>
        <w:ind w:left="1260" w:right="0" w:hanging="0"/>
        <w:jc w:val="both"/>
        <w:rPr/>
      </w:pPr>
      <w:r>
        <w:rPr/>
        <w:t xml:space="preserve">  </w:t>
      </w:r>
    </w:p>
    <w:p>
      <w:pPr>
        <w:pStyle w:val="TextBody"/>
        <w:bidi w:val="0"/>
        <w:spacing w:before="0" w:after="0"/>
        <w:ind w:left="0" w:right="0" w:hanging="360"/>
        <w:jc w:val="both"/>
        <w:rPr/>
      </w:pPr>
      <w:r>
        <w:rPr>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r>
        <w:rPr/>
        <w:t xml:space="preserve"> </w:t>
      </w:r>
      <w:r>
        <mc:AlternateContent>
          <mc:Choice Requires="wps">
            <w:drawing>
              <wp:anchor behindDoc="0" distT="0" distB="0" distL="0" distR="0" simplePos="0" locked="0" layoutInCell="1" allowOverlap="1" relativeHeight="204">
                <wp:simplePos x="0" y="0"/>
                <wp:positionH relativeFrom="column">
                  <wp:align>left</wp:align>
                </wp:positionH>
                <wp:positionV relativeFrom="line">
                  <wp:posOffset>635</wp:posOffset>
                </wp:positionV>
                <wp:extent cx="228600" cy="175260"/>
                <wp:effectExtent l="0" t="0" r="0" b="0"/>
                <wp:wrapSquare wrapText="right"/>
                <wp:docPr id="203" name="Frame203"/>
                <a:graphic xmlns:a="http://schemas.openxmlformats.org/drawingml/2006/main">
                  <a:graphicData uri="http://schemas.microsoft.com/office/word/2010/wordprocessingShape">
                    <wps:wsp>
                      <wps:cNvSpPr txBox="1"/>
                      <wps:spPr>
                        <a:xfrm>
                          <a:off x="0" y="0"/>
                          <a:ext cx="228600" cy="175260"/>
                        </a:xfrm>
                        <a:prstGeom prst="rect"/>
                        <a:solidFill>
                          <a:srgbClr val="FFFFFF"/>
                        </a:solidFill>
                      </wps:spPr>
                      <wps:txbx>
                        <w:txbxContent>
                          <w:p>
                            <w:pPr>
                              <w:pStyle w:val="TextBody"/>
                              <w:bidi w:val="0"/>
                              <w:spacing w:before="0" w:after="283"/>
                              <w:jc w:val="left"/>
                              <w:rPr/>
                            </w:pPr>
                            <w:r>
                              <w:rPr>
                                <w:sz w:val="20"/>
                              </w:rPr>
                              <w:t>d)</w:t>
                            </w:r>
                            <w:r>
                              <w:rPr/>
                              <w:t xml:space="preserve"> </w:t>
                            </w:r>
                          </w:p>
                        </w:txbxContent>
                      </wps:txbx>
                      <wps:bodyPr anchor="t" lIns="0" tIns="0" rIns="0" bIns="0">
                        <a:noAutofit/>
                      </wps:bodyPr>
                    </wps:wsp>
                  </a:graphicData>
                </a:graphic>
              </wp:anchor>
            </w:drawing>
          </mc:Choice>
          <mc:Fallback>
            <w:pict>
              <v:rect style="position:absolute;rotation:-0;width: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sz w:val="20"/>
                        </w:rPr>
                        <w:t>d)</w:t>
                      </w:r>
                      <w:r>
                        <w:rPr/>
                        <w:t xml:space="preserve"> </w:t>
                      </w:r>
                    </w:p>
                  </w:txbxContent>
                </v:textbox>
                <w10:wrap type="square" side="right"/>
              </v:rect>
            </w:pict>
          </mc:Fallback>
        </mc:AlternateContent>
      </w:r>
    </w:p>
    <w:p>
      <w:pPr>
        <w:pStyle w:val="TextBody"/>
        <w:bidi w:val="0"/>
        <w:spacing w:before="0" w:after="0"/>
        <w:ind w:left="1260" w:right="0" w:hanging="0"/>
        <w:jc w:val="both"/>
        <w:rPr/>
      </w:pPr>
      <w:r>
        <w:rPr/>
        <w:t xml:space="preserve">  </w:t>
      </w:r>
    </w:p>
    <w:p>
      <w:pPr>
        <w:pStyle w:val="TextBody"/>
        <w:bidi w:val="0"/>
        <w:spacing w:before="0" w:after="0"/>
        <w:ind w:left="0" w:right="0" w:hanging="360"/>
        <w:jc w:val="both"/>
        <w:rPr/>
      </w:pPr>
      <w:r>
        <w:rPr>
          <w:sz w:val="20"/>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r>
        <w:rPr/>
        <w:t xml:space="preserve"> </w:t>
      </w:r>
      <w:r>
        <mc:AlternateContent>
          <mc:Choice Requires="wps">
            <w:drawing>
              <wp:anchor behindDoc="0" distT="0" distB="0" distL="0" distR="0" simplePos="0" locked="0" layoutInCell="1" allowOverlap="1" relativeHeight="205">
                <wp:simplePos x="0" y="0"/>
                <wp:positionH relativeFrom="column">
                  <wp:align>left</wp:align>
                </wp:positionH>
                <wp:positionV relativeFrom="line">
                  <wp:posOffset>635</wp:posOffset>
                </wp:positionV>
                <wp:extent cx="228600" cy="175260"/>
                <wp:effectExtent l="0" t="0" r="0" b="0"/>
                <wp:wrapSquare wrapText="right"/>
                <wp:docPr id="204" name="Frame204"/>
                <a:graphic xmlns:a="http://schemas.openxmlformats.org/drawingml/2006/main">
                  <a:graphicData uri="http://schemas.microsoft.com/office/word/2010/wordprocessingShape">
                    <wps:wsp>
                      <wps:cNvSpPr txBox="1"/>
                      <wps:spPr>
                        <a:xfrm>
                          <a:off x="0" y="0"/>
                          <a:ext cx="228600" cy="175260"/>
                        </a:xfrm>
                        <a:prstGeom prst="rect"/>
                        <a:solidFill>
                          <a:srgbClr val="FFFFFF"/>
                        </a:solidFill>
                      </wps:spPr>
                      <wps:txbx>
                        <w:txbxContent>
                          <w:p>
                            <w:pPr>
                              <w:pStyle w:val="TextBody"/>
                              <w:bidi w:val="0"/>
                              <w:spacing w:before="0" w:after="283"/>
                              <w:jc w:val="left"/>
                              <w:rPr/>
                            </w:pPr>
                            <w:r>
                              <w:rPr>
                                <w:sz w:val="20"/>
                              </w:rPr>
                              <w:t>5.</w:t>
                            </w:r>
                            <w:r>
                              <w:rPr/>
                              <w:t xml:space="preserve"> </w:t>
                            </w:r>
                          </w:p>
                        </w:txbxContent>
                      </wps:txbx>
                      <wps:bodyPr anchor="t" lIns="0" tIns="0" rIns="0" bIns="0">
                        <a:noAutofit/>
                      </wps:bodyPr>
                    </wps:wsp>
                  </a:graphicData>
                </a:graphic>
              </wp:anchor>
            </w:drawing>
          </mc:Choice>
          <mc:Fallback>
            <w:pict>
              <v:rect style="position:absolute;rotation:-0;width: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sz w:val="20"/>
                        </w:rPr>
                        <w:t>5.</w:t>
                      </w:r>
                      <w:r>
                        <w:rPr/>
                        <w:t xml:space="preserve"> </w:t>
                      </w:r>
                    </w:p>
                  </w:txbxContent>
                </v:textbox>
                <w10:wrap type="square" side="right"/>
              </v:rect>
            </w:pict>
          </mc:Fallback>
        </mc:AlternateContent>
      </w:r>
    </w:p>
    <w:p>
      <w:pPr>
        <w:pStyle w:val="TextBody"/>
        <w:bidi w:val="0"/>
        <w:spacing w:before="0" w:after="0"/>
        <w:ind w:left="720" w:right="0" w:hanging="0"/>
        <w:jc w:val="both"/>
        <w:rPr/>
      </w:pPr>
      <w:r>
        <w:rPr/>
        <w:t xml:space="preserve">  </w:t>
      </w:r>
    </w:p>
    <w:p>
      <w:pPr>
        <w:pStyle w:val="TextBody"/>
        <w:bidi w:val="0"/>
        <w:spacing w:before="0" w:after="0"/>
        <w:ind w:left="0" w:right="0" w:hanging="360"/>
        <w:jc w:val="both"/>
        <w:rPr/>
      </w:pPr>
      <w:r>
        <w:rPr>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r>
        <w:rPr/>
        <w:t xml:space="preserve"> </w:t>
      </w:r>
      <w:r>
        <mc:AlternateContent>
          <mc:Choice Requires="wps">
            <w:drawing>
              <wp:anchor behindDoc="0" distT="0" distB="0" distL="0" distR="0" simplePos="0" locked="0" layoutInCell="1" allowOverlap="1" relativeHeight="206">
                <wp:simplePos x="0" y="0"/>
                <wp:positionH relativeFrom="column">
                  <wp:align>left</wp:align>
                </wp:positionH>
                <wp:positionV relativeFrom="line">
                  <wp:posOffset>635</wp:posOffset>
                </wp:positionV>
                <wp:extent cx="228600" cy="175260"/>
                <wp:effectExtent l="0" t="0" r="0" b="0"/>
                <wp:wrapSquare wrapText="right"/>
                <wp:docPr id="205" name="Frame205"/>
                <a:graphic xmlns:a="http://schemas.openxmlformats.org/drawingml/2006/main">
                  <a:graphicData uri="http://schemas.microsoft.com/office/word/2010/wordprocessingShape">
                    <wps:wsp>
                      <wps:cNvSpPr txBox="1"/>
                      <wps:spPr>
                        <a:xfrm>
                          <a:off x="0" y="0"/>
                          <a:ext cx="228600" cy="175260"/>
                        </a:xfrm>
                        <a:prstGeom prst="rect"/>
                        <a:solidFill>
                          <a:srgbClr val="FFFFFF"/>
                        </a:solidFill>
                      </wps:spPr>
                      <wps:txbx>
                        <w:txbxContent>
                          <w:p>
                            <w:pPr>
                              <w:pStyle w:val="TextBody"/>
                              <w:bidi w:val="0"/>
                              <w:spacing w:before="0" w:after="283"/>
                              <w:jc w:val="left"/>
                              <w:rPr/>
                            </w:pPr>
                            <w:r>
                              <w:rPr>
                                <w:sz w:val="20"/>
                              </w:rPr>
                              <w:t>a.</w:t>
                            </w:r>
                            <w:r>
                              <w:rPr/>
                              <w:t xml:space="preserve"> </w:t>
                            </w:r>
                          </w:p>
                        </w:txbxContent>
                      </wps:txbx>
                      <wps:bodyPr anchor="t" lIns="0" tIns="0" rIns="0" bIns="0">
                        <a:noAutofit/>
                      </wps:bodyPr>
                    </wps:wsp>
                  </a:graphicData>
                </a:graphic>
              </wp:anchor>
            </w:drawing>
          </mc:Choice>
          <mc:Fallback>
            <w:pict>
              <v:rect style="position:absolute;rotation:-0;width: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sz w:val="20"/>
                        </w:rPr>
                        <w:t>a.</w:t>
                      </w:r>
                      <w:r>
                        <w:rPr/>
                        <w:t xml:space="preserve"> </w:t>
                      </w:r>
                    </w:p>
                  </w:txbxContent>
                </v:textbox>
                <w10:wrap type="square" side="right"/>
              </v:rect>
            </w:pict>
          </mc:Fallback>
        </mc:AlternateContent>
      </w:r>
    </w:p>
    <w:p>
      <w:pPr>
        <w:pStyle w:val="TextBody"/>
        <w:bidi w:val="0"/>
        <w:spacing w:before="0" w:after="0"/>
        <w:ind w:left="1260" w:right="0" w:hanging="0"/>
        <w:jc w:val="both"/>
        <w:rPr/>
      </w:pPr>
      <w:r>
        <w:rPr/>
        <w:t xml:space="preserve">  </w:t>
      </w:r>
    </w:p>
    <w:p>
      <w:pPr>
        <w:pStyle w:val="TextBody"/>
        <w:bidi w:val="0"/>
        <w:spacing w:before="0" w:after="0"/>
        <w:ind w:left="0" w:right="0" w:hanging="360"/>
        <w:jc w:val="both"/>
        <w:rPr/>
      </w:pPr>
      <w:r>
        <w:rPr>
          <w:sz w:val="20"/>
        </w:rPr>
        <w:t>Any fraud, whether or not material, that involves management or other employees who have a significant role in the registrant’s internal control over financial reporting.</w:t>
      </w:r>
      <w:r>
        <w:rPr/>
        <w:t xml:space="preserve"> </w:t>
      </w:r>
      <w:r>
        <mc:AlternateContent>
          <mc:Choice Requires="wps">
            <w:drawing>
              <wp:anchor behindDoc="0" distT="0" distB="0" distL="0" distR="0" simplePos="0" locked="0" layoutInCell="1" allowOverlap="1" relativeHeight="207">
                <wp:simplePos x="0" y="0"/>
                <wp:positionH relativeFrom="column">
                  <wp:align>left</wp:align>
                </wp:positionH>
                <wp:positionV relativeFrom="line">
                  <wp:posOffset>635</wp:posOffset>
                </wp:positionV>
                <wp:extent cx="228600" cy="175260"/>
                <wp:effectExtent l="0" t="0" r="0" b="0"/>
                <wp:wrapSquare wrapText="right"/>
                <wp:docPr id="206" name="Frame206"/>
                <a:graphic xmlns:a="http://schemas.openxmlformats.org/drawingml/2006/main">
                  <a:graphicData uri="http://schemas.microsoft.com/office/word/2010/wordprocessingShape">
                    <wps:wsp>
                      <wps:cNvSpPr txBox="1"/>
                      <wps:spPr>
                        <a:xfrm>
                          <a:off x="0" y="0"/>
                          <a:ext cx="228600" cy="175260"/>
                        </a:xfrm>
                        <a:prstGeom prst="rect"/>
                        <a:solidFill>
                          <a:srgbClr val="FFFFFF"/>
                        </a:solidFill>
                      </wps:spPr>
                      <wps:txbx>
                        <w:txbxContent>
                          <w:p>
                            <w:pPr>
                              <w:pStyle w:val="TextBody"/>
                              <w:bidi w:val="0"/>
                              <w:spacing w:before="0" w:after="283"/>
                              <w:jc w:val="left"/>
                              <w:rPr/>
                            </w:pPr>
                            <w:r>
                              <w:rPr>
                                <w:sz w:val="20"/>
                              </w:rPr>
                              <w:t>b.</w:t>
                            </w:r>
                            <w:r>
                              <w:rPr/>
                              <w:t xml:space="preserve"> </w:t>
                            </w:r>
                          </w:p>
                        </w:txbxContent>
                      </wps:txbx>
                      <wps:bodyPr anchor="t" lIns="0" tIns="0" rIns="0" bIns="0">
                        <a:noAutofit/>
                      </wps:bodyPr>
                    </wps:wsp>
                  </a:graphicData>
                </a:graphic>
              </wp:anchor>
            </w:drawing>
          </mc:Choice>
          <mc:Fallback>
            <w:pict>
              <v:rect style="position:absolute;rotation:-0;width: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sz w:val="20"/>
                        </w:rPr>
                        <w:t>b.</w:t>
                      </w:r>
                      <w:r>
                        <w:rPr/>
                        <w:t xml:space="preserve"> </w:t>
                      </w:r>
                    </w:p>
                  </w:txbxContent>
                </v:textbox>
                <w10:wrap type="square" side="right"/>
              </v:rect>
            </w:pict>
          </mc:Fallback>
        </mc:AlternateContent>
      </w:r>
    </w:p>
    <w:p>
      <w:pPr>
        <w:pStyle w:val="TextBody"/>
        <w:bidi w:val="0"/>
        <w:spacing w:before="0" w:after="0"/>
        <w:ind w:left="1260" w:right="0" w:hanging="0"/>
        <w:jc w:val="both"/>
        <w:rPr/>
      </w:pPr>
      <w:r>
        <w:rPr/>
        <w:t xml:space="preserve">  </w:t>
      </w:r>
    </w:p>
    <w:tbl>
      <w:tblPr>
        <w:tblW w:w="5628" w:type="dxa"/>
        <w:jc w:val="left"/>
        <w:tblInd w:w="0" w:type="dxa"/>
        <w:tblLayout w:type="fixed"/>
        <w:tblCellMar>
          <w:top w:w="28" w:type="dxa"/>
          <w:left w:w="28" w:type="dxa"/>
          <w:bottom w:w="28" w:type="dxa"/>
          <w:right w:w="28" w:type="dxa"/>
        </w:tblCellMar>
      </w:tblPr>
      <w:tblGrid>
        <w:gridCol w:w="1966"/>
        <w:gridCol w:w="796"/>
        <w:gridCol w:w="2866"/>
      </w:tblGrid>
      <w:tr>
        <w:trPr/>
        <w:tc>
          <w:tcPr>
            <w:tcW w:w="1966" w:type="dxa"/>
            <w:tcBorders/>
            <w:vAlign w:val="center"/>
          </w:tcPr>
          <w:p>
            <w:pPr>
              <w:pStyle w:val="TableContents"/>
              <w:bidi w:val="0"/>
              <w:spacing w:before="0" w:after="283"/>
              <w:jc w:val="left"/>
              <w:rPr/>
            </w:pPr>
            <w:r>
              <w:rPr/>
              <w:t> </w:t>
            </w:r>
          </w:p>
        </w:tc>
        <w:tc>
          <w:tcPr>
            <w:tcW w:w="796" w:type="dxa"/>
            <w:tcBorders/>
            <w:vAlign w:val="center"/>
          </w:tcPr>
          <w:p>
            <w:pPr>
              <w:pStyle w:val="TableContents"/>
              <w:bidi w:val="0"/>
              <w:spacing w:before="0" w:after="283"/>
              <w:jc w:val="left"/>
              <w:rPr/>
            </w:pPr>
            <w:r>
              <w:rPr/>
              <w:t> </w:t>
            </w:r>
          </w:p>
        </w:tc>
        <w:tc>
          <w:tcPr>
            <w:tcW w:w="2866" w:type="dxa"/>
            <w:tcBorders/>
            <w:vAlign w:val="center"/>
          </w:tcPr>
          <w:p>
            <w:pPr>
              <w:pStyle w:val="TableContents"/>
              <w:bidi w:val="0"/>
              <w:spacing w:before="0" w:after="283"/>
              <w:jc w:val="left"/>
              <w:rPr/>
            </w:pPr>
            <w:r>
              <w:rPr/>
              <w:t> </w:t>
            </w:r>
          </w:p>
        </w:tc>
      </w:tr>
      <w:tr>
        <w:trPr/>
        <w:tc>
          <w:tcPr>
            <w:tcW w:w="1966" w:type="dxa"/>
            <w:tcBorders/>
            <w:tcMar>
              <w:top w:w="0" w:type="dxa"/>
              <w:left w:w="0" w:type="dxa"/>
              <w:bottom w:w="0" w:type="dxa"/>
              <w:right w:w="0" w:type="dxa"/>
            </w:tcMar>
            <w:vAlign w:val="center"/>
          </w:tcPr>
          <w:p>
            <w:pPr>
              <w:pStyle w:val="TableContents"/>
              <w:bidi w:val="0"/>
              <w:spacing w:before="0" w:after="0"/>
              <w:jc w:val="left"/>
              <w:rPr/>
            </w:pPr>
            <w:r>
              <w:rPr/>
              <w:t xml:space="preserve">Date: May 6, 2026 </w:t>
            </w:r>
          </w:p>
        </w:tc>
        <w:tc>
          <w:tcPr>
            <w:tcW w:w="796" w:type="dxa"/>
            <w:tcBorders/>
            <w:tcMar>
              <w:top w:w="0" w:type="dxa"/>
              <w:left w:w="0" w:type="dxa"/>
              <w:bottom w:w="0" w:type="dxa"/>
              <w:right w:w="0" w:type="dxa"/>
            </w:tcMar>
            <w:vAlign w:val="center"/>
          </w:tcPr>
          <w:p>
            <w:pPr>
              <w:pStyle w:val="TableContents"/>
              <w:bidi w:val="0"/>
              <w:spacing w:before="0" w:after="0"/>
              <w:jc w:val="left"/>
              <w:rPr/>
            </w:pPr>
            <w:r>
              <w:rPr/>
              <w:t xml:space="preserve">By: </w:t>
            </w:r>
          </w:p>
        </w:tc>
        <w:tc>
          <w:tcPr>
            <w:tcW w:w="2866" w:type="dxa"/>
            <w:tcBorders/>
            <w:tcMar>
              <w:top w:w="0" w:type="dxa"/>
              <w:left w:w="0" w:type="dxa"/>
              <w:bottom w:w="0" w:type="dxa"/>
              <w:right w:w="0" w:type="dxa"/>
            </w:tcMar>
            <w:vAlign w:val="center"/>
          </w:tcPr>
          <w:p>
            <w:pPr>
              <w:pStyle w:val="TableContents"/>
              <w:bidi w:val="0"/>
              <w:spacing w:before="0" w:after="0"/>
              <w:jc w:val="left"/>
              <w:rPr>
                <w:bdr w:val="single" w:sz="8" w:space="1" w:color="000000"/>
              </w:rPr>
            </w:pPr>
            <w:r>
              <w:rPr>
                <w:bdr w:val="single" w:sz="8" w:space="1" w:color="000000"/>
              </w:rPr>
              <w:t xml:space="preserve">/s/ Paul Terence Kohler, Jr. </w:t>
            </w:r>
          </w:p>
        </w:tc>
      </w:tr>
      <w:tr>
        <w:trPr/>
        <w:tc>
          <w:tcPr>
            <w:tcW w:w="1966" w:type="dxa"/>
            <w:tcBorders/>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tcMar>
              <w:top w:w="0" w:type="dxa"/>
              <w:left w:w="0" w:type="dxa"/>
              <w:bottom w:w="0" w:type="dxa"/>
              <w:right w:w="0" w:type="dxa"/>
            </w:tcMar>
            <w:vAlign w:val="center"/>
          </w:tcPr>
          <w:p>
            <w:pPr>
              <w:pStyle w:val="TableContents"/>
              <w:bidi w:val="0"/>
              <w:spacing w:before="0" w:after="0"/>
              <w:jc w:val="left"/>
              <w:rPr/>
            </w:pPr>
            <w:r>
              <w:rPr/>
              <w:t xml:space="preserve">Name: </w:t>
            </w:r>
          </w:p>
        </w:tc>
        <w:tc>
          <w:tcPr>
            <w:tcW w:w="2866" w:type="dxa"/>
            <w:tcBorders/>
            <w:tcMar>
              <w:top w:w="0" w:type="dxa"/>
              <w:left w:w="0" w:type="dxa"/>
              <w:bottom w:w="0" w:type="dxa"/>
              <w:right w:w="0" w:type="dxa"/>
            </w:tcMar>
            <w:vAlign w:val="center"/>
          </w:tcPr>
          <w:p>
            <w:pPr>
              <w:pStyle w:val="TableContents"/>
              <w:bidi w:val="0"/>
              <w:spacing w:before="0" w:after="0"/>
              <w:jc w:val="left"/>
              <w:rPr/>
            </w:pPr>
            <w:r>
              <w:rPr/>
              <w:t xml:space="preserve">Paul Terence Kohler, Jr. </w:t>
            </w:r>
          </w:p>
        </w:tc>
      </w:tr>
      <w:tr>
        <w:trPr/>
        <w:tc>
          <w:tcPr>
            <w:tcW w:w="1966" w:type="dxa"/>
            <w:tcBorders/>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tcMar>
              <w:top w:w="0" w:type="dxa"/>
              <w:left w:w="0" w:type="dxa"/>
              <w:bottom w:w="0" w:type="dxa"/>
              <w:right w:w="0" w:type="dxa"/>
            </w:tcMar>
            <w:vAlign w:val="center"/>
          </w:tcPr>
          <w:p>
            <w:pPr>
              <w:pStyle w:val="TableContents"/>
              <w:bidi w:val="0"/>
              <w:spacing w:before="0" w:after="0"/>
              <w:jc w:val="left"/>
              <w:rPr/>
            </w:pPr>
            <w:r>
              <w:rPr/>
              <w:t xml:space="preserve">Title: </w:t>
            </w:r>
          </w:p>
        </w:tc>
        <w:tc>
          <w:tcPr>
            <w:tcW w:w="2866" w:type="dxa"/>
            <w:tcBorders/>
            <w:tcMar>
              <w:top w:w="0" w:type="dxa"/>
              <w:left w:w="0" w:type="dxa"/>
              <w:bottom w:w="0" w:type="dxa"/>
              <w:right w:w="0" w:type="dxa"/>
            </w:tcMar>
            <w:vAlign w:val="center"/>
          </w:tcPr>
          <w:p>
            <w:pPr>
              <w:pStyle w:val="TableContents"/>
              <w:bidi w:val="0"/>
              <w:spacing w:before="0" w:after="0"/>
              <w:jc w:val="left"/>
              <w:rPr/>
            </w:pPr>
            <w:r>
              <w:rPr/>
              <w:t xml:space="preserve">Chief Financial Officer </w:t>
            </w:r>
          </w:p>
          <w:p>
            <w:pPr>
              <w:pStyle w:val="TableContents"/>
              <w:bidi w:val="0"/>
              <w:spacing w:before="0" w:after="0"/>
              <w:jc w:val="left"/>
              <w:rPr/>
            </w:pPr>
            <w:r>
              <w:rPr/>
              <w:t xml:space="preserve">(Principal Financial Officer) </w:t>
            </w:r>
          </w:p>
        </w:tc>
      </w:tr>
    </w:tbl>
    <w:p>
      <w:pPr>
        <w:pStyle w:val="TextBody"/>
        <w:bidi w:val="0"/>
        <w:spacing w:before="0" w:after="0"/>
        <w:jc w:val="right"/>
        <w:rPr/>
      </w:pPr>
      <w:r>
        <w:rPr/>
        <w:t xml:space="preserve">  </w:t>
      </w:r>
    </w:p>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p>
      <w:pPr>
        <w:pStyle w:val="HorizontalLine"/>
        <w:bidi w:val="0"/>
        <w:jc w:val="left"/>
        <w:rPr/>
      </w:pPr>
      <w:r>
        <w:rPr/>
      </w:r>
      <w:bookmarkStart w:id="30" w:name="ef20070429_ex32-1.htm"/>
      <w:bookmarkStart w:id="31" w:name="ksef20070429_ex321"/>
      <w:bookmarkStart w:id="32" w:name="ef20070429_ex32-1.htm"/>
      <w:bookmarkStart w:id="33" w:name="ksef20070429_ex321"/>
      <w:bookmarkEnd w:id="32"/>
      <w:bookmarkEnd w:id="33"/>
      <w:r>
        <w:br w:type="page"/>
      </w:r>
    </w:p>
    <w:p>
      <w:pPr>
        <w:pStyle w:val="TextBody"/>
        <w:bidi w:val="0"/>
        <w:spacing w:before="0" w:after="0"/>
        <w:ind w:left="0" w:right="0" w:firstLine="720"/>
        <w:jc w:val="right"/>
        <w:rPr/>
      </w:pPr>
      <w:r>
        <w:rPr>
          <w:b/>
          <w:sz w:val="20"/>
        </w:rPr>
        <w:t>Exhibit 32.1</w:t>
      </w:r>
      <w:r>
        <w:rPr/>
        <w:t xml:space="preserve"> </w:t>
      </w:r>
    </w:p>
    <w:p>
      <w:pPr>
        <w:pStyle w:val="TextBody"/>
        <w:bidi w:val="0"/>
        <w:spacing w:before="0" w:after="0"/>
        <w:jc w:val="right"/>
        <w:rPr/>
      </w:pPr>
      <w:r>
        <w:rPr/>
        <w:t xml:space="preserve">  </w:t>
      </w:r>
    </w:p>
    <w:p>
      <w:pPr>
        <w:pStyle w:val="TextBody"/>
        <w:bidi w:val="0"/>
        <w:spacing w:before="0" w:after="0"/>
        <w:jc w:val="center"/>
        <w:rPr/>
      </w:pPr>
      <w:r>
        <w:rPr>
          <w:b/>
          <w:sz w:val="20"/>
        </w:rPr>
        <w:t>CERTIFICATIONS</w:t>
      </w:r>
      <w:r>
        <w:rPr/>
        <w:t xml:space="preserve"> </w:t>
      </w:r>
    </w:p>
    <w:p>
      <w:pPr>
        <w:pStyle w:val="TextBody"/>
        <w:bidi w:val="0"/>
        <w:spacing w:before="0" w:after="0"/>
        <w:jc w:val="center"/>
        <w:rPr/>
      </w:pPr>
      <w:r>
        <w:rPr/>
        <w:t xml:space="preserve">  </w:t>
      </w:r>
    </w:p>
    <w:p>
      <w:pPr>
        <w:pStyle w:val="TextBody"/>
        <w:bidi w:val="0"/>
        <w:spacing w:before="0" w:after="0"/>
        <w:jc w:val="both"/>
        <w:rPr/>
      </w:pPr>
      <w:r>
        <w:rPr>
          <w:sz w:val="20"/>
        </w:rPr>
        <w:t>In connection with the Quarterly Report of ADMA Biologics, Inc., a Delaware corporation (the “Company”), on Form 10-Q for the quarter ended March 31, 2026, as filed with the Securities and Exchange Commission on the date hereof (the “Report”), I, Adam S. Grossman, President and Chief Executive Officer of the Company, hereby certify, pursuant to 18 U.S.C. § 1350, as adopted pursuant to Section 906 of the Sarbanes-Oxley Act of 2002, that to my knowledge:</w:t>
      </w:r>
      <w:r>
        <w:rPr/>
        <w:t xml:space="preserve"> </w:t>
      </w:r>
    </w:p>
    <w:p>
      <w:pPr>
        <w:pStyle w:val="TextBody"/>
        <w:bidi w:val="0"/>
        <w:spacing w:before="0" w:after="0"/>
        <w:jc w:val="left"/>
        <w:rPr/>
      </w:pPr>
      <w:r>
        <w:rPr/>
        <w:t xml:space="preserve">  </w:t>
      </w:r>
    </w:p>
    <w:p>
      <w:pPr>
        <w:pStyle w:val="TextBody"/>
        <w:bidi w:val="0"/>
        <w:spacing w:before="0" w:after="0"/>
        <w:ind w:left="0" w:right="0" w:hanging="360"/>
        <w:jc w:val="left"/>
        <w:rPr/>
      </w:pPr>
      <w:r>
        <w:rPr>
          <w:sz w:val="20"/>
        </w:rPr>
        <w:t>The Report fully complies with the requirements of Section 13(a) or 15(d) of the Securities Exchange Act of 1934, as amended; and</w:t>
      </w:r>
      <w:r>
        <w:rPr/>
        <w:t xml:space="preserve"> </w:t>
      </w:r>
      <w:r>
        <mc:AlternateContent>
          <mc:Choice Requires="wps">
            <w:drawing>
              <wp:anchor behindDoc="0" distT="0" distB="0" distL="0" distR="0" simplePos="0" locked="0" layoutInCell="1" allowOverlap="1" relativeHeight="208">
                <wp:simplePos x="0" y="0"/>
                <wp:positionH relativeFrom="column">
                  <wp:align>left</wp:align>
                </wp:positionH>
                <wp:positionV relativeFrom="line">
                  <wp:posOffset>635</wp:posOffset>
                </wp:positionV>
                <wp:extent cx="228600" cy="175260"/>
                <wp:effectExtent l="0" t="0" r="0" b="0"/>
                <wp:wrapSquare wrapText="right"/>
                <wp:docPr id="207" name="Frame207"/>
                <a:graphic xmlns:a="http://schemas.openxmlformats.org/drawingml/2006/main">
                  <a:graphicData uri="http://schemas.microsoft.com/office/word/2010/wordprocessingShape">
                    <wps:wsp>
                      <wps:cNvSpPr txBox="1"/>
                      <wps:spPr>
                        <a:xfrm>
                          <a:off x="0" y="0"/>
                          <a:ext cx="228600" cy="175260"/>
                        </a:xfrm>
                        <a:prstGeom prst="rect"/>
                        <a:solidFill>
                          <a:srgbClr val="FFFFFF"/>
                        </a:solidFill>
                      </wps:spPr>
                      <wps:txbx>
                        <w:txbxContent>
                          <w:p>
                            <w:pPr>
                              <w:pStyle w:val="TextBody"/>
                              <w:bidi w:val="0"/>
                              <w:spacing w:before="0" w:after="283"/>
                              <w:jc w:val="left"/>
                              <w:rPr/>
                            </w:pPr>
                            <w:r>
                              <w:rPr>
                                <w:sz w:val="20"/>
                              </w:rPr>
                              <w:t>1.</w:t>
                            </w:r>
                            <w:r>
                              <w:rPr/>
                              <w:t xml:space="preserve"> </w:t>
                            </w:r>
                          </w:p>
                        </w:txbxContent>
                      </wps:txbx>
                      <wps:bodyPr anchor="t" lIns="0" tIns="0" rIns="0" bIns="0">
                        <a:noAutofit/>
                      </wps:bodyPr>
                    </wps:wsp>
                  </a:graphicData>
                </a:graphic>
              </wp:anchor>
            </w:drawing>
          </mc:Choice>
          <mc:Fallback>
            <w:pict>
              <v:rect style="position:absolute;rotation:-0;width: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sz w:val="20"/>
                        </w:rPr>
                        <w:t>1.</w:t>
                      </w:r>
                      <w:r>
                        <w:rPr/>
                        <w:t xml:space="preserve"> </w:t>
                      </w:r>
                    </w:p>
                  </w:txbxContent>
                </v:textbox>
                <w10:wrap type="square" side="right"/>
              </v:rect>
            </w:pict>
          </mc:Fallback>
        </mc:AlternateContent>
      </w:r>
    </w:p>
    <w:p>
      <w:pPr>
        <w:pStyle w:val="TextBody"/>
        <w:bidi w:val="0"/>
        <w:spacing w:before="0" w:after="0"/>
        <w:ind w:left="720" w:right="0" w:hanging="0"/>
        <w:jc w:val="left"/>
        <w:rPr/>
      </w:pPr>
      <w:r>
        <w:rPr/>
        <w:t xml:space="preserve">  </w:t>
      </w:r>
    </w:p>
    <w:p>
      <w:pPr>
        <w:pStyle w:val="TextBody"/>
        <w:bidi w:val="0"/>
        <w:spacing w:before="0" w:after="0"/>
        <w:ind w:left="0" w:right="0" w:hanging="360"/>
        <w:jc w:val="left"/>
        <w:rPr/>
      </w:pPr>
      <w:r>
        <w:rPr>
          <w:sz w:val="20"/>
        </w:rPr>
        <w:t>The information contained in the Report fairly presents, in all material respects, the financial condition and results of operations of the Company.</w:t>
      </w:r>
      <w:r>
        <w:rPr/>
        <w:t xml:space="preserve"> </w:t>
      </w:r>
      <w:r>
        <mc:AlternateContent>
          <mc:Choice Requires="wps">
            <w:drawing>
              <wp:anchor behindDoc="0" distT="0" distB="0" distL="0" distR="0" simplePos="0" locked="0" layoutInCell="1" allowOverlap="1" relativeHeight="209">
                <wp:simplePos x="0" y="0"/>
                <wp:positionH relativeFrom="column">
                  <wp:align>left</wp:align>
                </wp:positionH>
                <wp:positionV relativeFrom="line">
                  <wp:posOffset>635</wp:posOffset>
                </wp:positionV>
                <wp:extent cx="228600" cy="175260"/>
                <wp:effectExtent l="0" t="0" r="0" b="0"/>
                <wp:wrapSquare wrapText="right"/>
                <wp:docPr id="208" name="Frame208"/>
                <a:graphic xmlns:a="http://schemas.openxmlformats.org/drawingml/2006/main">
                  <a:graphicData uri="http://schemas.microsoft.com/office/word/2010/wordprocessingShape">
                    <wps:wsp>
                      <wps:cNvSpPr txBox="1"/>
                      <wps:spPr>
                        <a:xfrm>
                          <a:off x="0" y="0"/>
                          <a:ext cx="228600" cy="175260"/>
                        </a:xfrm>
                        <a:prstGeom prst="rect"/>
                        <a:solidFill>
                          <a:srgbClr val="FFFFFF"/>
                        </a:solidFill>
                      </wps:spPr>
                      <wps:txbx>
                        <w:txbxContent>
                          <w:p>
                            <w:pPr>
                              <w:pStyle w:val="TextBody"/>
                              <w:bidi w:val="0"/>
                              <w:spacing w:before="0" w:after="283"/>
                              <w:jc w:val="left"/>
                              <w:rPr/>
                            </w:pPr>
                            <w:r>
                              <w:rPr>
                                <w:sz w:val="20"/>
                              </w:rPr>
                              <w:t>2.</w:t>
                            </w:r>
                            <w:r>
                              <w:rPr/>
                              <w:t xml:space="preserve"> </w:t>
                            </w:r>
                          </w:p>
                        </w:txbxContent>
                      </wps:txbx>
                      <wps:bodyPr anchor="t" lIns="0" tIns="0" rIns="0" bIns="0">
                        <a:noAutofit/>
                      </wps:bodyPr>
                    </wps:wsp>
                  </a:graphicData>
                </a:graphic>
              </wp:anchor>
            </w:drawing>
          </mc:Choice>
          <mc:Fallback>
            <w:pict>
              <v:rect style="position:absolute;rotation:-0;width: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sz w:val="20"/>
                        </w:rPr>
                        <w:t>2.</w:t>
                      </w:r>
                      <w:r>
                        <w:rPr/>
                        <w:t xml:space="preserve"> </w:t>
                      </w:r>
                    </w:p>
                  </w:txbxContent>
                </v:textbox>
                <w10:wrap type="square" side="right"/>
              </v:rect>
            </w:pict>
          </mc:Fallback>
        </mc:AlternateContent>
      </w:r>
    </w:p>
    <w:p>
      <w:pPr>
        <w:pStyle w:val="TextBody"/>
        <w:bidi w:val="0"/>
        <w:spacing w:before="0" w:after="0"/>
        <w:jc w:val="both"/>
        <w:rPr/>
      </w:pPr>
      <w:r>
        <w:rPr/>
        <w:t xml:space="preserve">  </w:t>
      </w:r>
    </w:p>
    <w:tbl>
      <w:tblPr>
        <w:tblW w:w="6573" w:type="dxa"/>
        <w:jc w:val="left"/>
        <w:tblInd w:w="0" w:type="dxa"/>
        <w:tblLayout w:type="fixed"/>
        <w:tblCellMar>
          <w:top w:w="28" w:type="dxa"/>
          <w:left w:w="28" w:type="dxa"/>
          <w:bottom w:w="28" w:type="dxa"/>
          <w:right w:w="28" w:type="dxa"/>
        </w:tblCellMar>
      </w:tblPr>
      <w:tblGrid>
        <w:gridCol w:w="1966"/>
        <w:gridCol w:w="796"/>
        <w:gridCol w:w="3811"/>
      </w:tblGrid>
      <w:tr>
        <w:trPr/>
        <w:tc>
          <w:tcPr>
            <w:tcW w:w="1966" w:type="dxa"/>
            <w:tcBorders/>
            <w:vAlign w:val="center"/>
          </w:tcPr>
          <w:p>
            <w:pPr>
              <w:pStyle w:val="TableContents"/>
              <w:bidi w:val="0"/>
              <w:spacing w:before="0" w:after="283"/>
              <w:jc w:val="left"/>
              <w:rPr/>
            </w:pPr>
            <w:r>
              <w:rPr/>
              <w:t> </w:t>
            </w:r>
          </w:p>
        </w:tc>
        <w:tc>
          <w:tcPr>
            <w:tcW w:w="796" w:type="dxa"/>
            <w:tcBorders/>
            <w:vAlign w:val="center"/>
          </w:tcPr>
          <w:p>
            <w:pPr>
              <w:pStyle w:val="TableContents"/>
              <w:bidi w:val="0"/>
              <w:spacing w:before="0" w:after="283"/>
              <w:jc w:val="left"/>
              <w:rPr/>
            </w:pPr>
            <w:r>
              <w:rPr/>
              <w:t> </w:t>
            </w:r>
          </w:p>
        </w:tc>
        <w:tc>
          <w:tcPr>
            <w:tcW w:w="3811" w:type="dxa"/>
            <w:tcBorders/>
            <w:vAlign w:val="center"/>
          </w:tcPr>
          <w:p>
            <w:pPr>
              <w:pStyle w:val="TableContents"/>
              <w:bidi w:val="0"/>
              <w:spacing w:before="0" w:after="283"/>
              <w:jc w:val="left"/>
              <w:rPr/>
            </w:pPr>
            <w:r>
              <w:rPr/>
              <w:t> </w:t>
            </w:r>
          </w:p>
        </w:tc>
      </w:tr>
      <w:tr>
        <w:trPr/>
        <w:tc>
          <w:tcPr>
            <w:tcW w:w="1966" w:type="dxa"/>
            <w:tcBorders/>
            <w:tcMar>
              <w:top w:w="0" w:type="dxa"/>
              <w:left w:w="0" w:type="dxa"/>
              <w:bottom w:w="0" w:type="dxa"/>
              <w:right w:w="0" w:type="dxa"/>
            </w:tcMar>
            <w:vAlign w:val="center"/>
          </w:tcPr>
          <w:p>
            <w:pPr>
              <w:pStyle w:val="TableContents"/>
              <w:bidi w:val="0"/>
              <w:spacing w:before="0" w:after="0"/>
              <w:jc w:val="left"/>
              <w:rPr/>
            </w:pPr>
            <w:r>
              <w:rPr/>
              <w:t xml:space="preserve">Date: May 6, 2026 </w:t>
            </w:r>
          </w:p>
        </w:tc>
        <w:tc>
          <w:tcPr>
            <w:tcW w:w="796" w:type="dxa"/>
            <w:tcBorders/>
            <w:tcMar>
              <w:top w:w="0" w:type="dxa"/>
              <w:left w:w="0" w:type="dxa"/>
              <w:bottom w:w="0" w:type="dxa"/>
              <w:right w:w="0" w:type="dxa"/>
            </w:tcMar>
            <w:vAlign w:val="center"/>
          </w:tcPr>
          <w:p>
            <w:pPr>
              <w:pStyle w:val="TableContents"/>
              <w:bidi w:val="0"/>
              <w:spacing w:before="0" w:after="0"/>
              <w:jc w:val="left"/>
              <w:rPr/>
            </w:pPr>
            <w:r>
              <w:rPr/>
              <w:t xml:space="preserve">By: </w:t>
            </w:r>
          </w:p>
        </w:tc>
        <w:tc>
          <w:tcPr>
            <w:tcW w:w="3811" w:type="dxa"/>
            <w:tcBorders/>
            <w:tcMar>
              <w:top w:w="0" w:type="dxa"/>
              <w:left w:w="0" w:type="dxa"/>
              <w:bottom w:w="0" w:type="dxa"/>
              <w:right w:w="0" w:type="dxa"/>
            </w:tcMar>
            <w:vAlign w:val="center"/>
          </w:tcPr>
          <w:p>
            <w:pPr>
              <w:pStyle w:val="TableContents"/>
              <w:bidi w:val="0"/>
              <w:spacing w:before="0" w:after="0"/>
              <w:jc w:val="left"/>
              <w:rPr>
                <w:bdr w:val="single" w:sz="8" w:space="1" w:color="000000"/>
              </w:rPr>
            </w:pPr>
            <w:r>
              <w:rPr>
                <w:bdr w:val="single" w:sz="8" w:space="1" w:color="000000"/>
              </w:rPr>
              <w:t xml:space="preserve">/s/ Adam S. Grossman </w:t>
            </w:r>
          </w:p>
        </w:tc>
      </w:tr>
      <w:tr>
        <w:trPr/>
        <w:tc>
          <w:tcPr>
            <w:tcW w:w="1966" w:type="dxa"/>
            <w:tcBorders/>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tcMar>
              <w:top w:w="0" w:type="dxa"/>
              <w:left w:w="0" w:type="dxa"/>
              <w:bottom w:w="0" w:type="dxa"/>
              <w:right w:w="0" w:type="dxa"/>
            </w:tcMar>
            <w:vAlign w:val="center"/>
          </w:tcPr>
          <w:p>
            <w:pPr>
              <w:pStyle w:val="TableContents"/>
              <w:bidi w:val="0"/>
              <w:spacing w:before="0" w:after="0"/>
              <w:jc w:val="left"/>
              <w:rPr/>
            </w:pPr>
            <w:r>
              <w:rPr/>
              <w:t xml:space="preserve">Name: </w:t>
            </w:r>
          </w:p>
        </w:tc>
        <w:tc>
          <w:tcPr>
            <w:tcW w:w="3811" w:type="dxa"/>
            <w:tcBorders/>
            <w:tcMar>
              <w:top w:w="0" w:type="dxa"/>
              <w:left w:w="0" w:type="dxa"/>
              <w:bottom w:w="0" w:type="dxa"/>
              <w:right w:w="0" w:type="dxa"/>
            </w:tcMar>
            <w:vAlign w:val="center"/>
          </w:tcPr>
          <w:p>
            <w:pPr>
              <w:pStyle w:val="TableContents"/>
              <w:bidi w:val="0"/>
              <w:spacing w:before="0" w:after="0"/>
              <w:jc w:val="left"/>
              <w:rPr/>
            </w:pPr>
            <w:r>
              <w:rPr/>
              <w:t xml:space="preserve">Adam S. Grossman </w:t>
            </w:r>
          </w:p>
        </w:tc>
      </w:tr>
      <w:tr>
        <w:trPr/>
        <w:tc>
          <w:tcPr>
            <w:tcW w:w="1966" w:type="dxa"/>
            <w:tcBorders/>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tcMar>
              <w:top w:w="0" w:type="dxa"/>
              <w:left w:w="0" w:type="dxa"/>
              <w:bottom w:w="0" w:type="dxa"/>
              <w:right w:w="0" w:type="dxa"/>
            </w:tcMar>
            <w:vAlign w:val="center"/>
          </w:tcPr>
          <w:p>
            <w:pPr>
              <w:pStyle w:val="TableContents"/>
              <w:bidi w:val="0"/>
              <w:spacing w:before="0" w:after="0"/>
              <w:jc w:val="left"/>
              <w:rPr/>
            </w:pPr>
            <w:r>
              <w:rPr/>
              <w:t xml:space="preserve">Title: </w:t>
            </w:r>
          </w:p>
        </w:tc>
        <w:tc>
          <w:tcPr>
            <w:tcW w:w="3811" w:type="dxa"/>
            <w:tcBorders/>
            <w:tcMar>
              <w:top w:w="0" w:type="dxa"/>
              <w:left w:w="0" w:type="dxa"/>
              <w:bottom w:w="0" w:type="dxa"/>
              <w:right w:w="0" w:type="dxa"/>
            </w:tcMar>
            <w:vAlign w:val="center"/>
          </w:tcPr>
          <w:p>
            <w:pPr>
              <w:pStyle w:val="TableContents"/>
              <w:bidi w:val="0"/>
              <w:spacing w:before="0" w:after="0"/>
              <w:jc w:val="left"/>
              <w:rPr/>
            </w:pPr>
            <w:r>
              <w:rPr/>
              <w:t xml:space="preserve">President and Chief Executive Officer </w:t>
            </w:r>
          </w:p>
          <w:p>
            <w:pPr>
              <w:pStyle w:val="TableContents"/>
              <w:bidi w:val="0"/>
              <w:spacing w:before="0" w:after="0"/>
              <w:jc w:val="left"/>
              <w:rPr/>
            </w:pPr>
            <w:r>
              <w:rPr/>
              <w:t xml:space="preserve">(Principal Executive Officer) </w:t>
            </w:r>
          </w:p>
        </w:tc>
      </w:tr>
    </w:tbl>
    <w:p>
      <w:pPr>
        <w:pStyle w:val="TextBody"/>
        <w:bidi w:val="0"/>
        <w:spacing w:before="0" w:after="0"/>
        <w:jc w:val="right"/>
        <w:rPr/>
      </w:pPr>
      <w:r>
        <w:rPr/>
        <w:t> </w:t>
      </w:r>
    </w:p>
    <w:p>
      <w:pPr>
        <w:pStyle w:val="TextBody"/>
        <w:bidi w:val="0"/>
        <w:spacing w:before="0" w:after="0"/>
        <w:jc w:val="right"/>
        <w:rPr/>
      </w:pPr>
      <w:r>
        <w:rPr/>
        <w:t> </w:t>
      </w:r>
    </w:p>
    <w:p>
      <w:pPr>
        <w:pStyle w:val="HorizontalLine"/>
        <w:pBdr>
          <w:bottom w:val="double" w:sz="2" w:space="0" w:color="808080"/>
        </w:pBdr>
        <w:bidi w:val="0"/>
        <w:spacing w:before="0" w:after="283"/>
        <w:jc w:val="left"/>
        <w:rPr/>
      </w:pPr>
      <w:r>
        <w:rPr/>
      </w:r>
    </w:p>
    <w:p>
      <w:pPr>
        <w:pStyle w:val="TextBody"/>
        <w:bidi w:val="0"/>
        <w:spacing w:before="0" w:after="283"/>
        <w:jc w:val="left"/>
        <w:rPr/>
      </w:pPr>
      <w:r>
        <w:rPr/>
        <w:t xml:space="preserve">  </w:t>
      </w:r>
    </w:p>
    <w:p>
      <w:pPr>
        <w:pStyle w:val="HorizontalLine"/>
        <w:bidi w:val="0"/>
        <w:jc w:val="left"/>
        <w:rPr/>
      </w:pPr>
      <w:r>
        <w:rPr/>
      </w:r>
      <w:bookmarkStart w:id="34" w:name="ef20070429_ex32-2.htm"/>
      <w:bookmarkStart w:id="35" w:name="ksef20070429_ex322"/>
      <w:bookmarkStart w:id="36" w:name="ef20070429_ex32-2.htm"/>
      <w:bookmarkStart w:id="37" w:name="ksef20070429_ex322"/>
      <w:bookmarkEnd w:id="36"/>
      <w:bookmarkEnd w:id="37"/>
      <w:r>
        <w:br w:type="page"/>
      </w:r>
    </w:p>
    <w:p>
      <w:pPr>
        <w:pStyle w:val="TextBody"/>
        <w:bidi w:val="0"/>
        <w:spacing w:before="0" w:after="0"/>
        <w:ind w:left="0" w:right="0" w:firstLine="720"/>
        <w:jc w:val="right"/>
        <w:rPr/>
      </w:pPr>
      <w:r>
        <w:rPr>
          <w:b/>
          <w:sz w:val="20"/>
        </w:rPr>
        <w:t>Exhibit 32.2</w:t>
      </w:r>
      <w:r>
        <w:rPr/>
        <w:t xml:space="preserve"> </w:t>
      </w:r>
    </w:p>
    <w:p>
      <w:pPr>
        <w:pStyle w:val="TextBody"/>
        <w:bidi w:val="0"/>
        <w:spacing w:before="0" w:after="0"/>
        <w:jc w:val="right"/>
        <w:rPr/>
      </w:pPr>
      <w:r>
        <w:rPr/>
        <w:t xml:space="preserve">  </w:t>
      </w:r>
    </w:p>
    <w:p>
      <w:pPr>
        <w:pStyle w:val="TextBody"/>
        <w:bidi w:val="0"/>
        <w:spacing w:before="0" w:after="0"/>
        <w:jc w:val="center"/>
        <w:rPr/>
      </w:pPr>
      <w:r>
        <w:rPr>
          <w:b/>
          <w:sz w:val="20"/>
        </w:rPr>
        <w:t>CERTIFICATIONS</w:t>
      </w:r>
      <w:r>
        <w:rPr/>
        <w:t xml:space="preserve"> </w:t>
      </w:r>
    </w:p>
    <w:p>
      <w:pPr>
        <w:pStyle w:val="TextBody"/>
        <w:bidi w:val="0"/>
        <w:spacing w:before="0" w:after="0"/>
        <w:jc w:val="center"/>
        <w:rPr/>
      </w:pPr>
      <w:r>
        <w:rPr/>
        <w:t xml:space="preserve">  </w:t>
      </w:r>
    </w:p>
    <w:p>
      <w:pPr>
        <w:pStyle w:val="TextBody"/>
        <w:bidi w:val="0"/>
        <w:spacing w:before="0" w:after="0"/>
        <w:jc w:val="both"/>
        <w:rPr/>
      </w:pPr>
      <w:r>
        <w:rPr>
          <w:sz w:val="20"/>
        </w:rPr>
        <w:t>In connection with the Quarterly Report of ADMA Biologics, Inc., a Delaware corporation (the “Company”), on Form 10-Q for the quarter ended March 31, 2026, as filed with the Securities and Exchange Commission on the date hereof (the “Report”), I, Paul Terence Kohler, Jr., Chief Financial Officer of the Company, hereby certify, pursuant to 18 U.S.C. § 1350, as adopted pursuant to Section 906 of the Sarbanes-Oxley Act of 2002, that to my knowledge:</w:t>
      </w:r>
      <w:r>
        <w:rPr/>
        <w:t xml:space="preserve"> </w:t>
      </w:r>
    </w:p>
    <w:p>
      <w:pPr>
        <w:pStyle w:val="TextBody"/>
        <w:bidi w:val="0"/>
        <w:spacing w:before="0" w:after="0"/>
        <w:jc w:val="left"/>
        <w:rPr/>
      </w:pPr>
      <w:r>
        <w:rPr/>
        <w:t xml:space="preserve">  </w:t>
      </w:r>
    </w:p>
    <w:p>
      <w:pPr>
        <w:pStyle w:val="TextBody"/>
        <w:bidi w:val="0"/>
        <w:spacing w:before="0" w:after="0"/>
        <w:ind w:left="0" w:right="0" w:hanging="360"/>
        <w:jc w:val="left"/>
        <w:rPr/>
      </w:pPr>
      <w:r>
        <w:rPr>
          <w:sz w:val="20"/>
        </w:rPr>
        <w:t>The Report fully complies with the requirements of Section 13(a) or 15(d) of the Securities Exchange Act of 1934, as amended; and</w:t>
      </w:r>
      <w:r>
        <w:rPr/>
        <w:t xml:space="preserve"> </w:t>
      </w:r>
      <w:r>
        <mc:AlternateContent>
          <mc:Choice Requires="wps">
            <w:drawing>
              <wp:anchor behindDoc="0" distT="0" distB="0" distL="0" distR="0" simplePos="0" locked="0" layoutInCell="1" allowOverlap="1" relativeHeight="210">
                <wp:simplePos x="0" y="0"/>
                <wp:positionH relativeFrom="column">
                  <wp:align>left</wp:align>
                </wp:positionH>
                <wp:positionV relativeFrom="line">
                  <wp:posOffset>635</wp:posOffset>
                </wp:positionV>
                <wp:extent cx="228600" cy="175260"/>
                <wp:effectExtent l="0" t="0" r="0" b="0"/>
                <wp:wrapSquare wrapText="right"/>
                <wp:docPr id="209" name="Frame209"/>
                <a:graphic xmlns:a="http://schemas.openxmlformats.org/drawingml/2006/main">
                  <a:graphicData uri="http://schemas.microsoft.com/office/word/2010/wordprocessingShape">
                    <wps:wsp>
                      <wps:cNvSpPr txBox="1"/>
                      <wps:spPr>
                        <a:xfrm>
                          <a:off x="0" y="0"/>
                          <a:ext cx="228600" cy="175260"/>
                        </a:xfrm>
                        <a:prstGeom prst="rect"/>
                        <a:solidFill>
                          <a:srgbClr val="FFFFFF"/>
                        </a:solidFill>
                      </wps:spPr>
                      <wps:txbx>
                        <w:txbxContent>
                          <w:p>
                            <w:pPr>
                              <w:pStyle w:val="TextBody"/>
                              <w:bidi w:val="0"/>
                              <w:spacing w:before="0" w:after="283"/>
                              <w:jc w:val="left"/>
                              <w:rPr/>
                            </w:pPr>
                            <w:r>
                              <w:rPr>
                                <w:sz w:val="20"/>
                              </w:rPr>
                              <w:t>3.</w:t>
                            </w:r>
                            <w:r>
                              <w:rPr/>
                              <w:t xml:space="preserve"> </w:t>
                            </w:r>
                          </w:p>
                        </w:txbxContent>
                      </wps:txbx>
                      <wps:bodyPr anchor="t" lIns="0" tIns="0" rIns="0" bIns="0">
                        <a:noAutofit/>
                      </wps:bodyPr>
                    </wps:wsp>
                  </a:graphicData>
                </a:graphic>
              </wp:anchor>
            </w:drawing>
          </mc:Choice>
          <mc:Fallback>
            <w:pict>
              <v:rect style="position:absolute;rotation:-0;width: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sz w:val="20"/>
                        </w:rPr>
                        <w:t>3.</w:t>
                      </w:r>
                      <w:r>
                        <w:rPr/>
                        <w:t xml:space="preserve"> </w:t>
                      </w:r>
                    </w:p>
                  </w:txbxContent>
                </v:textbox>
                <w10:wrap type="square" side="right"/>
              </v:rect>
            </w:pict>
          </mc:Fallback>
        </mc:AlternateContent>
      </w:r>
    </w:p>
    <w:p>
      <w:pPr>
        <w:pStyle w:val="TextBody"/>
        <w:bidi w:val="0"/>
        <w:spacing w:before="0" w:after="0"/>
        <w:ind w:left="720" w:right="0" w:hanging="0"/>
        <w:jc w:val="left"/>
        <w:rPr/>
      </w:pPr>
      <w:r>
        <w:rPr/>
        <w:t xml:space="preserve">  </w:t>
      </w:r>
    </w:p>
    <w:p>
      <w:pPr>
        <w:pStyle w:val="TextBody"/>
        <w:bidi w:val="0"/>
        <w:spacing w:before="0" w:after="0"/>
        <w:ind w:left="0" w:right="0" w:hanging="360"/>
        <w:jc w:val="left"/>
        <w:rPr/>
      </w:pPr>
      <w:r>
        <w:rPr>
          <w:sz w:val="20"/>
        </w:rPr>
        <w:t>The information contained in the Report fairly presents, in all material respects, the financial condition and results of operations of the Company.</w:t>
      </w:r>
      <w:r>
        <w:rPr/>
        <w:t xml:space="preserve"> </w:t>
      </w:r>
      <w:r>
        <mc:AlternateContent>
          <mc:Choice Requires="wps">
            <w:drawing>
              <wp:anchor behindDoc="0" distT="0" distB="0" distL="0" distR="0" simplePos="0" locked="0" layoutInCell="1" allowOverlap="1" relativeHeight="211">
                <wp:simplePos x="0" y="0"/>
                <wp:positionH relativeFrom="column">
                  <wp:align>left</wp:align>
                </wp:positionH>
                <wp:positionV relativeFrom="line">
                  <wp:posOffset>635</wp:posOffset>
                </wp:positionV>
                <wp:extent cx="228600" cy="175260"/>
                <wp:effectExtent l="0" t="0" r="0" b="0"/>
                <wp:wrapSquare wrapText="right"/>
                <wp:docPr id="210" name="Frame210"/>
                <a:graphic xmlns:a="http://schemas.openxmlformats.org/drawingml/2006/main">
                  <a:graphicData uri="http://schemas.microsoft.com/office/word/2010/wordprocessingShape">
                    <wps:wsp>
                      <wps:cNvSpPr txBox="1"/>
                      <wps:spPr>
                        <a:xfrm>
                          <a:off x="0" y="0"/>
                          <a:ext cx="228600" cy="175260"/>
                        </a:xfrm>
                        <a:prstGeom prst="rect"/>
                        <a:solidFill>
                          <a:srgbClr val="FFFFFF"/>
                        </a:solidFill>
                      </wps:spPr>
                      <wps:txbx>
                        <w:txbxContent>
                          <w:p>
                            <w:pPr>
                              <w:pStyle w:val="TextBody"/>
                              <w:bidi w:val="0"/>
                              <w:spacing w:before="0" w:after="283"/>
                              <w:jc w:val="left"/>
                              <w:rPr/>
                            </w:pPr>
                            <w:r>
                              <w:rPr>
                                <w:sz w:val="20"/>
                              </w:rPr>
                              <w:t>4.</w:t>
                            </w:r>
                            <w:r>
                              <w:rPr/>
                              <w:t xml:space="preserve"> </w:t>
                            </w:r>
                          </w:p>
                        </w:txbxContent>
                      </wps:txbx>
                      <wps:bodyPr anchor="t" lIns="0" tIns="0" rIns="0" bIns="0">
                        <a:noAutofit/>
                      </wps:bodyPr>
                    </wps:wsp>
                  </a:graphicData>
                </a:graphic>
              </wp:anchor>
            </w:drawing>
          </mc:Choice>
          <mc:Fallback>
            <w:pict>
              <v:rect style="position:absolute;rotation:-0;width: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sz w:val="20"/>
                        </w:rPr>
                        <w:t>4.</w:t>
                      </w:r>
                      <w:r>
                        <w:rPr/>
                        <w:t xml:space="preserve"> </w:t>
                      </w:r>
                    </w:p>
                  </w:txbxContent>
                </v:textbox>
                <w10:wrap type="square" side="right"/>
              </v:rect>
            </w:pict>
          </mc:Fallback>
        </mc:AlternateContent>
      </w:r>
    </w:p>
    <w:p>
      <w:pPr>
        <w:pStyle w:val="TextBody"/>
        <w:bidi w:val="0"/>
        <w:spacing w:before="0" w:after="0"/>
        <w:jc w:val="both"/>
        <w:rPr/>
      </w:pPr>
      <w:r>
        <w:rPr/>
        <w:t xml:space="preserve">  </w:t>
      </w:r>
    </w:p>
    <w:tbl>
      <w:tblPr>
        <w:tblW w:w="5628" w:type="dxa"/>
        <w:jc w:val="left"/>
        <w:tblInd w:w="0" w:type="dxa"/>
        <w:tblLayout w:type="fixed"/>
        <w:tblCellMar>
          <w:top w:w="28" w:type="dxa"/>
          <w:left w:w="28" w:type="dxa"/>
          <w:bottom w:w="28" w:type="dxa"/>
          <w:right w:w="28" w:type="dxa"/>
        </w:tblCellMar>
      </w:tblPr>
      <w:tblGrid>
        <w:gridCol w:w="1966"/>
        <w:gridCol w:w="796"/>
        <w:gridCol w:w="2866"/>
      </w:tblGrid>
      <w:tr>
        <w:trPr/>
        <w:tc>
          <w:tcPr>
            <w:tcW w:w="1966" w:type="dxa"/>
            <w:tcBorders/>
            <w:vAlign w:val="center"/>
          </w:tcPr>
          <w:p>
            <w:pPr>
              <w:pStyle w:val="TableContents"/>
              <w:bidi w:val="0"/>
              <w:spacing w:before="0" w:after="283"/>
              <w:jc w:val="left"/>
              <w:rPr/>
            </w:pPr>
            <w:r>
              <w:rPr/>
              <w:t> </w:t>
            </w:r>
          </w:p>
        </w:tc>
        <w:tc>
          <w:tcPr>
            <w:tcW w:w="796" w:type="dxa"/>
            <w:tcBorders/>
            <w:vAlign w:val="center"/>
          </w:tcPr>
          <w:p>
            <w:pPr>
              <w:pStyle w:val="TableContents"/>
              <w:bidi w:val="0"/>
              <w:spacing w:before="0" w:after="283"/>
              <w:jc w:val="left"/>
              <w:rPr/>
            </w:pPr>
            <w:r>
              <w:rPr/>
              <w:t> </w:t>
            </w:r>
          </w:p>
        </w:tc>
        <w:tc>
          <w:tcPr>
            <w:tcW w:w="2866" w:type="dxa"/>
            <w:tcBorders/>
            <w:vAlign w:val="center"/>
          </w:tcPr>
          <w:p>
            <w:pPr>
              <w:pStyle w:val="TableContents"/>
              <w:bidi w:val="0"/>
              <w:spacing w:before="0" w:after="283"/>
              <w:jc w:val="left"/>
              <w:rPr/>
            </w:pPr>
            <w:r>
              <w:rPr/>
              <w:t> </w:t>
            </w:r>
          </w:p>
        </w:tc>
      </w:tr>
      <w:tr>
        <w:trPr/>
        <w:tc>
          <w:tcPr>
            <w:tcW w:w="1966" w:type="dxa"/>
            <w:tcBorders/>
            <w:tcMar>
              <w:top w:w="0" w:type="dxa"/>
              <w:left w:w="0" w:type="dxa"/>
              <w:bottom w:w="0" w:type="dxa"/>
              <w:right w:w="0" w:type="dxa"/>
            </w:tcMar>
            <w:vAlign w:val="center"/>
          </w:tcPr>
          <w:p>
            <w:pPr>
              <w:pStyle w:val="TableContents"/>
              <w:bidi w:val="0"/>
              <w:spacing w:before="0" w:after="0"/>
              <w:jc w:val="left"/>
              <w:rPr/>
            </w:pPr>
            <w:r>
              <w:rPr/>
              <w:t xml:space="preserve">Date: May 6, 2026 </w:t>
            </w:r>
          </w:p>
        </w:tc>
        <w:tc>
          <w:tcPr>
            <w:tcW w:w="796" w:type="dxa"/>
            <w:tcBorders/>
            <w:tcMar>
              <w:top w:w="0" w:type="dxa"/>
              <w:left w:w="0" w:type="dxa"/>
              <w:bottom w:w="0" w:type="dxa"/>
              <w:right w:w="0" w:type="dxa"/>
            </w:tcMar>
            <w:vAlign w:val="center"/>
          </w:tcPr>
          <w:p>
            <w:pPr>
              <w:pStyle w:val="TableContents"/>
              <w:bidi w:val="0"/>
              <w:spacing w:before="0" w:after="0"/>
              <w:jc w:val="left"/>
              <w:rPr/>
            </w:pPr>
            <w:r>
              <w:rPr/>
              <w:t xml:space="preserve">By: </w:t>
            </w:r>
          </w:p>
        </w:tc>
        <w:tc>
          <w:tcPr>
            <w:tcW w:w="2866" w:type="dxa"/>
            <w:tcBorders/>
            <w:tcMar>
              <w:top w:w="0" w:type="dxa"/>
              <w:left w:w="0" w:type="dxa"/>
              <w:bottom w:w="0" w:type="dxa"/>
              <w:right w:w="0" w:type="dxa"/>
            </w:tcMar>
            <w:vAlign w:val="center"/>
          </w:tcPr>
          <w:p>
            <w:pPr>
              <w:pStyle w:val="TableContents"/>
              <w:bidi w:val="0"/>
              <w:spacing w:before="0" w:after="0"/>
              <w:jc w:val="left"/>
              <w:rPr>
                <w:bdr w:val="single" w:sz="8" w:space="1" w:color="000000"/>
              </w:rPr>
            </w:pPr>
            <w:r>
              <w:rPr>
                <w:bdr w:val="single" w:sz="8" w:space="1" w:color="000000"/>
              </w:rPr>
              <w:t xml:space="preserve">/s/ Paul Terence Kohler, Jr. </w:t>
            </w:r>
          </w:p>
        </w:tc>
      </w:tr>
      <w:tr>
        <w:trPr/>
        <w:tc>
          <w:tcPr>
            <w:tcW w:w="1966" w:type="dxa"/>
            <w:tcBorders/>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tcMar>
              <w:top w:w="0" w:type="dxa"/>
              <w:left w:w="0" w:type="dxa"/>
              <w:bottom w:w="0" w:type="dxa"/>
              <w:right w:w="0" w:type="dxa"/>
            </w:tcMar>
            <w:vAlign w:val="center"/>
          </w:tcPr>
          <w:p>
            <w:pPr>
              <w:pStyle w:val="TableContents"/>
              <w:bidi w:val="0"/>
              <w:spacing w:before="0" w:after="0"/>
              <w:jc w:val="left"/>
              <w:rPr/>
            </w:pPr>
            <w:r>
              <w:rPr/>
              <w:t xml:space="preserve">Name: </w:t>
            </w:r>
          </w:p>
        </w:tc>
        <w:tc>
          <w:tcPr>
            <w:tcW w:w="2866" w:type="dxa"/>
            <w:tcBorders/>
            <w:tcMar>
              <w:top w:w="0" w:type="dxa"/>
              <w:left w:w="0" w:type="dxa"/>
              <w:bottom w:w="0" w:type="dxa"/>
              <w:right w:w="0" w:type="dxa"/>
            </w:tcMar>
            <w:vAlign w:val="center"/>
          </w:tcPr>
          <w:p>
            <w:pPr>
              <w:pStyle w:val="TableContents"/>
              <w:bidi w:val="0"/>
              <w:spacing w:before="0" w:after="0"/>
              <w:jc w:val="left"/>
              <w:rPr/>
            </w:pPr>
            <w:r>
              <w:rPr/>
              <w:t xml:space="preserve">Paul Terence Kohler, Jr. </w:t>
            </w:r>
          </w:p>
        </w:tc>
      </w:tr>
      <w:tr>
        <w:trPr/>
        <w:tc>
          <w:tcPr>
            <w:tcW w:w="1966" w:type="dxa"/>
            <w:tcBorders/>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tcMar>
              <w:top w:w="0" w:type="dxa"/>
              <w:left w:w="0" w:type="dxa"/>
              <w:bottom w:w="0" w:type="dxa"/>
              <w:right w:w="0" w:type="dxa"/>
            </w:tcMar>
            <w:vAlign w:val="center"/>
          </w:tcPr>
          <w:p>
            <w:pPr>
              <w:pStyle w:val="TableContents"/>
              <w:bidi w:val="0"/>
              <w:spacing w:before="0" w:after="0"/>
              <w:jc w:val="left"/>
              <w:rPr/>
            </w:pPr>
            <w:r>
              <w:rPr/>
              <w:t xml:space="preserve">Title: </w:t>
            </w:r>
          </w:p>
        </w:tc>
        <w:tc>
          <w:tcPr>
            <w:tcW w:w="2866" w:type="dxa"/>
            <w:tcBorders/>
            <w:tcMar>
              <w:top w:w="0" w:type="dxa"/>
              <w:left w:w="0" w:type="dxa"/>
              <w:bottom w:w="0" w:type="dxa"/>
              <w:right w:w="0" w:type="dxa"/>
            </w:tcMar>
            <w:vAlign w:val="center"/>
          </w:tcPr>
          <w:p>
            <w:pPr>
              <w:pStyle w:val="TableContents"/>
              <w:bidi w:val="0"/>
              <w:spacing w:before="0" w:after="0"/>
              <w:jc w:val="left"/>
              <w:rPr/>
            </w:pPr>
            <w:r>
              <w:rPr/>
              <w:t xml:space="preserve">Chief Financial Officer </w:t>
            </w:r>
          </w:p>
          <w:p>
            <w:pPr>
              <w:pStyle w:val="TableContents"/>
              <w:bidi w:val="0"/>
              <w:spacing w:before="0" w:after="0"/>
              <w:jc w:val="left"/>
              <w:rPr/>
            </w:pPr>
            <w:r>
              <w:rPr/>
              <w:t xml:space="preserve">(Principal Financial Officer) </w:t>
            </w:r>
          </w:p>
        </w:tc>
      </w:tr>
    </w:tbl>
    <w:p>
      <w:pPr>
        <w:pStyle w:val="TextBody"/>
        <w:bidi w:val="0"/>
        <w:spacing w:before="0" w:after="0"/>
        <w:jc w:val="both"/>
        <w:rPr/>
      </w:pPr>
      <w:r>
        <w:rPr/>
        <w:t> </w:t>
      </w:r>
    </w:p>
    <w:p>
      <w:pPr>
        <w:pStyle w:val="TextBody"/>
        <w:bidi w:val="0"/>
        <w:spacing w:before="0" w:after="0"/>
        <w:jc w:val="both"/>
        <w:rPr/>
      </w:pPr>
      <w:r>
        <w:rPr/>
        <w:t> </w:t>
      </w:r>
    </w:p>
    <w:p>
      <w:pPr>
        <w:pStyle w:val="HorizontalLine"/>
        <w:pBdr>
          <w:bottom w:val="double" w:sz="2" w:space="0" w:color="808080"/>
        </w:pBdr>
        <w:bidi w:val="0"/>
        <w:spacing w:before="0" w:after="283"/>
        <w:jc w:val="left"/>
        <w:rPr/>
      </w:pPr>
      <w:r>
        <w:rPr/>
      </w:r>
    </w:p>
    <w:p>
      <w:pPr>
        <w:pStyle w:val="TextBody"/>
        <w:bidi w:val="0"/>
        <w:spacing w:before="0" w:after="283"/>
        <w:jc w:val="left"/>
        <w:rPr/>
      </w:pPr>
      <w:r>
        <w:rPr/>
        <w:t xml:space="preserve">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TimesNewRoman">
    <w:altName w:val="Times New Roman"/>
    <w:charset w:val="01"/>
    <w:family w:val="auto"/>
    <w:pitch w:val="default"/>
  </w:font>
  <w:font w:name="Aptos Display">
    <w:charset w:val="01"/>
    <w:family w:val="auto"/>
    <w:pitch w:val="default"/>
  </w:font>
  <w:font w:name="Arial">
    <w:charset w:val="01"/>
    <w:family w:val="auto"/>
    <w:pitch w:val="default"/>
  </w:font>
  <w:font w:name="Calibri">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368514/000114036126006781/ef20066393_ex10-1.htm" TargetMode="External"/><Relationship Id="rId3" Type="http://schemas.openxmlformats.org/officeDocument/2006/relationships/hyperlink" Target="https://www.sec.gov/Archives/edgar/data/1368514/000114036126006781/ef20066393_ex10-2.htm" TargetMode="External"/><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11</Pages>
  <Words>42308</Words>
  <Characters>236665</Characters>
  <CharactersWithSpaces>282862</CharactersWithSpaces>
  <Paragraphs>7102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