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59416_10-k.htm"/>
      <w:bookmarkStart w:id="1" w:name="ksef20059416_10k"/>
      <w:bookmarkStart w:id="2" w:name="ef20059416_10-k.htm"/>
      <w:bookmarkStart w:id="3" w:name="ksef20059416_10k"/>
      <w:bookmarkEnd w:id="2"/>
      <w:bookmarkEnd w:id="3"/>
    </w:p>
    <w:p>
      <w:pPr>
        <w:pStyle w:val="TextBody"/>
        <w:bidi w:val="0"/>
        <w:spacing w:before="0" w:after="0"/>
        <w:jc w:val="center"/>
        <w:rPr>
          <w:rFonts w:ascii="TimesNewRoman;Times New Roman;Times;Baskerville;Georgia;serif" w:hAnsi="TimesNewRoman;Times New Roman;Times;Baskerville;Georgia;serif"/>
          <w:sz w:val="28"/>
        </w:rPr>
      </w:pPr>
      <w:r>
        <w:rPr>
          <w:rFonts w:ascii="TimesNewRoman;Times New Roman;Times;Baskerville;Georgia;serif" w:hAnsi="TimesNewRoman;Times New Roman;Times;Baskerville;Georgia;serif"/>
          <w:b/>
          <w:sz w:val="28"/>
        </w:rPr>
        <w:t>UNITED STATES</w:t>
      </w:r>
      <w:r>
        <w:rPr>
          <w:rFonts w:ascii="TimesNewRoman;Times New Roman;Times;Baskerville;Georgia;serif" w:hAnsi="TimesNewRoman;Times New Roman;Times;Baskerville;Georgia;serif"/>
          <w:sz w:val="28"/>
        </w:rPr>
        <w:t xml:space="preserve"> </w:t>
      </w:r>
    </w:p>
    <w:p>
      <w:pPr>
        <w:pStyle w:val="TextBody"/>
        <w:bidi w:val="0"/>
        <w:spacing w:before="0" w:after="0"/>
        <w:jc w:val="center"/>
        <w:rPr>
          <w:rFonts w:ascii="TimesNewRoman;Times New Roman;Times;Baskerville;Georgia;serif" w:hAnsi="TimesNewRoman;Times New Roman;Times;Baskerville;Georgia;serif"/>
          <w:sz w:val="28"/>
        </w:rPr>
      </w:pPr>
      <w:r>
        <w:rPr>
          <w:rFonts w:ascii="TimesNewRoman;Times New Roman;Times;Baskerville;Georgia;serif" w:hAnsi="TimesNewRoman;Times New Roman;Times;Baskerville;Georgia;serif"/>
          <w:b/>
          <w:sz w:val="28"/>
        </w:rPr>
        <w:t>SECURITIES AND EXCHANGE COMMISSION</w:t>
      </w:r>
      <w:r>
        <w:rPr>
          <w:rFonts w:ascii="TimesNewRoman;Times New Roman;Times;Baskerville;Georgia;serif" w:hAnsi="TimesNewRoman;Times New Roman;Times;Baskerville;Georgia;serif"/>
          <w:sz w:val="28"/>
        </w:rPr>
        <w:t xml:space="preserve"> </w:t>
      </w:r>
    </w:p>
    <w:p>
      <w:pPr>
        <w:pStyle w:val="TextBody"/>
        <w:bidi w:val="0"/>
        <w:spacing w:before="0" w:after="0"/>
        <w:jc w:val="center"/>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b/>
          <w:sz w:val="24"/>
        </w:rPr>
        <w:t>Washington, D.C. 20549</w:t>
      </w:r>
      <w:r>
        <w:rPr>
          <w:rFonts w:ascii="TimesNewRoman;Times New Roman;Times;Baskerville;Georgia;serif" w:hAnsi="TimesNewRoman;Times New Roman;Times;Baskerville;Georgia;serif"/>
          <w:sz w:val="24"/>
        </w:rPr>
        <w:t xml:space="preserve"> </w:t>
      </w:r>
    </w:p>
    <w:p>
      <w:pPr>
        <w:pStyle w:val="TextBody"/>
        <w:bidi w:val="0"/>
        <w:spacing w:before="0" w:after="0"/>
        <w:jc w:val="center"/>
        <w:rPr>
          <w:rFonts w:ascii="TimesNewRoman;Times New Roman;Times;Baskerville;Georgia;serif" w:hAnsi="TimesNewRoman;Times New Roman;Times;Baskerville;Georgia;serif"/>
          <w:sz w:val="36"/>
        </w:rPr>
      </w:pPr>
      <w:r>
        <w:rPr>
          <w:rFonts w:ascii="TimesNewRoman;Times New Roman;Times;Baskerville;Georgia;serif" w:hAnsi="TimesNewRoman;Times New Roman;Times;Baskerville;Georgia;serif"/>
          <w:b/>
          <w:sz w:val="36"/>
        </w:rPr>
        <w:t>FORM 10-K</w:t>
      </w:r>
      <w:r>
        <w:rPr>
          <w:rFonts w:ascii="TimesNewRoman;Times New Roman;Times;Baskerville;Georgia;serif" w:hAnsi="TimesNewRoman;Times New Roman;Times;Baskerville;Georgia;serif"/>
          <w:sz w:val="36"/>
        </w:rPr>
        <w:t xml:space="preserve"> </w:t>
      </w:r>
    </w:p>
    <w:p>
      <w:pPr>
        <w:pStyle w:val="TextBody"/>
        <w:bidi w:val="0"/>
        <w:spacing w:before="0" w:after="0"/>
        <w:jc w:val="center"/>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(Mark One) </w:t>
      </w:r>
    </w:p>
    <w:p>
      <w:pPr>
        <w:pStyle w:val="TextBody"/>
        <w:bidi w:val="0"/>
        <w:spacing w:before="0" w:after="0"/>
        <w:jc w:val="left"/>
        <w:rPr/>
      </w:pPr>
      <w:r>
        <w:rPr/>
        <w:t xml:space="preserve">☒ </w:t>
      </w:r>
      <w:r>
        <w:rPr>
          <w:rFonts w:ascii="TimesNewRoman;Times New Roman;Times;Baskerville;Georgia;serif" w:hAnsi="TimesNewRoman;Times New Roman;Times;Baskerville;Georgia;serif"/>
          <w:b/>
          <w:sz w:val="20"/>
        </w:rPr>
        <w:t>ANNUAL REPORT PURSUANT TO SECTION 13 OR 15(d) OF THE SECURITIES EXCHANGE ACT OF 1934</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the fiscal year ended December 31, 2025 </w:t>
      </w:r>
    </w:p>
    <w:p>
      <w:pPr>
        <w:pStyle w:val="TextBody"/>
        <w:bidi w:val="0"/>
        <w:spacing w:before="0" w:after="0"/>
        <w:jc w:val="left"/>
        <w:rPr/>
      </w:pPr>
      <w:r>
        <w:rPr/>
        <w:t xml:space="preserve">  </w:t>
      </w:r>
    </w:p>
    <w:p>
      <w:pPr>
        <w:pStyle w:val="TextBody"/>
        <w:bidi w:val="0"/>
        <w:spacing w:before="0" w:after="0"/>
        <w:jc w:val="left"/>
        <w:rPr/>
      </w:pPr>
      <w:r>
        <w:rPr/>
        <w:t xml:space="preserve">☐ </w:t>
      </w:r>
      <w:r>
        <w:rPr>
          <w:rFonts w:ascii="TimesNewRoman;Times New Roman;Times;Baskerville;Georgia;serif" w:hAnsi="TimesNewRoman;Times New Roman;Times;Baskerville;Georgia;serif"/>
          <w:b/>
          <w:sz w:val="20"/>
        </w:rPr>
        <w:t>TRANSITION REPORT UNDER SECTION 13 OR 15(d) OF THE SECURITIES EXCHANGE ACT OF 1934</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the transition period from          to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Commission File Number: 001-36728 </w:t>
      </w:r>
    </w:p>
    <w:p>
      <w:pPr>
        <w:pStyle w:val="TextBody"/>
        <w:bidi w:val="0"/>
        <w:spacing w:before="0" w:after="0"/>
        <w:jc w:val="center"/>
        <w:rPr>
          <w:rFonts w:ascii="TimesNewRoman;Times New Roman;Times;Baskerville;Georgia;serif" w:hAnsi="TimesNewRoman;Times New Roman;Times;Baskerville;Georgia;serif"/>
          <w:sz w:val="48"/>
        </w:rPr>
      </w:pPr>
      <w:r>
        <w:rPr>
          <w:rFonts w:ascii="TimesNewRoman;Times New Roman;Times;Baskerville;Georgia;serif" w:hAnsi="TimesNewRoman;Times New Roman;Times;Baskerville;Georgia;serif"/>
          <w:b/>
          <w:sz w:val="48"/>
        </w:rPr>
        <w:t>ADMA BIOLOGICS, INC.</w:t>
      </w:r>
      <w:r>
        <w:rPr>
          <w:rFonts w:ascii="TimesNewRoman;Times New Roman;Times;Baskerville;Georgia;serif" w:hAnsi="TimesNewRoman;Times New Roman;Times;Baskerville;Georgia;serif"/>
          <w:sz w:val="48"/>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(Exact Name of Registrant as Specified in Its Charter) </w:t>
      </w:r>
    </w:p>
    <w:tbl>
      <w:tblPr>
        <w:tblW w:w="9763" w:type="dxa"/>
        <w:jc w:val="left"/>
        <w:tblInd w:w="0" w:type="dxa"/>
        <w:tblLayout w:type="fixed"/>
        <w:tblCellMar>
          <w:top w:w="28" w:type="dxa"/>
          <w:left w:w="28" w:type="dxa"/>
          <w:bottom w:w="28" w:type="dxa"/>
          <w:right w:w="28" w:type="dxa"/>
        </w:tblCellMar>
      </w:tblPr>
      <w:tblGrid>
        <w:gridCol w:w="5926"/>
        <w:gridCol w:w="206"/>
        <w:gridCol w:w="3631"/>
      </w:tblGrid>
      <w:tr>
        <w:trPr/>
        <w:tc>
          <w:tcPr>
            <w:tcW w:w="592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3631" w:type="dxa"/>
            <w:tcBorders/>
            <w:vAlign w:val="center"/>
          </w:tcPr>
          <w:p>
            <w:pPr>
              <w:pStyle w:val="TableContents"/>
              <w:bidi w:val="0"/>
              <w:spacing w:before="0" w:after="283"/>
              <w:jc w:val="left"/>
              <w:rPr/>
            </w:pPr>
            <w:r>
              <w:rPr/>
              <w:t> </w:t>
            </w:r>
          </w:p>
        </w:tc>
      </w:tr>
      <w:tr>
        <w:trPr/>
        <w:tc>
          <w:tcPr>
            <w:tcW w:w="592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w:t>
            </w:r>
            <w:r>
              <w:rPr>
                <w:b/>
              </w:rPr>
              <w:t>Delaware</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63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56-2590442</w:t>
            </w:r>
            <w:r>
              <w:rPr/>
              <w:t xml:space="preserve"> </w:t>
            </w:r>
          </w:p>
        </w:tc>
      </w:tr>
      <w:tr>
        <w:trPr/>
        <w:tc>
          <w:tcPr>
            <w:tcW w:w="5926" w:type="dxa"/>
            <w:tcBorders/>
            <w:vAlign w:val="center"/>
          </w:tcPr>
          <w:p>
            <w:pPr>
              <w:pStyle w:val="TableContents"/>
              <w:bidi w:val="0"/>
              <w:spacing w:before="0" w:after="0"/>
              <w:jc w:val="center"/>
              <w:rPr/>
            </w:pPr>
            <w:r>
              <w:rPr/>
              <w:t xml:space="preserve">(State or Other Jurisdiction of Incorporation or Organization) </w:t>
            </w:r>
          </w:p>
        </w:tc>
        <w:tc>
          <w:tcPr>
            <w:tcW w:w="206" w:type="dxa"/>
            <w:tcBorders/>
            <w:vAlign w:val="center"/>
          </w:tcPr>
          <w:p>
            <w:pPr>
              <w:pStyle w:val="TableContents"/>
              <w:bidi w:val="0"/>
              <w:spacing w:before="0" w:after="0"/>
              <w:jc w:val="left"/>
              <w:rPr/>
            </w:pPr>
            <w:r>
              <w:rPr/>
              <w:t xml:space="preserve">  </w:t>
            </w:r>
          </w:p>
        </w:tc>
        <w:tc>
          <w:tcPr>
            <w:tcW w:w="3631" w:type="dxa"/>
            <w:tcBorders/>
            <w:vAlign w:val="center"/>
          </w:tcPr>
          <w:p>
            <w:pPr>
              <w:pStyle w:val="TableContents"/>
              <w:bidi w:val="0"/>
              <w:spacing w:before="0" w:after="0"/>
              <w:jc w:val="center"/>
              <w:rPr/>
            </w:pPr>
            <w:r>
              <w:rPr/>
              <w:t xml:space="preserve">(I.R.S. Employer Identification No.) </w:t>
            </w:r>
          </w:p>
        </w:tc>
      </w:tr>
      <w:tr>
        <w:trPr/>
        <w:tc>
          <w:tcPr>
            <w:tcW w:w="592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465 State Route 17, Ramsey, New Jersey</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63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07446</w:t>
            </w:r>
            <w:r>
              <w:rPr/>
              <w:t xml:space="preserve">  </w:t>
            </w:r>
          </w:p>
        </w:tc>
      </w:tr>
      <w:tr>
        <w:trPr/>
        <w:tc>
          <w:tcPr>
            <w:tcW w:w="5926" w:type="dxa"/>
            <w:tcBorders/>
            <w:vAlign w:val="center"/>
          </w:tcPr>
          <w:p>
            <w:pPr>
              <w:pStyle w:val="TableContents"/>
              <w:bidi w:val="0"/>
              <w:spacing w:before="0" w:after="0"/>
              <w:jc w:val="center"/>
              <w:rPr/>
            </w:pPr>
            <w:r>
              <w:rPr/>
              <w:t xml:space="preserve">(Address of Principal Executive Offices) </w:t>
            </w:r>
          </w:p>
        </w:tc>
        <w:tc>
          <w:tcPr>
            <w:tcW w:w="206" w:type="dxa"/>
            <w:tcBorders/>
            <w:vAlign w:val="center"/>
          </w:tcPr>
          <w:p>
            <w:pPr>
              <w:pStyle w:val="TableContents"/>
              <w:bidi w:val="0"/>
              <w:spacing w:before="0" w:after="0"/>
              <w:jc w:val="left"/>
              <w:rPr/>
            </w:pPr>
            <w:r>
              <w:rPr/>
              <w:t xml:space="preserve">  </w:t>
            </w:r>
          </w:p>
        </w:tc>
        <w:tc>
          <w:tcPr>
            <w:tcW w:w="3631" w:type="dxa"/>
            <w:tcBorders/>
            <w:vAlign w:val="center"/>
          </w:tcPr>
          <w:p>
            <w:pPr>
              <w:pStyle w:val="TableContents"/>
              <w:bidi w:val="0"/>
              <w:spacing w:before="0" w:after="0"/>
              <w:jc w:val="center"/>
              <w:rPr/>
            </w:pPr>
            <w:r>
              <w:rPr/>
              <w:t xml:space="preserve">(Zip Code) </w:t>
            </w:r>
          </w:p>
        </w:tc>
      </w:tr>
    </w:tbl>
    <w:p>
      <w:pPr>
        <w:pStyle w:val="TextBody"/>
        <w:bidi w:val="0"/>
        <w:spacing w:before="0" w:after="0"/>
        <w:jc w:val="center"/>
        <w:rPr/>
      </w:pPr>
      <w:r>
        <w:rPr/>
        <w:t> </w:t>
      </w:r>
      <w:r>
        <w:rPr>
          <w:rFonts w:ascii="TimesNewRoman;Times New Roman;Times;Baskerville;Georgia;serif" w:hAnsi="TimesNewRoman;Times New Roman;Times;Baskerville;Georgia;serif"/>
          <w:sz w:val="20"/>
        </w:rPr>
        <w:t xml:space="preserve">Registrant’s telephone number, including area code: </w:t>
      </w:r>
      <w:r>
        <w:rPr>
          <w:rFonts w:ascii="TimesNewRoman;Times New Roman;Times;Baskerville;Georgia;serif" w:hAnsi="TimesNewRoman;Times New Roman;Times;Baskerville;Georgia;serif"/>
          <w:b/>
          <w:sz w:val="20"/>
        </w:rPr>
        <w:t>(201) 478-5552</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jc w:val="center"/>
        <w:rPr/>
      </w:pPr>
      <w:r>
        <w:rPr/>
        <w:t> </w:t>
      </w:r>
      <w:r>
        <w:rPr>
          <w:rFonts w:ascii="TimesNewRoman;Times New Roman;Times;Baskerville;Georgia;serif" w:hAnsi="TimesNewRoman;Times New Roman;Times;Baskerville;Georgia;serif"/>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4361"/>
        <w:gridCol w:w="1702"/>
        <w:gridCol w:w="4142"/>
      </w:tblGrid>
      <w:tr>
        <w:trPr/>
        <w:tc>
          <w:tcPr>
            <w:tcW w:w="4361" w:type="dxa"/>
            <w:tcBorders/>
            <w:vAlign w:val="center"/>
          </w:tcPr>
          <w:p>
            <w:pPr>
              <w:pStyle w:val="TableContents"/>
              <w:bidi w:val="0"/>
              <w:spacing w:before="0" w:after="283"/>
              <w:jc w:val="left"/>
              <w:rPr/>
            </w:pPr>
            <w:r>
              <w:rPr/>
              <w:t> </w:t>
            </w:r>
          </w:p>
        </w:tc>
        <w:tc>
          <w:tcPr>
            <w:tcW w:w="1702"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r>
      <w:tr>
        <w:trPr/>
        <w:tc>
          <w:tcPr>
            <w:tcW w:w="4361" w:type="dxa"/>
            <w:tcBorders/>
            <w:tcMar>
              <w:top w:w="0" w:type="dxa"/>
              <w:left w:w="0" w:type="dxa"/>
              <w:bottom w:w="0" w:type="dxa"/>
              <w:right w:w="0" w:type="dxa"/>
            </w:tcMar>
            <w:vAlign w:val="center"/>
          </w:tcPr>
          <w:p>
            <w:pPr>
              <w:pStyle w:val="TableContents"/>
              <w:bidi w:val="0"/>
              <w:spacing w:before="0" w:after="0"/>
              <w:jc w:val="center"/>
              <w:rPr/>
            </w:pPr>
            <w:r>
              <w:rPr/>
              <w:t> </w:t>
            </w:r>
            <w:r>
              <w:rPr>
                <w:u w:val="single"/>
              </w:rPr>
              <w:t>Title of each class</w:t>
            </w:r>
            <w:r>
              <w:rPr/>
              <w:t xml:space="preserve"> </w:t>
            </w:r>
          </w:p>
        </w:tc>
        <w:tc>
          <w:tcPr>
            <w:tcW w:w="1702" w:type="dxa"/>
            <w:tcBorders/>
            <w:tcMar>
              <w:top w:w="0" w:type="dxa"/>
              <w:left w:w="0" w:type="dxa"/>
              <w:bottom w:w="0" w:type="dxa"/>
              <w:right w:w="0" w:type="dxa"/>
            </w:tcMar>
            <w:vAlign w:val="center"/>
          </w:tcPr>
          <w:p>
            <w:pPr>
              <w:pStyle w:val="TableContents"/>
              <w:bidi w:val="0"/>
              <w:spacing w:before="0" w:after="0"/>
              <w:jc w:val="center"/>
              <w:rPr/>
            </w:pPr>
            <w:r>
              <w:rPr/>
              <w:t> </w:t>
            </w:r>
            <w:r>
              <w:rPr/>
              <w:t xml:space="preserve">Trading Symbol </w:t>
            </w:r>
          </w:p>
        </w:tc>
        <w:tc>
          <w:tcPr>
            <w:tcW w:w="4142" w:type="dxa"/>
            <w:tcBorders/>
            <w:tcMar>
              <w:top w:w="0" w:type="dxa"/>
              <w:left w:w="0" w:type="dxa"/>
              <w:bottom w:w="0" w:type="dxa"/>
              <w:right w:w="0" w:type="dxa"/>
            </w:tcMar>
            <w:vAlign w:val="center"/>
          </w:tcPr>
          <w:p>
            <w:pPr>
              <w:pStyle w:val="TableContents"/>
              <w:bidi w:val="0"/>
              <w:spacing w:before="0" w:after="0"/>
              <w:jc w:val="center"/>
              <w:rPr/>
            </w:pPr>
            <w:r>
              <w:rPr>
                <w:u w:val="single"/>
              </w:rPr>
              <w:t>Name of each exchange on which registered</w:t>
            </w:r>
            <w:r>
              <w:rPr/>
              <w:t xml:space="preserve"> </w:t>
            </w:r>
          </w:p>
        </w:tc>
      </w:tr>
      <w:tr>
        <w:trPr/>
        <w:tc>
          <w:tcPr>
            <w:tcW w:w="4361" w:type="dxa"/>
            <w:tcBorders/>
            <w:vAlign w:val="center"/>
          </w:tcPr>
          <w:p>
            <w:pPr>
              <w:pStyle w:val="TableContents"/>
              <w:bidi w:val="0"/>
              <w:spacing w:before="0" w:after="0"/>
              <w:jc w:val="center"/>
              <w:rPr/>
            </w:pPr>
            <w:r>
              <w:rPr>
                <w:b/>
              </w:rPr>
              <w:t>Common stock, par value $0.0001 per share</w:t>
            </w:r>
            <w:r>
              <w:rPr/>
              <w:t xml:space="preserve"> </w:t>
            </w:r>
          </w:p>
        </w:tc>
        <w:tc>
          <w:tcPr>
            <w:tcW w:w="1702" w:type="dxa"/>
            <w:tcBorders/>
            <w:tcMar>
              <w:top w:w="0" w:type="dxa"/>
              <w:left w:w="0" w:type="dxa"/>
              <w:bottom w:w="0" w:type="dxa"/>
              <w:right w:w="0" w:type="dxa"/>
            </w:tcMar>
            <w:vAlign w:val="center"/>
          </w:tcPr>
          <w:p>
            <w:pPr>
              <w:pStyle w:val="TableContents"/>
              <w:bidi w:val="0"/>
              <w:spacing w:before="0" w:after="0"/>
              <w:jc w:val="center"/>
              <w:rPr/>
            </w:pPr>
            <w:r>
              <w:rPr/>
              <w:t xml:space="preserve">ADMA </w:t>
            </w:r>
          </w:p>
        </w:tc>
        <w:tc>
          <w:tcPr>
            <w:tcW w:w="4142" w:type="dxa"/>
            <w:tcBorders/>
            <w:tcMar>
              <w:top w:w="0" w:type="dxa"/>
              <w:left w:w="0" w:type="dxa"/>
              <w:bottom w:w="0" w:type="dxa"/>
              <w:right w:w="0" w:type="dxa"/>
            </w:tcMar>
            <w:vAlign w:val="center"/>
          </w:tcPr>
          <w:p>
            <w:pPr>
              <w:pStyle w:val="TableContents"/>
              <w:bidi w:val="0"/>
              <w:spacing w:before="0" w:after="0"/>
              <w:jc w:val="center"/>
              <w:rPr/>
            </w:pPr>
            <w:r>
              <w:rPr>
                <w:b/>
              </w:rPr>
              <w:t>Nasdaq Global Market</w:t>
            </w:r>
            <w:r>
              <w:rPr/>
              <w:t xml:space="preserve"> </w:t>
            </w:r>
          </w:p>
        </w:tc>
      </w:tr>
    </w:tbl>
    <w:p>
      <w:pPr>
        <w:pStyle w:val="TextBody"/>
        <w:bidi w:val="0"/>
        <w:spacing w:before="0" w:after="0"/>
        <w:jc w:val="left"/>
        <w:rPr/>
      </w:pPr>
      <w:r>
        <w:rPr/>
        <w:t>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Securities registered pursuant to Section 12(g) of the Act: </w:t>
      </w:r>
      <w:r>
        <w:rPr>
          <w:rFonts w:ascii="TimesNewRoman;Times New Roman;Times;Baskerville;Georgia;serif" w:hAnsi="TimesNewRoman;Times New Roman;Times;Baskerville;Georgia;serif"/>
          <w:b/>
          <w:sz w:val="20"/>
        </w:rPr>
        <w:t>None</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Indicate by check mark if the registrant is a well-known seasoned issuer, as defined in Rule 405 of the Securities Act. Yes ☒ No ☐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Indicate by check mark if the registrant is not required to file reports pursuant to Section 13 or 15(d) of the Act. Yes ☐ No ☒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 Large Accelerated Filer ☐ Accelerated Filer ☐ Non-accelerated Filer ☐ Smaller Reporting Company ☐ Emerging Growth Company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Indicate by check mark whether the registrant is a shell company (as defined in Rule 12b-2 of the Act). Yes ☐ No ☒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aggregate market value of the registrant’s common stock held by non-affiliates was $4,229,956,395 as of June 30, 2025 (the last business day of the registrant’s most recently completed second fiscal quarter), based on a total of 232,287,556 shares of common stock held by non-affiliates and a closing price of $18.21 as reported on the Nasdaq Global Market on June 30, 2025.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February 20, 2026, there were 238,159,176 shares of the issuer’s common stock outstanding.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DOCUMENTS INCORPORATED BY REFERENCE</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Portions of the ADMA Biologics, Inc. definitive proxy statement to be filed pursuant to Regulation 14A within 120 days after the end of the fiscal year are incorporated by reference into Part III of this Annual Report on Form 10-K and certain documents are incorporated by reference into Part IV. </w:t>
      </w:r>
    </w:p>
    <w:p>
      <w:pPr>
        <w:pStyle w:val="TextBody"/>
        <w:bidi w:val="0"/>
        <w:spacing w:before="0" w:after="0"/>
        <w:jc w:val="both"/>
        <w:rPr/>
      </w:pPr>
      <w:r>
        <w:rPr/>
        <w:t xml:space="preserve">  </w:t>
      </w:r>
    </w:p>
    <w:p>
      <w:pPr>
        <w:pStyle w:val="Normal"/>
        <w:bidi w:val="0"/>
        <w:spacing w:before="0" w:after="0"/>
        <w:jc w:val="left"/>
        <w:rPr>
          <w:sz w:val="4"/>
          <w:szCs w:val="4"/>
        </w:rPr>
      </w:pPr>
      <w:r>
        <w:rPr>
          <w:sz w:val="4"/>
          <w:szCs w:val="4"/>
        </w:rPr>
      </w:r>
      <w:bookmarkStart w:id="4" w:name="ADMA_BIOLOGICS_INC_TOC"/>
      <w:bookmarkStart w:id="5" w:name="ADMA_BIOLOGICS_INC_TOC"/>
      <w:bookmarkEnd w:id="5"/>
    </w:p>
    <w:tbl>
      <w:tblPr>
        <w:tblW w:w="10205" w:type="dxa"/>
        <w:jc w:val="left"/>
        <w:tblInd w:w="0" w:type="dxa"/>
        <w:tblLayout w:type="fixed"/>
        <w:tblCellMar>
          <w:top w:w="28" w:type="dxa"/>
          <w:left w:w="28" w:type="dxa"/>
          <w:bottom w:w="28" w:type="dxa"/>
          <w:right w:w="28" w:type="dxa"/>
        </w:tblCellMar>
      </w:tblPr>
      <w:tblGrid>
        <w:gridCol w:w="1042"/>
        <w:gridCol w:w="8725"/>
        <w:gridCol w:w="438"/>
      </w:tblGrid>
      <w:tr>
        <w:trPr/>
        <w:tc>
          <w:tcPr>
            <w:tcW w:w="1042"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jc w:val="center"/>
              <w:rPr>
                <w:b/>
                <w:spacing w:val="0"/>
              </w:rPr>
            </w:pPr>
            <w:r>
              <w:rPr>
                <w:b/>
                <w:spacing w:val="0"/>
              </w:rPr>
              <w:t>ADMA BIOLOGICS, INC.</w:t>
            </w:r>
          </w:p>
        </w:tc>
        <w:tc>
          <w:tcPr>
            <w:tcW w:w="438" w:type="dxa"/>
            <w:tcBorders/>
            <w:vAlign w:val="center"/>
          </w:tcPr>
          <w:p>
            <w:pPr>
              <w:pStyle w:val="TableContents"/>
              <w:bidi w:val="0"/>
              <w:spacing w:before="0" w:after="283"/>
              <w:jc w:val="left"/>
              <w:rPr/>
            </w:pPr>
            <w:r>
              <w:rPr/>
              <w:t> </w:t>
            </w:r>
          </w:p>
        </w:tc>
      </w:tr>
      <w:tr>
        <w:trPr/>
        <w:tc>
          <w:tcPr>
            <w:tcW w:w="1042" w:type="dxa"/>
            <w:tcBorders/>
            <w:tcMar>
              <w:top w:w="0" w:type="dxa"/>
              <w:left w:w="0" w:type="dxa"/>
              <w:bottom w:w="0" w:type="dxa"/>
              <w:right w:w="0" w:type="dxa"/>
            </w:tcMar>
            <w:vAlign w:val="center"/>
          </w:tcPr>
          <w:p>
            <w:pPr>
              <w:pStyle w:val="TableContents"/>
              <w:bidi w:val="0"/>
              <w:spacing w:before="0" w:after="0"/>
              <w:jc w:val="left"/>
              <w:rPr/>
            </w:pPr>
            <w:r>
              <w:rPr/>
              <w:t xml:space="preserve">PART I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
              <w:r>
                <w:rPr>
                  <w:rStyle w:val="InternetLink"/>
                </w:rPr>
                <w:t>Business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4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1A.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Risk_Factors">
              <w:r>
                <w:rPr>
                  <w:rStyle w:val="InternetLink"/>
                </w:rPr>
                <w:t>Risk Factors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34</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1B.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B">
              <w:r>
                <w:rPr>
                  <w:rStyle w:val="InternetLink"/>
                </w:rPr>
                <w:t>Unresolved Staff Comments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64</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1C.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C">
              <w:r>
                <w:rPr>
                  <w:rStyle w:val="InternetLink"/>
                </w:rPr>
                <w:t>Cybersecurity</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64</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2.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Properties">
              <w:r>
                <w:rPr>
                  <w:rStyle w:val="InternetLink"/>
                </w:rPr>
                <w:t>Properties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65</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3.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Legal_Proceedings">
              <w:r>
                <w:rPr>
                  <w:rStyle w:val="InternetLink"/>
                </w:rPr>
                <w:t>Legal Proceedings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66</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4.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Mine_Safety_Disclosures">
              <w:r>
                <w:rPr>
                  <w:rStyle w:val="InternetLink"/>
                </w:rPr>
                <w:t>Mine Safety Disclosures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66</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PART II </w:t>
            </w:r>
          </w:p>
        </w:tc>
        <w:tc>
          <w:tcPr>
            <w:tcW w:w="87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5.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Market_for_Registrants_Common_Equity_Related_Stockholder_Matters_and_Issuer_Purchases_of_Equity_Securities">
              <w:r>
                <w:rPr>
                  <w:rStyle w:val="InternetLink"/>
                </w:rPr>
                <w:t>Market For Registrant’s Common Equity, Related Stockholder Matters and Issuer Purchases of Equity Securities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67</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6.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Reserved">
              <w:r>
                <w:rPr>
                  <w:rStyle w:val="InternetLink"/>
                </w:rPr>
                <w:t>Reserved</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68</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7.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Managements_Discussion_and_Analysis_of_Financial_Condition_and_Results_of_Operations">
              <w:r>
                <w:rPr>
                  <w:rStyle w:val="InternetLink"/>
                </w:rPr>
                <w:t>Management’s Discussion and Analysis of Financial Condition and Results of Operations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68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7A.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7A">
              <w:r>
                <w:rPr>
                  <w:rStyle w:val="InternetLink"/>
                </w:rPr>
                <w:t>Quantitative and Qualitative Disclosures About Market Risk</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83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8.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8">
              <w:r>
                <w:rPr>
                  <w:rStyle w:val="InternetLink"/>
                </w:rPr>
                <w:t>Financial Statements and Supplementary Data</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83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9.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9">
              <w:r>
                <w:rPr>
                  <w:rStyle w:val="InternetLink"/>
                </w:rPr>
                <w:t>Changes in and Disagreements with Accountants on Accounting and Financial Disclosure</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83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9A.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9A">
              <w:r>
                <w:rPr>
                  <w:rStyle w:val="InternetLink"/>
                </w:rPr>
                <w:t>Controls and Procedures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83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9B.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9B">
              <w:r>
                <w:rPr>
                  <w:rStyle w:val="InternetLink"/>
                </w:rPr>
                <w:t>Other Information</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84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9C.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9C">
              <w:r>
                <w:rPr>
                  <w:rStyle w:val="InternetLink"/>
                </w:rPr>
                <w:t>Disclosure Regarding Foreign Jurisdictions that Prevent Inspections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84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PART III </w:t>
            </w:r>
          </w:p>
        </w:tc>
        <w:tc>
          <w:tcPr>
            <w:tcW w:w="87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10.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0">
              <w:r>
                <w:rPr>
                  <w:rStyle w:val="InternetLink"/>
                </w:rPr>
                <w:t>Directors, Executive Officers and Corporate Governance</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84</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11.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1">
              <w:r>
                <w:rPr>
                  <w:rStyle w:val="InternetLink"/>
                </w:rPr>
                <w:t>Executive Compensation</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85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12.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2">
              <w:r>
                <w:rPr>
                  <w:rStyle w:val="InternetLink"/>
                </w:rPr>
                <w:t>Security Ownership of Certain Beneficial Owners and Management and Related Stockholder Matters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85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13.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3">
              <w:r>
                <w:rPr>
                  <w:rStyle w:val="InternetLink"/>
                </w:rPr>
                <w:t>Certain Relationships and Related Transactions, and Director Independence</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85</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14.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4">
              <w:r>
                <w:rPr>
                  <w:rStyle w:val="InternetLink"/>
                </w:rPr>
                <w:t>Principal Accounting Fees and Services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85</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PART IV </w:t>
            </w:r>
          </w:p>
        </w:tc>
        <w:tc>
          <w:tcPr>
            <w:tcW w:w="87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15.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5">
              <w:r>
                <w:rPr>
                  <w:rStyle w:val="InternetLink"/>
                </w:rPr>
                <w:t>Exhibits, Financial Statement Schedules</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86</w:t>
            </w:r>
          </w:p>
        </w:tc>
      </w:tr>
      <w:tr>
        <w:trPr/>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16. </w:t>
            </w:r>
          </w:p>
        </w:tc>
        <w:tc>
          <w:tcPr>
            <w:tcW w:w="872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6">
              <w:r>
                <w:rPr>
                  <w:rStyle w:val="InternetLink"/>
                </w:rPr>
                <w:t>Form 10-K Summary</w:t>
              </w:r>
            </w:hyperlink>
            <w:r>
              <w:rPr/>
              <w:t xml:space="preserve"> </w:t>
            </w:r>
          </w:p>
        </w:tc>
        <w:tc>
          <w:tcPr>
            <w:tcW w:w="438" w:type="dxa"/>
            <w:tcBorders/>
            <w:shd w:fill="CCEEFF" w:val="clear"/>
            <w:tcMar>
              <w:top w:w="0" w:type="dxa"/>
              <w:left w:w="0" w:type="dxa"/>
              <w:bottom w:w="0" w:type="dxa"/>
              <w:right w:w="0" w:type="dxa"/>
            </w:tcMar>
            <w:vAlign w:val="center"/>
          </w:tcPr>
          <w:p>
            <w:pPr>
              <w:pStyle w:val="TableContents"/>
              <w:bidi w:val="0"/>
              <w:spacing w:before="0" w:after="0"/>
              <w:jc w:val="right"/>
              <w:rPr/>
            </w:pPr>
            <w:r>
              <w:rPr/>
              <w:t>89</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i</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Special Note Regarding Forward-Looking Statements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Some of the information in this Annual Report on Form 10-K contains “forward-looking statements” within the meaning of Section 27A of the Securities Act of 1933, as amended (the “Securities Act”) and Section 21E of the Securities Exchange Act of 1934, as amended (the “Exchange Act”), and such forward-looking statements involve risks and uncertainties. These forward-looking statements include, but are not limited to, statements about our plans, objectives, representations and contentions that are not historical facts and typically are identified by use of terms such as “may,” “should,” “could,” “would,” “expect,” “plan,” “anticipate,” “believe,” “estimate,” “predict,” “potential,” “project,” “continue,” or the negative thereof, or other variations or comparable terminology, although some forward-looking statements are expressed differently. The forward-looking statements included herein represent management’s current judgment and expectations, but our actual results, events and performance could differ materially from those in the forward-looking statements. These statements include statements about: </w: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ability to further commercialize ASCENIV and BIVIGAM;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360"/>
        <w:jc w:val="both"/>
        <w:rPr>
          <w:rFonts w:ascii="Aptos" w:hAnsi="Aptos"/>
          <w:sz w:val="20"/>
        </w:rPr>
      </w:pPr>
      <w:r>
        <w:rPr>
          <w:rFonts w:ascii="Times New Roman" w:hAnsi="Times New Roman"/>
          <w:sz w:val="20"/>
        </w:rPr>
        <w:t>our plans to develop, manufacture, market, launch and expand our commercial infrastructure and commercialize our current and future products and the success of such efforts;</w:t>
      </w:r>
      <w:r>
        <w:rPr>
          <w:rFonts w:ascii="Aptos" w:hAnsi="Aptos"/>
          <w:sz w:val="20"/>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safety, efficacy and expected timing of and our ability to obtain and maintain regulatory approvals for our current products and product candidates, the labeling or nature of any such approvals, and whether any of our current products may be subject to post-marketing restrictions or withdrawal from the market;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color w:val="000000"/>
        </w:rPr>
        <w:t> </w:t>
      </w: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achievement of or expected timing, progress and results of clinical development, clinical trials and potential regulatory approvals for our product candidates;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dependence upon our third-party customers, suppliers and vendors and their compliance with applicable regulatory requirements;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belief that we have addressed the delays experienced with final drug product current Good Manufacturing Practices (“cGMP”) release testing by our third-party vendors by adding additional release testing laboratories to our U.S. Food and Drug Administration (the “FDA”)-approved consortium listed in our drug approval documents;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ability to obtain adequate quantities of FDA-approved plasma with proper specifications;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plans to increase our supplies of source plasma (including source plasma containing certain levels of antibodies to Respiratory Syncytial Virus), our ability to obtain and maintain regulatory compliance and reliance on third-party supply agreements as well as any extensions to such agreements, and expected impact of such third-party supply of RSV plasma on both ASCENIV growth and overall financial performance;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potential indications for our products and product candidates;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potential investigational new product applications;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acceptability of any of our products, including ASCENIV, BIVIGAM and Nabi-HB, for any purpose, including FDA-approved indications, by physicians, patients or payers;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plans to evaluate the clinical and regulatory paths to grow the ASCENIV franchise through expanded FDA-approved uses;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Federal, state and local regulatory and business review processes and timing by such governmental and regulatory agencies of our business and regulatory submissions;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concurrence by the FDA with our conclusions concerning our products and product candidates;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comparability of results of our hyperimmune and immune globulin (“IG”) products to other comparably run hyperimmune and immune globulin clinical trials;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potential for ASCENIV and BIVIGAM to provide meaningful clinical improvement for patients living with </w:t>
      </w:r>
      <w:r>
        <w:rPr>
          <w:rFonts w:ascii="TimesNewRoman;Times New Roman;Times;Baskerville;Georgia;serif" w:hAnsi="TimesNewRoman;Times New Roman;Times;Baskerville;Georgia;serif"/>
          <w:color w:val="000000"/>
          <w:sz w:val="20"/>
        </w:rPr>
        <w:t>Primary Humoral Immunodeficiency (“PI”), also known as Primary Immunodeficiency Disease (“PIDD”) or Inborn Errors of Immunity,</w:t>
      </w:r>
      <w:r>
        <w:rPr>
          <w:rFonts w:ascii="TimesNewRoman;Times New Roman;Times;Baskerville;Georgia;serif" w:hAnsi="TimesNewRoman;Times New Roman;Times;Baskerville;Georgia;serif"/>
          <w:sz w:val="20"/>
        </w:rPr>
        <w:t xml:space="preserve"> or other immune deficiencies or any other condition for which the products may be prescribed or evaluated;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286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ability to market and promote Nabi-HB in a highly competitive environment with increasing competition from other antiviral therapies and to generate meaningful revenues from this product;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286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intellectual property position and the defense thereof, including our expectations regarding the scope of patent protection with respect to ASCENIV, SG-001 or other future pipeline product candidates;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ability to develop, manufacture, receive regulatory approval and commercialize our potential pipeline of any new hyperimmune globulins, including SG-001, and related timing in consideration therewith;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286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manufacturing capabilities, and third-party contractor capabilities;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286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use of AI in our supply chain and production operations;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286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implemented strategy related to the expansion and efficiencies of our manufacturing capacity, yield improvements, supply-chain robustness, in-house fill-finish capabilities, distribution and other collaborative agreements and the success of such endeavors;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286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estimates regarding revenues, certain non-GAAP financial measures (i.e., financial measures that are not prepared in accordance with U.S. generally accepted accounting principles (“GAAP”)), earnings, expenses, capital requirements, capital expenditures, ASCENIV’s growth, demand and utilization, ability to maintain profitability and positive cash flows and the potential need for and availability of additional financing;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286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ASCENIV’s real-world outcomes data and payer coverage;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286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ability to timely realize the revenue and earnings benefits associated with our FDA approved yield enhancement production process;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286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ability to realize our deferred tax assets or the need for a valuation allowance, or the effects of changes in tax laws on our deferred tax assets;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2286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estimates of future taxable income, which could have a material impact on our financial condition or financial results;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286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estimates of future effective tax rates and corresponding tax obligations and expenses, which could have a material impact on our financial condition or financial results;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2286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possible or likely reimbursement levels for our currently marketed products;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2286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estimates regarding market size, projected growth and sales of our existing products as well as our expectations of market acceptance of ASCENIV and BIVIGAM;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2286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color w:val="000000"/>
        </w:rPr>
        <w:t> </w:t>
      </w: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intended uses and benefits of the recently acquired real estate in Boca Raton, FL;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286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recent refinancing of our senior credit facility;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286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recently announced divestiture of three of our plasma collection centers, including the timing for closing such transaction and expected financial and operational benefits;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286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potential for pandemics, or a resurgence of a pandemic, to adversely affect our business, financial condition, liquidity or results of operations; and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2286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future domestic and global economic conditions including, but not limited to, supply chain constraints, inflationary pressures or performance or geopolitical conditions, including the continuing conflicts in Europe, certain countries in South America, Northern Africa and in the Middle East and surrounding areas, and international trade and U.S. tariff policies and any anticipated effects of such factors on the pricing and availability of imported raw materials used in the production of our products.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286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to the foregoing, you should also consider carefully the statements under the section entitled “Risk Factors” and other sections of this Annual Report on Form 10-K, which address additional factors that could cause our actual results to differ from those set forth in the forward-looking statements.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This Annual Report on Form 10-K includes our trademarks, trade names and service marks, such as “ASCENIV</w:t>
      </w:r>
      <w:r>
        <w:rPr>
          <w:rFonts w:ascii="TimesNewRoman;Times New Roman;Times;Baskerville;Georgia;serif" w:hAnsi="TimesNewRoman;Times New Roman;Times;Baskerville;Georgia;serif"/>
          <w:position w:val="7"/>
          <w:sz w:val="16"/>
          <w:sz w:val="20"/>
        </w:rPr>
        <w:t>TM</w:t>
      </w:r>
      <w:r>
        <w:rPr>
          <w:rFonts w:ascii="TimesNewRoman;Times New Roman;Times;Baskerville;Georgia;serif" w:hAnsi="TimesNewRoman;Times New Roman;Times;Baskerville;Georgia;serif"/>
          <w:sz w:val="20"/>
        </w:rPr>
        <w:t xml:space="preserve">”, “BIVIGAM®” and “Nabi-HB®”, which are protected under applicable intellectual property laws and are the property of ADMA Biologics, Inc., or its subsidiaries. Solely for convenience, trademarks, trade names and service marks referred to in this Annual Report may appear without the ® or ™ symbols, but the absence of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PART I</w:t>
      </w:r>
    </w:p>
    <w:p>
      <w:pPr>
        <w:pStyle w:val="TextBody"/>
        <w:bidi w:val="0"/>
        <w:spacing w:before="0" w:after="0"/>
        <w:jc w:val="both"/>
        <w:rPr/>
      </w:pPr>
      <w:r>
        <w:rPr/>
        <w:t> </w:t>
      </w:r>
    </w:p>
    <w:p>
      <w:pPr>
        <w:pStyle w:val="TextBody"/>
        <w:bidi w:val="0"/>
        <w:spacing w:before="0" w:after="0"/>
        <w:ind w:left="0" w:right="0" w:hanging="900"/>
        <w:jc w:val="left"/>
        <w:rPr>
          <w:rFonts w:ascii="Aptos" w:hAnsi="Aptos"/>
          <w:sz w:val="20"/>
        </w:rPr>
      </w:pPr>
      <w:r>
        <w:rPr>
          <w:rFonts w:ascii="Times New Roman" w:hAnsi="Times New Roman"/>
          <w:b/>
          <w:sz w:val="20"/>
        </w:rPr>
        <w:t>Business</w:t>
      </w:r>
      <w:r>
        <w:rPr>
          <w:rFonts w:ascii="Aptos" w:hAnsi="Aptos"/>
          <w:sz w:val="20"/>
        </w:rPr>
        <w:t xml:space="preserve">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5715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6" w:name="Item_1"/>
                            <w:bookmarkEnd w:id="6"/>
                            <w:r>
                              <w:rPr>
                                <w:rFonts w:ascii="Times New Roman" w:hAnsi="Times New Roman"/>
                                <w:b/>
                              </w:rPr>
                              <w:t>Item 1.</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7" w:name="Item_1"/>
                      <w:bookmarkEnd w:id="7"/>
                      <w:r>
                        <w:rPr>
                          <w:rFonts w:ascii="Times New Roman" w:hAnsi="Times New Roman"/>
                          <w:b/>
                        </w:rPr>
                        <w:t>Item 1.</w:t>
                      </w:r>
                      <w:r>
                        <w:rPr/>
                        <w:t xml:space="preserve"> </w:t>
                      </w:r>
                    </w:p>
                  </w:txbxContent>
                </v:textbox>
                <w10:wrap type="square" side="right"/>
              </v:rect>
            </w:pict>
          </mc:Fallback>
        </mc:AlternateContent>
      </w:r>
    </w:p>
    <w:p>
      <w:pPr>
        <w:pStyle w:val="TextBody"/>
        <w:bidi w:val="0"/>
        <w:spacing w:before="0" w:after="0"/>
        <w:ind w:left="0" w:right="0" w:hanging="900"/>
        <w:jc w:val="left"/>
        <w:rPr/>
      </w:pPr>
      <w:r>
        <w:rPr/>
        <w:t>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Unless the context otherwise requires, references in this Business section to “ADMA,” “ADMA Biologics,” the “Company,” “we,” “us” and “our” refer to ADMA Biologics, Inc., a Delaware corporation, as well as its wholly owned subsidiaries, ADMA BioManufacturing, LLC, a Delaware limited liability company (“ADMA BioManufacturing”), ADMA BioCenters Georgia Inc., a Delaware corporation (“ADMA BioCenters”) and ADMA Plasma Biologics, Inc., a Delaware corporation (“ADMA Plasma Biologics”).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Overview</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are a U.S. based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adolescents, for which we received FDA approval in April 2019 and commenced first commercial sales in October 2019; (ii) BIVIGAM, an IVIG product indicated for the treatment of PI in adults and pediatric patients two years of age and older, and for which we received FDA approval in May 2019 and commenced commercial sales in August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Nos. 10,259,865 and 11,084,870 related to methods of treatment and prevention of </w:t>
      </w:r>
      <w:r>
        <w:rPr>
          <w:rFonts w:ascii="TimesNewRoman;Times New Roman;Times;Baskerville;Georgia;serif" w:hAnsi="TimesNewRoman;Times New Roman;Times;Baskerville;Georgia;serif"/>
          <w:i/>
          <w:sz w:val="20"/>
        </w:rPr>
        <w:t>S. pneumonia</w:t>
      </w:r>
      <w:r>
        <w:rPr>
          <w:rFonts w:ascii="TimesNewRoman;Times New Roman;Times;Baskerville;Georgia;serif" w:hAnsi="TimesNewRoman;Times New Roman;Times;Baskerville;Georgia;serif"/>
          <w:sz w:val="20"/>
        </w:rPr>
        <w:t xml:space="preserve"> infection for an immunoglobulin manufactured to contain standardized antibodies to numerous serotypes of </w:t>
      </w:r>
      <w:r>
        <w:rPr>
          <w:rFonts w:ascii="TimesNewRoman;Times New Roman;Times;Baskerville;Georgia;serif" w:hAnsi="TimesNewRoman;Times New Roman;Times;Baskerville;Georgia;serif"/>
          <w:i/>
          <w:sz w:val="20"/>
        </w:rPr>
        <w:t>S. pneumoniae</w:t>
      </w:r>
      <w:r>
        <w:rPr>
          <w:rFonts w:ascii="TimesNewRoman;Times New Roman;Times;Baskerville;Georgia;serif" w:hAnsi="TimesNewRoman;Times New Roman;Times;Baskerville;Georgia;serif"/>
          <w:sz w:val="20"/>
        </w:rPr>
        <w:t>. We have successfully completed production of a pilot-scale batch and are conducting animal studies for our </w:t>
      </w:r>
      <w:r>
        <w:rPr>
          <w:rFonts w:ascii="TimesNewRoman;Times New Roman;Times;Baskerville;Georgia;serif" w:hAnsi="TimesNewRoman;Times New Roman;Times;Baskerville;Georgia;serif"/>
          <w:i/>
          <w:sz w:val="20"/>
        </w:rPr>
        <w:t>S. pneumoniae</w:t>
      </w:r>
      <w:r>
        <w:rPr>
          <w:rFonts w:ascii="TimesNewRoman;Times New Roman;Times;Baskerville;Georgia;serif" w:hAnsi="TimesNewRoman;Times New Roman;Times;Baskerville;Georgia;serif"/>
          <w:sz w:val="20"/>
        </w:rPr>
        <w:t xml:space="preserve"> hyperimmune globulin program, SG-001. We anticipate submitting a pre-Investigational New Drug (IND) package to the FDA in fiscal year 2026, which could enable us to progress development of SG-001 directly into a registrational clinical trial. In September 2025, a Commissioner’s National Priority Voucher (CNPV) application was submitted, and if accepted and approved, could accelerate FDA review by two fiscal quarters or more. Our products and product candidates are intended to be used by physician specialists focused on caring for immune-compromised patients with or at risk for certain infectious diseases.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manufacture these products at our FDA-licensed, plasma fractionation and purification facility located in Boca Raton, Florida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(“IG”) products representing projected annual revenues greater than $635 million in 2026 and $775 million in 2027. These revenue targets translate to potential fiscal year 2026 and 2027 Adjusted Net Income exceeding $255 million and $315 million, respectively, and Adjusted EBITDA exceeding $360 million and $455 million, respectively.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April 2025, the FDA approved our Prior Approval Supplement (the “PAS”) for our innovative yield enhancement production process (the “Yield Enhancement”) for both ASCENIV and BIVIGAM. This PAS approval amends the Biologics License Application (“BLA”) approvals for ASCENIV and BIVIGAM and will continue to be the process by which we will manufacture these products on a go-forward basis. The production methods approved in this PAS have started to result in additional bulk drug yield from the same starting raw material source plasma volumes. This innovative process has demonstrated an ability to increase ASCENIV and BIVIGAM production yields by 20% or more from the same starting source plasma volume. Fiscal year 2026 will be our first full year of yield-enhanced production, supporting anticipated sustained margin expansion.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lineRule="auto" w:line="256"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our ADMA BioCenters subsidiary operated ten source plasma collection facilities in the U.S.,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as of December 31, 2025, three of our FDA-approved plasma collection centers had approvals from the Korean Ministry of Food and Drug Safety (“MFDS”), and ADMA BioCenters has FDA approval to operate a Hepatitis B immunization program.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 </w:t>
      </w:r>
    </w:p>
    <w:p>
      <w:pPr>
        <w:pStyle w:val="TextBody"/>
        <w:bidi w:val="0"/>
        <w:spacing w:before="0" w:after="0"/>
        <w:jc w:val="both"/>
        <w:rPr/>
      </w:pPr>
      <w:r>
        <w:rPr/>
        <w:t xml:space="preserve">  </w:t>
      </w:r>
    </w:p>
    <w:p>
      <w:pPr>
        <w:pStyle w:val="TextBody"/>
        <w:bidi w:val="0"/>
        <w:spacing w:lineRule="auto" w:line="256"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December 2025, we entered into an agreement for the divestiture of three of our plasma collection centers for an aggregate purchase price of $12.0 million. As of the date of this Annual Report on Form 10-K, two of the plasma collection centers have been sold to the purchaser. The closing of the third center is anticipated to occur in the first quarter of 2026. After the divestiture of all three centers, we will continue to own and operate seven FDA-approved plasma collection centers. In conjunction with the transactions, we entered into long-term plasma supply agreements with the purchaser of the three plasma collection centers, further diversifying our third-party high-titer plasma supply base. Collectively, these actions reflect a strategic and deliberate shift toward a more flexible, capital-efficient supply model and are expected to deliver accretive cost savings beginning in fiscal year 2026, improve capital efficiency, support increased ASCENIV production capacity, and provide durable plasma supply confidence through the late 2030s.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From time to time, we may provide contract manufacturing services for certain third-party clients. We also provide laboratory contracting services to certain customers and may provide contract filling, labeling and packing services utilizing our FDA-approved in-house fill-finish capabilities.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July 2025, the One Big Beautiful Bill Act ("OBBBA") was enacted, which includes numerous changes to existing tax law including extending or making permanent certain business provisions initially established under the 2017 Tax Cuts and Jobs Act, which were set to expire. The OBBBA permanently eliminates the requirement to capitalize and amortize U.S.-based research and experimental expenditures, making these expenditures fully deductible in the period incurred. The OBBBA also permanently extends recognition of the accelerated bonus depreciation on qualifying assets in the period acquired. In 2025, these provisions resulted in a reduction of current income tax liabilities and a corresponding reduction to income tax expense.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July 2025, we completed the acquisition of real estate in Boca Raton, FL for a total purchase price of $12.6 million. This real estate purchase is intended to allow us to expand our production operations and related activities as well as provide for certain redundancies for ambient and cold-chain storage of raw materials, work-in-process and finished goods inventory. </w:t>
      </w:r>
    </w:p>
    <w:p>
      <w:pPr>
        <w:pStyle w:val="TextBody"/>
        <w:bidi w:val="0"/>
        <w:spacing w:before="0" w:after="0"/>
        <w:jc w:val="both"/>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Our Products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color w:val="000000"/>
          <w:sz w:val="20"/>
        </w:rPr>
        <w:t>ASCENIV</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ASCENIV is a plasma-derived IVIG product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in April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high-titer or “hyperimmune” plasma that meets our internal and required specifications for ASCENIV with our patented testing methods and assay. This type of high-titer plasma is typically found in less than 10% of the total donor collection samples we test.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color w:val="000000"/>
        </w:rPr>
        <w:t> </w:t>
      </w: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ASCENIV is approved for the treatment of PIDD or PI, a class of inherited genetic disorders that causes a deficient or absent immune system in adults and adolescents (12 to 17 years of age). Our pivotal Phase 3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patients diagnosed with PIDD better positions ADMA to potentially further evaluate ASCENIV in immune-compromised patients infected with or at-risk for RSV infection or potentially other respiratory viral pathogens at an appropriate time. Due to the COVID-19 pandemic, our plans were delayed. In the future, we may elect to work with the FDA and the immunology and infectious disease community to potentially design an appropriate clinical trial to evaluate the use of ASCENIV in this patient population. Commercial sales of ASCENIV commenced in October 2019 and in</w:t>
      </w:r>
      <w:r>
        <w:rPr>
          <w:rFonts w:ascii="TimesNewRoman;Times New Roman;Times;Baskerville;Georgia;serif" w:hAnsi="TimesNewRoman;Times New Roman;Times;Baskerville;Georgia;serif"/>
          <w:sz w:val="20"/>
        </w:rPr>
        <w:t xml:space="preserve"> fiscal year 2023, we commenced manufacturing ASCENIV at the 4,400 Liter production scale. This expansion has improved the product’s margin profile and increased plant production capacity as fewer batches are needed to support our revenue goals. ASCENIV’s prescriber and patient base continued to expand during 2025, which drove record utilization and pull-through for this product. ADMA currently expects that this product’s rapid growth will continue throughout fiscal year 2026 and beyond.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In June 2025, we filed our supplemental Biologics License Application (“sBLA”) for the expansion of ASCENIV’s label to include the pediatric setting for patients who are two years and older and we anticipate potential FDA approval of the sBLA in the first half of fiscal year 2026.</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BIVIGAM</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w:t>
      </w:r>
      <w:r>
        <w:rPr>
          <w:rFonts w:ascii="TimesNewRoman;Times New Roman;Times;Baskerville;Georgia;serif" w:hAnsi="TimesNewRoman;Times New Roman;Times;Baskerville;Georgia;serif"/>
          <w:sz w:val="20"/>
        </w:rPr>
        <w:t>, in adults and pediatric patients two years of age and older.</w:t>
      </w:r>
      <w:r>
        <w:rPr>
          <w:rFonts w:ascii="TimesNewRoman;Times New Roman;Times;Baskerville;Georgia;serif" w:hAnsi="TimesNewRoman;Times New Roman;Times;Baskerville;Georgia;serif"/>
          <w:color w:val="000000"/>
          <w:sz w:val="20"/>
        </w:rPr>
        <w:t xml:space="preserve"> This includes, but is not limited to, the humoral immune defect in common variable immunodeficiency, X-linked agammaglobulinemia, congenital agammaglobulinemia, Wiskott-Aldrich syndrome and severe combined immunodeficiency. These PIs are a group of genetic disorders.</w:t>
      </w:r>
      <w:r>
        <w:rPr>
          <w:rFonts w:ascii="TimesNewRoman;Times New Roman;Times;Baskerville;Georgia;serif" w:hAnsi="TimesNewRoman;Times New Roman;Times;Baskerville;Georgia;serif"/>
          <w:sz w:val="20"/>
        </w:rPr>
        <w:t> </w:t>
      </w:r>
      <w:r>
        <w:rPr>
          <w:rFonts w:ascii="TimesNewRoman;Times New Roman;Times;Baskerville;Georgia;serif" w:hAnsi="TimesNewRoman;Times New Roman;Times;Baskerville;Georgia;serif"/>
          <w:color w:val="000000"/>
          <w:sz w:val="20"/>
        </w:rPr>
        <w:t>Based on recent estimates, these disorders are no longer considered to be very rare, with as many as one in every 2,000 people in the United States having some form of PI.</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In May 2019, the FDA approved the PAS for the use of our IVIG manufacturing process (known as fractionation), thereby enabling us to re-launch and commercialize this product in the U.S. We resumed production of BIVIGAM during the fourth quarter of 2017 and commercial production is ongoing, using our FDA-approved IVIG manufacturing process under U.S. License No. 2019. The commercial re-launch and first commercial sales for this product commenced in August 2019.</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April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December 2023, we announced that the FDA approved the expansion of BIVIGAM’s label in the U.S. to now include the pediatric setting for those two years of age and older.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Nabi-HB</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perinatal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in March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U.S. License No. 2019.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Evaluation of ASCENIV in PIDD Patients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PIDD or PI, also known as Inborn Errors of Immunity, is a genetic disorder that causes a deficient or absent immune system, is caused by hereditary or genetic defects, and can affect anyone regardless of age or gender. PIDD patients are more vulnerable to infections and more likely to suffer complications from these infections. IVIG is a plasma-derived product that is used to prevent serious infections in patients with PIDD. It is comprised of polyclonal antibodies, which are proteins produced by B-cells that are used by the body’s immune system to neutralize foreign objects such as bacteria and viruses. There are approximately 150,000 to 250,000 diagnosed PIDD patients in the U.S., approximately half of whom are treated with IVIG regularly. As reported in the </w:t>
      </w:r>
      <w:r>
        <w:rPr>
          <w:rFonts w:ascii="TimesNewRoman;Times New Roman;Times;Baskerville;Georgia;serif" w:hAnsi="TimesNewRoman;Times New Roman;Times;Baskerville;Georgia;serif"/>
          <w:i/>
          <w:sz w:val="20"/>
        </w:rPr>
        <w:t>2024 U.S. Fractionation Market Report</w:t>
      </w:r>
      <w:r>
        <w:rPr>
          <w:rFonts w:ascii="TimesNewRoman;Times New Roman;Times;Baskerville;Georgia;serif" w:hAnsi="TimesNewRoman;Times New Roman;Times;Baskerville;Georgia;serif"/>
          <w:sz w:val="20"/>
        </w:rPr>
        <w:t xml:space="preserve">, the U.S. sales of immune and hyperimmune globulin products for all its uses were reported to be approximately $13 billion in 2024 and are expected to exceed $30 billion by 2033.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ASCENIV, formerly known as RI-002, contains polyclonal antibodies against various infectious agents, such as streptococcus pneumoniae, H. influenza type B, CMV, measles and tetanus, including standardized antibodies against RSV. RSV is a common respiratory virus that often presents during the winter months. Nearly all children will have been infected with RSV by three years of age; however, the immune systems of most healthy children prevent significant morbidity and mortality. Conversely, in patients who are immune-compromised, such as those with PIDD or who have undergone a hematopoietic stem cell or solid organ transplant and may be on immunosuppressive drugs or chemotherapy, RSV infection can be associated with significant morbidity and mortality. Immune-compromised patients historically have a 5% to 15% rate of RSV infection, and, if left untreated, lower respiratory tract RSV infections in immune-compromised patients can result in a mortality rate of up to 40% of infected patients. In hematopoietic stem cell transplant (“HSCT”) patients, a subset of the immune-compromised patient population with approximately 25,000 transplants being performed annually in the U.S., it is estimated that about 25% of patients treated with the current standard of care (aerosolized Ribavirin) will progress to Lower Respiratory Tract Infection (“LRTI”) while 41% of patients untreated with the current standard of care will progress to LRTI.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RI-002 pivotal Phase III clinical trial was conducted as a single arm study in which patients were treated approximately once per month for a period of 12 months plus 90 days for follow up. Fifty-nine patients were enrolled in nine treatment centers in the U.S. The pivotal Phase III primary endpoint followed published FDA industry guidance, which provides for a reduction in the incidence of SBI to less than one per year in each subject receiving IVIG. The secondary outcome was safety and included other pharmacokinetic (“PK”) data collection points including antibody titers for certain agents, including RSV antibody levels at various time points after infusion.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RI-002 demonstrated positive results in the Phase III study in patients with PIDD, meeting its primary endpoint of no SBIs reported. RI-002 was administered in a total of 793 infusions with zero serious adverse events to 59 patients in nine treatment centers throughout the U.S. These results, included in our BLA, exceed the requirement specified by FDA guidance of ≤ 1 serious infection per patient-year.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February 2015, at the 2015 American Academy of Allergy, Asthma &amp; Immunology Annual Meeting, scientific investigators reported on the secondary outcomes that included: a total of 93 days, or 1.66 days per patient per year lost from work or school due to infection; one hospitalization due to an infection of only five days duration in the entire study and Immune Globulin (“IgG”) trough levels above those required by the FDA for IVIG products. Additionally, there was a marked increase in all of the measured specific anti-pathogen antibodies in PK subjects (n=31). The mean of maximum fold increases in specific antibody levels after infusion of RI-002 ranged from 1.9 fold (S. pneumonia type 19A) to 5.3 fold (RSV), which were statistically significant fold increases from the pathogen’s specific measured baselines. The safety profile of ASCENIV is comparable to that of other immunoglobulins.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Evaluation of ASCENIV in RSV-Infected Patients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RSV is a common virus that ordinarily leads to mild, cold-like symptoms in healthy adults and children. In high-risk groups, such as the PIDD population and other immune-compromised populations, RSV can lead to a more serious infection and may even cause death. The polyclonal antibodies that are present in ASCENIV are expected to prevent infections in immune-compromised patients.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October 2019, we announced the successful treatment of ASCENIV in two children suffering with RSV through our compassionate use program. The two immunocompromised children admitted to the Mayo Clinic each were diagnosed with T-cell lymphoblastic lymphoma. Both patients were undergoing delayed intensification chemotherapy and each were diagnosed with RSV Lower Respiratory Tract Infection (“LRTI”). Both children were treated with ASCENIV under an emergency use FDA IND protocol.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previously conducted a randomized, double-blind, placebo-controlled Phase II clinical trial to evaluate RI-001, RI-002’s predecessor product candidate, in immune-compromised, RSV-infected patients. This trial was conducted with 21 patients in the U.S., Canada, Australia, and New Zealand. The Phase II dose-ranging trial demonstrated a statistically significant improvement in the change from baseline RSV titers to day 18 in the high dose and low dose treatment groups when compared with placebo (p=0.0043 and p=0.0268, respectively). The mean fold increase for high dose was 9.24 (95% CI 4.07, 21.02) and the observed mean fold increase for low dose was 4.85 (95% CI 2.22, 10.59). The mean fold change for placebo treated patients was 1.42 (95% CI 0.64, 3.17). In addition, more patients in the high dose (85.7%) and low dose (42.9%) groups experienced greater than a four-fold increase from baseline to day 18 in RSV titer levels compared to placebo (0%). There were no serious drug-related adverse events reported during the trial.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From April 2009 through February 2011, RI-001 was also administered to 15 compassionate use patients where physicians requested access to the product for treating their patients with documented lower respiratory tract RSV infections due to the fact that these patients had failed conventional therapeutic interventions. Serum samples were obtained from 13 patients. Samples showed that patients demonstrated a four-fold or greater rise in RSV antibody titers from baseline. Serum samples were not obtained from two patients that received Palivizumab. All 11 surviving patients received RI-001 within an average of 4.4 days after the onset of the diagnosis of RSV. The drug was well-tolerated in all 15 patients and there were no reports of serious adverse events attributable to RI-001.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Plasma Collection Operations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Through December 31, 2025, ADMA BioCenters operated a total of ten U.S.-based plasma collection facilities, all of which are FDA licensed to collect source and high-titer RSV plasma. As of the date hereof, ADMA BioCenters operates a total of eight plasma collection facilities. As noted above, following the divestiture of the third plasma collection center to a third-party buyer expected to occur in the first quarter of 2026, we will continue to own and operate seven plasma collection centers. Currently, one facility has also received approval from MFDS and ADMA BioCenters has FDA approval to implement a Hepatitis B immunization program. Source plasma that is collected from our FDA-licensed facilities provides us with blood plasma for the manufacture of our products.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are sold to third-party customers in the U.S. and other international locations where we are approved under supply agreements or in the open “spot” market. </w:t>
      </w:r>
    </w:p>
    <w:p>
      <w:pPr>
        <w:pStyle w:val="TextBody"/>
        <w:bidi w:val="0"/>
        <w:spacing w:before="0" w:after="0"/>
        <w:jc w:val="both"/>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Our Strategy</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goal is to be a leader in manufacturing, marketing and developing specialty biologics that are intended to extend and enhance the lives of individuals who are naturally or medically immune-compromised. The key elements of our strategy for achieving this goal are as follows: </w: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Continue to expand the commercial production and distribution network of, and access for, our IG products and notably drive a revenue mix shift favoring sales of ASCENIV for the treatment of patients with PI</w:t>
      </w:r>
      <w:r>
        <w:rPr>
          <w:rFonts w:ascii="TimesNewRoman;Times New Roman;Times;Baskerville;Georgia;serif" w:hAnsi="TimesNewRoman;Times New Roman;Times;Baskerville;Georgia;serif"/>
          <w:sz w:val="20"/>
        </w:rPr>
        <w:t xml:space="preserve">. We continue to enhance our recruiting initiatives and expand our existing specialty commercial sales force and commercial-facing organization to market ASCENIV and BIVIGAM to appropriate sites of care, including home healthcare infusion facilities, hospitals, physician offices/clinics and other specialty treatment and infusion center organizations. We also anticipate staffing our Company with additional personnel for patient support, medical affairs, quality assurance, quality control, inventory management, regulatory affairs, manufacturing, scientific affairs and third-party reimbursement. Targeted field execution, expanded medical education, and patient engagement initiatives supported accelerating ASCENIV utilization while maintaining cost discipline in fiscal year 2025, and we anticipate continuing such initiatives in fiscal year 2026, which should position us for expanding operating leverage and margin growth. Furthermore, multiple, independent sets of real-world outcomes data generated during fiscal year 2025 reinforce ASCENIV’s clinical differentiation. Statistically significant reductions in infection rates observed in an investigator-initiated analysis support physician confidence, payer engagement, and expanded medical education initiatives expected to further drive utilization in 2026. We currently use and may continue to partner with a network of national distributors to fulfill orders for ASCENIV and BIVIGAM, and in 2026 we anticipate further diversification of our distribution and customer network, supporting expanded reach and continued growth for both ASCENIV and BIVIGAM.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2286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Expand ASCENIV’s FDA-approved uses</w:t>
      </w:r>
      <w:r>
        <w:rPr>
          <w:rFonts w:ascii="TimesNewRoman;Times New Roman;Times;Baskerville;Georgia;serif" w:hAnsi="TimesNewRoman;Times New Roman;Times;Baskerville;Georgia;serif"/>
          <w:sz w:val="20"/>
        </w:rPr>
        <w:t xml:space="preserve">. Having received approval by the FDA for ASCENIV as a treatment for PIDD, we may elect to evaluate the clinical and regulatory paths to grow the ASCENIV franchise through expanded FDA-approved uses. We plan to leverage our previously conducted randomized, double-blind, placebo-controlled Phase II clinical trial evaluating RI-001, ASCENIV’s predecessor product candidate, as well as the drug’s real-world impact on patient outcomes, to drive further penetration into ASCENIV’s targeted market principally comprised of patients suffering from complex and comorbid primary immunodeficiencies.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2286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 xml:space="preserve">Improve the Boca Facility’s and ADMA BioCenters’ supply, operating efficiencies, yields and gross margins. </w:t>
      </w:r>
      <w:r>
        <w:rPr>
          <w:rFonts w:ascii="TimesNewRoman;Times New Roman;Times;Baskerville;Georgia;serif" w:hAnsi="TimesNewRoman;Times New Roman;Times;Baskerville;Georgia;serif"/>
          <w:sz w:val="20"/>
        </w:rPr>
        <w:t xml:space="preserve">In 2025, we commercialized our FDA-approved, biologic production yield enhancement initiative to capture additional IG production yields from our manufacturing process with the same quantities of starting raw material. This innovative process has demonstrated an ability to increase production yields by approximately 20% from the same starting plasma volume. Fiscal year 2026 will be our first full year of yield-enhanced production, supporting sustained gross margin expansion and increasing earnings power. During 2021, we received FDA approvals for our 4,400L expanded IVIG production scale, as well as our in-house fill-finish and related operations production line using our aseptic filling machine and substantially all of our production batches are currently being produced at the expanded 4,400 Liter scale. This expansion has improved the product’s margin profile and increased plant production capacity as fewer batches are needed to support revenue goals. We have entered into long-term plasma supply agreements with the purchaser of our three centers, and we currently have access to an aggregate of approximately 280+ plasma collection centers both internally and through such third-party agreements. Our procurement of RSV plasma primarily from third parties reflects a deliberate shift toward a more flexible, capital-efficient supply model which is expected to deliver accretive cost savings beginning in fiscal year 2026, improve capital efficiency, support increased ASCENIV production capacity, and provide durable supply confidence through the late 2030s.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2286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Continue to broadly implement innovative AI Program, ADMAlytics, to improve efficiencies across our supply chain, production and commercial operations.</w:t>
      </w:r>
      <w:r>
        <w:rPr>
          <w:rFonts w:ascii="TimesNewRoman;Times New Roman;Times;Baskerville;Georgia;serif" w:hAnsi="TimesNewRoman;Times New Roman;Times;Baskerville;Georgia;serif"/>
          <w:sz w:val="20"/>
        </w:rPr>
        <w:t xml:space="preserve"> In February 2024, we announced the successful initial use of our Artificial Intelligence (AI) program, named ADMAlytics. ADMAlytics combines AI and machine learning to improve and predict outcomes for supply chain, production and commercial operations. In early 2024, we successfully produced our first batch of ASCENIV utilizing our innovative ADMAlytics software to prospectively automate and realize efficiency improvements to plasma pooling during commercial manufacturing. In the third quarter of 2024, we successfully expanded implementation of ADMAlytics to our commercial division. When fully implemented and optimized, ADMAlytics is expected to further enhance our commercial growth strategy. The benefits of ADMAlytics include increased production efficiency, enhanced visibility into the 7–12-month manufacturing process, optimized commercial planning, streamlined plasma pooling, and reduced variability and personnel hours. These efficiencies are expected to further benefit our forward-looking earnings growth outlook.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2286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 xml:space="preserve">Label expansion. </w:t>
      </w:r>
      <w:r>
        <w:rPr>
          <w:rFonts w:ascii="TimesNewRoman;Times New Roman;Times;Baskerville;Georgia;serif" w:hAnsi="TimesNewRoman;Times New Roman;Times;Baskerville;Georgia;serif"/>
          <w:sz w:val="20"/>
        </w:rPr>
        <w:t xml:space="preserve">Upon regulatory approval, the ongoing post-marketing clinical study of ASCENIV, which has successfully completed enrollment, may provide a label expansion opportunity to include pediatric-aged PI patients as well as additional publications supporting product safety. In June 2025, we filed our sBLA for the expansion of ASCENIV’s label to include the pediatric setting for patients who are two years and older and we anticipate potential FDA approval in the first half of 2026.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2286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Expand and develop our pipeline with additional specialty plasma and/or hyperimmune immunoglobulin products</w:t>
      </w:r>
      <w:r>
        <w:rPr>
          <w:rFonts w:ascii="TimesNewRoman;Times New Roman;Times;Baskerville;Georgia;serif" w:hAnsi="TimesNewRoman;Times New Roman;Times;Baskerville;Georgia;serif"/>
          <w:sz w:val="20"/>
        </w:rPr>
        <w:t xml:space="preserve">. Our core competency is in the development, manufacturing, testing and commercialization of plasma-derived therapeutics. We believe there are a number of under-addressed medical conditions for which plasma-derived therapeutics may be beneficial. Utilizing our intellectual property patents, which include our proprietary testing assay and other standardization methods and technologies, we have identified potential new product candidates that we may advance into preclinical activities. As part of expanding our product pipeline, we are developing an </w:t>
      </w:r>
      <w:r>
        <w:rPr>
          <w:rFonts w:ascii="TimesNewRoman;Times New Roman;Times;Baskerville;Georgia;serif" w:hAnsi="TimesNewRoman;Times New Roman;Times;Baskerville;Georgia;serif"/>
          <w:i/>
          <w:sz w:val="20"/>
        </w:rPr>
        <w:t>S. pneumonia</w:t>
      </w:r>
      <w:r>
        <w:rPr>
          <w:rFonts w:ascii="TimesNewRoman;Times New Roman;Times;Baskerville;Georgia;serif" w:hAnsi="TimesNewRoman;Times New Roman;Times;Baskerville;Georgia;serif"/>
          <w:sz w:val="20"/>
        </w:rPr>
        <w:t xml:space="preserve"> hyperimmune globulin, and in 2024 we successfully produced a pilot-scale batch of this pipeline program, named SG-001. We are currently conducting animal studies for SG-001, and anticipate submitting a pre-IND package to the FDA in fiscal year 2026, which could enable us to progress development of SG-001 directly into a registrational clinical trial and further strengthen our long-term pipeline outlook. In September 2025, a CNPV application was submitted and, if accepted, could accelerate FDA review by two fiscal quarters or more. </w:t>
      </w:r>
      <w:r>
        <w:rPr>
          <w:rFonts w:ascii="TimesNewRoman;Times New Roman;Times;Baskerville;Georgia;serif" w:hAnsi="TimesNewRoman;Times New Roman;Times;Baskerville;Georgia;serif"/>
          <w:i/>
          <w:sz w:val="20"/>
        </w:rPr>
        <w:t>S. pneumonia</w:t>
      </w:r>
      <w:r>
        <w:rPr>
          <w:rFonts w:ascii="TimesNewRoman;Times New Roman;Times;Baskerville;Georgia;serif" w:hAnsi="TimesNewRoman;Times New Roman;Times;Baskerville;Georgia;serif"/>
          <w:sz w:val="20"/>
        </w:rPr>
        <w:t xml:space="preserve"> is the predominant cause of community-acquired pneumonia in the U.S., ranking as the ninth leading cause of overall mortality. We believe the strategic importance and unmet need are evident in both the prophylactic and therapeutic settings where documented anti-infective resistance is on the rise. Approximately one million U.S. adults contract pneumococcal pneumonia annually, resulting in 400,000 hospitalizations and a 5-7% mortality rate, of which approximately 7,000 deaths annually are attributable to anti-infective resistance. Despite vaccine availabilities, vaccine-naive and immune-compromised patient populations remain at risk and could potentially benefit from the immediately available neutralizing antibodies conferred with a hyperimmune globulin in both the in-patient and out-patient treatment settings. We estimate that an </w:t>
      </w:r>
      <w:r>
        <w:rPr>
          <w:rFonts w:ascii="TimesNewRoman;Times New Roman;Times;Baskerville;Georgia;serif" w:hAnsi="TimesNewRoman;Times New Roman;Times;Baskerville;Georgia;serif"/>
          <w:i/>
          <w:sz w:val="20"/>
        </w:rPr>
        <w:t>S. pneumonia</w:t>
      </w:r>
      <w:r>
        <w:rPr>
          <w:rFonts w:ascii="TimesNewRoman;Times New Roman;Times;Baskerville;Georgia;serif" w:hAnsi="TimesNewRoman;Times New Roman;Times;Baskerville;Georgia;serif"/>
          <w:sz w:val="20"/>
        </w:rPr>
        <w:t xml:space="preserve"> hyperimmune globulin, if approved, has the potential to generate peak annual revenue of $300-500 million.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2286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Primary Immunodeficiency Disease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PIDD is a class of hereditary disorders characterized by defects in the immune system, due to either a lack of necessary antibodies or a failure of these antibodies to function properly. According to the World Health Organization, there are over 150 different presentations of PIDD. As patients suffering from PIDD lack a properly functioning immune system, they typically receive monthly, outpatient infusions of IVIG therapy. Without this exogenous antibody immune support, these patients would be susceptible to a wide variety of infectious diseases. PIDD has an estimated prevalence of 1:2,000 in the U.S., or approximately 150,000 to 250,000 people. As reported in the </w:t>
      </w:r>
      <w:r>
        <w:rPr>
          <w:rFonts w:ascii="TimesNewRoman;Times New Roman;Times;Baskerville;Georgia;serif" w:hAnsi="TimesNewRoman;Times New Roman;Times;Baskerville;Georgia;serif"/>
          <w:i/>
          <w:sz w:val="20"/>
        </w:rPr>
        <w:t>2024 U.S. Fractionation Market Report</w:t>
      </w:r>
      <w:r>
        <w:rPr>
          <w:rFonts w:ascii="TimesNewRoman;Times New Roman;Times;Baskerville;Georgia;serif" w:hAnsi="TimesNewRoman;Times New Roman;Times;Baskerville;Georgia;serif"/>
          <w:sz w:val="20"/>
        </w:rPr>
        <w:t xml:space="preserve">, the U.S. sales of immune and hyperimmune globulin products for all its uses were reported to be approximately $13 billion in 2024 and are expected to exceed $30 billion by 2033.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most patients with PIDD present with infections, the differential diagnosis and initial investigations for an underlying immune defect are typically guided by the clinical presentation. In subjects with PIDD, individual infections are not necessarily more severe than those that occur in a normal host. Rather, the clinical features suggestive of an immune defect may be the recurring and/or chronic nature of infections with common pathogens that may result in end organ damage, such as bronchiectasis. In addition, subjects with PIDD will often respond poorly to standard antimicrobial therapy or they may have repeated infections with the same pathogen. The virulence of the infecting organism should also be considered, and a subject’s immune competence should be questioned when invasive infections are caused by low virulence or opportunistic pathogens. For example, infection with the opportunistic pathogens Pneumocystis jiroveci (previously Pneumocystis carinii) or atypical mycobacteria should prompt an investigation for underlying immunodeficiency. Typical clinical presentations for subjects with PIDD are: </w:t>
      </w:r>
    </w:p>
    <w:p>
      <w:pPr>
        <w:pStyle w:val="TextBody"/>
        <w:bidi w:val="0"/>
        <w:spacing w:before="0" w:after="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antibody deficiency and recurrent bacterial infections;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2286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T-lymphocyte deficiency and opportunistic infections;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2286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other lymphocyte defects causing opportunistic infections;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2286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neutrophil defects causing immunodeficiency; and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2286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complement deficiencies.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2286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PIDD can present at any age from birth to adulthood, posing a considerable challenge for the practicing physician to know when and how to evaluate a subject for a possible immune defect. Subjects with marked antibody deficiencies are generally dependent on IVIG therapy for survival. Benefits of adequate IVIG therapy in subjects not able to produce antibodies normally include a reduction in the severity and frequency of infections, prevention of chronic lung disease and prevention of enteroviral meningoencephalitis. Several immune globulin products have already been approved by the FDA.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Plasma – Background, Composition and Manufacturing</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Human blood contains a number of components including: </w:t>
      </w:r>
    </w:p>
    <w:p>
      <w:pPr>
        <w:pStyle w:val="TextBody"/>
        <w:bidi w:val="0"/>
        <w:spacing w:before="0" w:after="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Red blood cells – Used to carry oxygen from the lungs to the body;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2286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White blood cells – Used by the immune system to fight infection;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2286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Platelets – Used for blood clotting; and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2286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Plasma – Used to carry the aforementioned components throughout the body and provide support in clotting and immunity.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2286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Plasma is the most abundant blood component, representing approximately 55% of total blood volume. Plasma, which is 90% water, is rich in proteins used by the human body for blood clotting and fighting infection. These proteins account for approximately 7% of plasma’s volume. As plasma contains these valuable proteins, plasma collection and the manufacturing of human plasma-derived therapeutics provide therapeutic benefits for ill patients.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order to produce plasma-derived therapeutics that can be administered to ill patients, raw material plasma must be collected from human donors and then manufactured into specialized products. Plasma is collected from healthy donors at FDA-licensed plasma donation centers. To ensure safety of the collected plasma, all plasma donations are tested using FDA-approved methods of Nucleic Acid Testing for various infectious diseases, such as HIV or HCV.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Plasma is collected using a process known as “plasmapheresis.” During plasmapheresis, a donor’s blood is drawn into a specialized medical device that separates the plasma component through centrifugation and then returns the other blood components back into the donor’s bloodstream. Plasmapheresis is performed utilizing an FDA-authorized, automated device with a sterile, self-contained collection kit. The plasma that is collected is known as “normal source plasma.” There are over 1,000 plasma donation centers in the U.S. As noted in a variety of plasma industry trade reports and related conferences, approximately 55.4 million liters of source plasma were collected in the U.S. in 2023. In the U.S., a donor may donate plasma a maximum of two times during any seven-day period, with at least two days in between donations. Plasma donation centers in the U.S. typically pay donors $50 to $100 per donation and some donors with rare or high antibody levels can be paid more. </w:t>
      </w:r>
    </w:p>
    <w:p>
      <w:pPr>
        <w:pStyle w:val="TextBody"/>
        <w:bidi w:val="0"/>
        <w:spacing w:before="0" w:after="0"/>
        <w:jc w:val="left"/>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order to isolate the desired therapeutic elements in normal source plasma, it must initially go through the fractionation process. The process of fractionation was invented in the 1940’s by E.J. Cohn and is referred to as the Cohn method or cold ethanol fractionation. First, the source plasma undergoes a process called pooling, in which the individual plasma donations are combined into a pooling tank. Second, the Cohn fractionation method, which is a combination of time, temperature, pH, alcohol concentration and centrifugation, is used to separate the desired plasma protein components, or “fractions.” After fractionation, the separated proteins are then re-suspended and are treated with a solvent detergent treatment process for viral inactivation. Next, other forms of filtration, such as nanofiltration, are performed as an additional viral removal and viral reduction step. Finally, with the various components separated and purified, the bulk product is formulated and filled into final, finished vials. During these various steps of manufacturing, each lot is reviewed and tested for potency and purity prior to being approved for release. The biologics manufacturing process is time consuming and complex. The time for collection, manufacturing and release of a batch of IG is estimated at 7 to 12 months, which is not unique to just ADMA as other fractionators report similar production timelines.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proteins in human plasma fall into four categories: albumin (60% of protein volume), immune globulins (15% of protein volume), coagulation factors (1% of protein volume), and other proteins (24% of protein volume) such as alpha-1 proteinase inhibitor, C1 esterase inhibitor, fibrin sealants and fibrinogen. Many of the other proteins in plasma have yet to be developed into commercial therapies. In the U.S., not only are the plasma collection centers subject to FDA licensure, but each plasma protein product that is derived and fractionated from plasma must undergo an approval process with FDA’s Center for Biologics Evaluation and Research (“CBER”).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Immune Globulins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June 2008, the FDA published the FDA Guidance for Industry outlining the regulatory pathway for the approval of IVIG for the treatment of PIDD </w:t>
      </w:r>
      <w:r>
        <w:rPr>
          <w:rFonts w:ascii="TimesNewRoman;Times New Roman;Times;Baskerville;Georgia;serif" w:hAnsi="TimesNewRoman;Times New Roman;Times;Baskerville;Georgia;serif"/>
          <w:i/>
          <w:sz w:val="20"/>
        </w:rPr>
        <w:t>(Guidance for Industry: Safety, Efficacy, and Pharmacokinetic Studies to Support Marketing of Immune Globulin Intravenous (Human) as Replacement Therapy for Primary Humoral Immunodeficiency)</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lineRule="auto" w:line="256"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Immune globulins can be administered in three ways: intramuscularly, intravenously or subcutaneously. IVIG principally contains antibodies and, as such, provides passive immunization for individuals who are immune-deficient or who have been exposed to various infectious agents. IVIG is used therapeutically in a variety of immunological diseases/deficiencies, such as PIDD, idiopathic thrombocytopenic purpura, Guillain-Barré syndrome, Kawasaki disease, bone marrow transplant, and chronic inflammatory demyelinating polyneuropathy. We are aware that other companies are also evaluating IVIG in a clinical trial for the treatment of Alzheimer’s disease. Additionally, IVIG is also used as therapy in a variety of other diseases that do not involve primary or secondary immune deficiencies, such as multiple sclerosis, skin disease, and asthma. We may not promote any of our products for uses for which FDA has not provided BLA approval. Among the various IVIG products, there are only 14 labeled indications approved by the FDA. However, medical literature identifies at least 150 evidence-based uses for IVIG, of which approximately 60 are currently included on lists of reimbursable uses by Medicare and other healthcare plans. This provides opportunities for new product development and submissions to potentially expand the label for our existing products, to the extent supported by relevant data.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There are two types of immune globulins; standard and hyperimmune. The difference between standard immune globulins and hyperimmune globulins is that the latter are manufactured using plasma obtained from donors who have elevated amounts (high-titers) of specific antibodies. These high-titer products can be used to treat and prevent diseases that present those specific antigens that are reactive with the high-titer antibodies. Hyperimmune products currently available include Hepatitis B, tetanus, rabies, CMV and RhoD immune globulins.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reported in the </w:t>
      </w:r>
      <w:r>
        <w:rPr>
          <w:rFonts w:ascii="TimesNewRoman;Times New Roman;Times;Baskerville;Georgia;serif" w:hAnsi="TimesNewRoman;Times New Roman;Times;Baskerville;Georgia;serif"/>
          <w:i/>
          <w:sz w:val="20"/>
        </w:rPr>
        <w:t>2024 U.S. Fractionation Market Report</w:t>
      </w:r>
      <w:r>
        <w:rPr>
          <w:rFonts w:ascii="TimesNewRoman;Times New Roman;Times;Baskerville;Georgia;serif" w:hAnsi="TimesNewRoman;Times New Roman;Times;Baskerville;Georgia;serif"/>
          <w:sz w:val="20"/>
        </w:rPr>
        <w:t xml:space="preserve">, the U.S. sales of immune and hyperimmune globulin products for all its uses were reported to be approximately $13 billion in 2024 and are expected to exceed $30 billion by 2033. IVIG products are used to treat primary immune deficiencies, certain autoimmune diseases, and other illnesses for immune-compromised patients and certain neuropathy indications. New research and data, secondary immune deficiencies, additional labeled indications, an aging population and emerging countries with new markets are all adding to the worldwide demand and growth of IVIG utilization.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Manufacturing and Supply of Our Products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order to produce plasma-derived therapeutics that can be administered to patients, raw material plasma is collected from healthy donors at plasma collection facilities licensed by the FDA. When stored under proper conditions, this plasma may have a shelf-life of up to ten years. Source plasma is collected at any one of over 1,000 FDA-licensed donation centers located throughout the U.S., using a process known as automated plasmapheresis. This sterile, self-contained, automated process separates red blood cells and other cellular components in the blood, which are then returned to the donor. Source plasma obtained by plasmapheresis is tested and must be negative for certain diseases, such as antibodies to human immunodeficiency virus types 1 and 2 (HIV-1/2), HbsAg and HCV, using FDA-approved serological test procedures.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After receipt of the source plasma, the frozen plasma is thawed and pooled and goes through the fractionation process. During cold ethanol fractionation, classes of proteins are precipitated and removed by centrifugation or filtration. The fractionation process includes the following steps; precipitation and absorption, depth filtration, centrifugation and chromatography. Because of the human origin of the raw material and the thousands of donations required in the fractionation process, a significant risk associated with plasma products is the transmission of blood-borne infectious pathogens. These purification processes have the potential to reduce the viral load. The manufacturing process also utilizes a multistep viral removal/inactivation system, which further increases the safety of the products. The following manufacturing processes have been validated for their capability to eliminate or inactivate viruses: precipitation during cold ethanol fractionation, solvent/detergent treatment and nanofiltration. We incorporate these processes into the manufacturing process, which ensures that our products comply with the requirements of the FDA and are safe and efficacious.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Once our drug-substance is produced in the Boca Facility, the product is further processed by certain third- party fill-finish providers or through our own in-house fill-finish process, which was approved by the FDA in the second half of 2021. Labeling and packaging operations must further comply with regulatory requirements and products must be labeled in accordance with their regulatory approval and Drug Supply Chain Security Act (“DSCSA”) serialization requirements. The end-to-end production cycle can take approximately seven to 12 months for a batch of FDA released drug product. Since 2020, we have successfully implemented several manufacturing and supply chain enhancements, including the purchase and installation of a new aseptic filling machine and the manufacturing of ASCENIV and BIVIGAM at an increased scale. These initiatives are designed to reduce operating costs, improve margins and provide for faster production cycle turnaround time, ultimately providing increased control and independence from third-party vendors and contractors.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Through December 31, 2025, ADMA BioCenters operated a total of ten U.S.-based plasma collection facilities, all of which are FDA-licensed to collect source and high-titer RSV plasma. As of the date hereof, ADMA BioCenters operates a total of eight plasma collection facilities. All of ADMA BioCenters’ facilities are FDA-licensed, and the remaining facilities should allow the Company to continue to be self-sufficient for its raw material normal source plasma supply to produce its commercial IG product portfolio. One of our ADMA BioCenters plasma collection facilities also has approval from the South Korean MFDS and ADMA BioCenters has licensure from the FDA for the collection and sale of Hepatitis B hyperimmune plasma obtained from immunized donors. At the present time, we do not plan to build additional plasma collection facilities, but we continue to have third-party supply contracts in place, primarily for RSV plasma to support the manufacturing of ASCENIV, to augment our vertically integrated plasma collections.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Pursuant to the terms of a Plasma Purchase Agreement dated as of November 2011 (the “2011 Plasma Purchase Agreement”), we agreed to purchase from our former contract manufacturer an annual minimum volume of source plasma containing antibodies to RSV to be used in the manufacture of ASCENIV. We must purchase a to-be-determined and agreed upon annual minimum volume from the counterparty, and under the original 2011 Plasma Purchase Agreement we were permitted to also collect high-titer plasma from up to five wholly owned ADMA plasma collection facilities. During 2015, we amended the 2011 Plasma Purchase Agreement to (i) allow us to collect our raw material high-titer plasma from any number of wholly owned ADMA plasma collection facilities and (ii) allow us to purchase our raw material high-titer plasma from other third-party collection organizations, in each case, provided that the annual minimum volumes from our former contract manufacturer were met, thus allowing us to expand our reach for raw material supply as we execute our commercialization plans for ASCENIV. In December 2018, our former contract manufacturer assigned its rights and obligations under the 2011 Plasma Purchase Agreement to Grifols Worldwide Operations Limited (“Grifols”) as its successor-in-interest, effective January 2019. Effective October 1, 2024, we entered into an Amended and Restated Plasma Purchase Agreement with Grifols (the “A&amp;R Grifols Agreement”) with a term expiring in September 2039, after which it may be renewed for two additional multi-year periods if agreed to by the parties. Pursuant to the A&amp;R Grifols Agreement, Grifols supplies, on a non-exclusive basis, to ADMA BioManufacturing a minimum of 35,000 liters of RSV plasma annually to be used in the manufacture of ASCENIV, with an escalating price per liter depending on the volume supplied in a given 12-month period, with a minimum annual price increase every 12 months. Additionally, Grifols will be entitled to receive a fixed bonus payment in the event that a specified liter amount of high-titer plasma is supplied to us in any 12-month period during the term of the A&amp;R Grifols Agreement.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Effective August 6, 2024, we entered into a Plasma Purchase Agreement with KEDPlasma LLC (“KEDPlasma”) with a term expiring in July 2031, after which it may be renewed for an additional multi-year period if agreed to by the parties (the “KEDPlasma Agreement”). Pursuant to the KEDPlasma Agreement, KEDPlasma supplies, on a non-exclusive basis, to ADMA BioManufacturing a minimum of 35,000 liters of RSV plasma annually commencing with the 12-month period ending July 31, 2026, with an escalating price per liter depending on the volume supplied in a given 12-month period. The price per liter of high-titer plasma supplied pursuant to the KEDPlasma Agreement is also scheduled to increase on an annual basis. Additionally, KEDPlasma will be entitled to receive a fixed bonus payment in the event that a specified liter amount of RSV plasma is supplied to us in any 12-month period during the term of the KEDPlasma Agreement.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A&amp;R Grifols Agreement, the KEDPlasma Agreement, our other plasma agreements with third parties and ADMA’s collection centers should allow us to source high-titer plasma from approximately 280+ collection centers in the U.S.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June 2017, we entered into a Plasma Supply Agreement with our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ten-year term. In July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which is within a low double digit percentage of the price which ADMA BioManufacturing pays to the counterparty, then the counterparty shall reimburse ADMA BioManufacturing for the difference in price ADMA BioManufacturing incurs. In December 2018, our former contract manufacturer assigned its rights and obligations under the Plasma Supply Agreement to Grifols, effective January 2019.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Sales and Commercialization of Our Products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Currently, ASCENIV, BIVIGAM and Nabi-HB are sold primarily through independent distributors, drug wholesalers acting as sales agents, specialty pharmacies servicing both acute and ambulatory infusion centers and the home health infusion setting and other alternate site providers. In the U.S., independent distributors or third-party drug wholesalers ship our products through their distribution centers. These centers are generally stocked with adequate inventories to facilitate prompt customer service. Sales and distribution methods include frequent contact by sales and customer service representatives, automated communications via various electronic purchasing systems, circulation of catalogs and merchandising bulletins, direct-mail campaigns, trade publication presence and advertising.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market and sell our products through our specialty sales force, distribution relationships and other customary industry methods. We focus our efforts specifically on the easily identifiable treatment centers which specialize in the care and management of immune compromised individuals. We estimate that there are approximately 500 leading specialty programs in the U.S. which have significant patient populations for PIDD, suitable for treatment with ASCENIV. Our management and Board of Directors (“Board”) have substantial prior direct marketing, sales and distribution experience with plasma-derived drugs, specialty immune globulins and other biological products. As is customary in the plasma products industry, we may also use a network of national distribution organizations that have specialty divisions that focus on plasma products to fulfill orders for ASCENIV.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Efforts to generate increased market awareness for our products include attending and presenting scientific information at medical conferences, as well as sponsoring medical education symposiums. We have also hired a specialty sales force consisting of account managers, medical science liaisons and other customary scientific, medical and detail representatives to market our products to hospitals, physician offices/clinics, and other specialty treatment organizations as applicable. In addition, we have expanded staffing efforts with additional personnel for patient support, medical affairs, quality assurance, regulatory affairs, scientific affairs, third-party reimbursement, inventory and logistics, human resources and financial and operational management. We may also use a network of national and regional distributors to assist with order fulfillment for BIVIGAM and ASCENIV for use by healthcare professionals and hospitals.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Pursuant to our Manufacturing, Supply and License Agreement effective as of December 2012, we granted to Biotest AG (“Biotest”) an exclusive license to market and sell ASCENIV in Europe and in certain countries in Northern Africa and the Middle East (the “Territory”), to have access to our testing services for testing of Biotest’s plasma samples using our proprietary RSV assay, and to reference (but not access) our proprietary information for the purpose of Biotest seeking regulatory approval for ASCENIV in the Territory. As consideration for the license, Biotest provided us with certain in-kind services and also compensated us with cash payments upon the completion of certain milestones. Biotest is also obligated to pay us an adjustable royalty based on a percentage of revenues from the sale of ASCENIV in the Territory for 20 years from the date of first commercial sale.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Major Customers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the year ended December 31, 2025, two customers, BioCare, Inc. (“BioCare”) and Priority Healthcare Distribution, Inc. (“CuraScript”), represented an aggregate of approximately 73% of our consolidated revenues.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Competition</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plasma products industry is highly competitive. We face, and will continue to face, intense competition from both U.S.-based and foreign producers of plasma products, some of which have lower cost structures, greater access to capital, greater resources for research and development, and more sophisticated marketing capabilities. </w:t>
      </w:r>
    </w:p>
    <w:p>
      <w:pPr>
        <w:pStyle w:val="TextBody"/>
        <w:bidi w:val="0"/>
        <w:spacing w:before="0" w:after="0"/>
        <w:jc w:val="both"/>
        <w:rPr/>
      </w:pPr>
      <w:r>
        <w:rPr/>
        <w:t xml:space="preserve">  </w:t>
      </w:r>
    </w:p>
    <w:p>
      <w:pPr>
        <w:pStyle w:val="TextBody"/>
        <w:bidi w:val="0"/>
        <w:spacing w:before="0" w:after="0"/>
        <w:ind w:left="0" w:right="0" w:firstLine="720"/>
        <w:jc w:val="both"/>
        <w:rPr/>
      </w:pPr>
      <w:r>
        <w:rPr/>
        <w:t> </w:t>
      </w:r>
      <w:r>
        <w:rPr>
          <w:rFonts w:ascii="TimesNewRoman;Times New Roman;Times;Baskerville;Georgia;serif" w:hAnsi="TimesNewRoman;Times New Roman;Times;Baskerville;Georgia;serif"/>
          <w:sz w:val="20"/>
        </w:rPr>
        <w:t xml:space="preserve">These competitors may include but are not limited to: CSL Behring, Grifols, Takeda, Octapharma and BPL/Kedrion. There are four producers of plasma-derived products in the U.S. consisting of: CSL Behring, Grifols, Takeda and ADMA Biologics. In addition to competition from other large worldwide plasma product providers, we face competition in local areas from smaller entities. In Europe, where the industry is highly regulated and healthcare systems vary from country to country, local companies may have greater knowledge of local healthcare systems, more established infrastructures and existing regulatory approvals or a better understanding of the local regulatory process, allowing them to market their products more quickly. Moreover, plasma therapy generally faces competition from non-plasma products and other courses of treatments. For example, recombinant Factor VIII products compete with plasma-derived products in the treatment of Hemophilia A.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New technologies are being developed by biotech and pharmaceutical companies which may impact physician prescription and patient usage of IVIG. One such therapy approved by the FDA in 2021 is an anti-FcRn inhibitor (neonatal Fc receptor, IgG receptor) which is a protein in humans responsible for maintaining IgG levels. This FDA approved anti-FcRn is for the treatment of generalized Myasthenia Gravis that may impact a subset of overall general IVIG usage. Other such FcRn potential targeted indications in development that may disrupt general IVIG usage may include but are not limited to: Chronic Inflammatory Demyelinating Polyradiculoneuropathy (“CIDP”), a rare type of autoimmune disorder, Immune Thrombocytopenic Purpura (“ITP”), a blood disorder characterized by a decrease in the number of platelets in the blood and Pemphigus Vulgaris (“PV”), a rare type of autoimmune disorder.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Intellectual Property</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rely on a combination of patents, patent applications, copyrights and trademarks, as well as contracts, such as confidentiality, material data transfer, nondisclosure, non-competition, license and invention assignment agreements, to protect our intellectual property rights. We also rely upon trade secret laws to protect unpatented know-how and advancing technological innovation.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have intellectual property (patents, know-how, etc.) related to our immunotherapeutic compositions, manufacturing processes, immunotherapeutic treatment, and related methods and formulations.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Patents related to our immune globulin product ASCENIV include U.S. Patent No. 9,107,906, which covers compositions comprising pooled plasma, as well as immunoglobulin prepared therefrom, that contains a standardized, elevated titer of RSV neutralizing antibodies and elevated levels of antibodies specific for one or more other respiratory pathogens, as well as methods of making and using the compositions. U.S. Patent Nos. 9,714,283; 9,815,886; 9,969,793; 10,683,343; 11,339,206; 11,780,906 and 12,473,351, encompassing immunotherapeutic compositions and immunotherapeutic methods proprietary to us, also relate to ASCENIV. Additional U.S. and numerous foreign patents and patent applications also pertain to this technology.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also hold intellectual property, including patents and patent applications, related to immunotherapeutic compositions and immunotherapeutic methods for the treatment and prevention of </w:t>
      </w:r>
      <w:r>
        <w:rPr>
          <w:rFonts w:ascii="TimesNewRoman;Times New Roman;Times;Baskerville;Georgia;serif" w:hAnsi="TimesNewRoman;Times New Roman;Times;Baskerville;Georgia;serif"/>
          <w:i/>
          <w:sz w:val="20"/>
        </w:rPr>
        <w:t>S. pneumonia</w:t>
      </w:r>
      <w:r>
        <w:rPr>
          <w:rFonts w:ascii="TimesNewRoman;Times New Roman;Times;Baskerville;Georgia;serif" w:hAnsi="TimesNewRoman;Times New Roman;Times;Baskerville;Georgia;serif"/>
          <w:sz w:val="20"/>
        </w:rPr>
        <w:t xml:space="preserve"> infection. U.S. Patent Nos. 10,259,865; 11,084,870 and 11,897,943, each with a term through 2037, pertain to various aspects of this technology. Additional U.S. and numerous foreign patent applications also relate to this technology.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continue to prepare, file, and prosecute patent applications to provide broad and strong protection of our proprietary rights, including applications focused on existing and future products.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are party to certain license agreements that grant us rights to patents and patent applications that are or may become material to our commercial products and development programs. Under these agreements, we are generally obligated to pay annual royalties.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seek to enhance and ensure our competitive position through a variety of means, including our unique and proprietary plasma donor selection criteria, our proprietary formulation methodologies and proprietary reagents, controls, testing standards, standard operating procedures and methods used in our anti-RSV microneutralization assay. While we intend to vigorously defend against threats to our intellectual property, litigation can be costly and there can be no assurance that our patents will be enforced or that our trade secret policies and practices or other agreements will adequately protect our intellectual property. We seek to preserve the integrity and confidentiality of our data and trade secrets by maintaining physical security of our premises and physical and electronic security of our information technology systems. These processes, systems, and/or security measures may be breached, and we may not have adequate remedies as a result of any such breaches. Third parties may also own or could obtain patents that may require us to negotiate licenses to conduct our business, and there can be no assurance that the required licenses would be available on reasonable terms or at all.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intellectual property strategy may not adequately protect our commercial products or development programs. Patents may expire earlier than anticipated, be invalidated, be found unenforceable, or fail to cover competitor products. In addition, our trade secrets may otherwise become known or be independently discovered by competitors. We also seek to protect our proprietary technology and processes, in part, by confidentiality agreements with our employees, consultants, scientific advisors and contractors. Although we rely, in part, on confidentiality, nondisclosure, non-competition and invention assignment agreements with employees, consultants and other parties with access to our proprietary information to protect our trade secrets, proprietary technology, processes and other proprietary rights, there can be no assurance that these agreements or any other security measures related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continue to invest in growing brand awareness globally. Our brand marketing is designed to increase awareness of the ADMA Biologics trade name and our product offerings by building on our industry reputation and strength of relationships. We hold multiple trademarks, including but not limited to ADMA, ADMA Biologics (including logo), ASCENIV, BIVIGAM, CIVACIR, Nabi-HB, Designed to Deliver, Partner in Protection and Advantage Ig. We will continue to allocate and expend resources to maintain and build market and consumer awareness and will defend our brand to the fullest extent possible.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Government Regulation and Product Approval</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FDA and comparable regulatory agencies in state and local jurisdictions and in foreign countries impose substantial requirements upon, among other things, the testing (preclinical and clinical), quality control, research and development, approval and post-approval monitoring and reporting, manufacturing, labeling, storage, recordkeeping, advertising, promotion, import, export, marketing, sales and distribution of our products and product candidates. If we do not comply with applicable requirements, we may be subject to enforcement actions, including civil penalties, suspension or withdrawal of regulatory approvals, product recalls, seizure of products, fines, refusal by the government to approve our marketing applications and supplemental applications or to allow us to manufacture or market our products, and criminal prosecution, and we may be debarred or excluded from participation in government healthcare programs. These requirements are continually evolving. We and our manufacturers may also be subject to regulations under other federal, state and local laws.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U.S. Government Regulation</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current and anticipated future product candidates are considered “biologics” under the FDA regulatory framework. Most pharmaceuticals or “conventional drugs” consist of pure chemical substances and their structures are known. Most biologics, however, are complex mixtures that are not easily identified or characterized. Biological products differ from conventional drugs in that they tend to be heat-sensitive and susceptible to microbial contamination. This requires sterile processes to be applied from initial manufacturing steps. In the U.S., the FDA regulates biologic products under the Federal Food, Drug and Cosmetic Act (the “FDCA”), the Public Health Service (“PHS”) Act and related federal regulations under Title 21 of the Code of Federal Regulations (“CFR”). The FDA also issues nonbinding guidance documents on a continuous basis, which provide the agency’s interpretation of its laws and regulations, as well as the FDA’s approach to scientific issues and questions. Biologics are also regulated under other federal, state, and local statutes and regulations by other regulatory authorities. The process required by the FDA before our product candidates may be marketed in the U.S. generally involves the following (although the FDA is given wide discretion to impose different or more stringent requirements on a case-by-case basis):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completion of extensive preclinical laboratory tests, preclinical, nonclinical and formulation studies performed in accordance with the FDA’s Good Laboratory Practice (“GLP”) regulations and other applicable laws and regulations;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2286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submission to the FDA of an IND application which must become effective before clinical trials may begin;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2286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obtaining approval by an Institutional Review Board (“IRB”) at each clinical site before a clinical trial may be initiated at that site;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2286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performance of adequate and well-controlled clinical trials meeting FDA requirements, commonly referred to as Good Clinical Practices (“GCP”), and other additional requirements for the protection of human research subjects and to establish the safety and efficacy of the product candidate for each proposed indication;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2286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manufacturing of product in accordance with the FDA’s current Good Manufacturing Practices (“cGMP”) to be used in the clinical trials and providing manufacturing information needed in regulatory filings (this facility must be approved by FDA prior to commercial distribution of a product);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2286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submission of a BLA to the FDA for marketing approval that includes substantial evidence of safety, purity and potency from results of clinical trials; the results of preclinical testing; detailed information about the Chemistry, Manufacturing, and Controls (“CMC”) and proposed labeling and packaging for the product candidate;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2286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satisfactory completion of an FDA pre-approval inspection of the manufacturing facilities at which the product candidate is produced, and potentially other involved facilities as well, to assess compliance with cGMP regulations and other applicable regulations;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2286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satisfactory completion of potential FDA inspections of the preclinical study and clinical trial sites that generate the data in support of the BLA; and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2286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FDA review and approval of a BLA prior to any commercial marketing, sale or shipment of the product, including agreement on post-marketing commitments, and compliance with any post approval commitments, such as Risk Evaluation and Mitigation Strategies (“REMS”) and post approval studies required by the FDA.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286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testing, review and approval process requires substantial time, effort and financial resources, and we cannot be certain that any approvals for our product candidates will be granted on a timely basis, if at all. We may encounter difficulties or unanticipated costs in our efforts to secure necessary governmental approvals, which could delay or preclude us from marketing our product candidates. In addition, the FDA may limit the indications for use or place other conditions on any approvals that could restrict the commercial application of our products. FDA may also conduct inspections, both remotely or in person, of our facilities or the facilities of our contractors, both during product development and following approval. Any findings from those inspections could materially impact our business.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Pre-Clinical Studies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Prior to commencing the first clinical trial at a United States investigational site, we must submit manufacturing and analytical data, pre-clinical or nonclinical data from studies conducted in accordance with GLP and clinical trial plans, among other information, to the FDA as part of an IND application. In 2025, however, the FDA announced a plan to reduce animal testing, with an initial focus on monoclonal antibodies. Subject to certain exceptions, an IND becomes effective 30 days after receipt by the FDA, unless the FDA, within the 30-day time period, issues a clinical hold to delay a proposed clinical investigation due to concerns or questions about the product or the conduct of the clinical trial, including concerns that human research subjects will be exposed to unreasonable health risks. In such a case, the IND sponsor and the FDA must resolve any outstanding concerns before the clinical trial can begin. Clinical holds also may be imposed by the FDA at any time before or during trials due to safety concerns or non-compliance.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submission of an IND, or those of our collaboration partners, may not result in the FDA allowing us to commence a clinical trial. A separate submission to an existing IND must also be made for each successive clinical trial conducted during product development. The FDA must also approve certain changes to an existing IND, such as certain manufacturing changes. Further, an independent IRB duly constituted to meet FDA requirements for each medical center proposing to conduct the clinical trial must review and approve the plan for any clinical trial before it commences at that center and it must monitor the safety of the study and study subjects until completed. Special clinical trial ethical considerations also must be taken into account if a study involves children. The FDA, the IRB or the sponsor may suspend a clinical trial at any time on various grounds, including a finding that the subjects or patients are being exposed to an unacceptable health risk. Clinical testing also must satisfy extensive GCP requirements and regulations for informed consent and must be conducted with product meeting cGMPs. Additionally, some clinical trials are overseen by an independent group of qualified experts organized by the clinical trial sponsor, known as a data safety monitoring board or committee, which reviews data and makes recommendations to the sponsor regarding the trial. </w:t>
      </w:r>
    </w:p>
    <w:p>
      <w:pPr>
        <w:pStyle w:val="TextBody"/>
        <w:bidi w:val="0"/>
        <w:spacing w:before="0" w:after="0"/>
        <w:jc w:val="both"/>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Clinical Trials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purposes of BLA submission and approval, clinical trials are typically conducted in the following three sequential phases, which may overlap (although additional or different trials may be required by the FDA as well): </w: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Phase I clinical trials are initially conducted in a limited population to test the product candidate for safety, dose tolerance, absorption, metabolism, distribution and excretion in healthy humans or, on occasion, in patients, such as cancer patients.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2286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Phase II clinical trials are generally conducted in a larger but limited patient population to identify possible adverse effects and safety risks, to determine the efficacy of the product candidate for specific targeted indications and to determine tolerance and optimal dosage. Multiple Phase II clinical trials may be conducted by the sponsor to obtain information prior to beginning larger and more expensive Phase III clinical trials.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2286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Phase III trials are conducted to establish the overall risk/benefit profile of the product. Certain Phase III clinical trials are referred to as pivotal trials. Phase III clinical trials aim to provide substantial evidence of reproducibility of clinical efficacy and safety results for approval and to further test for safety in an expanded and diverse patient population at multiple, geographically dispersed clinical trial sites.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2286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under the Pediatric Research Equity Act of 2003, a BLA or supplement for a new active ingredient, new indication, new dosage form, new dosing regimen, or new route of administration must contain data that is adequate to assess the safety and effectiveness of the drug for the claimed indications in all relevant pediatric subpopulations, and to support dosing and administration for each pediatric subpopulation for which the product is safe and effective, unless the applicant has obtained a waiver or deferral. In 2012, the Food and Drug Administration Safety and Innovation Act amended the FDCA to require that a sponsor who is planning to submit such an application submit an initial Pediatric Study Plan (“iPSP”) within 60 days of an end-of-Phase II meeting or as may be agreed between the sponsor and the FDA. The FDA may, on its own initiative or at the request of the applicant, grant deferrals for submission of data or full or partial waivers. The FDA and the sponsor must reach agreement on the iPSP.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some cases, the FDA may condition continued approval of a BLA on the sponsor’s agreement to conduct additional clinical trials, or other commitments. Such post-approval studies are typically referred to as Phase IV studies, which are used to gain additional experience from the treatment of patients in the intended therapeutic indication, particularly for long-term safety follow-up.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I, Phase II and Phase III clinical trials might not be completed successfully within any specified period, if at all.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 Information about clinical trials, including results, must be submitted within specific timeframes for listing on the ClinicalTrials.gov website.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limited circumstances, the FDA also permits the administration of investigational biological products to patients under its expanded access program. Under this program, provided certain qualifying criteria are met, patients who are not able to participate in a clinical trial may be eligible for accessing investigational products, including through individual compassionate or emergency use in concert with their requesting physician. Sponsors or distributors of investigational products for the diagnosis, monitoring, or treatment of one or more serious diseases or conditions must also have a publicly available policy on evaluating and responding to requests for expanded access.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Concurrent with clinical trials, companies usually complete additional preclinical studies, animal studies, develop additional information about the physical characteristics of the biological product candidate and finalize a process for manufacturing the product in commercial quantities in accordance with cGMP requirements. To help reduce the risk of the introduction of adventitious agents with use of biological products, the PHS Act emphasizes the importance of manufacturing controls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manufacture of Investigational biologics for the conduct of human clinical trials is subject to cGMP requirements. Investigational biologics and active ingredients and therapeutic substances imported into the United States are also subject to regulation by the FDA. Further, the export of investigational products outside the United States is subject to regulatory requirements of the receiving country as well as U.S. export requirements under the FDCA.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Biologics License Applications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results of product candidate development, preclinical and nonclinical testing and clinical trials, together with, among other things, detailed information on the manufacture and composition of the product and proposed labeling, and the payment of a user fee, are submitted to the FDA as part of a BLA. Under the Prescription Drug User Fee Act (“PDUFA”), the fees payable to the FDA for reviewing an original BLA, as well as annual program fees for approved products can be substantial, subject to certain limited deferrals, waivers and reductions that may be available. The FDA has agreed to specified performance goals in the review of BLAs under the PDUFA.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Following submission, the FDA has 60 days to review all BLAs to determine if they are substantially complete before it accepts them for filing. The FDA may refuse to file a BLA that it deems incomplete or not reviewable at the time of submission, in which case the BLA will have to be updated and resubmitted. The FDA may also request additional information to be submitted in a very short time frame before accepting a BLA for filing.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the FDA accepts the application for filing, the FDA reviews the BLA to determine, among other things, whether the proposed product is safe, pure, and potent for its intended use, and whether the product is being manufactured in compliance with cGMP. During its review of a BLA, the FDA may refer the application for novel product candidates or products that present difficult questions to an advisory committee of experts for their review, evaluation and recommendation as to whether the application should be approved, which information is taken into consideration along with the FDA’s own review findings. The FDA’s PDUFA review goal is to review 90% of priority BLAs within six months of filing and 90% of standard applications within ten months of filing, but the FDA can and frequently does extend this review timeline to consider certain later-submitted information or information intended to clarify or supplement an initial submission. The FDA may not complete its review or approve a BLA within these established goal review times.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Before approving a marketing application, the FDA typically will inspect (remotely or in-person) the facility or facilities where the product is manufactured, referred to as a Pre-Approval Inspection, as well as one or more clinical trial sites. The FDA will not approve a product candidate unless cGMP compliance is satisfactory.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After the FDA conducts its in-depth review of the application and after the inspection of the manufacturing facilities and clinical trial sites, the FDA issues either an approval letter or a Complete Response Letter (“CRL”). A CRL generally outlines the deficiencies in the submission and may also require additional clinical or other data, including one or more additional pivotal Phase III clinical trials. Even if such requested data are submitted, the FDA may ultimately decide that the BLA does not satisfy the criteria for approval and issue a denial of the BLA. Data from clinical trials are not always conclusive and the FDA may interpret data differently than we do. If the FDA’s evaluations of the BLA, the clinical and manufacturing procedures and facilities are favorable, the FDA may issue an approval letter. If the evaluations are not favorable the FDA will issue a CRL, which may contain the conditions that must be met in order to secure final approval of the BLA. In 2025, the FDA started publicly releasing complete response letters after issuance, for both products that eventually obtained approval and products that have not yet received approval. If a CRL is issued, a company has up to 12 months to resubmit or withdraw the BLA, unless the FDA allows for an extension as requested by a sponsor. If a CRL is issued, resubmissions for original applications and supplements of different types are subject to varying agency review procedures and review timing goals. For example, upon the resubmission of an original BLA application or efficacy supplement, CBER will classify the resubmission as either Class 1 (triggering a two-month review goal for the FDA) or Class 2 (triggering a six-month review goal for the FDA) depending on the circumstances. CBER also includes specific goals for review of manufacturing and labeling supplements, though in practice, FDA reviews may take longer than the stated goals.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and when the items identified in a CRL have been resolved to the FDA’s satisfaction, the FDA will issue an approval letter, authorizing commercial marketing of the product for certain indications. The FDA may withdraw product approval if ongoing regulatory requirements are not met or if safety problems occur after the product reaches the market. In addition, the FDA may require testing, including Phase IV post-approval clinical trials, and surveillance programs to monitor the effect of approved products that have been commercialized, and the FDA has the power to prevent or limit further marketing of a product based on the results of these post-marketing programs.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Even if the FDA approves a product, it may limit the approved indications or populations for use of the product, require that contraindications, warnings, or precautions be included in the product labeling, including a boxed warning, require testing and surveillance programs to monitor the product after commercialization, or impose other conditions, including distribution restrictions or other risk management mechanisms under a REMS, which may be required upon or following approval.</w:t>
      </w:r>
      <w:r>
        <w:rPr>
          <w:rFonts w:ascii="TimesNewRoman;Times New Roman;Times;Baskerville;Georgia;serif" w:hAnsi="TimesNewRoman;Times New Roman;Times;Baskerville;Georgia;serif"/>
          <w:color w:val="000000"/>
          <w:sz w:val="20"/>
        </w:rPr>
        <w:t> </w:t>
      </w:r>
      <w:r>
        <w:rPr>
          <w:rFonts w:ascii="TimesNewRoman;Times New Roman;Times;Baskerville;Georgia;serif" w:hAnsi="TimesNewRoman;Times New Roman;Times;Baskerville;Georgia;serif"/>
          <w:sz w:val="20"/>
        </w:rPr>
        <w:t>If the FDA concludes a REMS is needed, the sponsor of the BLA must submit a proposed REMS; the FDA will not approve the BLA without a REMS, if required. A REMS could include medication guides, physician communication plans or elements to assure safe use, such as restricted distribution methods, patient registries and other risk minimization tools. Any of these limitations on approval or marketing can materially affect the potential market and profitability of the product.</w:t>
      </w:r>
      <w:r>
        <w:rPr>
          <w:rFonts w:ascii="TimesNewRoman;Times New Roman;Times;Baskerville;Georgia;serif" w:hAnsi="TimesNewRoman;Times New Roman;Times;Baskerville;Georgia;serif"/>
          <w:color w:val="000000"/>
          <w:sz w:val="20"/>
        </w:rPr>
        <w:t> </w:t>
      </w:r>
      <w:r>
        <w:rPr>
          <w:rFonts w:ascii="TimesNewRoman;Times New Roman;Times;Baskerville;Georgia;serif" w:hAnsi="TimesNewRoman;Times New Roman;Times;Baskerville;Georgia;serif"/>
          <w:sz w:val="20"/>
        </w:rPr>
        <w:t xml:space="preserve">The FDA may also not approve label statements that are necessary for successful commercialization and marketing. Products may be marketed only for the FDA-approved indications and in accordance with the FDA-approved label. The FDA does not allow drugs to be promoted for “off-label” uses – that is, uses that are not described in the product’s approved labeling and that differ from those that were approved by the FDA. Furthermore, the FDA generally limits approved uses to those studied in clinical trials. If there are any modifications to the product, including changes in indications, other labeling changes, or manufacturing processes or facilities, we may be required to submit for and obtain FDA approval of a new BLA or BLA supplement, which may require us to develop additional data or conduct additional preclinical studies and clinical trials, and/or require additional manufacturing data.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Satisfaction of the FDA regulations and approval requirements or similar requirements of foreign regulatory agencies typically takes many years, and the actual time required may vary substantially based upon the type, complexity and novelty of the product or disease. Typically, if a product candidate is intended to treat a chronic disease, as was the case with ASCENIV, safety and efficacy data must be gathered over an extended period of time. Government regulation may delay or prevent marketing of product candidates for a considerable period of time and impose costly procedures upon our activities. The FDA or any other regulatory agency may not grant approvals for any changes on a timely basis, or at all. Even if a product candidate receives regulatory approval, the approval may be significantly limited to specific disease states, patient populations and dosages. Further, even after regulatory approval is obtained, later discovery of previously unknown problems with a product may result in restrictions on the product or even complete withdrawal of the product from the market. Delays in obtaining, or failures to obtain, regulatory approvals for any of our product candidates would harm our business. In addition, we cannot predict what adverse governmental regulations may arise from future U.S. or foreign governmental action.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Post-Approval Regulatory Requirements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After regulatory approval is obtained, biological drug products are subject to extensive and continuing regulation by the FDA, which may impose a number of post-approval requirements as a condition of approval of an application. For example, as a condition of approval of a BLA, the FDA may require post-marketing testing and surveillance to monitor the product’s safety or efficacy. In addition, holders of an approved BLA are required to keep extensive records (including certain electronic records and signature requirements), submit annual reports, report certain adverse reactions and production problems to the FDA, provide updated safety and efficacy information and comply with requirements concerning advertising and promotional labeling for their products. After approval, most changes to the approved product, such as adding new indications or other labeling claims, are subject to prior FDA review and approval. There also are annual user fee requirements for any marketed products, as well as new application fees for supplemental applications with clinical data. The FDA may withdraw a product approval if compliance with regulatory requirements is not maintained or if problems occur after the product reaches the market. Later discovery of previously unknown problems with a product, including adverse events of unanticipated severity or frequency, problems with manufacturing processes or failure to comply with regulatory requirements, may result in restrictions on the product or even complete withdrawal of the product from the market. Failure to comply with the statutory and regulatory requirements can subject a manufacturer to possible legal or regulatory action, such as refusal to approve pending applications, license suspension or revocation, withdrawal of approval of a BLA, imposition of a clinical hold or termination of clinical trials, warning letters, untitled letters, suspension of manufacturing, sales or use, product seizures or recalls, import restrictions, injunctive action or possible fines and other penalties. We cannot be certain that we or our present or future third-party manufacturers or suppliers will be able to comply with the cGMP regulations and other ongoing FDA regulatory requirements.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Manufacturers must continue to comply with cGMP requirements, which are extensive and require considerable time, resources and ongoing investment to ensure compliance. In addition, changes to the manufacturing process generally require prior FDA approval before being implemented. Other types of changes to the approved product, such as adding new indications and additional labeling claims, are also subject to further FDA review and approval. Certain manufacturing deviations and unexpected manufacturing events must be investigated, corrected, and reported to the FDA.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Manufacturers and certain other entities involved in the manufacturing and distribution of approved products are required to register their establishments with the FDA and certain state agencies, list the manufactured products to the FDA, and are subject to periodic unannounced inspections (which may be remote or in-person) by the FDA and certain state agencies for compliance with cGMP and other laws. The cGMP requirements apply to all stages of the manufacturing process, including the production, processing, sterilization, packaging, labeling, storage and shipment of the product. Manufacturers must establish validated systems to ensure that products meet specifications and regulatory standards and test each product batch or lot prior to its release. The information that must be submitted to FDA regarding manufactured products was expanded through the Coronavirus Aid, Relief, and Economic Security (“CARES”) Act to include the volume of drugs produced during the prior year. For biologics products subject to lot release, for each product lot the applicant must submit materials related to that lot to the FDA prior to that lot being released for distribution.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Changes to the manufacturing process are strictly regulated and often require prior FDA approval before implementation.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towards production and quality control to maintain cGMP compliance.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commercial distribution of prescription drugs (including biological drug products) is subject to the DSCSA, which regulates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“PDMA”). Trading partners within the drug supply chain must now ensure certain product tracing requirements are met and are required to exchange certain transaction-related information in an electronic and an interoperable form. Further, the DSCSA limits the distribution of prescription pharmaceutical products and imposes requirements to ensure overall accountability and security in the drug supply chain, including requirements related to the detection and investigation of suspect and illegitimate products. The distribution of product samples continues to be regulated under the PDMA.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FDA post-approval requirements are continually evolving. For example, in March 2020, the U.S. Congress passed the CARES Act, which includes various provisions regarding FDA drug shortage and manufacturing volume reporting requirements, as well as provisions regarding supply chain security, such as risk management plan requirements, and the promotion of supply chain redundancy and domestic manufacturing. As part of the CARES Act implementation, the FDA issued a guidance on the reporting of the volume of drugs produced, which reporting will require additional administrative efforts by drug manufacturers. Executive orders have also been issued to encourage domestic manufacturing. With respect to U.S. domestic manufacturing, the President has issued executive orders, and the FDA had taken certain actions intended to facilitate and streamline the development of U.S. manufacturing while also increasing the regulatory oversight of foreign manufacturing facilities. </w:t>
      </w:r>
    </w:p>
    <w:p>
      <w:pPr>
        <w:pStyle w:val="TextBody"/>
        <w:bidi w:val="0"/>
        <w:spacing w:before="0" w:after="0"/>
        <w:jc w:val="both"/>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Advertising and Promotion</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FDA closely regulates the post-approval marketing and promotion of products, including standards and regulations for direct-to-consumer advertising, off-label promotion, industry-sponsored scientific and educational activities and promotional activities involving the Internet. A product cannot be promoted before it is approved. After approval, product promotion can include only those claims related to safety and effectiveness that are consistent with the labeling approved by the FDA. Healthcare providers are permitted to prescribe drugs for “off-label” uses–- that is, uses not approved by the FDA and not described in the product’s labeling because the FDA does not regulate the practice of medicine. However, FDA regulations impose restrictions on manufacturers’ communications regarding off-label uses. Broadly speaking, a manufacturer may not promote a drug for off-label use, but under certain conditions may engage in non-promotional, balanced, scientific communication regarding off-label use. Failure to comply with applicable FDA requirements and restrictions in this area may subject a company to adverse publicity and enforcement action by the FDA, the Department of Justice, or the Office of Inspector General of the Department of Health and Human Services, as well as state authorities. This could subject a company to a range of penalties that could have a significant commercial impact, including civil penalties, criminal fines and agreements that materially restrict the manner in which a company promotes or distributes a drug.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Companies are required to supply sufficient information that balances the risks of a product in its marketing and promotional materials. In 2023, the FDA implemented several measures in the advertising and promotional areas. These included the issuance of a final rule and a guidance on the disclosure of risks and effectiveness in direct-to-consumer advertising, as well as a guidance on the dissemination of off-label scientific data about approved products. In 2025, the FDA increased its enforcement activity regarding promotion and advertising, both in the areas of promotional statements to healthcare providers and direct to consumer advertising.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From time to time, legislation is drafted, introduced and passed in Congress that could significantly change the statutory provisions governing the approval, manufacturing and marketing of products regulated by the FDA. In addition to new legislation, FDA and other agency regulations, guidance, and policies are often revised or reinterpreted in ways that may significantly affect our business. It is impossible to predict whether further legislative or FDA regulation or other regulatory policy changes will be enacted or implemented and what the impact of such changes, if any, may be. It is possible that certain prior regulatory requirements may be postponed or frozen.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Regulation of ADMA BioCenters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With some limited exceptions, all blood and blood product collection and manufacturing centers which engage in interstate commerce must be licensed by and registered with the FDA and must list their products. In order to achieve licensure, the organization must submit a BLA and obtain BLA approval prior to distribution of any product. The approval of the BLA requires passage of an FDA inspection. ADMA BioCenters has completed these requirements and holds an FDA license for all of its plasma collection facilities for source plasma. In order to maintain an FDA license, under FDA guidance each such facility operated by ADMA BioCenters will be inspected within the first year of operations and then at least every two years (or more frequently) and must meet certain regulatory requirements. ADMA BioCenters is also required to submit annual reports to the FDA, as well as reports of fatalities related to blood and blood component collection or transfusion. Establishments must also comply with the FDA’s regulatory standards which include a variety of requirements related to, among other areas, cGMPs, deviation investigation and reporting, donor screening and product testing, as well as product labeling. Facilities must further ensure that all tests and equipment that are used are appropriate for their intended use, which may include FDA clearance and/or approval of the applicable test or equipment.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Blood plasma collection, testing and manufacturing centers are also subject to the Clinical Laboratory Improvement Amendments (“CLIA”), state licensure and compliance with industry standards such as the International Quality Plasma Program. Compliance with state and industry standards is verified by means of routine inspection. State requirements may differ significantly from federal requirements, which may complicate compliance efforts. We believe that our existing ADMA BioCenters facilities are currently in compliance with state and industry standards. Delays in obtaining, or failures to maintain, regulatory approvals for any facilities operated by ADMA BioCenters would harm our business. In addition, we cannot predict what adverse federal and state regulations and industry standards may arise in the future.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Foreign Regulation</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to regulations in the U.S., if we choose to pursue clinical development and commercialization in the European Union, we will be subject to a variety of foreign regulations governing clinical trials, manufacture, authorization and commercial sales and distribution of any future product. Whether or not we obtain FDA approval for a product, we must obtain approval by the comparable regulatory authorities of foreign countries before we can commence clinical trials or marketing of the product in those countries. The approval process varies from country to country, and the time may be longer or shorter than that required for FDA approval. Further, any approval from the FDA does not mean we will receive comparable approvals in other countries. The requirements governing the conduct of clinical trials, product licensing, pricing and reimbursement vary greatly from country to country.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Under European Union regulatory systems, marketing authorizations may be submitted either under a centralized, decentralized or national or mutual recognition procedure. The centralized procedure provides for the grant of a single marketing authorization by the European Commission that is valid for all European Union member states following the submission of a single application to the European Medicines Agency. The decentralized procedure provides for approval by one or more “concerned” member states based on an assessment of an application led and coordinated by one member state, known as the “reference” member state. Under the decentralized approval procedure, an applicant submits materially the same application, or dossier, and related materials to the reference member state and concerned member states in parallel. The reference member state coordinates the preparation of a draft assessment report and drafts of the related materials within 120 days after receipt of a valid application. Within 90 days of receiving the reference member state’s assessment report, each concerned member state must decide whether to approve the assessment report and related materials. If the concerned member states have concerns about the assessment report, questions can be sent to the applicant. If at day 210 no consensus is reached as to whether the product should be approved, the disputed points are referred to the Coordination Group for Mutual Recognition and Decentralised Procedures – Human (CMDh) and if necessary, to the Committee for Medicinal Products for Human Use (CHMP) of the European Medicines Agency's (EMA) for arbitration in the case of unsolved disagreement. This decision is binding on all member states. Where consensus is reached on the authorization of the product, the member states involved in the procedure grant national marketing authorizations in line with the agreed assessment report. In addition to the centralized procedure and the decentralized procedure, it may also be possible to obtain a marketing authorization for one single member state through a national procedure.</w:t>
      </w:r>
      <w:r>
        <w:rPr>
          <w:rFonts w:ascii="TimesNewRoman;Times New Roman;Times;Baskerville;Georgia;serif" w:hAnsi="TimesNewRoman;Times New Roman;Times;Baskerville;Georgia;serif"/>
          <w:color w:val="000000"/>
          <w:sz w:val="20"/>
        </w:rPr>
        <w:t> </w:t>
      </w:r>
      <w:r>
        <w:rPr>
          <w:rFonts w:ascii="TimesNewRoman;Times New Roman;Times;Baskerville;Georgia;serif" w:hAnsi="TimesNewRoman;Times New Roman;Times;Baskerville;Georgia;serif"/>
          <w:sz w:val="20"/>
        </w:rPr>
        <w:t xml:space="preserve">The mutual recognition procedure provides for mutual recognition of national approval decisions in other member states through a shortened procedure. Under this procedure, the holder of a national marketing authorization may submit an application to any other member states for recognition of the first authorization. Within 90 days of receiving the applications and assessment report, each member state must decide whether to recognize approval, refuse it or request additional information. Changes have recently been agreed that will make substantial amendments to the regulatory framework, which could impact these procedures.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Pharmaceutical Pricing and Reimbursement of Our Products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69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the United States, our activities are potentially subject to additional regulation by various federal, state and local authorities in addition to the FDA, including CMS, other divisions of HHS (e.g., the Office of Inspector General), the U.S. Department of Justice (“DOJ”) and individual U.S. Attorneys offices within the DOJ, and state and local governments. If a drug product is reimbursed by Medicare or Medicaid, pricing and rebate programs must comply with, as applicable, the Medicare Prescription Drug, Improvement, and Modernization Act of 2003 as well as the Medicaid rebate requirements of the Omnibus Budget Reconciliation Act of 1990 (the “OBRA”), the Veterans Health Care Act of 1992 (the “VHCA”), Deficit Reduction Act of 2005, Patient Protection and Affordable Care Act (the “ACA”), and the Inflation Reduction Act of 2022, each as amended. Among other things, the OBRA requires drug manufacturers to calculate and report complex pricing metrics used to determine rebates paid on prescription drugs to state Medicaid programs. Under the VHCA, drug companies are required, as a condition of payment by certain federal agencies and the Medicaid program, to offer “covered drugs” (including all drugs approved under an NDA) at no more than a statutory ceiling price, calculated based on a manufacturer’s required price calculations, to four federal agencies, including the U.S. Department of Veterans Affairs (“VA”), Indian Health Service, and Department of Defense (“DoD”), and the Public Health Service (“PHS”). Legislation subsequent to the VHCA has required that certain discounted prices under the VHCA also be offered for specified DoD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69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Because of the breadth of these laws and the narrowness of available statutory and regulatory exemptions,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criminal and civil sanctions,  including criminal fines, civil monetary penalties and damages, exclusion from participation in federal healthcare programs (including Medicare and Medicaid), suspension and debarment from participation in government procurement and non-procurement programs, and refusal of orders under existing government contracts, disgorgement, corporate integrity agreements and deferred- or non-prosecution agreements, which impose, among other things, rigorous operational and monitoring requirements on companies, reputational harm, diminished profits and future earnings, and the curtailment or restructuring of our operations, any of which could adversely affect our ability to operate our business and our results of operations.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order to distribute products commercially, we must comply with state laws that require the registration of manufacturers and wholesale distributors of pharmaceutical products in a state, including, in some states, manufacturers and distributors who ship products into the state even if such manufacturers or distributors have no place of business within the state. Several states and localities have enacted legislation requiring pharmaceutical companies to, among other things,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specified physician prescribing data to pharmaceutical companies for use in sales and marketing, and to prohibit other specified sales and marketing practices. Additionally, some states have enacted laws that cap increases in prices charged for drugs in that state. All of our activities are potentially subject to federal and state consumer protection and unfair competition laws.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sales in the U.S. of BIVIGAM, ASCENIV and Nabi-HB depend in part upon the availability of reimbursement from third-party payers. Third-party payers include government health programs, managed care providers, private health insurers and other organizations. Our products are reimbursed or purchased under several government programs, including Medicaid, Medicare Parts B and D, the 340B Drug Pricing Program/Public Health Service program, and pursuant to an existing contract with the Department of Veterans Affairs. Medicaid is a joint state and federal government health plan that provides covered outpatient prescription drugs for low-income and disabled individuals. Under Medicaid, drug manufacturers pay rebates to the states based on utilization data provided by the states. </w:t>
      </w:r>
      <w:r>
        <w:rPr>
          <w:rFonts w:ascii="TimesNewRoman;Times New Roman;Times;Baskerville;Georgia;serif" w:hAnsi="TimesNewRoman;Times New Roman;Times;Baskerville;Georgia;serif"/>
          <w:color w:val="000000"/>
          <w:sz w:val="20"/>
        </w:rPr>
        <w:t xml:space="preserve">CMS has issued a permanent, product-specific-J-code for ASCENIV. Under the HCPCS, the J-code (J1554) became effective in April 2021.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Significant uncertainties exist as to the coverage and reimbursement status of our current products as well as any products for which we may obtain regulatory approval in the future. In the U.S., sales of BIVIGAM, ASCENIV and Nabi-HB, as well as any products for which we may receive regulatory approval for commercial sale will depend in part on the availability of coverage and reimbursement from third-party payers. Third-party payers include government authorities, managed care providers, private health insurers and other organizations. No uniform policy of coverage and reimbursement for drug products exists. Accordingly, decisions regarding the extent of coverage and amount of reimbursement to be provided for any of our products will be made on a payer-by-payer basis. As a result, the coverage determination process is often a time-consuming and costly process that will require us to provide scientific and clinical support for the use of our products to each payer separately, with no assurance that coverage and adequate reimbursement will be obtained. The process for determining whether a payer will provide coverage for a drug product may be separate from the process for setting the reimbursement rate that the payer will pay for the drug product. Third-party payers may limit coverage to specific drug products on an approved list, or formulary, which might not include all of the FDA-approved drugs for a particular indication. Third-party payers also may choose not to cover our products or implement measures such as prior authorizations and step-throughs to secure coverage and reimbursement. Moreover,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Third-party payers are increasingly challenging the price and examining the medical necessity and cost-effectiveness of medical products and services, in addition to their safety and efficacy. In order to obtain coverage and reimbursement for our current products and any product that might be approved for sale in the future, we may need to conduct expensive pharmacoeconomic studies in order to demonstrate the medical necessity and cost-effectiveness of any products, in addition to the costs required to obtain regulatory approvals. Our current products may not be considered medically necessary or cost-effective. If third-party payers do not consider a product to be cost-effective compared to other available therapies, they may not cover the product after approval as a benefit under their plans or, if they do, the level of payment may not be sufficient to allow a company to sell its products at a profit.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U.S. government and state legislatures have shown significant interest in implementing cost containment programs to limit the growth of government-paid healthcare costs, including price controls, limitations on coverage, increased rebates, restrictions on reimbursement and requirements for substitution of generic products for branded prescription drugs. For example, the ACA and the companion Healthcare and Education Reconciliation Act of 2010 (which together are referred to as the “Healthcare Reform Law”)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Similarly, t</w:t>
      </w:r>
      <w:r>
        <w:rPr>
          <w:rFonts w:ascii="TimesNewRoman;Times New Roman;Times;Baskerville;Georgia;serif" w:hAnsi="TimesNewRoman;Times New Roman;Times;Baskerville;Georgia;serif"/>
          <w:color w:val="212529"/>
          <w:sz w:val="20"/>
        </w:rPr>
        <w:t>he Inflation Reduction Act of 2022 requires manufacturers of selected drugs to negotiate discounted prices with the Secretary of the Department of Health and Human Services. Failure to reach an agreement can subject manufacturers to an excise tax or withdraw of all drug products from coverage under Medicare and Medicaid.</w:t>
      </w:r>
      <w:r>
        <w:rPr>
          <w:rFonts w:ascii="TimesNewRoman;Times New Roman;Times;Baskerville;Georgia;serif" w:hAnsi="TimesNewRoman;Times New Roman;Times;Baskerville;Georgia;serif"/>
          <w:color w:val="000000"/>
          <w:sz w:val="20"/>
        </w:rPr>
        <w:t> </w:t>
      </w:r>
      <w:r>
        <w:rPr>
          <w:rFonts w:ascii="TimesNewRoman;Times New Roman;Times;Baskerville;Georgia;serif" w:hAnsi="TimesNewRoman;Times New Roman;Times;Baskerville;Georgia;serif"/>
          <w:sz w:val="20"/>
        </w:rPr>
        <w:t xml:space="preserve">We have addressed additional reforms related to government pricing programs that could be relevant to our products below. These and any additional healthcare reform measures could further constrain our business or limit the amounts that federal and state governments will pay for healthcare products and services, which could result in additional pricing pressures. Adoption of government controls and measures and tightening of restrictive policies in jurisdictions with existing controls and measures, could limit payments for pharmaceuticals.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marketability of our current products and any products for which we receive regulatory approval for commercial sale may suffer if the government and third-party payers fail to provide adequate coverage and reimbursement. In addition, the emphasis on cost containment measures in the U.S. has increased and we expect will continue to increase the pressure on pharmaceutical pricing. </w:t>
      </w:r>
      <w:r>
        <w:rPr>
          <w:rFonts w:ascii="TimesNewRoman;Times New Roman;Times;Baskerville;Georgia;serif" w:hAnsi="TimesNewRoman;Times New Roman;Times;Baskerville;Georgia;serif"/>
          <w:color w:val="000000"/>
          <w:sz w:val="20"/>
        </w:rPr>
        <w:t>Adoption of price controls and cost-containment measures, along with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less favorable coverage policies and reimbursement rates may be implemented in the future. Any reduction in reimbursement from Medicare and/or other government programs may result in a similar reduction in payments from private payers. The implementation of cost containment measures or other healthcare reforms may prevent the generation of revenue, attainment of profitability, or commercialization of products. In addition, it is possible that there will be further legislation or regulation that could harm our business, financial condition, and results of operations.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Government Price Reporting</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Manufacturers participate in, and have certain price reporting obligations under, the Medicaid Drug Rebate Program, state Medicaid supplemental rebate program(s), and other governmental pricing programs. Effective for calendar quarters beginning January 1, 2022, manufacturers are required to report the average sales price for certain drugs under the Medicare Part B program regardless of whether the manufacturer participates in the Medicaid Drug Rebate Program. Previously, this reporting obligation extended only to manufacturers participating in the Medicaid Drug Rebate Program. Under this Program, manufacturers are required to pay a rebate to each state Medicaid program for covered outpatient drugs that are dispensed to Medicaid beneficiaries and paid for by a state Medicaid program as a condition of having federal funds being made available for their drugs under Medicaid and Part B of the Medicare program.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Medicaid rebates are based on pricing data reported by manufacturers on a monthly and quarterly basis to the CMS, the federal agency that administers the Medicaid and Medicare programs. This data includes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the average manufacturer price increases more than inflation (measured by reference to the Consumer Price Index–- Urban ("CPIU")). Previously, the rebate was capped at 100% of the average manufacturer price, but, effective January 1, 2024, this cap on the rebate was removed, and our rebate liability could increase accordingly.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If a manufacturer becomes aware that its reporting for a prior quarter was incorrect or has changed as a result of recalculating the pricing data, the manufacturer is obligated to resubmit the corrected data for up to three years after it was originally due, which revisions could affect rebate liability for prior quarters. The ACA made significant changes to the Medicaid Drug Rebate Program, and CMS issued a final regulation, which became effective on April 1, 2016, to implement the changes to the Medicaid Drug Rebate Program under the ACA. On December 21, 2020, CMS issued a final rule that modified the Medicaid Drug Rebate Program regulations to permit reporting multiple best price figures with regard to value</w:t>
        <w:noBreakHyphen/>
        <w:t xml:space="preserve">based purchasing arrangements (beginning in 2022); provided definitions for “line extension”, “new formulation,” and related terms with the practical effect of expanding the scope of drugs considered to be line extensions (beginning in 2022); and revised best price and average manufacturer price exclusions of manufacturer-sponsored patient benefit programs, particularly regarding potential inapplicability of such exclusions in the context of pharmacy benefit manager “accumulator” programs (beginning in 2023).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among others. Medicare Part B generally pays for such drugs under a payment methodology based on the average sales price of the drugs. Manufacturers are required to report average sales price information to CMS on a quarterly basis. The manufacturer-submitted information is used by CMS to calculate Medicare payment rates. </w:t>
      </w:r>
    </w:p>
    <w:p>
      <w:pPr>
        <w:pStyle w:val="TextBody"/>
        <w:bidi w:val="0"/>
        <w:spacing w:before="0" w:after="0"/>
        <w:jc w:val="left"/>
        <w:rPr/>
      </w:pPr>
      <w:r>
        <w:rPr/>
        <w:t xml:space="preserve">  </w:t>
      </w:r>
    </w:p>
    <w:p>
      <w:pPr>
        <w:pStyle w:val="TextBody"/>
        <w:bidi w:val="0"/>
        <w:spacing w:lineRule="auto" w:line="256"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Congress could enact additional changes that affect our overall rebate liability and the information manufacturers report to the government as part of price reporting calculations. For example, the Inflation Reduction Act of 2022 implemented Medicare Part B inflation rebate, under which manufacturers would owe additional rebates if the average sales price of a drug were to increase faster than the pace of inflation.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Civil monetary penalties can be applied if a manufacturer (1) is found to have knowingly submitted any false pricing or other information to the government, (2) is found to have made a misrepresentation in the reporting of average sales price, or (3) fails to submit the required data on a timely basis. Such conduct also could be grounds for CMS to terminate a Medicaid Drug Rebate Program agreement, in which case federal payments may not be available under Medicaid or Medicare Part B for the manufacturer’s covered outpatient drugs.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final regulation issued by HRSA, regarding the calculation of the 340B ceiling price and the imposition of civil monetary penalties on manufacturers that knowingly and intentionally overcharge covered entities has affected manufacturer obligations and potential liability under the 340B program. Any charge by HRSA that a manufacturer has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can be appealed to a federal court. An ADR proceeding could subject a manufacturer to onerous procedural requirements and could result in additional liability. HRSA also implemented a price reporting system under which manufacturers are required to report 340B ceiling prices on a quarterly basis to HRSA, which then publishes those prices to 340B covered entities. In addition, legislation could be passed that would further expand the 340B program to additional covered entities, or participating manufacturers could be required to agree to provide 340B discounted pricing on drugs used in an inpatient setting.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order to be eligible to have their products paid for with federal funds under the Medicaid and Medicare Part B programs and purchased by certain federal agencies, including the VA, DoD, Coast Guard, and PHS and grantees, manufacturers must participate in the VA Federal Supply Schedule (“FSS”) pricing program.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CPIU). In addition, in the second and subsequent year, the price also is capped at the prior year FSS contract plus CPIU. Manufacturers must also participate in the Tricare Retail Pharmacy Program, under which they pay quarterly rebates to DoD for prescriptions of innovator drugs dispensed to Tricare beneficiaries through Tricare Retail network pharmacies. The governing statute provides for civil monetary penalties for failure to provide information timely or for knowing submission of false information to the government. </w:t>
      </w:r>
    </w:p>
    <w:p>
      <w:pPr>
        <w:pStyle w:val="TextBody"/>
        <w:bidi w:val="0"/>
        <w:spacing w:before="0" w:after="0"/>
        <w:jc w:val="left"/>
        <w:rPr/>
      </w:pPr>
      <w:r>
        <w:rPr/>
        <w:t xml:space="preserve">  </w:t>
      </w:r>
    </w:p>
    <w:p>
      <w:pPr>
        <w:pStyle w:val="TextBody"/>
        <w:bidi w:val="0"/>
        <w:spacing w:before="0" w:after="0"/>
        <w:ind w:left="0" w:right="0" w:firstLine="69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Medicare Part D generally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rebates. For example, in January 2025, the Inflation Reduction Act implemented a new manufacturer discount program that requires participating manufacturers to provide discounts on applicable drugs in both the Initial Coverage and Catastrophic Coverage phases of the Part D benefit. The Inflation Reduction Act also implemented a Medicare Part D inflation rebate, under which manufacturers owe additional rebates if the average manufacturer price of a drug increases faster than the pace of inflation. </w:t>
      </w:r>
    </w:p>
    <w:p>
      <w:pPr>
        <w:pStyle w:val="TextBody"/>
        <w:bidi w:val="0"/>
        <w:spacing w:before="0" w:after="0"/>
        <w:jc w:val="both"/>
        <w:rPr/>
      </w:pPr>
      <w:r>
        <w:rPr/>
        <w:t xml:space="preserve">  </w:t>
      </w:r>
    </w:p>
    <w:p>
      <w:pPr>
        <w:pStyle w:val="TextBody"/>
        <w:bidi w:val="0"/>
        <w:spacing w:lineRule="auto" w:line="256" w:before="0" w:after="0"/>
        <w:ind w:left="0" w:right="0" w:hanging="0"/>
        <w:jc w:val="both"/>
        <w:rPr>
          <w:rFonts w:ascii="Times New Roman;serif" w:hAnsi="Times New Roman;serif"/>
          <w:sz w:val="20"/>
        </w:rPr>
      </w:pPr>
      <w:r>
        <w:rPr>
          <w:rFonts w:ascii="Times New Roman;serif" w:hAnsi="Times New Roman;serif"/>
          <w:sz w:val="20"/>
        </w:rPr>
        <w:t>The Inflation Reduction Act further requires manufacturers of selected drugs to negotiate discounted prices with the Secretary of the Department of Health and Human Services. Failure to reach an agreement can subject manufacturers to an excise tax or withdrawal of all drug products from coverage under Medicare and Medicaid. This or any other legislative change could impact the market conditions for our products. We expect further continued scrutiny on government price reporting from Congress, federal agencies, and other bodies.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Group health plans, health insurance issuers, health maintenance organizations, other healthcare payers,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cost-sharing. These payers may not cover or adequately reimburse for use of our products or may do so at levels that disadvantage them relative to competitive products. Outside the United States, within the EU, our products are paid for by a variety of payers,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w:t>
      </w:r>
      <w:r>
        <w:rPr>
          <w:rFonts w:ascii="TimesNewRoman;Times New Roman;Times;Baskerville;Georgia;serif" w:hAnsi="TimesNewRoman;Times New Roman;Times;Baskerville;Georgia;serif"/>
          <w:i/>
          <w:sz w:val="20"/>
        </w:rPr>
        <w:t>i.e.</w:t>
      </w:r>
      <w:r>
        <w:rPr>
          <w:rFonts w:ascii="TimesNewRoman;Times New Roman;Times;Baskerville;Georgia;serif" w:hAnsi="TimesNewRoman;Times New Roman;Times;Baskerville;Georgia;serif"/>
          <w:sz w:val="20"/>
        </w:rPr>
        <w:t xml:space="preserve">,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 Recently, several states also have enacted or are considering legislation intended to make drug prices more transparent and deter significant price increases that impose reporting requirements on biopharmaceutical companies. These laws may affect our future sales, marketing, and other promotional activities by imposing administrative and compliance burdens. Such laws also typically impose significant civil monetary penalties for each instance of reporting noncompliance that can quickly aggregate into millions of dollars. </w:t>
      </w:r>
    </w:p>
    <w:p>
      <w:pPr>
        <w:pStyle w:val="TextBody"/>
        <w:bidi w:val="0"/>
        <w:spacing w:before="0" w:after="0"/>
        <w:jc w:val="left"/>
        <w:rPr/>
      </w:pPr>
      <w:r>
        <w:rPr>
          <w:u w:val="single"/>
        </w:rPr>
        <w:t> </w:t>
      </w: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27</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U.S. Healthcare Reform</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containment of healthcare costs has become a priority of Federal and state governments, and the prices of drugs have been a focus in this effort. Changes in government legislation or regulation and changes in private third-party payers’ policies toward reimbursement for our products, if successfully developed and approved, may reduce reimbursement of our products’ costs to physicians, pharmacies, patients and distributors. The U.S. government, state legislatures and foreign governments have shown significant interest in implementing cost-containment programs, including price controls, payment of rebates, restrictions on reimbursement and requirements for substitution of generic products. Adoption of price controls and cost-containment measures, and adoption of more restrictive policies in jurisdictions with existing controls and measures, could limit our net revenue and results for products, if any, we commercialize in the future. </w:t>
      </w:r>
    </w:p>
    <w:p>
      <w:pPr>
        <w:pStyle w:val="TextBody"/>
        <w:bidi w:val="0"/>
        <w:spacing w:before="0" w:after="0"/>
        <w:jc w:val="left"/>
        <w:rPr/>
      </w:pPr>
      <w:r>
        <w:rPr/>
        <w:t xml:space="preserve">  </w:t>
      </w:r>
    </w:p>
    <w:p>
      <w:pPr>
        <w:pStyle w:val="TextBody"/>
        <w:bidi w:val="0"/>
        <w:spacing w:before="0" w:after="0"/>
        <w:ind w:left="0" w:right="0" w:firstLine="69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pricing and reimbursement environment for our products may change in the future and become more challenging due to state and federal healthcare reform measures. The American Recovery and Reinvestment Act of 2009 (“ARRA”), for example, allocated new federal funding to compare the effectiveness of different treatments for the same condition. The plan for the research was published in 2012 by the Department of Health and Human Services, the Agency for Healthcare Research and Quality and the National Institutes for Health, and periodic reports on the status of the research and related expenditures are made to Congress. Although ARRA does not mandate the use of the results of comparative effectiveness studies for reimbursement purposes, the Comparative Effectiveness Research (CER) reports may impact the sales of any products for which we receive marketing approval or on the reimbursement policies of public and private payers if utilized to guide coverage decisions. It is possible that comparative effectiveness research demonstrating benefits in a competitor’s product could adversely affect the sales of any product for which we receive marketing approval. For example, if third-party payers find our products not to be cost-effective compared to other available therapies, they may not cover our products after approval as a benefit under their plans or, if they do, the level of payment may not be sufficient to allow us to sell our products on a profitable basis.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ACA is a sweeping measure intended to expand healthcare coverage within the U.S., primarily through the imposition of health insurance mandates on employers and individuals, the provision of subsidies to eligible individuals enrolled in plans offered on the health insurance exchanges, and the expansion of the Medicaid program. This law has substantially changed the way healthcare is financed by both governmental and private insurers and has significantly impacted the pharmaceutical industry. Changes that may affect our business include those governing enrollment in Federal healthcare programs, reimbursement changes, benefits for patients within a coverage gap in the Medicare Part D prescription drug program (commonly known as the “donut hole”), rules regarding prescription drug benefits under the health insurance exchanges, changes to the Medicaid Drug Rebate Program, expansion of the Public Health Service Act’s 340B drug pricing program, or 340B program, and fraud and abuse enforcement. These changes have impacted previously existing government healthcare programs and have resulted in the development of new programs, including Medicare payment for performance initiatives and improvements to the Medicare physician quality reporting system and feedback program.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One of the goals of ACA was to expand coverage for the uninsured while at the same time containing overall healthcare costs. With regard to pharmaceutical products, among other things, the ACA increased minimum rebates a manufacturer must pay under the Medicaid Drug Rebate Program and extended manufacturers’ Medicaid rebate liability to drugs dispensed to individuals who are enrolled in Medicaid managed care organizations. The ACA also requires manufacturers of drugs, devices, biologics, and medical supplies for which payment is available under Medicare, Medicaid or the Children’s Health Insurance Program (with certain exceptions) to report annually to CMS information related to certain direct or indirect payments and other transfers of value to U.S.-licensed physicians, physician assistants, nurse practitioners, clinical nurse specialists, certified nurse anesthetists and certified nurse-midwives and to U.S. teaching hospitals, as well as ownership and investment interests held in the company by physicians and their immediate family members. Failure to submit required information may result in civil monetary penalties of $1,000 to $10,000 for each payment or ownership interest that is not timely, accurately, or completely reported (annual maximum of $150,000), and $10,000 to $100,000 for each knowing failure to report (annual maximum of $1 million) (for an aggregate annual maximum of $1,150,000).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Some states have elected not to expand their Medicaid programs by raising the income limit to 133% of the federal poverty level, as is permitted under the ACA. For each state that does not choose to expand its Medicaid program, there may be fewer insured patients overall, which could impact sales of our products that are approved and that we successfully commercialize, and our business and financial condition. Where Medicaid patients receive insurance coverage under any of the new options made available through the ACA, the possibility exists that manufacturers may be required to pay Medicaid rebates on drugs used under these circumstances, a decision that could impact manufacturer revenues.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28</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Certain provisions of the ACA have been subject to judicial challenges as well as efforts to modify them or to alter their interpretation or implementation. For example, Congress eliminated, starting January 1, 2019, the tax penalty for not complying with the ACA’s individual mandate to carry health insurance. Further, the Bipartisan Budget Act of 2018, among other things, amended the Medicare statute to reduce the coverage gap in most Medicare drugs plans, commonly known as the “donut hole,” by raising the required manufacturer point-of-sale discount from 50% to 70% off the negotiated price effective as of January 1, 2019. Additional legislative changes, regulatory changes, and judicial challenges related to the ACA remain possible, but the nature and extent of such potential changes or challenges are uncertain at this time. It is unclear how the ACA and its implementation, as well as efforts to modify or invalidate the ACA, or portions thereof, or its implementation, will affect our business, financial condition and results of operations. It is possible that the ACA, as currently enacted or as it may be amended in the future, and other healthcare reform measures that may be adopted in the future could have a material adverse effect on our industry generally and on our ability to maintain or increase sales of our products or product candidates for which we receive regulatory approval or to successfully commercialize our products and product candidates.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Other legislative changes related to reimbursement have been adopted in the U.S. since the ACA was enacted.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2031 (with the exception of a temporary suspension from May 1, 2020 through March 31, 2022, due to the COVID-19 pandemic). The law provides for 1% Medicare sequestration in the second quarter of 2022 and allows the full 2% sequestration thereafter until 2031. As long as these cuts remain in effect, they could adversely impact payment for any products we may commercialize in the future.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Additional legislative changes, regulatory changes, or guidance could be adopted, which may impact the marketing approvals and reimbursement for our product candidates. For example, there has been increasing legislative, regulatory, and enforcement interest in the United States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assistance and support programs, permit government negotiation of Medicare pricing with manufacturers relative to certain international prices paid, and reform government healthcare program reimbursement methodologies for drug products. If healthcare policies or reforms intended to curb healthcare costs are adopted or if we experience negative publicity with respect to pricing of our products or the pricing of pharmaceutical drugs generally, the prices that we charge for any approved products may be limited, our commercial opportunity may be limited and/or our revenues from sales of our products may be negatively impacted.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It is possible that the ACA, as currently enacted or may be amended in the future, as well as other healthcare reform measures that may be adopted in the future, may result in additional reductions in Medicare and other healthcare funding, more rigorous coverage criteria and new payment methodologies and in additional downward pressure on coverage and payment and the price that we receive for any approved product. Any reduction in reimbursement from Medicare or other government programs may result in a similar reduction in payments from private payers. The implementation of cost containment measures or other healthcare reforms may prevent us from being able to generate revenue, attain profitability or commercialize our products. We cannot be sure whether additional legislative changes will be enacted in the U.S. or outside the U.S., or whether regulatory changes, guidance or interpretations will be changed, or what the impact of such changes on the marketing approvals of our product candidates, if any, may be.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29</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Anti-Fraud and Abuse Laws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Anti-Kickback Statute prohibits, among other things, knowingly and willfully offering, paying, soliciting or receiving anything of value (“remuneration”)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The Beneficiary Inducement Civil Monetary Penalties Law imposes similar restrictions on interactions between pharmaceutical manufacturers and federal healthcare program beneficiaries. Although there are a number of statutory exemptions and regulatory safe harbors protecting certain common manufacturer business arrangements and activities from prosecution and administrative sanction, the exceptions and safe harbors are drawn narrowly and are subject to regulatory revision or changes in interpretation by the DOJ, and the Office of Inspector General of the U.S. Department of Health and Human Services (“OIG”). Recent regulations eliminate the discount safe harbor protection for manufacturer rebates paid directly, or indirectly through a Pharmacy Benefit Manager (“PBM”), to Medicare Part D or Medicare Advantage plans. Subsequent legislation and a final rule promulgated on December 29, 2023 delayed implementation of this portion of the 2020 final rule until January 1, 2032. Practices or arrangements that involve remuneration may be subject to scrutiny if they do not qualify for an exception or safe harbor. Failure to meet all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w:t>
      </w:r>
    </w:p>
    <w:p>
      <w:pPr>
        <w:pStyle w:val="TextBody"/>
        <w:bidi w:val="0"/>
        <w:spacing w:before="0" w:after="0"/>
        <w:jc w:val="left"/>
        <w:rPr/>
      </w:pPr>
      <w:r>
        <w:rPr/>
        <w:t xml:space="preserve">  </w:t>
      </w:r>
    </w:p>
    <w:p>
      <w:pPr>
        <w:pStyle w:val="TextBody"/>
        <w:bidi w:val="0"/>
        <w:spacing w:lineRule="auto" w:line="256" w:before="0" w:after="0"/>
        <w:ind w:left="0" w:right="0" w:hanging="0"/>
        <w:jc w:val="both"/>
        <w:rPr>
          <w:rFonts w:ascii="Times New Roman;serif" w:hAnsi="Times New Roman;serif"/>
          <w:sz w:val="20"/>
        </w:rPr>
      </w:pPr>
      <w:r>
        <w:rPr>
          <w:rFonts w:ascii="Times New Roman;serif" w:hAnsi="Times New Roman;serif"/>
          <w:sz w:val="20"/>
        </w:rPr>
        <w:t xml:space="preserve">Several courts have interpreted the statute’s intent requirement to mean that if any one purpose of an arrangement involving remuneration is to induce or reward referrals of federal healthcare program business, including purchases of products paid by federal healthcare programs, the statute has been violated. Violations of the federal Anti-Kickback Statute may be established without providing specific intent to violate the statute, and may be punishable by civil, criminal, and administrative sanctions, including criminal fines, imprisonment, civil monetary penalties and damages, exclusion from participation in federal healthcare programs, suspension and debarment from government procurement and non-procurement programs, and refusal of orders under existing government contracts, disgorgement, corporate integrity agreements and deferred- or non-prosecution agreements.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Federal civil False Claims Act (“FCA”) prohibits, among other things, any person from knowingly presenting, or causing to be presented, a false or fraudulent claim for payment of federal funds, or knowingly making, or causing to be made, a false statement to get a false claim paid, or knowingly and improperly avoiding, decreasing or concealing an obligation to pay money to the federal government. A claim includes “any request or demand” for money or property presented to the U.S. government. The FCA has been used to assert liability on the basis of improper referrals, improperly reported government pricing metrics such as Best Price or Average Manufacturer Price, improper use of Medicare provider or supplier numbers when detailing a provider of services, improper promotion of off-label uses not expressly approved by the FDA in a product’s label, and allegations as to misrepresentations with respect to products, contractual requirements, and services rendered. In addition, private payers have been filing follow-on lawsuits alleging fraudulent misrepresentation, although establishing liability and damages in these cases is more difficult than under the FCA. Intent to deceive or actual knowledge of falsity is not required to establish liability under the FCA. Rather, a claim may be false for deliberate ignorance of the truth or falsity of the information provided or for acts in reckless disregard of the truth or falsity of that information. A claim resulting from a violation of the federal Anti-Kickback Statute constitutes a per se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 For these reasons, since 2004, False Claims Act lawsuits against pharmaceutical companies have increased significantly in volume and breadth, leading to several substantial civil and criminal settlements, as much as $3.0 billion, regarding certain sales practices and promoting off label uses.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FCA, requires proof of intent to submit a false claim.</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Pharmaceutical companies are subject to other federal false claim and statements laws, some of which extend to non-government health benefit programs. For example, the healthcare fraud provisions under the Health Insurance Portability and Accountability Act of 1996 and its implementing regulations, or HIPAA, impose criminal liability for, among other things, knowingly and willfully executing, or attempting to execute, a scheme to defraud any health care benefit program, including private third party payers, or falsifying or covering up a material fact or making any materially false or fraudulent statement in connection with the delivery of or payment for health care benefits, items or services. Violations of HIPAA fraud provisions may result in criminal, civil and administrative fines, penalties and damages, including exclusion from participation in federal healthcare programs.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30</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majority of states have adopted analogous laws and regulations, including state anti-kickback and false claims laws, that may apply to our business practices, including but not limited to, research, distribution, sales and marketing arrangements and claims involving healthcare items or services reimbursed by any third-party payer, including private insurers. Other states have adopted laws and regulations that, among other things, require pharmaceutical companies to comply with the pharmaceutical industry’s voluntary compliance guidelines with respect to interactions with healthcare professionals and the relevant compliance program guidance promulgated by the U.S. Federal government that otherwise restrict payments that may be made to healthcare professionals and other potential referral sources, and that require drug manufacturers to file reports related to pricing and marketing information, which requires tracking price increases and gifts and other remuneration and items of value provided to healthcare professionals and entities. In addition, some jurisdictions have laws requiring pharmaceutical sales representatives to be registered or licensed, and still others impose limits on co-pay assistance that pharmaceutical companies can offer to patients.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Federal Physician Payment Sunshine Act requires tracking of certain payments and transfers of value to U.S.-licensed physicians, physician assistants, nurse practitioners, clinical nurse specialists, certified nurse anesthetists and certified nurse-midwives and to U.S. teaching hospitals, and ownership interests held by physicians and their families, and reporting to the federal government and public disclosure by the federal government of this data.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Data Protection and Privacy</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Throughout the clinical trial process, we may obtain the protected health information of our trial subjects. There are a number of state, federal and international laws protecting the privacy and security of health information and personal data. The Healthcare Information Portability and Accountability Act of 1996 (“HIPAA”) imposes privacy, security, breach reporting obligations, and mandatory contractual terms on “covered entities,” including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civil and criminal penalties if we, our affiliates, or our agents use or disclose protected health information in a manner that is not authorized or permitted by HIPAA.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Even when HIPAA does not apply,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5(a) of the Federal Trade Commission Act (“FTC Act”). The Federal Trade Commission (“FTC”) expects a company’s data security measures to be reasonable and appropriate in light of the sensitivity and volume of consumer information the company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but less prescriptive than, what is required by the HIPAA Security Rule. Enforcement by the FTC under the FTC Act can result in civil penalties or enforcement actions.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states have laws requiring notification of affected individuals and state regulators (i.e., breach notification laws) in the event of a breach of personal information. Some state laws impose significant data security requirements, such as encryption, to ensure ongoing protection of personal information. Additionally, in California, the California Consumer Privacy Act (“CCPA”) establishes certain requirements for data use and sharing transparency and creates new data privacy rights for California residents. The CCPA and its implementing regulations have already been amended multiple times since their enactment.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became effective on January 1, 2023. Failure to comply with the CCPA may result in, among other things, significant civil penalties and injunctive relief, or statutory or actual damages. In addition, California residents have the right to bring a private right of action in connection with certain types of security incidents. These claims may result in significant liability and damages.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Since the CCPA was signed into law in 2018, numerous other states, including Virginia, Colorado, Utah and Connecticut, have enacted similar privacy laws that may apply to personal information that we collect or maintain.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Some states, like Washington State, have passed healthcare-specific privacy laws. The My Health My Data Act became effective March 31, 2024 and restricts how entities collect, use, and process “consumer health data,” defined broadly as personal information that is linked or reasonably linkable to a consumer and that identifies the consumer's health status. While HIPAA-regulated entities may be exempt from the Act, the exemption is based on the data collected and used rather than on the entity’s status as a HIPAA covered entity or business associate. As such, some data may be subject to the Act and HIPAA, while other data may only be subject to HIPAA. </w:t>
      </w:r>
    </w:p>
    <w:p>
      <w:pPr>
        <w:pStyle w:val="TextBody"/>
        <w:bidi w:val="0"/>
        <w:spacing w:before="0" w:after="0"/>
        <w:jc w:val="both"/>
        <w:rPr/>
      </w:pPr>
      <w:r>
        <w:rPr/>
        <w:t xml:space="preserve">  </w:t>
      </w:r>
    </w:p>
    <w:p>
      <w:pPr>
        <w:pStyle w:val="TextBody"/>
        <w:bidi w:val="0"/>
        <w:spacing w:before="0" w:after="0"/>
        <w:ind w:left="0" w:right="0" w:firstLine="75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Activities outside of the U.S. implicate local and national data protection standards, impose additional compliance requirements and generate additional risks of enforcement for non-compliance. For example, the EU General Data Protection Regulation, the UK General Data Protection Regulation and related data protection, cybersecurity and e-privacy laws in the European Union/European Economic Area (“EU/EEA”) and the UK, collectively, the “GDPR”, and equivalent Swiss laws may apply to some or all of the clinical or other personal data obtained, transmitted, or stored from those jurisdictions. The GDPR and Swiss law, among others, allow supervisory authorities to potentially impose high regulatory fines in the event of violations, for example, under the GDPR up to 4% of global annual group turnover or EUR 20 million (whichever is the higher amount). (There are similar caps in GBP under the UK GDPR). Supervisory authorities in the EU/EEA, Switzerland and UK may (among other enforcement tools) potentially levy such fines directly upon on the non-compliant entity and/or on the parent company of the non-compliant entity. Separate from regulatory enforcement actions, individuals may bring private actions (including potentially group or representative actions) against us. There is no statutory cap set out in the GDPR on the amount of compensation or the damages which individuals may recover. </w:t>
      </w:r>
    </w:p>
    <w:p>
      <w:pPr>
        <w:pStyle w:val="TextBody"/>
        <w:bidi w:val="0"/>
        <w:spacing w:before="0" w:after="0"/>
        <w:jc w:val="left"/>
        <w:rPr/>
      </w:pPr>
      <w:r>
        <w:rPr/>
        <w:t xml:space="preserve">  </w:t>
      </w:r>
    </w:p>
    <w:p>
      <w:pPr>
        <w:pStyle w:val="TextBody"/>
        <w:bidi w:val="0"/>
        <w:spacing w:before="0" w:after="0"/>
        <w:ind w:left="0" w:right="0" w:firstLine="69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GDPR and other data protection, privacy and similar national, state/provincial and local laws, may  require in many circumstances specific, freely given and fully informed consent to be obtained from patients or clinical study participants or other lawful bases for processing. There are also other requirements for lawful processing, including transparency obligations, data minimization requirements, data transfer restrictions and compliance obligations with individuals’ stringent rights to access their personal data and to otherwise control the processing of their personal data. There are data breach notification obligations, to supervisory authorities and to individuals, where certain risk thresholds have occurred. We are also required to undertake and document appropriate measures that ensure the confidentiality, availability, and integrity of personal data which may be challenging considering ever-growing and impactful cyber threats. The GDPR and Swiss laws only permit transfer of personal data to countries where there is adequate protection as determined by the relevant EU/UK/Swiss governmental authorities or where other mechanisms are in place such as Standard Contractual Clauses or the EU/UK/Swiss-US Data Privacy Framework.  Overall, the significant costs of GDPR and Swiss law compliance, risk of regulatory enforcement actions and private litigation under, and other burdens imposed by these laws as well as under other regulatory schemes throughout the world related to privacy and security of health information and other personal and private data could have an adverse impact on our business, reputation, financial condition, and results of operations.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may be required to expend significant capital and other resources to ensure ongoing compliance with applicable privacy and data security laws, to protect against security breaches and hackers, or to alleviate problems caused by such breaches. Compliance with these laws is difficult, constantly evolving, time consuming, and requires a flexible privacy framework and substantial resources. Compliance efforts will likely be an increasing and substantial cost in the future.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Environmental, Social and Governance (“ESG”)</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Code of Ethics and Business Conduct states that employees should strive to conserve resources and reduce water consumption and emissions through recycling and other energy conservation measures. Employees are responsible for promptly reporting any known or suspected violations of environmental laws or any events that may result in a discharge or emissions of hazardous materials. We manufacture, market and develop specialty biologics for the prevention and treatment of infectious diseases in the immune compromised and other patients at risk for infection, and, as such, we consider our environmental impact to be low. These activities do not include either industrial production or distribution, and therefore do not use raw materials that would result in significant releases into the environment or greenhouse gas emissions from our manufacturing emissions. Further, our activities do not produce any particular noise nuisance for staff or neighboring tenants or residents as well as wildlife surrounding our facilities and offices. Annual electricity and water consumption are monitored and factored into our sustainable resource practices.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Waste Management Policy</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objective of our waste management policy is to identify and mitigate risks and hazards with the aim of achieving zero incidents, zero injuries, and zero spills or environmental harm. We are dedicated to the safe handling and management of all non-hazardous and hazardous materials, and all employees are responsible for appropriate waste management. </w:t>
      </w:r>
    </w:p>
    <w:p>
      <w:pPr>
        <w:pStyle w:val="TextBody"/>
        <w:bidi w:val="0"/>
        <w:spacing w:before="0" w:after="0"/>
        <w:jc w:val="both"/>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are dedicated to high environmental standards and expect all employees to be familiar with and comply with the contents of this policy. We are committed to providing a safe and healthy work environment. We comply with all applicable laws, regulations, and requirements associated with our environmental obligations and impact. We strive for the continual improvement of all environmental impacts associated with our operations. We are committed to the prevention of pollution in all aspects of our business activities, as well as a sustainable approach to the development and provision of our products and services.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Social</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actively sponsor and participate in industry-related charitable events on a local and national level and encourage our employees to actively participate and volunteer their time and participation. We actively support and fund initiatives designed to improve the communities in which we operate and where our employees and stakeholders reside.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Employee Development</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ongoing development of our employees continues to be a catalyst for our growth and success as a company. Many of our employees have obtained advanced degrees in their professions. We support our employees’ further development with individualized development plans, mentoring, coaching, department-level training, and conference attendance. Pursuant to our educational assistance policy, we also provide employees interested in furthering their formal education with tuition reimbursement for pre-approved coursework. We often require employees to complete a training effectiveness evaluation for instructor-led trainings at ADMA, and we use the results of these evaluations to improve future in-house trainings.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Health and Safety</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remain focused on promoting the total wellness of our employees, including resources, programs and services to support their physical, mental and financial well-being. For example, we host an internal health and wellness portal where employees can learn more about, among other things, mental health and stress management, weight management and financial wellness. The portal includes, among other things, mindfulness and meditation podcasts, flyers and newsletters dedicated to promoting mental health and gym discounts. We have recently bolstered our health insurance to cover the reimbursement of weight management therapies which were previously excluded by our insurance carrier. We have established safety policies and protocols, and we regularly update our employees with respect to any changes. We also encourage those who may be ill to stay home. To further protect our on-site employees, we have provided personal protective equipment and cleaning supplies. We have also provided general information updates and support for our employees to ensure that they have resources and information to protect their health and that of those around them, including their families and co-workers. Furthermore, we offer, at no cost, an Employee Assistance Program (“EAP”) to help employees and their dependents confidentially manage personal problems that they feel may adversely affect job performance or personal well-being. The EAP offers personal counseling services for a wide range of concerns, including alcohol abuse, drug abuse, parenting support, marital/family relationships, interpersonal problems on the job, stress, depression, and referrals for financial and/or legal challenges.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Employee Communications and Engagement</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employ a variety of tools to facilitate open and direct communication including open forums with executives (such as regular town hall meetings and management meetings), employee surveys and an open-door policy. We endeavor to further refine our employee programs through our employee engagement survey. We actively monitor employee engagement to foster a supportive and high-performing workplace. In 2023, our engagement survey achieved a 92% participation rate, exceeding 91% in 2020, despite a 14% workforce increase - well above industry benchmarks. Results showed a 3% rise in overall engagement and an 11% improvement in leadership communication compared to the 2020 survey. Survey results are shared across the organization to provide greater transparency into employee responses and to reinforce how employee feedback directly informs leadership decisions. By consistently tracking and acting on engagement data, we strengthen our commitment to a collaborative, communicative, and employee-focused culture.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Governance</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pursue fair employment practices in every aspect of our business. We strive to ensure and are extremely proud that our Board and our employee base is diverse and consists of individuals of varying gender, origin, sexual orientation and backgrounds with various and relevant career experience, relevant technical skills, education, industry knowledge and experience and possess local or community ties.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Employees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we had a total of 647 employees, seven of whom are part-time. Over the course of the next year, we anticipate hiring additional full-time employees devoted to compliance, production, quality assurance, quality control, plasma collection and processing, sales, medical and scientific affairs and administration. We use Clinical Research Organizations (“CROs”), third parties and consultants to perform our post-marketing commitment clinical studies and other process and/or analytical development projects to augment our in-house capabilities and staff.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Corporate Information</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ADMA Biologics, Inc. was founded on June 24, 2004 as a New Jersey corporation and re-incorporated in Delaware on July 16, 2007. We operate through our wholly owned subsidiaries ADMA BioManufacturing, ADMA BioCenters and ADMA Plasma Biologics. ADMA BioManufacturing was formed in January 2017 to facilitate the acquisition of certain assets held by the Company’s then-third-party contract manufacturer. ADMA BioCenters is the Company’s source plasma collection business which operates in the U.S. Each of ADMA’s operational plasma collection centers have a license with the FDA and may obtain additional certifications from other regulatory agencies. </w:t>
      </w:r>
    </w:p>
    <w:p>
      <w:pPr>
        <w:pStyle w:val="TextBody"/>
        <w:bidi w:val="0"/>
        <w:spacing w:before="0" w:after="0"/>
        <w:jc w:val="both"/>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maintain our headquarters at 465 State Route 17, Ramsey, NJ 07446. Our telephone number is (201) 478-5552. Our Florida campus is located at 5800 Park of Commerce Boulevard, Northwest, Boca Raton, FL 33487. The Florida telephone number is (561) 989-5800. We maintain a website at www.admabiologics.com; however, the information on, or that can be accessed through, our website is not part of this Annual Report on Form 10-K. This Annual Report and all of our filings under the Exchange Act, including copies of Annual Reports on Form 10-K, Quarterly Reports on Form 10-Q, Current Reports on Form 8-K, and any amendments to those reports, are available free of charge through our website on the date we file those materials with, or furnish them to, the U.S. Securities and Exchange Commission (the “SEC”). Such filings are also available to the public on the SEC’s website at www.sec.gov. </w:t>
      </w:r>
    </w:p>
    <w:p>
      <w:pPr>
        <w:pStyle w:val="TextBody"/>
        <w:bidi w:val="0"/>
        <w:spacing w:lineRule="atLeast" w:line="240" w:before="0" w:after="0"/>
        <w:jc w:val="left"/>
        <w:rPr/>
      </w:pPr>
      <w:r>
        <w:rPr/>
        <w:t xml:space="preserve">  </w:t>
      </w:r>
    </w:p>
    <w:p>
      <w:pPr>
        <w:pStyle w:val="TextBody"/>
        <w:bidi w:val="0"/>
        <w:spacing w:before="0" w:after="0"/>
        <w:ind w:left="0" w:right="0" w:hanging="900"/>
        <w:jc w:val="left"/>
        <w:rPr>
          <w:rFonts w:ascii="TimesNewRoman;Times New Roman;Times;Baskerville;Georgia;serif" w:hAnsi="TimesNewRoman;Times New Roman;Times;Baskerville;Georgia;serif"/>
          <w:sz w:val="20"/>
        </w:rPr>
      </w:pPr>
      <w:bookmarkStart w:id="8" w:name="Risk_Factors"/>
      <w:bookmarkEnd w:id="8"/>
      <w:r>
        <w:rPr>
          <w:rFonts w:ascii="TimesNewRoman;Times New Roman;Times;Baskerville;Georgia;serif" w:hAnsi="TimesNewRoman;Times New Roman;Times;Baskerville;Georgia;serif"/>
          <w:b/>
          <w:sz w:val="20"/>
        </w:rPr>
        <w:t>Risk Factors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5715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1A.</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1A.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Summary of Risk Factors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Although we achieved net income on a GAAP basis for the fiscal years ended December 31, 2025 and 2024, we may not be able to maintain profitability and continue to generate positive cashflows in the future.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2286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contract with third parties for the filling, packaging, testing and labeling of the drug substance we manufacture, and we also obtain source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2286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estimates of market opportunity and forecasts of market and revenue growth included in our filings may prove to be inaccurate, and even if the markets in which we compete achieve the forecasted growth, our business could fail to grow at similar rates, if at all.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2286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2286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Business interruptions could adversely affect our business.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2286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Issues in the development and use of AI may result in reputational harm and increased liability exposure.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2286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Although we have received approval from the FDA to market ASCENIV as a treatment for PIDD, our ability to market or seek approval for ASCENIV for alternative indications could be limited unless additional clinical trials are conducted successfully and the FDA approves a Biologics License Application (“BLA”) or other required submission for review.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2286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2286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27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depend on third-party researchers, developers and vendors to develop, manufacture, supply materials for or test our products and product candidates, as well as for other pre-and post-approval services, and such parties’ performance is, to some extent, outside of our control.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17145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27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may be unable to successfully expand our manufacturing processes to fulfill demand for our products or increase our production capabilities through the addition of new equipment, including if we do not obtain requisite approval from the FDA.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17145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27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17145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27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Historically, a few customers have accounted for a significant amount of our total revenue and accounts receivable and the loss of any of these customers could have a material adverse effect on our business, results of operations and financial condition.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17145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27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Issues with product quality and compliance could have a material adverse effect upon our business, subject us to regulatory actions and cause a loss of customer confidence in us or our products. </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17145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27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physicians, payers and patients do not accept and use our current products or our future product candidates, our ability to generate revenue from these products will be materially impaired. </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17145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27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17145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27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17145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27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ADMA BioCenters operations collect information from donors in the United States that subjects us to consumer and health privacy laws, which could create enforcement and litigation exposure if we fail to meet their requirements. </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17145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27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senior secured credit facility with JPMorgan Chase Bank, N.A. and certain other lenders party thereto (collectively “JPMorgan”) is subject to acceleration in specified circumstances, which may result in JPMorgan taking possession and disposing of any collateral.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17145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27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we are unable to protect our patents, trade secrets or other proprietary rights, if our patents are challenged or if our provisional patent applications do not get approved, our competitiveness and business prospects may be materially damaged.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17145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27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Cyberattacks and other security breaches could compromise our proprietary and confidential information or otherwise penetrate our network, which could harm our business and reputation.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17145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ability to continue to produce safe and effective products depends on the safety of our plasma supply, testing by third parties and the timing of receiving the testing results, and the manufacturing processes we have in place to counter transmittable diseases.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2286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could become supply-constrained and our financial performance would suffer if we cannot obtain adequate quantities of FDA-approved source and high-titer plasma with proper specifications or other necessary raw materials.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2286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35</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ability to use our net operating loss carryforwards (“NOLs”) may be limited.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2286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Fluctuations in our tax obligations and effective tax rate and realization of our net deferred tax assets may result in volatility of our operating results and materially impact our financial condition or financial results.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2286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market price of our common stock may be volatile and may fluctuate in a way that is disproportionate to our operating performance.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2286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Risk Factors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Risks Relating to our Business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Although we achieved net income on a GAAP basis for the years ended December 31, 2024 and 2025, we may not be able to maintain profitability and continue to generate positive cash flows in the future.</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Although we achieved net income of $197.7 million and $146.9 million for the years ended December 31, 2024 and 2025, respectively, for the year ended December 31, 2023 we incurred a net loss of $28.2 million. From our inception in 2004 through December 31, 2025, we have incurred an accumulated deficit of $161.7 million. We may not be able to maintain profitability in the future, and if we are unable to continue to consistently achieve positive cash flows we may need to finance our operations through additional equity or debt financings or corporate collaboration and licensing agreements. If, in the future, our operating or financial results for a particular period do not meet our guidance, analyst estimates or the expectations of investors, or if we reduce our guidance for future periods, our stock price may decline. Any sustained or increased profitability or financial performance may contribute to increased scrutiny from the investment community and applicable federal, state and foreign regulatory authorities and government bodies. We also expect to continue to incur significant operating and capital expenditures and anticipate that as our business continues to grow our operating expenses will increase accordingly as we: </w:t>
      </w:r>
    </w:p>
    <w:p>
      <w:pPr>
        <w:pStyle w:val="TextBody"/>
        <w:bidi w:val="0"/>
        <w:spacing w:before="0" w:after="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expand commercialization and marketing efforts;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2286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expand our research and development programs;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2286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implement additional internal systems, controls and infrastructure;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2286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hire additional personnel; and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2286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expand production capacity at the Boca Facility. </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2286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a result, we will need to continue to generate significant revenues in order to maintain profitability. We may not be able to generate these revenues or maintain profitability in the future.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Our business may be adversely affected by a pandemic, epidemic, or outbreak of an unknown or emerging infections disease.</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business could be adversely affected by health epidemics in regions where we have concentrations of business activities and such epidemics could cause significant disruption in the operations of third-party service providers upon whom we rely. The occurrence of a global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our submissions or applications to the FDA and our employees. The ultimate impact will depend on the severity and duration of the pandemic and actions taken by governmental authorities and other third parties in response, each of which is unforeseeable and difficult to predict.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36</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We contract with third parties for a portion of the filling, packaging, testing and labeling of the drug substance we manufacture, and also obtain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Third parties may not perform as agreed or in accordance with FDA requirements. Any significant problem that our third-party providers experience could delay or interrupt our supply of finished drug product until the service provider cures the problem or until we locate, negotiate for, validate and receive FDA approval for an alternative provider (when necessary), if one is available, which may be time consuming and costly. Failure to obtain the needed services, raw materials and products meeting the necessary quality standards, in sufficient quantities or at all could have a material and adverse effect on our products, business, financial condition and results from operations.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Although we are utilizing our FDA-approved fill/finish suite that we built at the Boca Facility for a portion of our finished drug product and although we receive raw material plasma from our ADMA BioCenters plasma collection facilities, we also intend to continue to utilize third parties to supplement our fill/finish process for final drug product and to supply raw material source and high-titer RSV plasma. Any failure by us, our contract fill/finishers, or other third parties involved in the process for producing our products or product candidates to comply with the applicable manufacturing and regulatory requirements, including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anticipated reliance on a limited number of third-party contractors exposes us to the following risks: </w:t>
      </w:r>
    </w:p>
    <w:p>
      <w:pPr>
        <w:pStyle w:val="TextBody"/>
        <w:bidi w:val="0"/>
        <w:spacing w:before="0" w:after="0"/>
        <w:jc w:val="left"/>
        <w:rPr/>
      </w:pPr>
      <w:r>
        <w:rPr/>
        <w:t xml:space="preserve">  </w:t>
      </w:r>
    </w:p>
    <w:p>
      <w:pPr>
        <w:pStyle w:val="TextBody"/>
        <w:bidi w:val="0"/>
        <w:spacing w:before="0" w:after="0"/>
        <w:ind w:left="0" w:right="0" w:hanging="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may be unable to identify contractors on acceptable terms or at all because the number of potential service providers is limited and the FDA must inspect and qualify any contract manufacturers for current cGMP compliance as part of our marketing application; </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new fill/finisher would have to be educated in, or develop substantially equivalent processes for, the production of our products and product candidates; </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pandemic, or the resurgence of a pandemic such as the COVID-19 pandemic, or a cyberattack or data breach, could adversely affect our contractors’ operations, supply chain or workforce; </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contracted fill/finishers’ resources and level of expertise with plasma-derived biologics may be limited, therefore they may require a significant amount of support from us in order to implement and maintain the infrastructure and processes required to deliver our finished drug product; </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third-party contractors might be unable to timely provide finished drug product or raw material plasma in sufficient quantity or in accordance with our specifications to meet our commercial needs; </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contractors may not be able to execute our inspection procedures and required tests appropriately; </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contractors are subject to ongoing periodic unannounced inspection by the FDA and corresponding state agencies to ensure strict compliance with cGMP and other government regulations, and we do not have control over third-party providers’ compliance with these regulations; </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contractors may fail to comply with applicable regulatory requirements, placing them and us at risk of regulatory enforcement actions, recalls and other adverse consequences, and which place our patients at risk, which may negatively impact our business and their ability to supply products to meet our development, clinical and commercial needs;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37</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third parties could breach or terminate their agreements with us; and </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contract fill/finishers may have unacceptable or inconsistent drug product quality success rates and yields, and we have no direct control over our contract fill/finishers’ ability to maintain adequate quality control, quality assurance and qualified personnel. </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Each of these risks could delay or prevent production,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or could result in the need to repeat clinical or preclinical studies. Any failure of any third parties to meet the applicable regulatory requirements could also result in the need for time-consuming and costly corrective actions. In addition, our contract fill/finishers and our other third-party vendors may source their materials and supplies globally and are therefore subject to potential tariffs, which could be passed along to us in whole or in part and adversely impact our results of operations, and supply disruptions in the event of fire, weather related events such as hurricanes, wind and rain, international conflicts, strikes, embargoes, trade and sanction requirements and limits, other acts of God or force majeure events or global health occurrences and emergencies.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The estimates of market opportunity and forecasts of market and revenue growth included in our filings may prove to be inaccurate, and even if the markets in which we compete achieve the forecasted growth, our business could fail to grow at similar rates, if at all.</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Market opportunity estimates and growth forecasts are subject to significant uncertainty and are based on assumptions and estimates that may not prove to be accurate. In particular, the size and growth of the overall U.S. IVIG and source plasma markets and the potential market opportunity for an </w:t>
      </w:r>
      <w:r>
        <w:rPr>
          <w:rFonts w:ascii="TimesNewRoman;Times New Roman;Times;Baskerville;Georgia;serif" w:hAnsi="TimesNewRoman;Times New Roman;Times;Baskerville;Georgia;serif"/>
          <w:i/>
          <w:sz w:val="20"/>
        </w:rPr>
        <w:t>S. pneumoniae</w:t>
      </w:r>
      <w:r>
        <w:rPr>
          <w:rFonts w:ascii="TimesNewRoman;Times New Roman;Times;Baskerville;Georgia;serif" w:hAnsi="TimesNewRoman;Times New Roman;Times;Baskerville;Georgia;serif"/>
          <w:sz w:val="20"/>
        </w:rPr>
        <w:t xml:space="preserve"> hyperimmune globulin are subject to significant variables that can be difficult to measure, estimate or quantify.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business depends on, among other things, successful manufacturing and commercialization of our existing products, strong payer access to our products, successful medical education initiatives, market acceptance of such products and ensuring that our products are safe and effective. Further, there can be no assurance that we will be able to generate the revenue that we believe our products and plasma collection facilities are capable of generating, including but not limited to our current expectations with respect to our yield enhancement production process, which received FDA approval in April 2025.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Geopolitical and economic conditions, war, terrorism or other military actions may have a material adverse effect on our business.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Geopolitical conflicts, war or other military action or international acts of terrorism may cause significant disruption to commerce throughout the world. To the extent that such disruptions result in disruptions to our supply chain, delays or cancellations of customer orders, a general decrease in consumer spending, our inability to effectively market and distribute our products and/or our inability to access the capital markets, our business and results of operations could be materially and adversely affected. For example, in response to the ongoing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ongoing conflicts in certain countries in South America, Northern Africa and in the Middle East and the surrounding areas could have a broader impact that extends into other markets where we do business. We are unable to predict whether geopolitical or economic conditions, acts of international terrorism or the involvement in a war or other military actions will result in any long-term commercial disruptions or if such involvement or responses will have any long-term material adverse effect on our business, results of operations, or financial condition.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38</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and our suppliers and contractors may be unable to comply with our specifications, cGMP requirements and with other FDA, state, and foreign regulatory requirements for commercial and clinical supply. They and us may need to maintain certain licenses that we or they may not be able to maintain. The FDA and other regulatory authorities are authorized to perform inspections (remotely and in person) of our and our suppliers’ facilities, including the Boca Facility. The FDA and other regulatory authorities also may inspect and approve our and our third-parties’ facilities before they may be used for commercial production. If we or our suppliers are not able to comply with the applicable regulatory requirements, we or they may be subject to regulatory enforcement actions, which can materially impact our business. For instance,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or other actions and events, may need to undertake product recalls, may have a disruption in the supply of commercial or clinical product, or may need to modify or repeat studies, which could have a material impact on our business.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the event of any enforcement actions, we and our third-party contractors would need to implement remedial actions which may be time-intensive or costly. We may not be able to timely resolve concerns raised by the applicable regulator as a result of an inspection or without expending significant resources. We are unable to control the timing of inspections, communications and actions, and will be required to respond to the regulator and make certain submissions within certain timeframes. We also do not know whether or not the regulator will change its requirements, guidance or expectations. If the regulator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If we fail to comply with environmental, health and safety laws and regulations, we could become subject to fines or penalties or incur costs that could have a material adverse effect on the success of our business.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39</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Business interruptions could adversely affect our business</w:t>
      </w:r>
      <w:r>
        <w:rPr>
          <w:rFonts w:ascii="TimesNewRoman;Times New Roman;Times;Baskerville;Georgia;serif" w:hAnsi="TimesNewRoman;Times New Roman;Times;Baskerville;Georgia;serif"/>
          <w:b/>
          <w:sz w:val="20"/>
        </w:rPr>
        <w: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operations, including our headquarters located in Ramsey, NJ, the Boca Facility, our new real estate in Boca Raton, FL and our plasma collection facilities, are vulnerable to natural disasters (including as a result of climate change), such as interruption by fires, weather related events such as hurricanes, wind and rain, other acts of God or force majeure events, electric power loss, telecommunications failure, equipment failure and breakdown, cyberattacks on our operations and information technology systems as well as the systems of our customers, suppliers and related entities, human error, employee issues, global health occurrences such as a pandemic, global and economic uncertainty, war, terrorism,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 applications or BLAs, or to repeat clinical trials. The commencement and completion of clinical trials or ultimate product approval for any current or future development product candidate may be delayed by several factors, including: </w:t>
      </w:r>
    </w:p>
    <w:p>
      <w:pPr>
        <w:pStyle w:val="TextBody"/>
        <w:bidi w:val="0"/>
        <w:spacing w:before="0" w:after="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unforeseen safety issues; </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2286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determination of dosing issues;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2286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lack of safety or effectiveness, or other adverse study results during clinical trials; </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2286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slower than expected rates of patient recruitment or noncompliance with clinical trial requirements; </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2286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inability to monitor patients adequately during or after treatment; and </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2286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inability or unwillingness of medical investigators to follow our clinical protocols.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2286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 Regulators may also disagree with our interpretation of data from our studies, with our study design, or with the statistical analyses that we use. They may also find issues within our study data, including confounding factors, which make data difficult to interpret.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40</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If the results of our clinical trials do not support our product candidate claims, completing the development of such product candidate may be significantly delayed or we may be forced to abandon development of such product candidate altogether.</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clinical trial process may fail to demonstrate that our product candidates are safe for humans and effective for indicated uses. This failure would cause us to abandon a product candidate and may delay the development of other product candidates. Any delay in, or termination of, our clinical trials will delay our ability to commercialize our product candidates and generate product revenues.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Other issues that may impact our clinical trials and that could delay or prevent our ability to receive marketing approval or commercialize our product candidates, include: </w: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Delays in reaching, or failure to reach, agreement on acceptable clinical trial contracts or clinical trial protocols with prospective trial sites and our contract research organizations (“CROs”); </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2286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Regulators requiring us to perform additional or unanticipated clinical trials to obtain approval or becoming subject to additional post-marketing testing, surveillance, or Risk Evaluation and Mitigation Strategies requirements to maintain regulatory approval; </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2286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Failure by our third-party contractors to comply with regulatory requirements or the clinical trial protocol, or meet their contractual obligations to us in a timely manner, or at all, or our being required to engage in additional clinical trial site monitoring;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2286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cost of clinical trials of our product candidates and user fees being greater than we anticipate; </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2286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Insufficient supply or inadequate quality of our product candidates or other materials necessary to conduct clinical trials; </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2286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Inability to achieve sufficient study enrollment, subjects dropping out or withdrawing from our studies, delays in adding new investigators or clinical trial sites or a withdrawal of clinical trial sites; </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2286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Flaws in our clinical trial design that are not discoverable until the clinical trial has progressed; </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2286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 </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2286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Regulatory authorities may not accept data from foreign clinical studies or sites or may find that such data is not sufficiently representative of the population of the approving jurisdiction;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2286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need to make changes to our product candidates that require additional testing or that cause our product candidates to perform differently than expected; </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2286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Global trade policies that may impact our ability to obtain raw materials and/or finished product for commercialization;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2286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FDA or comparable regulatory authorities taking longer than we anticipate to make decisions on our products or product candidates; and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2286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Potential inability to demonstrate that a product or product candidate provides an advantage over current standards of care or current or future competitive therapies in development. </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2286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United States, and therefore, may not be performed in accordance with standards normally required by the FDA and other regulatory agencies.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we are not able to generate revenue from our products and product candidates, our sources of revenue may continue to be from a product mix consisting only of plasma collection and sales revenues, revenues generated from sales of our FDA-approved commercial products, sales of intermediates and revenues generated from new contract manufacturing arrangements with third parties. We cannot assure you that we will receive the approvals necessary to commercialize any product candidate we may acquire or develop in the future or that we will be able to maintain our current approvals.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 </w:t>
      </w:r>
    </w:p>
    <w:p>
      <w:pPr>
        <w:pStyle w:val="TextBody"/>
        <w:bidi w:val="0"/>
        <w:spacing w:before="0" w:after="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delay commercialization of, and our ability to derive revenues from, our product candidates; </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2286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impose costly procedures on us; and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2286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diminish any competitive advantages that we may otherwise enjoy.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2286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for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United States.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high-titer antibodies to RSV. This high-titer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product candidates will require significant additional research and clinical trials, and we will need to overcome significant regulatory burdens prior to commercialization in the United States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We depend on third-party researchers, developers and vendors to develop, manufacture, supply materials for or test our products and product candidates, as well as for other pre and post-approval services, and such parties’ performance is, to some extent, outside of our control.</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depend on independent investigators and collaborators, such as universities and medical institutions, contract laboratories, CROs, contract manufacturers, contract fill/finishers, third-party plasma centers and consultants to conduct our preclinical activities, clinical trials, CMC testing and other activities under agreements with us.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If outside collaborators fail to devote sufficient time and resources to our products and/or 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and we may not be able to maintain existing approvals or meet our regulatory requirements or we may not be able to produce forecasted amounts of product. We or they may also be subject to regulatory enforcement actions, may need to take corrective actions, including initiating recalls, and we may not be able to meet commercial demand. These collaborators may also have relationships with other commercial entities, some of whom may compete with us. If our collaborators assist our competitors at our expense, our competitive position would be harmed. We also depend on third-party suppliers for materials used in our operations. Certain of our third-party suppliers may be single-sourced, or may not be able to supply sufficient materials for our operations at a reasonable price, and it may be time-consuming, expensive or otherwise not feasible to locate an alternative supplier. In the event a single-source supplier is unable to provide us with a sufficient amount of materials, such shortage could have a material adverse effect on our business, results of operations and financial condition. Additionally, any change in the regulatory compliance status of any of our vendors may impede our ability to receive and maintain approval for our product candidates.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We may be unable to successfully expand our manufacturing processes to fulfill demand for our products or increase our production capabilities through the addition of new equipment, including if we do not obtain requisite approval from the FDA.</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may expand our manufacturing capacity and product output capability of the Boca Facility. Following the expansion of any of our manufacturing processes or the addition of new equipment, we will be required to validate the expanded facility, process changes if any and equipment, make the necessary submissions to FDA, obtain any FDA-required approvals and have it inspected by the FDA. Any other changes to the manufacturing process will also potentially require validation, FDA submissions, and approvals and inspections. Changes may also require that further studies are conducted before the change is approved by regulatory authorities or product marketing approval is obtained. Given the significant delays that may result during the validation and approval process, we may not receive the necessary manufacturing or product approvals, experience a supply shortage of our products or our production capabilities may be limited until completion of and validation of our facility expansion and new manufacturing equipment and until the necessary approvals are obtained.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application supplement to allow for the commercial relaunch of BIVIGAM, as well as the FDA’s approval of our BLA for ASCENIV, required us to conduct specified post-marketing studies, including pediatric and safety studies. If, during the post-marketing period (after marketing approval) previously unknown adverse events emerge, there is the discovery that the product is less effective than previously thought, or other potential concerns regarding our products or their manufacturing processes emerge, or, if before or after approval, we are observed in any way to fail to comply with the numerous regulatory requirements to which we are subject, those circumstances may yield various results, including: </w:t>
      </w:r>
    </w:p>
    <w:p>
      <w:pPr>
        <w:pStyle w:val="TextBody"/>
        <w:bidi w:val="0"/>
        <w:spacing w:before="0" w:after="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pPr>
      <w:r>
        <w:rPr/>
        <w:t>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restrictions on such products or manufacturing processes; </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228600" cy="175260"/>
                <wp:effectExtent l="0" t="0" r="0" b="0"/>
                <wp:wrapSquare wrapText="right"/>
                <wp:docPr id="127" name="Frame1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restrictions on the labeling or marketing of a product; </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228600" cy="175260"/>
                <wp:effectExtent l="0" t="0" r="0" b="0"/>
                <wp:wrapSquare wrapText="right"/>
                <wp:docPr id="128" name="Frame1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restrictions on product distribution or use;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228600" cy="175260"/>
                <wp:effectExtent l="0" t="0" r="0" b="0"/>
                <wp:wrapSquare wrapText="right"/>
                <wp:docPr id="129" name="Frame1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clinical holds or termination of clinical trials;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228600" cy="175260"/>
                <wp:effectExtent l="0" t="0" r="0" b="0"/>
                <wp:wrapSquare wrapText="right"/>
                <wp:docPr id="130" name="Frame1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requirements to conduct further post-marketing studies or clinical trials, implement risk mitigation strategies, or to issue corrective information;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228600" cy="175260"/>
                <wp:effectExtent l="0" t="0" r="0" b="0"/>
                <wp:wrapSquare wrapText="right"/>
                <wp:docPr id="131" name="Frame1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warning letters or untitled letters;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228600" cy="175260"/>
                <wp:effectExtent l="0" t="0" r="0" b="0"/>
                <wp:wrapSquare wrapText="right"/>
                <wp:docPr id="132" name="Frame1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withdrawal of the products from the market;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228600" cy="175260"/>
                <wp:effectExtent l="0" t="0" r="0" b="0"/>
                <wp:wrapSquare wrapText="right"/>
                <wp:docPr id="133" name="Frame1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refusal to approve pending applications or supplements to approved applications that we submit;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228600" cy="175260"/>
                <wp:effectExtent l="0" t="0" r="0" b="0"/>
                <wp:wrapSquare wrapText="right"/>
                <wp:docPr id="134" name="Frame1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recall of products;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228600" cy="175260"/>
                <wp:effectExtent l="0" t="0" r="0" b="0"/>
                <wp:wrapSquare wrapText="right"/>
                <wp:docPr id="135" name="Frame1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restrictions on coverage by third-party payers; </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228600" cy="175260"/>
                <wp:effectExtent l="0" t="0" r="0" b="0"/>
                <wp:wrapSquare wrapText="right"/>
                <wp:docPr id="136" name="Frame1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fines, restitution or disgorgement of profits or revenues;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228600" cy="175260"/>
                <wp:effectExtent l="0" t="0" r="0" b="0"/>
                <wp:wrapSquare wrapText="right"/>
                <wp:docPr id="137" name="Frame1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suspension or withdrawal of marketing approvals;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228600" cy="175260"/>
                <wp:effectExtent l="0" t="0" r="0" b="0"/>
                <wp:wrapSquare wrapText="right"/>
                <wp:docPr id="138" name="Frame1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refusal to permit the import or export of products; </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228600" cy="175260"/>
                <wp:effectExtent l="0" t="0" r="0" b="0"/>
                <wp:wrapSquare wrapText="right"/>
                <wp:docPr id="139" name="Frame1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FDA debarment, suspension and debarment from government programs, refusal of orders under existing government contracts, exclusion from participation in federal healthcare programs, consent decrees, deferred or non-prosecution agreements or corporate integrity agreements;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228600" cy="175260"/>
                <wp:effectExtent l="0" t="0" r="0" b="0"/>
                <wp:wrapSquare wrapText="right"/>
                <wp:docPr id="140" name="Frame1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product seizure or detention; or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228600"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injunctions or the imposition of civil penalties or criminal fines. </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228600" cy="175260"/>
                <wp:effectExtent l="0" t="0" r="0" b="0"/>
                <wp:wrapSquare wrapText="right"/>
                <wp:docPr id="142" name="Frame1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Historically, a few customers have accounted for a significant amount of our total revenue and accounts receivable and the loss of any of these customers could have a material adverse effect on our business, results of operations and financial condition.</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the years ended December 31, 2025 and 2024, two customers, BioCare, Inc. (“BioCare”) and Priority Healthcare Distribution, Inc. d/b/a CuraScript SD Specialty Distribution (“CuraScript”), represented an aggregate of approximately 73% and 72%, respectively, of our consolidated revenues.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two customers, BioCare and CuraScript, represented an aggregate of approximately 87% of our consolidated accounts receivable. As of December 31, 2024, three customers, BioCare, Healix Infusion Therapy, LLC (“Healix”) and Cencora, Inc. (f/k/a AmerisourceBergen Corporation), represented an aggregate of approximately 91% of our consolidated accounts receivable.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45</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ability to sell our products at competitive prices; </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228600" cy="175260"/>
                <wp:effectExtent l="0" t="0" r="0" b="0"/>
                <wp:wrapSquare wrapText="right"/>
                <wp:docPr id="143" name="Frame1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ability to maintain features and quality standards for our products sufficient to meet the expectations of our customers; </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228600" cy="175260"/>
                <wp:effectExtent l="0" t="0" r="0" b="0"/>
                <wp:wrapSquare wrapText="right"/>
                <wp:docPr id="144" name="Frame1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ability to produce and deliver a sufficient quantity of our products in a timely manner to meet our customers’ requirements;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228600" cy="175260"/>
                <wp:effectExtent l="0" t="0" r="0" b="0"/>
                <wp:wrapSquare wrapText="right"/>
                <wp:docPr id="145" name="Frame1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impact of a pandemic, or the resurgence of a pandemic, and government responses thereto on our customers and their businesses, operations and financial condition; </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228600" cy="175260"/>
                <wp:effectExtent l="0" t="0" r="0" b="0"/>
                <wp:wrapSquare wrapText="right"/>
                <wp:docPr id="146" name="Frame1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impact of a cyberattack or data breach on our customers or related entities;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228600" cy="175260"/>
                <wp:effectExtent l="0" t="0" r="0" b="0"/>
                <wp:wrapSquare wrapText="right"/>
                <wp:docPr id="147" name="Frame1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customers’ inability to comply with the terms of our distribution agreements; and </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228600" cy="175260"/>
                <wp:effectExtent l="0" t="0" r="0" b="0"/>
                <wp:wrapSquare wrapText="right"/>
                <wp:docPr id="148" name="Frame14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widespread economic conditions or geopolitical conditions, including the exacerbated conflicts in Europe, certain countries in South America, Northern Africa and in the Middle East and the surrounding areas.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228600" cy="175260"/>
                <wp:effectExtent l="0" t="0" r="0" b="0"/>
                <wp:wrapSquare wrapText="right"/>
                <wp:docPr id="149" name="Frame14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Additionally, an adverse change in the financial condition of any of our key customers could negatively affect revenue derived from such customer, which in turn could have a material adverse effect on our business and results of operations.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Issues with product quality and compliance could have a material adverse effect upon our business, subject us to regulatory actions and cause a loss of customer confidence in us or our products.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voluntary or involuntary withdrawals, monetary sanctions, injunctions to halt manufacture and distribution of products, civil or criminal sanctions, costly litigation, patient injury, refusal of a government to grant approvals and licenses, restrictions on operations or withdrawal of existing approvals and licenses. The FDA and similar foreign governmental authorities have the authority to require the recall of commercialized products. We may elect, in the interest of public safety, to voluntarily withdraw our products from the market for labeled adverse events or for other reasons. For example, during the three and six months ended June 30, 2025, as a precautionary measure, we voluntarily withdrew three lots of BIVIGAM and we recorded a reduction to revenue of $0.2 million and $4.0 million, respectively, for credits issued to customers for the related product returns. Recalls or withdrawals of any of our products could divert managerial and financial resources which could have an adverse effect on our financial condition and results of operations. An inability to address a quality or safety issue by us or by a third-party vendor in an effective and timely manner may also cause negative publicity or a loss of customer confidence in us or our current or future products, which may result in the loss of current or future sales and difficulty in successfully commercializing our current products and launching new products.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and state and local regulations, or due to testing results not meeting specifications. As a result, our operating results are subject to potentially significant variability from one reporting period to the next should such losses or write-downs occur in any given period. Additionally, because our products and product candidates are plasma-based products, not only are we subject to the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46</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If physicians, payers and patients do not accept and use our current products or our future product candidates, our ability to generate revenue from these products will be materially impaired.</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Even if the FDA approves a product made by us, physicians, payers and patients may not accept and use it. Acceptance and use of our products depends on a number of factors including, but not limited to: </w: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perceptions by members of the healthcare community, including physicians, about the safety and effectiveness of our products; </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228600" cy="175260"/>
                <wp:effectExtent l="0" t="0" r="0" b="0"/>
                <wp:wrapSquare wrapText="right"/>
                <wp:docPr id="150" name="Frame1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cost-effectiveness of our products relative to competing products; </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228600" cy="175260"/>
                <wp:effectExtent l="0" t="0" r="0" b="0"/>
                <wp:wrapSquare wrapText="right"/>
                <wp:docPr id="151" name="Frame1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availability of reimbursement for our products from government or other healthcare payers; and </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228600" cy="175260"/>
                <wp:effectExtent l="0" t="0" r="0" b="0"/>
                <wp:wrapSquare wrapText="right"/>
                <wp:docPr id="152" name="Frame1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effectiveness of marketing and distribution efforts by us and our licensees and distributors, if any. </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228600" cy="175260"/>
                <wp:effectExtent l="0" t="0" r="0" b="0"/>
                <wp:wrapSquare wrapText="right"/>
                <wp:docPr id="153" name="Frame1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failure of our current or future products to find market acceptance would harm our business and could require us to seek additional financing or make such financing difficult to obtain on favorable terms, if at all.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r>
        <w:rPr>
          <w:rFonts w:ascii="TimesNewRoman;Times New Roman;Times;Baskerville;Georgia;serif" w:hAnsi="TimesNewRoman;Times New Roman;Times;Baskerville;Georgia;serif"/>
          <w:sz w:val="20"/>
        </w:rPr>
        <w:t xml:space="preserve"> </w:t>
      </w:r>
    </w:p>
    <w:p>
      <w:pPr>
        <w:pStyle w:val="TextBody"/>
        <w:bidi w:val="0"/>
        <w:spacing w:before="0" w:after="0"/>
        <w:ind w:left="720" w:right="0" w:hanging="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 Estimates include, among other things, accruals for U.S. Medicaid rebates related to the sale of our immunoglobulin products. We accrue these rebates at the time of sale based on our estimates of the sales mix of our products and the portion of the products we sell that will be prescribed to Medicaid beneficiaries. These estimates are based on historical experience and certain other assumptions, and while we believe that such estimates are reasonable, they are subject to change based on future experience, Medicaid utilization trends and other factors. If any of our ratios, factors, assessments, experiences or judgments are not indicative or accurate estimates of our future experience, our results could be materially affected. Estimates that are most at risk for material adjustment include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 or the ultimate settlement or resolution of payer claims. For example, during 2024 we engaged a third-party specialist to assist in the evaluation of our accrual for U.S. Medicaid rebates related to the sale of our immunoglobulin products. As a result of this evaluation, we recognized a reduction in this accrual and a corresponding increase to net revenues of $12.6 million for the year ended December 31, 2024. We considered several qualitative factors when evaluating our rebate accrual, such as the absence of a statutory limitation on the rebate amounts drug manufacturers pay to state Medicaid programs and general uncertainty that pharmaceutical manufacturers have historically seen with government payers often submitting lagged claims many periods after the initial dispensing of a product to an end patient. There was additional new information that arose during June 2024 that suggested our liabilities for certain payer claims were successfully resolved, which resulted in the $12.6 million adjustment to the accrual for U.S. Medicaid rebates in June 2024. </w:t>
      </w:r>
    </w:p>
    <w:p>
      <w:pPr>
        <w:pStyle w:val="TextBody"/>
        <w:bidi w:val="0"/>
        <w:spacing w:before="0" w:after="0"/>
        <w:jc w:val="both"/>
        <w:rPr/>
      </w:pPr>
      <w:r>
        <w:rPr/>
        <w:t xml:space="preserve">  </w:t>
      </w:r>
    </w:p>
    <w:p>
      <w:pPr>
        <w:pStyle w:val="TextBody"/>
        <w:bidi w:val="0"/>
        <w:spacing w:lineRule="auto" w:line="256"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the Patient Protection and Affordable Care Act (“ACA”) included a significant expansion of state Medicaid programs. If more states decide to take advantage of these programs such that more individuals become eligible for coverage, Medicaid utilization of our products could increase, resulting in a corresponding increase in our rebate payments. Such rebate payments may exceed what we have accrued for during the applicable period.  Increases in Medicaid rebate payments could decrease our net revenues from product sales, which in turn could adversely affect our business, financial position, and operating results.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47</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current product development portfolio consists primarily of label expansion activities for ASCENIV, as well as expanding our IP estate with patents issued for </w:t>
      </w:r>
      <w:r>
        <w:rPr>
          <w:rFonts w:ascii="TimesNewRoman;Times New Roman;Times;Baskerville;Georgia;serif" w:hAnsi="TimesNewRoman;Times New Roman;Times;Baskerville;Georgia;serif"/>
          <w:i/>
          <w:sz w:val="20"/>
        </w:rPr>
        <w:t>S. pneumoniae</w:t>
      </w:r>
      <w:r>
        <w:rPr>
          <w:rFonts w:ascii="TimesNewRoman;Times New Roman;Times;Baskerville;Georgia;serif" w:hAnsi="TimesNewRoman;Times New Roman;Times;Baskerville;Georgia;serif"/>
          <w:sz w:val="20"/>
        </w:rPr>
        <w:t xml:space="preserve"> hyperimmune IG. We have initiated small-scale preclinical activities to potentially expand our current portfolio through new product development efforts. If we are not successful in developing or acquiring additional products and product candidates, we will have to depend on our ability to continue to generate revenues from ASCENIV, BIVIGAM, Nabi-HB, intermediates, contract manufacturing and plasma attributable to the operations of ADMA BioCenters to support our operations.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Our ADMA BioCenters operations collect information from donors in the United States that subjects us to consumer and health privacy laws, which could create enforcement and litigation exposure if we fail to meet their requirements.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requirements with respect to safeguarding the privacy, security and transmission of protected health information (“PHI”) held by covered entities and business associates. HIPAA “covered entities” include health plans/insurers, healthcare providers engaging in HIPAA standard electronic transactions and healthcare clearinghouses.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with the service provider that receives PHI on behalf of the entity.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Personal information that we obtain pursuant to a clinical trial may be subject to U.S. Federal Trade Commission (the “FTC”) privacy regulation. Failing to take appropriate steps to keep consumers’ personal information secure may constitute an unfair act or practice violating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less prescriptive than, what is required by the HIPAA Security Rule. In addition, states impose a variety of laws protecting consumer information, with certain sensitive information such as HIV/Sexually Transmitted Infection status subject to heightened standards. In addition, federal and state privacy, data security, and breach notification laws, rules and regulations, and other laws apply to the collection, use and security of personal information, such as Social Security Numbers, driver’s license numbers, government identifiers, credit card and financial account numbers. For example, the CCPA was amended by the CPRA,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data breach. We could be subject to enforcement action and litigation exposure if we fail to adhere to these data privacy and security laws. Virginia, Colorado, Connecticut and Utah have also enacted privacy laws that became effective in 2023 and are similar in many respects to the CCPA. Several other states have also enacted privacy laws similar to the CCPA that will become effective in the coming years, adding to potential privacy compliance obligations.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The JPMorgan Credit Facilities are subject to acceleration in specified circumstances, which may result in JPMorgan taking possession and disposing of any collateral.</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August 5, 2025 (the “JPM Closing Date”), we entered into a credit agreement with JPMorgan and certain other lenders party thereto (the “JPM Credit Agreement”) (see “Liquidity and Capital Resources”). The JPM Credit Agreement provides for a total of $300 million in senior secured credit facilities (the “JPM Credit Facilities”) consisting of (i) a term loan in the aggregate principal amount of $75 million, which was drawn in full on the JPM Closing Date, and (ii) a revolving credit facility in the aggregate principal amount of up to $225 million (collectively, the “JPM Loans”), none of which was drawn on the JPM Closing Date. The JPM Credit Facility has a maturity date of August 5, 2028.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JPM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would incur an increase in the rate of interest on the JPM Loans of 2% per annum. The occurrence of an event of default could result in, among other things, the termination of commitments under the JPM Credit Facilities, the declaration that all outstanding loans are immediately due and payable in whole or in part, and JPMorgan taking immediate possession of, and selling, any collateral securing the JPM Loans.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48</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Developments by competitors may render our products or technologies obsolete or non-competitive.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biotechnology and pharmaceutical industries are intensely competitive and subject to rapid and significant technological change. Our current products and any future product we may develop will have to compete with other marketed therapies, and certain of such therapies may be available at prices lower than our products.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If we are unable to protect our patents, trade secrets or other proprietary rights, if our patents are challenged or if our provisional patent applications do not get approved, our competitiveness and business prospects may be materially damaged.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we move forward in clinical development, we continue to discover novel technologies related to our products and we may draft patent applications directed to these technologies. We rely on a combination of patent rights, trade secrets, intellectual property assignment agreements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invention assignment,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We could lose market exclusivity of a product earlier than expected.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the pharmaceutical and biotechnology industries, the majority of an innovative product’s commercial value is realized during its market exclusivity period. In the United States and in some other countries, when market exclusivity expires and generic or biosimilar versions are approved and marketed or when biosimilars are introduced (even if only for a competing product), there are usually very substantial and rapid declines in a product’s revenues.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49</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There is no assurance that ASCENIV, or any other of our products for which we are issued a patent, will enjoy market exclusivity for the full time period of the respective patent.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Third parties could obtain patents that may require us to negotiate licenses to conduct our business, and there can be no assurance that the required licenses would be available on reasonable terms or at all.</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If we are unable to successfully manage our growth, our business may be harmed.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success will depend on the expansion of our commercial and manufacturing activities, supply of raw material plasma and overall operations and the effective management of our growth, which will place a significant strain on our management and on our administrative, operational and financial resources. To manage this growth, we must expand our operational, financial and management systems and hire and train additional qualified personnel. If we are unable to manage our growth effectively, our business could be harmed.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The loss of one or more key members of our management team could adversely affect our business.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The loss of services of key personnel, or the inability to attract and retain additional qualified personnel, could result in delays in development or approval of our product candidates and diversion of management resources.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50</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Cyberattacks and other security breaches could compromise our proprietary and confidential information or otherwise penetrate our network, which could harm our business and reputation.</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5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personal data and our proprietary and confidential information including e-mails and other electronic communications. Cybersecurity vulnerabilities can also arise from human error, fraud or malice on the part of our employees, other insiders, vendors, suppliers, other third parties, or from technology or product enhancements or the migration of information and data to new technology platforms, systems or applications. Hackers and other threat actors may impersonate our vendors, suppliers or other third parties with whom we do business, which may result in financial harm to our business. Further, while many of our employees and certain suppliers with whom we do business operate in a remote working environment, the risk of cybersecurity attacks and data breaches, particularly through phishing attempts and ransomware attacks, may be increased as we and third parties with whom we interact leverage our IT infrastructure in unanticipated ways. In addition, an employee, contractor, or other third parties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integrity, availability of, or public disclosure or loss of, confidential business or proprietary information could disrupt our operations, damage our reputation, provide our competitors with valuable information and subject us to additional costs which could adversely affect our business and reputation. We have set out elsewhere in this Annual Report on Form 10-K our obligations relating to cybersecurity under certain laws and potential liabilities and risks arising from any infringements under these laws. We may also be subject to additional industry-specific privacy, cybersecurity, data protection, operational and information systems resilience, and artificial intelligence-related laws in the applicable jurisdictions which may subject us to additional similar risks and impacts.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 xml:space="preserve">Issues in the development and use of AI may result in reputational harm and increased liability exposure. </w:t>
      </w:r>
    </w:p>
    <w:p>
      <w:pPr>
        <w:pStyle w:val="TextBody"/>
        <w:bidi w:val="0"/>
        <w:spacing w:before="0" w:after="0"/>
        <w:jc w:val="both"/>
        <w:rPr/>
      </w:pPr>
      <w:r>
        <w:rPr/>
        <w:t xml:space="preserve">  </w:t>
      </w:r>
    </w:p>
    <w:p>
      <w:pPr>
        <w:pStyle w:val="TextBody"/>
        <w:bidi w:val="0"/>
        <w:spacing w:lineRule="auto" w:line="256" w:before="0" w:after="0"/>
        <w:ind w:left="0" w:right="0" w:firstLine="75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have engaged a third-party firm to assist the Company with the development and deployment of an AI tool, ADMAlytics, to improve efficiencies across our supply chain, production, and commercial operations.  This tool has been used to assist with activities including plasma pool composition and identifying other manufacturing efficiencies to streamline certain operational processes. While we have successfully implemented ADMAlytics in certain aspects of our commercial manufacturing and expanded its use throughout fiscal year 2025, the development, implementation, and ongoing use of AI technologies involve inherent risks. While ADMA has not experienced any issues to date, these risks include potential data inaccuracies, flawed assumptions, system errors, cybersecurity vulnerabilities, unintended outcomes, and difficulties in integrating AI-driven insights into complex and highly regulated manufacturing and operational environments. If ADMAlytics fails to perform as intended or produces unreliable or biased outputs, our reputation could be harmed and we could be subject to legal exposure, which could adversely affect our business, results of operations, and financial condition.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If we are unable to hire and retain a substantial number of qualified personnel, our ability to sustain and grow our business may be harmed.</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may hire additional new employees devoted to our plasma collection centers, commercialization, sales, marketing, medical and scientific affairs, regulatory affairs, quality control, information technology,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We currently collect human blood plasma at our ADMA BioCenters facilities, and if we cannot maintain FDA licensure for these facilities or obtain FDA licensure for additional facilities that we may construct or acquire rights to, we may be adversely affected and may not be able to sell or use this human blood plasma for future commercial purposes.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intend to maintain FDA licensure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licensure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There are no assurances we will be able to maintain compliance with all FDA or other regulations. There is also no guarantee that we will be able to fulfill our contractual requirements to our customers.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We may incur substantial liabilities and may be required to limit commercialization of our products in response to product liability lawsuits.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lineRule="auto" w:line="256" w:before="0" w:after="0"/>
        <w:ind w:left="0" w:right="0" w:hanging="0"/>
        <w:jc w:val="both"/>
        <w:rPr>
          <w:rFonts w:ascii="Times New Roman;serif" w:hAnsi="Times New Roman;serif"/>
          <w:sz w:val="20"/>
        </w:rPr>
      </w:pPr>
      <w:r>
        <w:rPr>
          <w:rFonts w:ascii="Times New Roman;serif" w:hAnsi="Times New Roman;serif"/>
          <w:sz w:val="20"/>
        </w:rPr>
        <w:t>The laws governing our conduct in the United States are enforceable on the federal, state and local levels by criminal, civil and administrative sanctions. Violations of laws such as the FDCA,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criminal fines, imprisonment, civil monetary penalties and damages, exclusion from participation in federal healthcare programs (including Medicare and Medicaid), suspension and debarment from government contracts, and refusal of orders under existing government contracts, pursuant to enforcement actions by DOJ, CMS,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participation in applicable state healthcare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promulgated a regulation in 2020 that is effective in two phases. First, the regulation excludes from the definition of “remuneration” limited categories of (a) PBM rebates or other reductions in price to a plan sponsor under Medicare Part D or a Medicaid Managed Care Organization plan reflected in point-of-sale reductions in price and (b) PBM service fees paid by a manufacturer to a PBM.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Subsequent legislation and a final rule promulgated on December 29, 2023 delayed implementation of this portion of the rule until January 1, 2032.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not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Failure to satisfy requirements under the FDCA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FDCA and subjects us to civil and criminal sanctions. Furthermore, sanctions under the federal False Claims Act have been brought against companies accused of promoting off-label uses of drugs, because such promotion induces unapproved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 Further, approval in one country does not mean we are more likely to obtain approval in another country.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some countries, particularly the countries of the European Union, regulate the pricing and reimbursement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 </w:t>
      </w:r>
    </w:p>
    <w:p>
      <w:pPr>
        <w:pStyle w:val="TextBody"/>
        <w:bidi w:val="0"/>
        <w:spacing w:before="0" w:after="0"/>
        <w:jc w:val="both"/>
        <w:rPr/>
      </w:pPr>
      <w:r>
        <w:rPr/>
        <w:t xml:space="preserve">  </w:t>
      </w:r>
    </w:p>
    <w:p>
      <w:pPr>
        <w:pStyle w:val="TextBody"/>
        <w:bidi w:val="0"/>
        <w:spacing w:before="0" w:after="0"/>
        <w:ind w:left="0" w:right="0" w:firstLine="75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Most U.S.-based pharmaceutical companies have such programs. We have instituted a healthcare compliance and ethics program that incorporates the OIG’s recommendations and voluntary industry guidelines and have trained our employees. Maintaining such a program can be expensive and may not provide assurance that we will avoid compliance issues.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We are subject to extensive and rigorous governmental regulation, including the requirement of FDA and other federal, state and local business regulatory 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Both before and after the approval of our products, our products, operations, facilities, suppliers and CROs are subject to extensive regulation by federal, state and local governmental authorities in the United States and other countries, with regulations differing from country to country. In the United States,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United States without FDA and other federal, state and local business regulatory approvals. Any failure to receive the marketing approvals necessary to commercialize our products or product candidates could harm our business. </w:t>
      </w:r>
    </w:p>
    <w:p>
      <w:pPr>
        <w:pStyle w:val="TextBody"/>
        <w:bidi w:val="0"/>
        <w:spacing w:before="0" w:after="0"/>
        <w:jc w:val="both"/>
        <w:rPr/>
      </w:pPr>
      <w:r>
        <w:rPr/>
        <w:t xml:space="preserve">  </w:t>
      </w:r>
    </w:p>
    <w:p>
      <w:pPr>
        <w:pStyle w:val="TextBody"/>
        <w:bidi w:val="0"/>
        <w:spacing w:before="0" w:after="0"/>
        <w:ind w:left="0" w:right="0" w:firstLine="675"/>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January 2019 and most recently October 2025, the U.S. government has shut down several times and certain regulatory agencies, such as the FDA and the SEC, have had to furlough critical employees and stop critical activities. Separately, in response to the COVID-19 pandemic, the FDA postponed most inspections at domestic and foreign manufacturing facilities from March 2020 until July 2021. Also, in 2025, there was an FDA reduction in force. If a prolonged government shutdown or regulatory agency disruption reoccurs, or in the event the FDA has an insufficient amount of staff, it could significantly impact the ability of the FDA to timely review and process our regulatory submissions, conduct evaluations and inspections and other reporting requirements which could have a material adverse effect on our business. Further, future government shutdowns could impact our ability to access the public markets and obtain capital that may be necessary in order to properly capitalize and continue our operations.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There may be and have been changes in legal and regulatory requirements that may materially impact our results of operation.</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may face new risks as a result of changes in legal and regulatory requirements that may impact our operations and future prospects. For example, the 2025 change in the U.S. federal administration, as well as changes in legal standards, including the reduced level of judicial deference due to administrative agencies following a 2024 Supreme Court decision, may and does introduce regulatory and legal uncertainties that impact our operations. New federal or state laws and regulations may be, and have been, passed or enforced differently than they were before, requiring that we adapt, which we may not be able to do, and expend additional resources to ensure that we are able to comply. New laws and regulations, or the enforcement of the same, may also adversely restrict how we conduct our business. There could also be changes in the FDA’s approval standards that could impact our ability to obtain and maintain product approvals and market our product candidates or that otherwise could impact the competitive market for our products. Legal and regulatory changes may additionally impact how we may market and sell our products and how they are reimbursed. We cannot predict the exact nature of any changes that may take place or whether and how they may impact our business and results of operation.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55</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The manufacturing processes for plasma-based biologics are complex and involve biological intermediates that are susceptible to contamination and impurities.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certain amounts of raw materials and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this Annual Report on Form 10-K.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Our ability to continue to produce safe and effective products depends on the safety of our plasma supply, testing by third parties and the timing of receiving the testing results, and manufacturing processes we have in place to counter transmittable diseases.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56</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We could become supply-constrained and our financial performance would suffer if we cannot obtain adequate quantities of FDA-approved source and high-titer plasma with proper specifications or other necessary raw materials.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order for plasma to be used in the manufacturing of our products, the individual centers at which the plasma is collected must generally be licensed by the FDA and approved by the regulatory authorities of any country in which we may wish to commercialize our products. States also may have their own licensing and regulatory requirements. When we or our third-party suppliers open a new plasma center, and on an ongoing basis after licensure, it must be inspected by the FDA and the applicable regulatory authorities for compliance with cGMP and other regulatory requirements. Therefore, even if we or our third-party suppliers are able to construct or acquire new plasma collection centers to complement our current plasma collection network, an unsatisfactory inspection could prevent a new center from being licensed or risk the suspension or revocation of an existing license, among other enforcement actions. Additionally, although we are currently self-sufficient in our normal source plasma supply through our existing plasma collection centers, we remain reliant on the purchase of RSV plasma from third parties and the collection of RSV and normal source plasma from our FDA-licensed plasma collection centers to manufacture our products. We can give no assurances that appropriate plasma will be available to us through our own plasma collection facilities or on commercially reasonable terms, or at all, to manufacture our products, or that third parties will be able to supply plasma to us in accordance with plasma purchase agreements.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57</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The biosimilar pathway established as part of healthcare reform may make it easier for competitors to market biosimilar products.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ACA and the companion Healthcare and Education Reconciliation Act (which together are referred to as 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This exclusivity period, however, is subject to certain limitations. For example, the exclusivity only applies to the first licensure of a product, as defined in statute and FDA guidance, and, thus, not all BLAs will have exclusivity protection. There may also be future legislative efforts to decrease this period of exclusivity. The FDA also may not consider a particular biologic to be a reference product or competitors may pursue full traditional BLAs, rather than the biosimilar pathway, which full BLAs would not be blocked by the regulatory exclusivity. Moreover, following the submission of a biosimilar application, we may need to institute patent infringement actions or may be subject to actions for declaratory judgment, which may be time consuming and costly.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In 2025, the FDA also potentially made it easier for sponsors of biosimilar or interchangeable products to obtain approval, easing requirements for biosimilar comparative efficacy clinical studies and interchangeable product switching studies. The FDA approved the first biosimilar product in 2015 and has since approved a number of biosimilars. As a result of the biosimilar pathway in the United States, we expect in the future to face greater competition from biosimilar products, including a possible increase in patent challenges.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58</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The implementation of the Healthcare Reform Law in the United States may adversely affect our business.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Through the March 2010 adoption of the Healthcare Reform Law in the United States, substantial changes have been made to the current system for paying for healthcare in the United States,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regulations have established a civil monetary penalty for failure to refund these overcharges.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w:t>
      </w:r>
    </w:p>
    <w:p>
      <w:pPr>
        <w:pStyle w:val="TextBody"/>
        <w:bidi w:val="0"/>
        <w:spacing w:before="0" w:after="0"/>
        <w:jc w:val="both"/>
        <w:rPr/>
      </w:pPr>
      <w:r>
        <w:rPr/>
        <w:t xml:space="preserve">  </w:t>
      </w:r>
    </w:p>
    <w:p>
      <w:pPr>
        <w:pStyle w:val="TextBody"/>
        <w:bidi w:val="0"/>
        <w:spacing w:before="0" w:after="0"/>
        <w:ind w:left="0" w:right="0" w:firstLine="75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Inflation Reduction Act also amended certain discount obligations originally implemented under the Healthcare Reform Law. In January 2025, the Inflation Reduction Act implemented a new manufacturer discount program that requires participating manufacturers to provide discounts on applicable drugs in both the Initial Coverage and Catastrophic Coverage phases of the Part D benefit. The discount requirement could adversely affect our future financial performance, creating continued pressure to lower prices related to units sold to Medicare beneficiaries.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59</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Corporate responsibility, specifically related to Environmental, Social and Governance (“ESG”) matters, may impose additional costs and expose us to new risks.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We may face reputational damage in the event our corporate responsibility initiatives or objectives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Risks Relating to our Finances, Capital Requirements and Other Financial Matters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We may not have cash available to us in amounts sufficient to enable us to make interest or principal payments on our indebtedness when due.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JPM Credit Facilities provide for total senior secured loans in an aggregate principal amount of $300.0 million, of which $74.0 million is currently outstanding. The borrowing under the JPM Credit Facilities currently bears interest at a rate equal to approximately 6.4% per annum, which reflects the one-month term SOFR rate; provided, however, that upon, and during the continuance of, an event of default, the interest rate will automatically increase by an additional 200 basis points. We are currently required to make (i) payments of interest for our revolving facility, at quarterly, one-month or three-month intervals, depending upon the type of borrowing, during the remaining term of the JPM Credit Facilities, with all principal and unpaid interest due at maturity, and (ii) principal under our term loan facility, in accordance with and on the dates specified in the amortization schedule set forth in the JPM Credit Agreement, through the JPM Term Maturity Date. In addition, our monthly interest rate obligation under our revolving facility is subject to rising interest rates. The JPM Credit Facilities are subject to acceleration pursuant to the JPM Credit Agreement, including upon an event of default. All of our obligations under the JPM Credit Facilities are secured by a first-priority lien and security interest in substantially all of our and our subsidiaries’ tangible and intangible assets, including intellectual property, and all of the equity interests in our subsidiaries.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current and projected cash, cash equivalents and accounts receivable may not be sufficient to repay all of our current outstanding debt obligations as they mature. If we are unable to maintain sufficient positive cash flow to repay our outstanding debt obligations as they mature, we would need to obtain additional financing in the amounts necessary to repay our outstanding debt obligations when due. If we are unable to repay our outstanding debt obligations when they mature, our creditors would be able to accelerate all of the amounts due and, in the case of the JPM Credit Facilities, seek to enforce their security interests, which could lead to our creditors taking immediate possession of and selling substantially all of our assets with no return provided to our stockholders.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Raising additional funds by issuing securities or through licensing or lending arrangements may cause dilution to our existing stockholders, restrict our operations or require us to relinquish proprietary rights.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60</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Our cash and cash equivalents could be adversely affected if the financial institutions in which we hold our cash and cash equivalents fail.</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If we fail to maintain proper and effective internal control over financial reporting in the future, our ability to produce accurate and timely financial statements could be impaired, which could result in investors losing confidence in the accuracy and completeness of our financial statements, harm our operating results and negatively affect the market price of our common stock.</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Pursuant to Section 404 of the Sarbanes-Oxley Act of 2002 and related rules (the “Sarbanes-Oxley Act”), we are required to maintain internal control over financial reporting and our management is required to report on the effectiveness of our internal control over financial reporting, including any material weaknesses in such internal controls.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will need to implement further upgrades, to our financial, information and operating systems, implement additional financial and management controls, reporting systems and procedures and hire additional accounting and finance staff.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Because we became a large accelerated filer effective December 31, 2023, the Sarbanes-Oxley Act requires our independent registered public accounting firm to attest to the effectiveness of our internal control over financial reporting. Our transition to large accelerated filer status and becoming subject to additional requirements of the Sarbanes-Oxley Act has been and will continue to be time-consuming, and there is a risk of noncompliance. In addition, as a large accelerated filer, we have incurred and anticipate incurring additional fees due to the increased complexity of our financial statements and the additional efforts required by our status, including, but not limited to, higher accounting and auditor costs. Further, the costs associated with the compliance with and implementation of procedures under these and future laws and related rules could have a material impact on our results of operations.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related to the Sarbanes-Oxley Act. Moreover, if we have a material weakness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In addition, we could become subject to investigations by any stock exchange on which our securities are listed, the SEC or other regulatory authorities, which could require additional financial and management resources, which could have an adverse impact on our business.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Our ability to use our net operating loss carryforwards (“NOLs”) may be limited.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have incurred substantial losses during our history. As of December 31, 2025, we had federal and state NOLs of $265.6 million and $176.9 million, respectively. Federal and state NOLs of approximately $33.4 million and $46.8 million, respectively, will begin to expire at various dates beginning in 2029,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Although we did not experience any ownership changes for the years ended December 31, 2025, 2024 and 2023, we may experience ownership changes in the future as a result of subsequent changes in our stock ownership that we cannot predict or control that could result in further limitations being placed on our ability to utilize our federal NOLs.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Fluctuations in our tax obligations and effective tax rate and realization of our net deferred tax assets may result in volatility of our operating results and materially impact our financial condition or financial results.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are subject to taxes by the U.S. federal, state, and local tax authorities. We record income tax expense based on our estimates of future payments, which may include the recording of, or adjustments to, liabilities for uncertain tax positions, and the determination of a need for a valuation allowance related to our net deferred tax assets. In addition, at any one time multiple tax years may be subject to audit by various tax authorities. The results of these audits and negotiations with taxing authorities may affect the ultimate settlement of these issues and impact our results of operations. For fiscal year 2026 and beyond there could be ongoing variability in our effective tax rate as events occur and exposures are evaluated. The volatility of our future effective tax rate could be materially impacted by a number of factors, including: </w: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changes in our assessment of the lack of a need for a valuation allowance on our deferred tax assets; or </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228600" cy="175260"/>
                <wp:effectExtent l="0" t="0" r="0" b="0"/>
                <wp:wrapSquare wrapText="right"/>
                <wp:docPr id="154" name="Frame15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changes in U.S. federal, state and local tax rates, tax laws, regulations, or interpretations thereof. </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228600" cy="175260"/>
                <wp:effectExtent l="0" t="0" r="0" b="0"/>
                <wp:wrapSquare wrapText="right"/>
                <wp:docPr id="155" name="Frame15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our effective tax rate in a given financial statement period may be materially impacted by a variety of other factors including, but not limited to, changes in the mix and level of earnings, changes in the states and other jurisdictions in which we operate, and deductible expenses and limitations on the use of NOLs resulting from ownership changes. Further, tax legislation may be enacted or amended, as applicable, in the future which could materially impact our current or future tax structure and effective tax rates. We may be subject to audits of our income, sales, and other transaction taxes by U.S. federal, state, and local taxing authorities. Outcomes from these audits could have a material effect on our financial condition or financial results.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Risks Associated with our Common Stock</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The market price of our common stock may be volatile and may fluctuate in a way that is disproportionate to our operating performance.</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stock price may experience substantial volatility as a result of a number of factors, including: </w:t>
      </w:r>
    </w:p>
    <w:p>
      <w:pPr>
        <w:pStyle w:val="TextBody"/>
        <w:bidi w:val="0"/>
        <w:spacing w:before="0" w:after="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sales or potential sales of substantial amounts of our common stock; </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228600" cy="175260"/>
                <wp:effectExtent l="0" t="0" r="0" b="0"/>
                <wp:wrapSquare wrapText="right"/>
                <wp:docPr id="156" name="Frame15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delay or failure in initiating or completing preclinical or clinical trials or unsatisfactory results of these trials;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228600" cy="175260"/>
                <wp:effectExtent l="0" t="0" r="0" b="0"/>
                <wp:wrapSquare wrapText="right"/>
                <wp:docPr id="157" name="Frame15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delay in a decision by federal, state or local business regulatory authority; </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228600" cy="175260"/>
                <wp:effectExtent l="0" t="0" r="0" b="0"/>
                <wp:wrapSquare wrapText="right"/>
                <wp:docPr id="158" name="Frame1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timing of acceptance, third-party reimbursement and sales of BIVIGAM and ASCENIV;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228600" cy="175260"/>
                <wp:effectExtent l="0" t="0" r="0" b="0"/>
                <wp:wrapSquare wrapText="right"/>
                <wp:docPr id="159" name="Frame1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announcements about us or about our competitors, including clinical trial results, regulatory approvals or new product introductions; </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228600" cy="175260"/>
                <wp:effectExtent l="0" t="0" r="0" b="0"/>
                <wp:wrapSquare wrapText="right"/>
                <wp:docPr id="160" name="Frame16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developments concerning our licensors or third-party vendors; </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228600" cy="175260"/>
                <wp:effectExtent l="0" t="0" r="0" b="0"/>
                <wp:wrapSquare wrapText="right"/>
                <wp:docPr id="161" name="Frame1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litigation and other developments relating to our patents or other proprietary rights or those of our competitors; </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228600" cy="175260"/>
                <wp:effectExtent l="0" t="0" r="0" b="0"/>
                <wp:wrapSquare wrapText="right"/>
                <wp:docPr id="162" name="Frame1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conditions in the pharmaceutical or biotechnology industries;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228600" cy="175260"/>
                <wp:effectExtent l="0" t="0" r="0" b="0"/>
                <wp:wrapSquare wrapText="right"/>
                <wp:docPr id="163" name="Frame1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governmental regulation and legislation; </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228600" cy="175260"/>
                <wp:effectExtent l="0" t="0" r="0" b="0"/>
                <wp:wrapSquare wrapText="right"/>
                <wp:docPr id="164" name="Frame1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overall market volatility;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228600" cy="175260"/>
                <wp:effectExtent l="0" t="0" r="0" b="0"/>
                <wp:wrapSquare wrapText="right"/>
                <wp:docPr id="165" name="Frame16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global and economic uncertainty;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228600" cy="175260"/>
                <wp:effectExtent l="0" t="0" r="0" b="0"/>
                <wp:wrapSquare wrapText="right"/>
                <wp:docPr id="166" name="Frame1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variations in our anticipated or actual operating results; and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228600" cy="175260"/>
                <wp:effectExtent l="0" t="0" r="0" b="0"/>
                <wp:wrapSquare wrapText="right"/>
                <wp:docPr id="167" name="Frame1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change in securities analysts’ estimates of our performance, or our failure to meet analysts’ expectations.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228600" cy="175260"/>
                <wp:effectExtent l="0" t="0" r="0" b="0"/>
                <wp:wrapSquare wrapText="right"/>
                <wp:docPr id="168" name="Frame16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Sales of a substantial number of shares of our common stock, or the perception that such sales may occur, may adversely affect the market price of our common stock.</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February 20, 2026, most of our 238,159,176 outstanding shares of common stock,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Our affiliates control a substantial amount of our shares of common stock. Provisions in our Second Amended and Restated Certificate of Incorporation, as amended (the “Certificate of Incorporation”), our Amended and Restated Bylaws (the “Bylaws”) and Delaware law might discourage, delay or prevent a change in control of our Company or changes in our management and, therefore, depress the trading price of our common stock.</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BlackRock, Inc., The Vanguard Group, Inc., State Street Corporation and our directors and executive officers and their affiliates collectively owned approximately 30%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 </w: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inability of stockholders to call special meetings;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228600" cy="175260"/>
                <wp:effectExtent l="0" t="0" r="0" b="0"/>
                <wp:wrapSquare wrapText="right"/>
                <wp:docPr id="169" name="Frame16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classification of our Board and limitation on filling of vacancies could make it more difficult for a third party to acquire, or discourage a third party from seeking to acquire, control of our Company; and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228600" cy="175260"/>
                <wp:effectExtent l="0" t="0" r="0" b="0"/>
                <wp:wrapSquare wrapText="right"/>
                <wp:docPr id="170" name="Frame17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authorization of the issuance of “blank check” preferred stock, with such designation rights and preferences as may be determined from time to time by the Board, without any need for action by stockholders.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228600" cy="175260"/>
                <wp:effectExtent l="0" t="0" r="0" b="0"/>
                <wp:wrapSquare wrapText="right"/>
                <wp:docPr id="171" name="Frame17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We have never paid cash dividends and do not intend to pay cash dividends in the foreseeable future. As a result, capital appreciation, if any, will be your sole source of gain.</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JPM Credit Agreement prohibits us from paying dividends. As a result, capital appreciation, if any, of our common stock will be your sole source of gain for the foreseeable future.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Our Board may, without stockholder approval, issue and fix the terms of shares of preferred stock and issue additional shares of common stock adversely affecting the rights of holders of our common stock.</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December 31, 2025, there were 38,703,218 shares of common stock remaining available for issuance, after giving effect to 9,827,286 shares of our common stock that were subject to outstanding stock options and RSUs that may be issued by us without stockholder approval, as well as an additional 13,595,000 shares of our common stock reserved for the future issuance of awards under our equity compensation plans. </w:t>
      </w:r>
    </w:p>
    <w:p>
      <w:pPr>
        <w:pStyle w:val="TextBody"/>
        <w:bidi w:val="0"/>
        <w:spacing w:before="0" w:after="0"/>
        <w:jc w:val="left"/>
        <w:rPr/>
      </w:pPr>
      <w:r>
        <w:rPr/>
        <w:t> </w:t>
      </w:r>
    </w:p>
    <w:p>
      <w:pPr>
        <w:pStyle w:val="TextBody"/>
        <w:bidi w:val="0"/>
        <w:spacing w:before="0" w:after="0"/>
        <w:ind w:left="0" w:right="0" w:hanging="900"/>
        <w:jc w:val="left"/>
        <w:rPr>
          <w:rFonts w:ascii="Aptos" w:hAnsi="Aptos"/>
          <w:sz w:val="20"/>
        </w:rPr>
      </w:pPr>
      <w:r>
        <w:rPr>
          <w:rFonts w:ascii="Times New Roman" w:hAnsi="Times New Roman"/>
          <w:b/>
          <w:sz w:val="20"/>
        </w:rPr>
        <w:t>Unresolved Staff Comments</w:t>
      </w:r>
      <w:r>
        <w:rPr>
          <w:rFonts w:ascii="Aptos" w:hAnsi="Aptos"/>
          <w:sz w:val="20"/>
        </w:rPr>
        <w:t xml:space="preserve">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571500" cy="175260"/>
                <wp:effectExtent l="0" t="0" r="0" b="0"/>
                <wp:wrapSquare wrapText="right"/>
                <wp:docPr id="172" name="Frame17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9" w:name="Item_1B"/>
                            <w:bookmarkEnd w:id="9"/>
                            <w:r>
                              <w:rPr>
                                <w:rFonts w:ascii="Times New Roman" w:hAnsi="Times New Roman"/>
                                <w:b/>
                              </w:rPr>
                              <w:t>Item 1B.</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10" w:name="Item_1B"/>
                      <w:bookmarkEnd w:id="10"/>
                      <w:r>
                        <w:rPr>
                          <w:rFonts w:ascii="Times New Roman" w:hAnsi="Times New Roman"/>
                          <w:b/>
                        </w:rPr>
                        <w:t>Item 1B.</w:t>
                      </w:r>
                      <w:r>
                        <w:rPr/>
                        <w:t xml:space="preserve"> </w:t>
                      </w:r>
                    </w:p>
                  </w:txbxContent>
                </v:textbox>
                <w10:wrap type="square" side="right"/>
              </v:rect>
            </w:pict>
          </mc:Fallback>
        </mc:AlternateContent>
      </w:r>
    </w:p>
    <w:p>
      <w:pPr>
        <w:pStyle w:val="TextBody"/>
        <w:bidi w:val="0"/>
        <w:spacing w:before="0" w:after="0"/>
        <w:ind w:left="0" w:right="0" w:hanging="900"/>
        <w:jc w:val="left"/>
        <w:rPr/>
      </w:pPr>
      <w:r>
        <w:rPr/>
        <w:t> </w:t>
      </w:r>
    </w:p>
    <w:p>
      <w:pPr>
        <w:pStyle w:val="TextBody"/>
        <w:bidi w:val="0"/>
        <w:spacing w:before="0" w:after="0"/>
        <w:ind w:left="72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Not Applicable. </w:t>
      </w:r>
    </w:p>
    <w:p>
      <w:pPr>
        <w:pStyle w:val="TextBody"/>
        <w:bidi w:val="0"/>
        <w:spacing w:before="0" w:after="0"/>
        <w:ind w:left="0" w:right="0" w:hanging="720"/>
        <w:jc w:val="left"/>
        <w:rPr/>
      </w:pPr>
      <w:r>
        <w:rPr/>
        <w:t> </w:t>
      </w:r>
    </w:p>
    <w:p>
      <w:pPr>
        <w:pStyle w:val="TextBody"/>
        <w:bidi w:val="0"/>
        <w:spacing w:before="0" w:after="0"/>
        <w:ind w:left="0" w:right="0" w:hanging="900"/>
        <w:jc w:val="left"/>
        <w:rPr>
          <w:rFonts w:ascii="Aptos" w:hAnsi="Aptos"/>
          <w:sz w:val="20"/>
        </w:rPr>
      </w:pPr>
      <w:r>
        <w:rPr>
          <w:rFonts w:ascii="Times New Roman" w:hAnsi="Times New Roman"/>
          <w:b/>
          <w:sz w:val="20"/>
        </w:rPr>
        <w:t>Cybersecurity</w:t>
      </w:r>
      <w:r>
        <w:rPr>
          <w:rFonts w:ascii="Aptos" w:hAnsi="Aptos"/>
          <w:sz w:val="20"/>
        </w:rPr>
        <w:t xml:space="preserve">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571500" cy="175260"/>
                <wp:effectExtent l="0" t="0" r="0" b="0"/>
                <wp:wrapSquare wrapText="right"/>
                <wp:docPr id="173" name="Frame17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11" w:name="Item_1C"/>
                            <w:bookmarkEnd w:id="11"/>
                            <w:r>
                              <w:rPr>
                                <w:rFonts w:ascii="Times New Roman" w:hAnsi="Times New Roman"/>
                                <w:b/>
                              </w:rPr>
                              <w:t>Item 1C.</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12" w:name="Item_1C"/>
                      <w:bookmarkEnd w:id="12"/>
                      <w:r>
                        <w:rPr>
                          <w:rFonts w:ascii="Times New Roman" w:hAnsi="Times New Roman"/>
                          <w:b/>
                        </w:rPr>
                        <w:t>Item 1C.</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u w:val="single"/>
        </w:rPr>
        <w:t>Risk Management and Strategy</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recognize the importance of managing the material risks of cybersecurity threats, and we have implemented processes for identifying and assessing cybersecurity risks and incidents. We have also integrated these processes into our overall risk management system, including senior management’s periodic reviews of cybersecurity risks or threats. Senior management oversees and works closely with our IT department to continuously review and evaluate cybersecurity risks in alignment with our business goals and needs.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With respect to cybersecurity risks and threats, we utilize various third-party consultants and advisors to assist us with regular reviews, internal audits and best practices, including threat prevention and detection, security reviews and enhancements, penetration testing and full scope IT audits. ADMA also has strict processes in place for the review of third-party service providers engaged, including thorough security assessments before engagement and annual monitoring of their IT environments and controls.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u w:val="single"/>
        </w:rPr>
        <w:t>Governance</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President and Chief Executive Officer and Chief Operating Officer are primarily responsible for timely updating the Board and Audit Committee about any material cybersecurity incidents or threats or any cybersecurity related issues worthy of their attention. </w:t>
      </w:r>
    </w:p>
    <w:p>
      <w:pPr>
        <w:pStyle w:val="TextBody"/>
        <w:bidi w:val="0"/>
        <w:spacing w:before="0" w:after="0"/>
        <w:jc w:val="both"/>
        <w:rPr/>
      </w:pPr>
      <w:r>
        <w:rPr/>
        <w:t xml:space="preserve">  </w:t>
      </w:r>
    </w:p>
    <w:p>
      <w:pPr>
        <w:pStyle w:val="TextBody"/>
        <w:bidi w:val="0"/>
        <w:spacing w:before="0" w:after="0"/>
        <w:ind w:left="0" w:right="0" w:firstLine="720"/>
        <w:jc w:val="both"/>
        <w:rPr/>
      </w:pPr>
      <w:r>
        <w:rPr/>
        <w:t> </w:t>
      </w:r>
      <w:r>
        <w:rPr>
          <w:rFonts w:ascii="TimesNewRoman;Times New Roman;Times;Baskerville;Georgia;serif" w:hAnsi="TimesNewRoman;Times New Roman;Times;Baskerville;Georgia;serif"/>
          <w:sz w:val="20"/>
        </w:rPr>
        <w:t xml:space="preserve">Our Board has designated the Audit Committee as the primary committee responsible for overseeing, reviewing and managing cybersecurity risks and threats at ADMA. The Audit Committee is comprised of Board members with diverse experience in healthcare, finance and information technology, enabling them to effectively oversee cybersecurity risks and threats. Our management team, with assistance from third-party consultants or advisors as appropriate, provides quarterly updates regarding cybersecurity risks and threats to the Audit Committee and ad hoc updates or communications are provided to the entire Board as needed.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IT Operations team is primarily responsible for the timely identification, review, severity assessment and management of cybersecurity incidents. In the event of a cybersecurity incident, the IT Department leadership follows the procedures outlined in our Cybersecurity Incident Response Policy and works closely with management to form a Security Incident Response Team comprised of members from the appropriate functional teams. In accordance with this policy, senior management will also communicate the occurrence of any significant cybersecurity incidents to our Board, Audit Committee and auditors on a timely basis and will keep them informed of the remediation plans and progress.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maintain cybersecurity insurance coverage in an amount appropriate for our risk profile. We also conduct mandatory cybersecurity training for employees annually, and all new hires are required to complete cybersecurity training within 90 days of receiving their Company computer. Periodically, management conducts simulated phishing exercises to evaluate the effectiveness of its training programs. Employees who fall victim to these simulations may be required to participate in additional remedial cybersecurity training.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Employees within our IT Department receive ongoing cybersecurity awareness communications, including monthly newsletters highlighting emerging cybersecurity threats and developments, as well as targeted communications as appropriate. Separately, the IT Department periodically conducts cybersecurity tabletop exercises with assistance from third-party experts. Lessons learned from these exercises are incorporated into management’s ongoing assessment of cybersecurity risks and mitigation strategies.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members of the IT Department maintain industry recognized certifications related to cybersecurity, threat detection, and incident management. The Company also supports ongoing development by enabling IT personnel to participate in industry-led conferences and forums to stay informed of evolving cybersecurity trends, threats, and best practices. Insights gained through these activities are considered as part of ADMA’s broader cybersecurity risk management program. </w:t>
      </w:r>
    </w:p>
    <w:p>
      <w:pPr>
        <w:pStyle w:val="TextBody"/>
        <w:bidi w:val="0"/>
        <w:spacing w:before="0" w:after="0"/>
        <w:jc w:val="left"/>
        <w:rPr/>
      </w:pPr>
      <w:r>
        <w:rPr/>
        <w:t xml:space="preserve">  </w:t>
      </w:r>
    </w:p>
    <w:p>
      <w:pPr>
        <w:pStyle w:val="TextBody"/>
        <w:bidi w:val="0"/>
        <w:spacing w:before="0" w:after="0"/>
        <w:ind w:left="0" w:right="0" w:hanging="720"/>
        <w:jc w:val="left"/>
        <w:rPr>
          <w:rFonts w:ascii="TimesNewRoman;Times New Roman;Times;Baskerville;Georgia;serif" w:hAnsi="TimesNewRoman;Times New Roman;Times;Baskerville;Georgia;serif"/>
          <w:sz w:val="20"/>
        </w:rPr>
      </w:pPr>
      <w:bookmarkStart w:id="13" w:name="Properties"/>
      <w:bookmarkEnd w:id="13"/>
      <w:r>
        <w:rPr>
          <w:rFonts w:ascii="TimesNewRoman;Times New Roman;Times;Baskerville;Georgia;serif" w:hAnsi="TimesNewRoman;Times New Roman;Times;Baskerville;Georgia;serif"/>
          <w:b/>
          <w:sz w:val="20"/>
        </w:rPr>
        <w:t>Properties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457200" cy="175260"/>
                <wp:effectExtent l="0" t="0" r="0" b="0"/>
                <wp:wrapSquare wrapText="right"/>
                <wp:docPr id="174" name="Frame1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table below describes our principal facilities as of December 31, 2025: </w:t>
      </w:r>
    </w:p>
    <w:p>
      <w:pPr>
        <w:pStyle w:val="TextBody"/>
        <w:bidi w:val="0"/>
        <w:spacing w:before="0" w:after="0"/>
        <w:jc w:val="left"/>
        <w:rPr/>
      </w:pPr>
      <w:r>
        <w:rPr/>
        <w:t xml:space="preserve">  </w:t>
      </w:r>
    </w:p>
    <w:tbl>
      <w:tblPr>
        <w:tblW w:w="9035" w:type="dxa"/>
        <w:jc w:val="left"/>
        <w:tblInd w:w="0" w:type="dxa"/>
        <w:tblLayout w:type="fixed"/>
        <w:tblCellMar>
          <w:top w:w="0" w:type="dxa"/>
          <w:left w:w="0" w:type="dxa"/>
          <w:bottom w:w="0" w:type="dxa"/>
          <w:right w:w="0" w:type="dxa"/>
        </w:tblCellMar>
      </w:tblPr>
      <w:tblGrid>
        <w:gridCol w:w="1655"/>
        <w:gridCol w:w="3380"/>
        <w:gridCol w:w="90"/>
        <w:gridCol w:w="90"/>
        <w:gridCol w:w="1460"/>
        <w:gridCol w:w="90"/>
        <w:gridCol w:w="2270"/>
      </w:tblGrid>
      <w:tr>
        <w:trPr/>
        <w:tc>
          <w:tcPr>
            <w:tcW w:w="1655"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pPr>
            <w:r>
              <w:rPr>
                <w:b/>
              </w:rPr>
              <w:t>Location</w:t>
            </w:r>
            <w:r>
              <w:rPr/>
              <w:t xml:space="preserve"> </w:t>
            </w:r>
          </w:p>
        </w:tc>
        <w:tc>
          <w:tcPr>
            <w:tcW w:w="3380" w:type="dxa"/>
            <w:tcBorders/>
            <w:vAlign w:val="center"/>
          </w:tcPr>
          <w:p>
            <w:pPr>
              <w:pStyle w:val="TableContents"/>
              <w:bidi w:val="0"/>
              <w:spacing w:before="0" w:after="0"/>
              <w:jc w:val="left"/>
              <w:rPr/>
            </w:pPr>
            <w:r>
              <w:rPr>
                <w:b/>
              </w:rPr>
              <w:t>Principal Business Activity</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left"/>
              <w:rPr/>
            </w:pPr>
            <w:r>
              <w:rPr>
                <w:b/>
              </w:rPr>
              <w:t>Approximate</w:t>
            </w:r>
            <w:r>
              <w:rPr/>
              <w:t xml:space="preserve"> </w:t>
            </w:r>
          </w:p>
          <w:p>
            <w:pPr>
              <w:pStyle w:val="TableContents"/>
              <w:bidi w:val="0"/>
              <w:spacing w:before="0" w:after="0"/>
              <w:jc w:val="left"/>
              <w:rPr/>
            </w:pPr>
            <w:r>
              <w:rPr>
                <w:b/>
              </w:rPr>
              <w:t>Square Feet</w:t>
            </w:r>
            <w:r>
              <w:rPr/>
              <w:t xml:space="preserve"> </w:t>
            </w:r>
          </w:p>
        </w:tc>
        <w:tc>
          <w:tcPr>
            <w:tcW w:w="9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center"/>
              <w:rPr/>
            </w:pPr>
            <w:r>
              <w:rPr>
                <w:b/>
              </w:rPr>
              <w:t xml:space="preserve">Owned or expiration </w:t>
              <w:br/>
              <w:t>date of lease</w:t>
            </w:r>
            <w:r>
              <w:rPr/>
              <w:t xml:space="preserve"> </w:t>
            </w:r>
          </w:p>
        </w:tc>
      </w:tr>
      <w:tr>
        <w:trPr/>
        <w:tc>
          <w:tcPr>
            <w:tcW w:w="1655" w:type="dxa"/>
            <w:tcBorders/>
            <w:shd w:fill="CCEEFF" w:val="clear"/>
            <w:vAlign w:val="center"/>
          </w:tcPr>
          <w:p>
            <w:pPr>
              <w:pStyle w:val="TableContents"/>
              <w:bidi w:val="0"/>
              <w:spacing w:before="0" w:after="0"/>
              <w:jc w:val="left"/>
              <w:rPr/>
            </w:pPr>
            <w:r>
              <w:rPr/>
              <w:t xml:space="preserve">Ramsey, NJ </w:t>
            </w:r>
          </w:p>
        </w:tc>
        <w:tc>
          <w:tcPr>
            <w:tcW w:w="3380" w:type="dxa"/>
            <w:tcBorders/>
            <w:shd w:fill="CCEEFF" w:val="clear"/>
            <w:vAlign w:val="center"/>
          </w:tcPr>
          <w:p>
            <w:pPr>
              <w:pStyle w:val="TableContents"/>
              <w:bidi w:val="0"/>
              <w:spacing w:before="0" w:after="0"/>
              <w:jc w:val="left"/>
              <w:rPr/>
            </w:pPr>
            <w:r>
              <w:rPr/>
              <w:t xml:space="preserve">Corporate Headquarters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4,200</w:t>
            </w:r>
          </w:p>
        </w:tc>
        <w:tc>
          <w:tcPr>
            <w:tcW w:w="90" w:type="dxa"/>
            <w:tcBorders/>
            <w:shd w:fill="CCEEFF" w:val="clear"/>
            <w:vAlign w:val="center"/>
          </w:tcPr>
          <w:p>
            <w:pPr>
              <w:pStyle w:val="TableContents"/>
              <w:bidi w:val="0"/>
              <w:spacing w:before="0" w:after="283"/>
              <w:jc w:val="left"/>
              <w:rPr/>
            </w:pPr>
            <w:r>
              <w:rPr/>
              <w:t> </w:t>
            </w:r>
          </w:p>
        </w:tc>
        <w:tc>
          <w:tcPr>
            <w:tcW w:w="2270" w:type="dxa"/>
            <w:tcBorders/>
            <w:shd w:fill="CCEEFF" w:val="clear"/>
            <w:vAlign w:val="center"/>
          </w:tcPr>
          <w:p>
            <w:pPr>
              <w:pStyle w:val="TableContents"/>
              <w:bidi w:val="0"/>
              <w:spacing w:before="0" w:after="283"/>
              <w:jc w:val="center"/>
              <w:rPr/>
            </w:pPr>
            <w:r>
              <w:rPr/>
              <w:t xml:space="preserve">December 31, 2026* </w:t>
            </w:r>
          </w:p>
        </w:tc>
      </w:tr>
      <w:tr>
        <w:trPr/>
        <w:tc>
          <w:tcPr>
            <w:tcW w:w="1655" w:type="dxa"/>
            <w:tcBorders/>
            <w:vAlign w:val="center"/>
          </w:tcPr>
          <w:p>
            <w:pPr>
              <w:pStyle w:val="TableContents"/>
              <w:bidi w:val="0"/>
              <w:spacing w:before="0" w:after="0"/>
              <w:jc w:val="left"/>
              <w:rPr/>
            </w:pPr>
            <w:r>
              <w:rPr/>
              <w:t xml:space="preserve">Boca Raton, FL </w:t>
            </w:r>
          </w:p>
        </w:tc>
        <w:tc>
          <w:tcPr>
            <w:tcW w:w="3380" w:type="dxa"/>
            <w:tcBorders/>
            <w:vAlign w:val="center"/>
          </w:tcPr>
          <w:p>
            <w:pPr>
              <w:pStyle w:val="TableContents"/>
              <w:bidi w:val="0"/>
              <w:spacing w:before="0" w:after="0"/>
              <w:jc w:val="left"/>
              <w:rPr/>
            </w:pPr>
            <w:r>
              <w:rPr/>
              <w:t xml:space="preserve">Manufacturing and Administration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84,462</w:t>
            </w:r>
          </w:p>
        </w:tc>
        <w:tc>
          <w:tcPr>
            <w:tcW w:w="9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center"/>
              <w:rPr/>
            </w:pPr>
            <w:r>
              <w:rPr/>
              <w:t xml:space="preserve">Owned </w:t>
            </w:r>
          </w:p>
        </w:tc>
      </w:tr>
      <w:tr>
        <w:trPr/>
        <w:tc>
          <w:tcPr>
            <w:tcW w:w="1655" w:type="dxa"/>
            <w:tcBorders/>
            <w:shd w:fill="CCEEFF" w:val="clear"/>
            <w:vAlign w:val="center"/>
          </w:tcPr>
          <w:p>
            <w:pPr>
              <w:pStyle w:val="TableContents"/>
              <w:bidi w:val="0"/>
              <w:spacing w:before="0" w:after="0"/>
              <w:jc w:val="left"/>
              <w:rPr/>
            </w:pPr>
            <w:r>
              <w:rPr/>
              <w:t xml:space="preserve">Boca Raton, FL </w:t>
            </w:r>
          </w:p>
        </w:tc>
        <w:tc>
          <w:tcPr>
            <w:tcW w:w="3380" w:type="dxa"/>
            <w:tcBorders/>
            <w:shd w:fill="CCEEFF" w:val="clear"/>
            <w:vAlign w:val="center"/>
          </w:tcPr>
          <w:p>
            <w:pPr>
              <w:pStyle w:val="TableContents"/>
              <w:bidi w:val="0"/>
              <w:spacing w:before="0" w:after="0"/>
              <w:jc w:val="left"/>
              <w:rPr/>
            </w:pPr>
            <w:r>
              <w:rPr/>
              <w:t xml:space="preserve">Laboratory and Administration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44,495</w:t>
            </w:r>
          </w:p>
        </w:tc>
        <w:tc>
          <w:tcPr>
            <w:tcW w:w="90" w:type="dxa"/>
            <w:tcBorders/>
            <w:shd w:fill="CCEEFF" w:val="clear"/>
            <w:vAlign w:val="center"/>
          </w:tcPr>
          <w:p>
            <w:pPr>
              <w:pStyle w:val="TableContents"/>
              <w:bidi w:val="0"/>
              <w:spacing w:before="0" w:after="283"/>
              <w:jc w:val="left"/>
              <w:rPr/>
            </w:pPr>
            <w:r>
              <w:rPr/>
              <w:t> </w:t>
            </w:r>
          </w:p>
        </w:tc>
        <w:tc>
          <w:tcPr>
            <w:tcW w:w="2270" w:type="dxa"/>
            <w:tcBorders/>
            <w:shd w:fill="CCEEFF" w:val="clear"/>
            <w:vAlign w:val="center"/>
          </w:tcPr>
          <w:p>
            <w:pPr>
              <w:pStyle w:val="TableContents"/>
              <w:bidi w:val="0"/>
              <w:spacing w:before="0" w:after="283"/>
              <w:jc w:val="center"/>
              <w:rPr/>
            </w:pPr>
            <w:r>
              <w:rPr/>
              <w:t xml:space="preserve">Owned </w:t>
            </w:r>
          </w:p>
        </w:tc>
      </w:tr>
      <w:tr>
        <w:trPr/>
        <w:tc>
          <w:tcPr>
            <w:tcW w:w="1655" w:type="dxa"/>
            <w:tcBorders/>
            <w:vAlign w:val="center"/>
          </w:tcPr>
          <w:p>
            <w:pPr>
              <w:pStyle w:val="TableContents"/>
              <w:bidi w:val="0"/>
              <w:spacing w:before="0" w:after="0"/>
              <w:jc w:val="left"/>
              <w:rPr/>
            </w:pPr>
            <w:r>
              <w:rPr/>
              <w:t xml:space="preserve">Boca Raton, FL </w:t>
            </w:r>
          </w:p>
        </w:tc>
        <w:tc>
          <w:tcPr>
            <w:tcW w:w="3380" w:type="dxa"/>
            <w:tcBorders/>
            <w:vAlign w:val="center"/>
          </w:tcPr>
          <w:p>
            <w:pPr>
              <w:pStyle w:val="TableContents"/>
              <w:bidi w:val="0"/>
              <w:spacing w:before="0" w:after="0"/>
              <w:jc w:val="left"/>
              <w:rPr/>
            </w:pPr>
            <w:r>
              <w:rPr/>
              <w:t xml:space="preserve">Warehousing and Administration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38,195</w:t>
            </w:r>
          </w:p>
        </w:tc>
        <w:tc>
          <w:tcPr>
            <w:tcW w:w="9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center"/>
              <w:rPr/>
            </w:pPr>
            <w:r>
              <w:rPr/>
              <w:t xml:space="preserve">Owned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*Pursuant to a shared services agreement, as amended, with Areth, LLC ("Areth") for office, warehouse space and related services pursuant to which the Company pays Areth monthly lease payments of $10,000. Areth is a company controlled by Dr. Jerrold B. Grossman, our Vice Chairman of the Board of Directors, and Adam S. Grossman, our President and Chief Executive Officer.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65</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we maintained ten plasma collection centers in leased facilities mainly in the southeastern part of the U.S., which require lease payments through the respective lease terms that expire at various dates through 2033 (see Notes 5 and 12 to the consolidated financial statements appearing elsewhere in this report).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believe that our leased and owned properties are adequate to meet our current and future needs. </w:t>
      </w:r>
    </w:p>
    <w:p>
      <w:pPr>
        <w:pStyle w:val="TextBody"/>
        <w:bidi w:val="0"/>
        <w:spacing w:before="0" w:after="0"/>
        <w:jc w:val="left"/>
        <w:rPr/>
      </w:pPr>
      <w:r>
        <w:rPr/>
        <w:t xml:space="preserve">  </w:t>
      </w:r>
    </w:p>
    <w:p>
      <w:pPr>
        <w:pStyle w:val="TextBody"/>
        <w:bidi w:val="0"/>
        <w:spacing w:before="0" w:after="0"/>
        <w:ind w:left="0" w:right="0" w:hanging="720"/>
        <w:jc w:val="left"/>
        <w:rPr>
          <w:rFonts w:ascii="TimesNewRoman;Times New Roman;Times;Baskerville;Georgia;serif" w:hAnsi="TimesNewRoman;Times New Roman;Times;Baskerville;Georgia;serif"/>
          <w:sz w:val="20"/>
        </w:rPr>
      </w:pPr>
      <w:bookmarkStart w:id="14" w:name="Legal_Proceedings"/>
      <w:bookmarkEnd w:id="14"/>
      <w:r>
        <w:rPr>
          <w:rFonts w:ascii="TimesNewRoman;Times New Roman;Times;Baskerville;Georgia;serif" w:hAnsi="TimesNewRoman;Times New Roman;Times;Baskerville;Georgia;serif"/>
          <w:b/>
          <w:sz w:val="20"/>
        </w:rPr>
        <w:t>Legal Proceedings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457200" cy="175260"/>
                <wp:effectExtent l="0" t="0" r="0" b="0"/>
                <wp:wrapSquare wrapText="right"/>
                <wp:docPr id="175" name="Frame1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are and may become subject to certain legal proceedings and claims arising in connection with the normal course of our business. Neither the Company nor any of its subsidiaries are a party to any material pending legal proceedings, other than ordinary routine litigation incidental to our business. </w:t>
      </w:r>
    </w:p>
    <w:p>
      <w:pPr>
        <w:pStyle w:val="TextBody"/>
        <w:bidi w:val="0"/>
        <w:spacing w:before="0" w:after="0"/>
        <w:jc w:val="left"/>
        <w:rPr/>
      </w:pPr>
      <w:r>
        <w:rPr/>
        <w:t xml:space="preserve">  </w:t>
      </w:r>
    </w:p>
    <w:p>
      <w:pPr>
        <w:pStyle w:val="TextBody"/>
        <w:bidi w:val="0"/>
        <w:spacing w:before="0" w:after="0"/>
        <w:ind w:left="0" w:right="0" w:hanging="720"/>
        <w:jc w:val="left"/>
        <w:rPr>
          <w:rFonts w:ascii="TimesNewRoman;Times New Roman;Times;Baskerville;Georgia;serif" w:hAnsi="TimesNewRoman;Times New Roman;Times;Baskerville;Georgia;serif"/>
          <w:sz w:val="20"/>
        </w:rPr>
      </w:pPr>
      <w:bookmarkStart w:id="15" w:name="Mine_Safety_Disclosures"/>
      <w:bookmarkEnd w:id="15"/>
      <w:r>
        <w:rPr>
          <w:rFonts w:ascii="TimesNewRoman;Times New Roman;Times;Baskerville;Georgia;serif" w:hAnsi="TimesNewRoman;Times New Roman;Times;Baskerville;Georgia;serif"/>
          <w:b/>
          <w:sz w:val="20"/>
        </w:rPr>
        <w:t>Mine Safety Disclosures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457200" cy="175260"/>
                <wp:effectExtent l="0" t="0" r="0" b="0"/>
                <wp:wrapSquare wrapText="right"/>
                <wp:docPr id="176" name="Frame1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Not applicable.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66</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PART II</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ind w:left="0" w:right="0" w:hanging="720"/>
        <w:jc w:val="left"/>
        <w:rPr>
          <w:rFonts w:ascii="TimesNewRoman;Times New Roman;Times;Baskerville;Georgia;serif" w:hAnsi="TimesNewRoman;Times New Roman;Times;Baskerville;Georgia;serif"/>
          <w:sz w:val="20"/>
        </w:rPr>
      </w:pPr>
      <w:bookmarkStart w:id="16" w:name="Market_for_Registrants_Common_Equity_Rel"/>
      <w:bookmarkEnd w:id="16"/>
      <w:r>
        <w:rPr>
          <w:rFonts w:ascii="TimesNewRoman;Times New Roman;Times;Baskerville;Georgia;serif" w:hAnsi="TimesNewRoman;Times New Roman;Times;Baskerville;Georgia;serif"/>
          <w:b/>
          <w:sz w:val="20"/>
        </w:rPr>
        <w:t>Market for Registrant’s Common Equity, Related Stockholder Matters and Issuer Purchases of Equity Securities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457200" cy="175260"/>
                <wp:effectExtent l="0" t="0" r="0" b="0"/>
                <wp:wrapSquare wrapText="right"/>
                <wp:docPr id="177" name="Frame1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5.</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Market Information</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Since October 22, 2019, our common stock has been listed on the Nasdaq Global Market under the symbol “ADMA”.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Holders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February 20, 2026, there were seven record holders of our common stock, based upon information received from our transfer agent.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Dividend Policy</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have never paid any cash dividends on our capital stock. We anticipate that we will retain earnings, if any, to support operations and to finance the growth and development of our business. In addition, the terms of our JPM Credit Agreement preclude us from paying cash dividends without their consent. Therefore, we do not expect to pay any cash dividends for the foreseeable future.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Stock Performance Graph</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following graph assumes a $100 investment on December 31, 2020 in each of (i) the Company’s Common Stock, (ii) the XBI Biotech Index of biotechnology companies and (iii) the Russell 2000 Index.</w:t>
      </w:r>
    </w:p>
    <w:p>
      <w:pPr>
        <w:pStyle w:val="TextBody"/>
        <w:bidi w:val="0"/>
        <w:spacing w:before="0" w:after="0"/>
        <w:ind w:left="0" w:right="0" w:firstLine="720"/>
        <w:jc w:val="both"/>
        <w:rPr/>
      </w:pPr>
      <w:r>
        <w:rPr/>
        <w:t> </w:t>
      </w:r>
    </w:p>
    <w:p>
      <w:pPr>
        <w:pStyle w:val="TextBody"/>
        <w:bidi w:val="0"/>
        <w:spacing w:before="0" w:after="0"/>
        <w:jc w:val="center"/>
        <w:rPr/>
      </w:pPr>
      <w:r>
        <w:rPr/>
        <w:drawing>
          <wp:inline distT="0" distB="0" distL="0" distR="0">
            <wp:extent cx="4744085" cy="3353435"/>
            <wp:effectExtent l="0" t="0" r="0" b="0"/>
            <wp:docPr id="17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 descr=""/>
                    <pic:cNvPicPr>
                      <a:picLocks noChangeAspect="1" noChangeArrowheads="1"/>
                    </pic:cNvPicPr>
                  </pic:nvPicPr>
                  <pic:blipFill>
                    <a:blip r:embed="rId2"/>
                    <a:stretch>
                      <a:fillRect/>
                    </a:stretch>
                  </pic:blipFill>
                  <pic:spPr bwMode="auto">
                    <a:xfrm>
                      <a:off x="0" y="0"/>
                      <a:ext cx="4744085" cy="3353435"/>
                    </a:xfrm>
                    <a:prstGeom prst="rect">
                      <a:avLst/>
                    </a:prstGeom>
                  </pic:spPr>
                </pic:pic>
              </a:graphicData>
            </a:graphic>
          </wp:inline>
        </w:drawing>
      </w:r>
      <w:r>
        <w:rPr/>
        <w:t xml:space="preserve"> </w:t>
      </w:r>
    </w:p>
    <w:p>
      <w:pPr>
        <w:pStyle w:val="TextBody"/>
        <w:bidi w:val="0"/>
        <w:spacing w:before="0" w:after="0"/>
        <w:jc w:val="left"/>
        <w:rPr/>
      </w:pPr>
      <w:r>
        <w:rPr/>
        <w:t> </w:t>
      </w:r>
    </w:p>
    <w:tbl>
      <w:tblPr>
        <w:tblW w:w="7760" w:type="dxa"/>
        <w:jc w:val="left"/>
        <w:tblInd w:w="0" w:type="dxa"/>
        <w:tblLayout w:type="fixed"/>
        <w:tblCellMar>
          <w:top w:w="0" w:type="dxa"/>
          <w:left w:w="0" w:type="dxa"/>
          <w:bottom w:w="0" w:type="dxa"/>
          <w:right w:w="0" w:type="dxa"/>
        </w:tblCellMar>
      </w:tblPr>
      <w:tblGrid>
        <w:gridCol w:w="1355"/>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135"/>
      </w:tblGrid>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b/>
                <w:u w:val="single"/>
              </w:rPr>
              <w:t>2020</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b/>
                <w:u w:val="single"/>
              </w:rPr>
              <w:t>2021</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b/>
                <w:u w:val="single"/>
              </w:rPr>
              <w:t>2022</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b/>
                <w:u w:val="single"/>
              </w:rPr>
              <w:t>2023</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b/>
                <w:u w:val="single"/>
              </w:rPr>
              <w:t>2024</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b/>
                <w:u w:val="single"/>
              </w:rPr>
              <w:t>2025</w:t>
            </w:r>
            <w:r>
              <w:rPr/>
              <w:t xml:space="preserve"> </w:t>
            </w:r>
          </w:p>
        </w:tc>
        <w:tc>
          <w:tcPr>
            <w:tcW w:w="135" w:type="dxa"/>
            <w:tcBorders/>
            <w:vAlign w:val="center"/>
          </w:tcPr>
          <w:p>
            <w:pPr>
              <w:pStyle w:val="TableContents"/>
              <w:bidi w:val="0"/>
              <w:spacing w:before="0" w:after="283"/>
              <w:jc w:val="center"/>
              <w:rPr/>
            </w:pPr>
            <w:r>
              <w:rPr/>
              <w:t> </w:t>
            </w:r>
          </w:p>
        </w:tc>
      </w:tr>
      <w:tr>
        <w:trPr/>
        <w:tc>
          <w:tcPr>
            <w:tcW w:w="1355" w:type="dxa"/>
            <w:tcBorders/>
            <w:shd w:fill="CCEEFF" w:val="clear"/>
            <w:vAlign w:val="center"/>
          </w:tcPr>
          <w:p>
            <w:pPr>
              <w:pStyle w:val="TableContents"/>
              <w:bidi w:val="0"/>
              <w:spacing w:before="0" w:after="0"/>
              <w:jc w:val="left"/>
              <w:rPr/>
            </w:pPr>
            <w:r>
              <w:rPr/>
              <w:t xml:space="preserve">ADMA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100.00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72.31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198.97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231.79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879.49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935.38</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0"/>
              <w:jc w:val="left"/>
              <w:rPr/>
            </w:pPr>
            <w:r>
              <w:rPr/>
              <w:t xml:space="preserve">XBI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100.00</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79.53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58.96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63.43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63.97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86.61</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jc w:val="left"/>
              <w:rPr/>
            </w:pPr>
            <w:r>
              <w:rPr/>
              <w:t xml:space="preserve">Russell 2000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100.00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113.46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88.93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102.37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112.70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125.43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Sale of Unregistered Securities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None.</w:t>
      </w:r>
    </w:p>
    <w:p>
      <w:pPr>
        <w:pStyle w:val="TextBody"/>
        <w:bidi w:val="0"/>
        <w:spacing w:before="0" w:after="0"/>
        <w:ind w:left="0" w:right="0" w:firstLine="720"/>
        <w:jc w:val="both"/>
        <w:rPr/>
      </w:pPr>
      <w:r>
        <w:rPr/>
        <w:t>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Purchases of Equity Securities by the Issuer and Affiliated Purchasers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table below reflects shares of common stock we repurchased during the three months ended December 31, 2025: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28" w:type="dxa"/>
          <w:right w:w="0" w:type="dxa"/>
        </w:tblCellMar>
      </w:tblPr>
      <w:tblGrid>
        <w:gridCol w:w="1714"/>
        <w:gridCol w:w="90"/>
        <w:gridCol w:w="148"/>
        <w:gridCol w:w="1384"/>
        <w:gridCol w:w="90"/>
        <w:gridCol w:w="90"/>
        <w:gridCol w:w="303"/>
        <w:gridCol w:w="1057"/>
        <w:gridCol w:w="90"/>
        <w:gridCol w:w="90"/>
        <w:gridCol w:w="245"/>
        <w:gridCol w:w="2284"/>
        <w:gridCol w:w="90"/>
        <w:gridCol w:w="90"/>
        <w:gridCol w:w="275"/>
        <w:gridCol w:w="2025"/>
        <w:gridCol w:w="140"/>
      </w:tblGrid>
      <w:tr>
        <w:trPr/>
        <w:tc>
          <w:tcPr>
            <w:tcW w:w="1714" w:type="dxa"/>
            <w:tcBorders>
              <w:bottom w:val="single" w:sz="12" w:space="0" w:color="000000"/>
            </w:tcBorders>
            <w:vAlign w:val="center"/>
          </w:tcPr>
          <w:p>
            <w:pPr>
              <w:pStyle w:val="TableContents"/>
              <w:bidi w:val="0"/>
              <w:spacing w:before="0" w:after="0"/>
              <w:jc w:val="left"/>
              <w:rPr/>
            </w:pPr>
            <w:r>
              <w:rPr/>
              <w:t xml:space="preserve">  </w:t>
            </w:r>
          </w:p>
          <w:p>
            <w:pPr>
              <w:pStyle w:val="TableContents"/>
              <w:bidi w:val="0"/>
              <w:spacing w:before="0" w:after="0"/>
              <w:jc w:val="left"/>
              <w:rPr/>
            </w:pPr>
            <w:r>
              <w:rPr/>
              <w:t xml:space="preserve">  </w:t>
            </w:r>
          </w:p>
          <w:p>
            <w:pPr>
              <w:pStyle w:val="TableContents"/>
              <w:bidi w:val="0"/>
              <w:spacing w:before="0" w:after="0"/>
              <w:jc w:val="left"/>
              <w:rPr/>
            </w:pPr>
            <w:r>
              <w:rPr/>
              <w:t xml:space="preserve">  </w:t>
            </w:r>
          </w:p>
          <w:p>
            <w:pPr>
              <w:pStyle w:val="TableContents"/>
              <w:bidi w:val="0"/>
              <w:spacing w:before="0" w:after="0"/>
              <w:jc w:val="left"/>
              <w:rPr/>
            </w:pPr>
            <w:r>
              <w:rPr>
                <w:b/>
              </w:rPr>
              <w:t>For the Month Ended</w:t>
            </w:r>
            <w:r>
              <w:rPr/>
              <w:t xml:space="preserve"> </w:t>
            </w:r>
          </w:p>
        </w:tc>
        <w:tc>
          <w:tcPr>
            <w:tcW w:w="90" w:type="dxa"/>
            <w:tcBorders/>
            <w:tcMar>
              <w:bottom w:w="0" w:type="dxa"/>
            </w:tcMar>
            <w:vAlign w:val="center"/>
          </w:tcPr>
          <w:p>
            <w:pPr>
              <w:pStyle w:val="TableContents"/>
              <w:bidi w:val="0"/>
              <w:spacing w:before="0" w:after="283"/>
              <w:jc w:val="center"/>
              <w:rPr/>
            </w:pPr>
            <w:r>
              <w:rPr/>
              <w:t> </w:t>
            </w:r>
          </w:p>
        </w:tc>
        <w:tc>
          <w:tcPr>
            <w:tcW w:w="1532" w:type="dxa"/>
            <w:gridSpan w:val="2"/>
            <w:tcBorders>
              <w:bottom w:val="single" w:sz="12" w:space="0" w:color="000000"/>
            </w:tcBorders>
            <w:vAlign w:val="center"/>
          </w:tcPr>
          <w:p>
            <w:pPr>
              <w:pStyle w:val="TableContents"/>
              <w:bidi w:val="0"/>
              <w:spacing w:before="0" w:after="283"/>
              <w:jc w:val="center"/>
              <w:rPr/>
            </w:pPr>
            <w:r>
              <w:rPr>
                <w:b/>
              </w:rPr>
              <w:t xml:space="preserve">Total Number of </w:t>
              <w:br/>
              <w:t>Shares Purchased</w:t>
            </w:r>
            <w:r>
              <w:rPr/>
              <w:t xml:space="preserve">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 xml:space="preserve">Average Price </w:t>
              <w:br/>
              <w:t>Paid Per Share</w:t>
            </w:r>
            <w:r>
              <w:rPr>
                <w:b/>
                <w:position w:val="8"/>
                <w:sz w:val="19"/>
              </w:rPr>
              <w:t>(1)</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2529" w:type="dxa"/>
            <w:gridSpan w:val="2"/>
            <w:tcBorders>
              <w:bottom w:val="single" w:sz="12" w:space="0" w:color="000000"/>
            </w:tcBorders>
            <w:vAlign w:val="center"/>
          </w:tcPr>
          <w:p>
            <w:pPr>
              <w:pStyle w:val="TableContents"/>
              <w:bidi w:val="0"/>
              <w:spacing w:before="0" w:after="283"/>
              <w:jc w:val="center"/>
              <w:rPr/>
            </w:pPr>
            <w:r>
              <w:rPr/>
              <w:t xml:space="preserve">  </w:t>
            </w:r>
            <w:r>
              <w:rPr>
                <w:b/>
              </w:rPr>
              <w:t xml:space="preserve">Total Number of Shares Purchased </w:t>
              <w:br/>
              <w:t xml:space="preserve">as Part of Publicly Announced </w:t>
              <w:br/>
              <w:t>Plans or Programs</w:t>
            </w:r>
            <w:r>
              <w:rPr/>
              <w:t xml:space="preserve">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2300" w:type="dxa"/>
            <w:gridSpan w:val="2"/>
            <w:tcBorders>
              <w:bottom w:val="single" w:sz="12" w:space="0" w:color="000000"/>
            </w:tcBorders>
            <w:vAlign w:val="center"/>
          </w:tcPr>
          <w:p>
            <w:pPr>
              <w:pStyle w:val="TableContents"/>
              <w:bidi w:val="0"/>
              <w:spacing w:before="0" w:after="283"/>
              <w:jc w:val="center"/>
              <w:rPr>
                <w:b/>
              </w:rPr>
            </w:pPr>
            <w:r>
              <w:rPr>
                <w:b/>
              </w:rPr>
              <w:t xml:space="preserve">Approximate Dollar Value of </w:t>
              <w:br/>
              <w:t xml:space="preserve">Shares that May Yet Be </w:t>
              <w:br/>
              <w:t xml:space="preserve">Purchased Under the Plans or </w:t>
              <w:br/>
              <w:t>Programs</w:t>
            </w:r>
            <w:r>
              <w:rPr>
                <w:b/>
                <w:position w:val="8"/>
                <w:sz w:val="19"/>
              </w:rPr>
              <w:t>(2)</w:t>
            </w:r>
          </w:p>
        </w:tc>
        <w:tc>
          <w:tcPr>
            <w:tcW w:w="140" w:type="dxa"/>
            <w:tcBorders/>
            <w:tcMar>
              <w:bottom w:w="0" w:type="dxa"/>
            </w:tcMar>
            <w:vAlign w:val="center"/>
          </w:tcPr>
          <w:p>
            <w:pPr>
              <w:pStyle w:val="TableContents"/>
              <w:bidi w:val="0"/>
              <w:spacing w:before="0" w:after="283"/>
              <w:jc w:val="center"/>
              <w:rPr/>
            </w:pPr>
            <w:r>
              <w:rPr/>
              <w:t> </w:t>
            </w:r>
          </w:p>
        </w:tc>
      </w:tr>
      <w:tr>
        <w:trPr/>
        <w:tc>
          <w:tcPr>
            <w:tcW w:w="1714" w:type="dxa"/>
            <w:tcBorders/>
            <w:shd w:fill="CCEEFF" w:val="clear"/>
            <w:tcMar>
              <w:bottom w:w="0" w:type="dxa"/>
            </w:tcMar>
            <w:vAlign w:val="center"/>
          </w:tcPr>
          <w:p>
            <w:pPr>
              <w:pStyle w:val="TableContents"/>
              <w:bidi w:val="0"/>
              <w:spacing w:before="0" w:after="0"/>
              <w:jc w:val="left"/>
              <w:rPr/>
            </w:pPr>
            <w:r>
              <w:rPr/>
              <w:t xml:space="preserve">October 31, 2025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283"/>
              <w:jc w:val="right"/>
              <w:rPr/>
            </w:pPr>
            <w:r>
              <w:rPr/>
              <w:t>361,262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jc w:val="left"/>
              <w:rPr/>
            </w:pPr>
            <w:r>
              <w:rPr/>
              <w:t>$</w:t>
            </w:r>
          </w:p>
        </w:tc>
        <w:tc>
          <w:tcPr>
            <w:tcW w:w="1057" w:type="dxa"/>
            <w:tcBorders/>
            <w:shd w:fill="CCEEFF" w:val="clear"/>
            <w:tcMar>
              <w:bottom w:w="0" w:type="dxa"/>
            </w:tcMar>
            <w:vAlign w:val="center"/>
          </w:tcPr>
          <w:p>
            <w:pPr>
              <w:pStyle w:val="TableContents"/>
              <w:bidi w:val="0"/>
              <w:spacing w:before="0" w:after="283"/>
              <w:jc w:val="right"/>
              <w:rPr/>
            </w:pPr>
            <w:r>
              <w:rPr/>
              <w:t>14.95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2284" w:type="dxa"/>
            <w:tcBorders/>
            <w:shd w:fill="CCEEFF" w:val="clear"/>
            <w:tcMar>
              <w:bottom w:w="0" w:type="dxa"/>
            </w:tcMar>
            <w:vAlign w:val="center"/>
          </w:tcPr>
          <w:p>
            <w:pPr>
              <w:pStyle w:val="TableContents"/>
              <w:bidi w:val="0"/>
              <w:spacing w:before="0" w:after="283"/>
              <w:jc w:val="right"/>
              <w:rPr/>
            </w:pPr>
            <w:r>
              <w:rPr/>
              <w:t>361,262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w:t>
            </w:r>
          </w:p>
        </w:tc>
        <w:tc>
          <w:tcPr>
            <w:tcW w:w="2025" w:type="dxa"/>
            <w:tcBorders/>
            <w:shd w:fill="CCEEFF" w:val="clear"/>
            <w:tcMar>
              <w:bottom w:w="0" w:type="dxa"/>
            </w:tcMar>
            <w:vAlign w:val="center"/>
          </w:tcPr>
          <w:p>
            <w:pPr>
              <w:pStyle w:val="TableContents"/>
              <w:bidi w:val="0"/>
              <w:spacing w:before="0" w:after="283"/>
              <w:jc w:val="right"/>
              <w:rPr/>
            </w:pPr>
            <w:r>
              <w:rPr/>
              <w:t>471,559,993</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714" w:type="dxa"/>
            <w:tcBorders/>
            <w:tcMar>
              <w:bottom w:w="0" w:type="dxa"/>
            </w:tcMar>
            <w:vAlign w:val="center"/>
          </w:tcPr>
          <w:p>
            <w:pPr>
              <w:pStyle w:val="TableContents"/>
              <w:bidi w:val="0"/>
              <w:spacing w:before="0" w:after="0"/>
              <w:jc w:val="left"/>
              <w:rPr/>
            </w:pPr>
            <w:r>
              <w:rPr/>
              <w:t xml:space="preserve">November 30, 2025 </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1384" w:type="dxa"/>
            <w:tcBorders/>
            <w:tcMar>
              <w:bottom w:w="0" w:type="dxa"/>
            </w:tcMar>
            <w:vAlign w:val="center"/>
          </w:tcPr>
          <w:p>
            <w:pPr>
              <w:pStyle w:val="TableContents"/>
              <w:bidi w:val="0"/>
              <w:spacing w:before="0" w:after="283"/>
              <w:jc w:val="right"/>
              <w:rPr/>
            </w:pPr>
            <w:r>
              <w:rPr/>
              <w:t>229,160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3" w:type="dxa"/>
            <w:tcBorders/>
            <w:tcMar>
              <w:bottom w:w="0" w:type="dxa"/>
            </w:tcMar>
            <w:vAlign w:val="center"/>
          </w:tcPr>
          <w:p>
            <w:pPr>
              <w:pStyle w:val="TableContents"/>
              <w:bidi w:val="0"/>
              <w:spacing w:before="0" w:after="283"/>
              <w:jc w:val="left"/>
              <w:rPr/>
            </w:pPr>
            <w:r>
              <w:rPr/>
              <w:t>$</w:t>
            </w:r>
          </w:p>
        </w:tc>
        <w:tc>
          <w:tcPr>
            <w:tcW w:w="1057" w:type="dxa"/>
            <w:tcBorders/>
            <w:tcMar>
              <w:bottom w:w="0" w:type="dxa"/>
            </w:tcMar>
            <w:vAlign w:val="center"/>
          </w:tcPr>
          <w:p>
            <w:pPr>
              <w:pStyle w:val="TableContents"/>
              <w:bidi w:val="0"/>
              <w:spacing w:before="0" w:after="283"/>
              <w:jc w:val="right"/>
              <w:rPr/>
            </w:pPr>
            <w:r>
              <w:rPr/>
              <w:t>15.27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2284" w:type="dxa"/>
            <w:tcBorders/>
            <w:tcMar>
              <w:bottom w:w="0" w:type="dxa"/>
            </w:tcMar>
            <w:vAlign w:val="center"/>
          </w:tcPr>
          <w:p>
            <w:pPr>
              <w:pStyle w:val="TableContents"/>
              <w:bidi w:val="0"/>
              <w:spacing w:before="0" w:after="283"/>
              <w:jc w:val="right"/>
              <w:rPr/>
            </w:pPr>
            <w:r>
              <w:rPr/>
              <w:t>229,160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left"/>
              <w:rPr/>
            </w:pPr>
            <w:r>
              <w:rPr/>
              <w:t>$</w:t>
            </w:r>
          </w:p>
        </w:tc>
        <w:tc>
          <w:tcPr>
            <w:tcW w:w="2025" w:type="dxa"/>
            <w:tcBorders/>
            <w:tcMar>
              <w:bottom w:w="0" w:type="dxa"/>
            </w:tcMar>
            <w:vAlign w:val="center"/>
          </w:tcPr>
          <w:p>
            <w:pPr>
              <w:pStyle w:val="TableContents"/>
              <w:bidi w:val="0"/>
              <w:spacing w:before="0" w:after="283"/>
              <w:jc w:val="right"/>
              <w:rPr/>
            </w:pPr>
            <w:r>
              <w:rPr/>
              <w:t>468,059,744</w:t>
            </w:r>
          </w:p>
        </w:tc>
        <w:tc>
          <w:tcPr>
            <w:tcW w:w="140" w:type="dxa"/>
            <w:tcBorders/>
            <w:tcMar>
              <w:bottom w:w="0" w:type="dxa"/>
            </w:tcMar>
            <w:vAlign w:val="center"/>
          </w:tcPr>
          <w:p>
            <w:pPr>
              <w:pStyle w:val="TableContents"/>
              <w:bidi w:val="0"/>
              <w:spacing w:before="0" w:after="283"/>
              <w:jc w:val="left"/>
              <w:rPr/>
            </w:pPr>
            <w:r>
              <w:rPr/>
              <w:t> </w:t>
            </w:r>
          </w:p>
        </w:tc>
      </w:tr>
      <w:tr>
        <w:trPr/>
        <w:tc>
          <w:tcPr>
            <w:tcW w:w="1714" w:type="dxa"/>
            <w:tcBorders/>
            <w:shd w:fill="CCEEFF" w:val="clear"/>
            <w:tcMar>
              <w:bottom w:w="0" w:type="dxa"/>
            </w:tcMar>
            <w:vAlign w:val="center"/>
          </w:tcPr>
          <w:p>
            <w:pPr>
              <w:pStyle w:val="TableContents"/>
              <w:bidi w:val="0"/>
              <w:spacing w:before="0" w:after="0"/>
              <w:jc w:val="left"/>
              <w:rPr/>
            </w:pPr>
            <w:r>
              <w:rPr/>
              <w:t xml:space="preserve">December 31, 2025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bottom w:val="single" w:sz="12" w:space="0" w:color="000000"/>
            </w:tcBorders>
            <w:shd w:fill="CCEEFF" w:val="clear"/>
            <w:vAlign w:val="center"/>
          </w:tcPr>
          <w:p>
            <w:pPr>
              <w:pStyle w:val="TableContents"/>
              <w:bidi w:val="0"/>
              <w:spacing w:before="0" w:after="283"/>
              <w:jc w:val="left"/>
              <w:rPr/>
            </w:pPr>
            <w:r>
              <w:rPr/>
              <w:t> </w:t>
            </w:r>
          </w:p>
        </w:tc>
        <w:tc>
          <w:tcPr>
            <w:tcW w:w="1384" w:type="dxa"/>
            <w:tcBorders>
              <w:bottom w:val="single" w:sz="12" w:space="0" w:color="000000"/>
            </w:tcBorders>
            <w:shd w:fill="CCEEFF" w:val="clear"/>
            <w:vAlign w:val="center"/>
          </w:tcPr>
          <w:p>
            <w:pPr>
              <w:pStyle w:val="TableContents"/>
              <w:bidi w:val="0"/>
              <w:spacing w:before="0" w:after="283"/>
              <w:jc w:val="right"/>
              <w:rPr/>
            </w:pPr>
            <w:r>
              <w:rPr/>
              <w:t xml:space="preserv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 w:type="dxa"/>
            <w:tcBorders>
              <w:bottom w:val="single" w:sz="12" w:space="0" w:color="000000"/>
            </w:tcBorders>
            <w:shd w:fill="CCEEFF" w:val="clear"/>
            <w:vAlign w:val="center"/>
          </w:tcPr>
          <w:p>
            <w:pPr>
              <w:pStyle w:val="TableContents"/>
              <w:bidi w:val="0"/>
              <w:spacing w:before="0" w:after="283"/>
              <w:jc w:val="left"/>
              <w:rPr/>
            </w:pPr>
            <w:r>
              <w:rPr/>
              <w:t>$</w:t>
            </w:r>
          </w:p>
        </w:tc>
        <w:tc>
          <w:tcPr>
            <w:tcW w:w="1057" w:type="dxa"/>
            <w:tcBorders>
              <w:bottom w:val="single" w:sz="12" w:space="0" w:color="000000"/>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 w:type="dxa"/>
            <w:tcBorders>
              <w:bottom w:val="single" w:sz="12" w:space="0" w:color="000000"/>
            </w:tcBorders>
            <w:shd w:fill="CCEEFF" w:val="clear"/>
            <w:vAlign w:val="center"/>
          </w:tcPr>
          <w:p>
            <w:pPr>
              <w:pStyle w:val="TableContents"/>
              <w:bidi w:val="0"/>
              <w:spacing w:before="0" w:after="283"/>
              <w:jc w:val="left"/>
              <w:rPr/>
            </w:pPr>
            <w:r>
              <w:rPr/>
              <w:t> </w:t>
            </w:r>
          </w:p>
        </w:tc>
        <w:tc>
          <w:tcPr>
            <w:tcW w:w="2284"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w:t>
            </w:r>
          </w:p>
        </w:tc>
        <w:tc>
          <w:tcPr>
            <w:tcW w:w="2025" w:type="dxa"/>
            <w:tcBorders/>
            <w:shd w:fill="CCEEFF" w:val="clear"/>
            <w:tcMar>
              <w:bottom w:w="0" w:type="dxa"/>
            </w:tcMar>
            <w:vAlign w:val="center"/>
          </w:tcPr>
          <w:p>
            <w:pPr>
              <w:pStyle w:val="TableContents"/>
              <w:bidi w:val="0"/>
              <w:spacing w:before="0" w:after="283"/>
              <w:jc w:val="right"/>
              <w:rPr/>
            </w:pPr>
            <w:r>
              <w:rPr/>
              <w:t>468,059,744</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714" w:type="dxa"/>
            <w:tcBorders/>
            <w:tcMar>
              <w:bottom w:w="0" w:type="dxa"/>
            </w:tcMar>
            <w:vAlign w:val="center"/>
          </w:tcPr>
          <w:p>
            <w:pPr>
              <w:pStyle w:val="TableContents"/>
              <w:bidi w:val="0"/>
              <w:spacing w:before="0" w:after="0"/>
              <w:jc w:val="left"/>
              <w:rPr/>
            </w:pPr>
            <w:r>
              <w:rPr/>
              <w:t xml:space="preserve">Total </w:t>
            </w:r>
          </w:p>
        </w:tc>
        <w:tc>
          <w:tcPr>
            <w:tcW w:w="90" w:type="dxa"/>
            <w:tcBorders>
              <w:bottom w:val="single" w:sz="12" w:space="0" w:color="000000"/>
            </w:tcBorders>
            <w:vAlign w:val="center"/>
          </w:tcPr>
          <w:p>
            <w:pPr>
              <w:pStyle w:val="TableContents"/>
              <w:bidi w:val="0"/>
              <w:spacing w:before="0" w:after="283"/>
              <w:jc w:val="left"/>
              <w:rPr/>
            </w:pPr>
            <w:r>
              <w:rPr/>
              <w:t> </w:t>
            </w:r>
          </w:p>
        </w:tc>
        <w:tc>
          <w:tcPr>
            <w:tcW w:w="148" w:type="dxa"/>
            <w:tcBorders>
              <w:bottom w:val="single" w:sz="12" w:space="0" w:color="000000"/>
            </w:tcBorders>
            <w:vAlign w:val="center"/>
          </w:tcPr>
          <w:p>
            <w:pPr>
              <w:pStyle w:val="TableContents"/>
              <w:bidi w:val="0"/>
              <w:spacing w:before="0" w:after="283"/>
              <w:jc w:val="left"/>
              <w:rPr/>
            </w:pPr>
            <w:r>
              <w:rPr/>
              <w:t> </w:t>
            </w:r>
          </w:p>
        </w:tc>
        <w:tc>
          <w:tcPr>
            <w:tcW w:w="1384" w:type="dxa"/>
            <w:tcBorders>
              <w:bottom w:val="single" w:sz="12" w:space="0" w:color="000000"/>
            </w:tcBorders>
            <w:vAlign w:val="center"/>
          </w:tcPr>
          <w:p>
            <w:pPr>
              <w:pStyle w:val="TableContents"/>
              <w:bidi w:val="0"/>
              <w:spacing w:before="0" w:after="283"/>
              <w:jc w:val="right"/>
              <w:rPr/>
            </w:pPr>
            <w:r>
              <w:rPr/>
              <w:t>590,422</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03" w:type="dxa"/>
            <w:tcBorders>
              <w:bottom w:val="single" w:sz="12" w:space="0" w:color="000000"/>
            </w:tcBorders>
            <w:vAlign w:val="center"/>
          </w:tcPr>
          <w:p>
            <w:pPr>
              <w:pStyle w:val="TableContents"/>
              <w:bidi w:val="0"/>
              <w:spacing w:before="0" w:after="283"/>
              <w:jc w:val="left"/>
              <w:rPr/>
            </w:pPr>
            <w:r>
              <w:rPr/>
              <w:t>$</w:t>
            </w:r>
          </w:p>
        </w:tc>
        <w:tc>
          <w:tcPr>
            <w:tcW w:w="1057" w:type="dxa"/>
            <w:tcBorders>
              <w:bottom w:val="single" w:sz="12" w:space="0" w:color="000000"/>
            </w:tcBorders>
            <w:vAlign w:val="center"/>
          </w:tcPr>
          <w:p>
            <w:pPr>
              <w:pStyle w:val="TableContents"/>
              <w:bidi w:val="0"/>
              <w:spacing w:before="0" w:after="283"/>
              <w:jc w:val="right"/>
              <w:rPr/>
            </w:pPr>
            <w:r>
              <w:rPr/>
              <w:t>15.09</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45" w:type="dxa"/>
            <w:tcBorders>
              <w:bottom w:val="single" w:sz="12" w:space="0" w:color="000000"/>
            </w:tcBorders>
            <w:vAlign w:val="center"/>
          </w:tcPr>
          <w:p>
            <w:pPr>
              <w:pStyle w:val="TableContents"/>
              <w:bidi w:val="0"/>
              <w:spacing w:before="0" w:after="283"/>
              <w:jc w:val="left"/>
              <w:rPr/>
            </w:pPr>
            <w:r>
              <w:rPr/>
              <w:t> </w:t>
            </w:r>
          </w:p>
        </w:tc>
        <w:tc>
          <w:tcPr>
            <w:tcW w:w="2284" w:type="dxa"/>
            <w:tcBorders>
              <w:bottom w:val="single" w:sz="12" w:space="0" w:color="000000"/>
            </w:tcBorders>
            <w:vAlign w:val="center"/>
          </w:tcPr>
          <w:p>
            <w:pPr>
              <w:pStyle w:val="TableContents"/>
              <w:bidi w:val="0"/>
              <w:spacing w:before="0" w:after="283"/>
              <w:jc w:val="right"/>
              <w:rPr/>
            </w:pPr>
            <w:r>
              <w:rPr/>
              <w:t>590,422</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left"/>
              <w:rPr/>
            </w:pPr>
            <w:r>
              <w:rPr/>
              <w:t> </w:t>
            </w:r>
          </w:p>
        </w:tc>
        <w:tc>
          <w:tcPr>
            <w:tcW w:w="2025"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lineRule="auto" w:line="256" w:before="0" w:after="0"/>
        <w:ind w:left="0" w:right="0" w:hanging="0"/>
        <w:jc w:val="both"/>
        <w:rPr>
          <w:rFonts w:ascii="Aptos;sans-serif" w:hAnsi="Aptos;sans-serif"/>
          <w:sz w:val="22"/>
        </w:rPr>
      </w:pPr>
      <w:r>
        <w:rPr>
          <w:rFonts w:ascii="Times New Roman;serif" w:hAnsi="Times New Roman;serif"/>
          <w:position w:val="7"/>
          <w:sz w:val="16"/>
          <w:sz w:val="20"/>
        </w:rPr>
        <w:t>(1)</w:t>
      </w:r>
      <w:r>
        <w:rPr>
          <w:rFonts w:ascii="Aptos;sans-serif" w:hAnsi="Aptos;sans-serif"/>
          <w:sz w:val="22"/>
        </w:rPr>
        <w:t xml:space="preserve"> </w:t>
      </w:r>
      <w:r>
        <w:rPr>
          <w:rFonts w:ascii="Times New Roman;serif" w:hAnsi="Times New Roman;serif"/>
          <w:sz w:val="20"/>
        </w:rPr>
        <w:t>Includes broker commissions.</w:t>
      </w:r>
    </w:p>
    <w:p>
      <w:pPr>
        <w:pStyle w:val="TextBody"/>
        <w:bidi w:val="0"/>
        <w:spacing w:lineRule="auto" w:line="256" w:before="0" w:after="0"/>
        <w:ind w:left="0" w:right="0" w:hanging="0"/>
        <w:jc w:val="both"/>
        <w:rPr>
          <w:rFonts w:ascii="Aptos;sans-serif" w:hAnsi="Aptos;sans-serif"/>
          <w:sz w:val="22"/>
        </w:rPr>
      </w:pPr>
      <w:r>
        <w:rPr>
          <w:rFonts w:ascii="Times New Roman;serif" w:hAnsi="Times New Roman;serif"/>
          <w:position w:val="7"/>
          <w:sz w:val="16"/>
          <w:sz w:val="20"/>
        </w:rPr>
        <w:t>(2)</w:t>
      </w:r>
      <w:r>
        <w:rPr>
          <w:rFonts w:ascii="Aptos;sans-serif" w:hAnsi="Aptos;sans-serif"/>
          <w:sz w:val="22"/>
        </w:rPr>
        <w:t xml:space="preserve"> </w:t>
      </w:r>
      <w:r>
        <w:rPr>
          <w:rFonts w:ascii="Times New Roman;serif" w:hAnsi="Times New Roman;serif"/>
          <w:sz w:val="20"/>
        </w:rPr>
        <w:t>Shares were repurchased pursuant to our share repurchase program publicly announced on May 5, 2025. There is no expiration date for this share repurchase program. The authorization to repurchase shares will end when we have repurchased the maximum number of shares authorized, or if we have determined to terminate such program.</w:t>
      </w:r>
    </w:p>
    <w:p>
      <w:pPr>
        <w:pStyle w:val="TextBody"/>
        <w:bidi w:val="0"/>
        <w:spacing w:before="0" w:after="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67</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720"/>
        <w:jc w:val="left"/>
        <w:rPr>
          <w:rFonts w:ascii="TimesNewRoman;Times New Roman;Times;Baskerville;Georgia;serif" w:hAnsi="TimesNewRoman;Times New Roman;Times;Baskerville;Georgia;serif"/>
          <w:sz w:val="20"/>
        </w:rPr>
      </w:pPr>
      <w:bookmarkStart w:id="17" w:name="Reserved"/>
      <w:bookmarkEnd w:id="17"/>
      <w:r>
        <w:rPr>
          <w:rFonts w:ascii="TimesNewRoman;Times New Roman;Times;Baskerville;Georgia;serif" w:hAnsi="TimesNewRoman;Times New Roman;Times;Baskerville;Georgia;serif"/>
          <w:b/>
          <w:sz w:val="20"/>
        </w:rPr>
        <w:t>Reserved</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457200" cy="175260"/>
                <wp:effectExtent l="0" t="0" r="0" b="0"/>
                <wp:wrapSquare wrapText="right"/>
                <wp:docPr id="179" name="Frame1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6.</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both"/>
        <w:rPr>
          <w:rFonts w:ascii="TimesNewRoman;Times New Roman;Times;Baskerville;Georgia;serif" w:hAnsi="TimesNewRoman;Times New Roman;Times;Baskerville;Georgia;serif"/>
          <w:sz w:val="20"/>
        </w:rPr>
      </w:pPr>
      <w:bookmarkStart w:id="18" w:name="Managements_Discussion_and_Analysis_of_F"/>
      <w:bookmarkEnd w:id="18"/>
      <w:r>
        <w:rPr>
          <w:rFonts w:ascii="TimesNewRoman;Times New Roman;Times;Baskerville;Georgia;serif" w:hAnsi="TimesNewRoman;Times New Roman;Times;Baskerville;Georgia;serif"/>
          <w:b/>
          <w:sz w:val="20"/>
        </w:rPr>
        <w:t>Management’s Discussion and Analysis of Financial Condition and Results of Operations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457200" cy="175260"/>
                <wp:effectExtent l="0" t="0" r="0" b="0"/>
                <wp:wrapSquare wrapText="right"/>
                <wp:docPr id="180" name="Frame1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7.</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The following discussion of our financial condition and results of operations should be read in conjunction with the consolidated financial statements and notes thereto included elsewhere in this Annual Report on Form 10-K. The various sections of this discussion contain a number of forward-looking statements, all of which are based on our current expectations and could be materially affected by the uncertainties and risk factors described throughout this Annual Report. See “Special Note Regarding Forward-Looking Statements.” Our actual results may differ materially.</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lineRule="atLeast" w:line="240"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u w:val="single"/>
        </w:rPr>
        <w:t>OVERVIEW</w:t>
      </w:r>
      <w:r>
        <w:rPr>
          <w:rFonts w:ascii="TimesNewRoman;Times New Roman;Times;Baskerville;Georgia;serif" w:hAnsi="TimesNewRoman;Times New Roman;Times;Baskerville;Georgia;serif"/>
          <w:b/>
          <w:sz w:val="20"/>
        </w:rPr>
        <w:t xml:space="preserve"> </w:t>
      </w:r>
    </w:p>
    <w:p>
      <w:pPr>
        <w:pStyle w:val="TextBody"/>
        <w:bidi w:val="0"/>
        <w:spacing w:lineRule="atLeast" w:line="240" w:before="0" w:after="0"/>
        <w:jc w:val="center"/>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Our Business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ADMA Biologics, Inc. (the “Company,” “ADMA,” “we,” “us” or “our”) is a U.S. based,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adolescents, for which we received FDA approval in April 2019 and commenced first commercial sales in October 2019; (ii) BIVIGAM (Immune Globulin Intravenous, Human), an IVIG product indicated for the treatment of PI, and for which we received FDA approval in May 2019 and commenced commercial sales in August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Nos. 10,259,865 and 11,084,870 related to methods of treatment and prevention of </w:t>
      </w:r>
      <w:r>
        <w:rPr>
          <w:rFonts w:ascii="TimesNewRoman;Times New Roman;Times;Baskerville;Georgia;serif" w:hAnsi="TimesNewRoman;Times New Roman;Times;Baskerville;Georgia;serif"/>
          <w:i/>
          <w:sz w:val="20"/>
        </w:rPr>
        <w:t>S. pneumonia</w:t>
      </w:r>
      <w:r>
        <w:rPr>
          <w:rFonts w:ascii="TimesNewRoman;Times New Roman;Times;Baskerville;Georgia;serif" w:hAnsi="TimesNewRoman;Times New Roman;Times;Baskerville;Georgia;serif"/>
          <w:sz w:val="20"/>
        </w:rPr>
        <w:t xml:space="preserve"> infection for an immunoglobulin manufactured to contain standardized antibodies to numerous serotypes of </w:t>
      </w:r>
      <w:r>
        <w:rPr>
          <w:rFonts w:ascii="TimesNewRoman;Times New Roman;Times;Baskerville;Georgia;serif" w:hAnsi="TimesNewRoman;Times New Roman;Times;Baskerville;Georgia;serif"/>
          <w:i/>
          <w:sz w:val="20"/>
        </w:rPr>
        <w:t>S. pneumoniae</w:t>
      </w:r>
      <w:r>
        <w:rPr>
          <w:rFonts w:ascii="TimesNewRoman;Times New Roman;Times;Baskerville;Georgia;serif" w:hAnsi="TimesNewRoman;Times New Roman;Times;Baskerville;Georgia;serif"/>
          <w:sz w:val="20"/>
        </w:rPr>
        <w:t xml:space="preserve">. We have successfully completed production of a pilot-scale batch and are conducting animal studies for our </w:t>
      </w:r>
      <w:r>
        <w:rPr>
          <w:rFonts w:ascii="TimesNewRoman;Times New Roman;Times;Baskerville;Georgia;serif" w:hAnsi="TimesNewRoman;Times New Roman;Times;Baskerville;Georgia;serif"/>
          <w:i/>
          <w:sz w:val="20"/>
        </w:rPr>
        <w:t>S. pneumoniae</w:t>
      </w:r>
      <w:r>
        <w:rPr>
          <w:rFonts w:ascii="TimesNewRoman;Times New Roman;Times;Baskerville;Georgia;serif" w:hAnsi="TimesNewRoman;Times New Roman;Times;Baskerville;Georgia;serif"/>
          <w:sz w:val="20"/>
        </w:rPr>
        <w:t xml:space="preserve"> hyperimmune globulin program, SG-001. We anticipate submitting a pre-Investigational New Drug (“IND”) package to the FDA in fiscal year 2026, which could enable us to progress development of SG-001 directly into a registrational clinical trial. In September 2025, a Commissioner’s National Priority Voucher (CNPV) application was submitted and, if accepted, could accelerate FDA review by two fiscal quarters or more. Our products and product candidates are intended to be used by physician specialists focused on caring for immune-compromised patients with or at risk for certain infectious diseases.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manufacture these products at our FDA-licensed, plasma fractionation and purification facility located in Boca Raton, FL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(“IG”) products.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Through our ADMA BioCenters subsidiary, we currently operate eight source plasma collection facilities in the U.S.,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one of our FDA-approved plasma collection centers also has approval from the Korean Ministry of Food and Drug Safety (“MFDS”), and ADMA BioCenters has FDA approval to operate a Hepatitis B immunization program.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68</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From time to time, we may provide contract manufacturing services for certain third-party clients. We also provide laboratory contracting services to certain customers and may provide contract filling, labeling and packing services utilizing our FDA-approved in-house fill-finish capabilities.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Trends and Developments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the year ended December 31, 2024, we achieved net income of $197.7 million, the first time in our history that we achieved net income on a GAAP basis and generated positive cash flow from operations of $118.7 million. Positive cash flow from operations continued throughout fiscal year 2025. Our improved operating results were primarily the result of the substantial revenue growth and continued physician, patient and payer acceptance of ASCENIV.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April 2025, the FDA approved our Prior Approval Supplement (the “PAS”) for our innovative yield enhancement production process (the “Yield Enhancement”) benefiting both ASCENIV and BIVIGAM. This PAS approval amends the Biologics License Application (“BLA”) approvals for ASCENIV and BIVIGAM and will continue to be the process by which we will manufacture these products on a go-forward basis. The production methods approved in this PAS have started to result in additional bulk drug yield from the same starting raw material source plasma volumes and the Company believes it should experience meaningful revenue and earnings accretion accelerating further into 2026 and beyond. This innovative process has demonstrated an ability to increase ASCENIV and BIVIGAM production yields by 20% or more from the same starting source plasma volume. Fiscal year 2026 will be our first full year of yield-enhanced production, supporting anticipated sustained margin expansion.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July 2025, the One Big Beautiful Bill Act ("OBBBA") was enacted, which includes numerous changes to existing tax law including extending or making permanent certain business provisions initially established under the 2017 Tax Cuts and Jobs Act, which were set to expire. The OBBBA permanently eliminates the requirement to capitalize and amortize U.S.-based research and experimental expenditures, making these expenditures fully deductible in the period incurred. The OBBBA also permanently extends recognition of the accelerated bonus depreciation on qualifying assets in the period acquired. In 2025, these provisions resulted in a reduction of current income tax liabilities and a corresponding reduction to income tax expense.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July 2025, we completed the acquisition of real estate in Boca Raton, FL for a total purchase price of $12.6 million. This real estate purchase is intended to allow us to expand our production operations and related activities as well as provide for certain redundancies for ambient and cold-chain storage of raw materials, work in process and finished goods inventory.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December 2025, we entered into an agreement for the divestiture of three of our plasma collection centers for an aggregate purchase price of $12.0 million. As of the date of this Annual Report on Form 10-K, two of the plasma collection centers have been sold to the purchaser. The closing of the third center is anticipated to occur in the first quarter of 2026. After the divestiture of all three centers, we will continue to own and operate seven plasma collection centers. In conjunction with the divestiture agreement, we entered into long-term plasma supply agreements with the purchaser of the three plasma collection centers, further diversifying our third-party high-titer plasma supply base. Collectively, these actions reflect a deliberate shift toward a more flexible, capital-efficient supply model and are expected to deliver accretive cost savings beginning in fiscal year 2026, improve capital efficiency, support increased ASCENIV production capacity, and provide durable plasma supply confidence through the late 2030s. </w:t>
      </w:r>
    </w:p>
    <w:p>
      <w:pPr>
        <w:pStyle w:val="TextBody"/>
        <w:bidi w:val="0"/>
        <w:spacing w:before="0" w:after="0"/>
        <w:jc w:val="both"/>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Our Products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ASCENIV</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in April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With our patented testing methods and assay, we are able to identify the high-titer or “hyperimmune” plasma that meets our internal and required specifications for ASCENIV. This type of high-titer plasma is typically found in less than 10% of the total donor collection samples we test. </w:t>
      </w:r>
    </w:p>
    <w:p>
      <w:pPr>
        <w:pStyle w:val="TextBody"/>
        <w:bidi w:val="0"/>
        <w:spacing w:before="0" w:after="0"/>
        <w:jc w:val="left"/>
        <w:rPr/>
      </w:pPr>
      <w:r>
        <w:rPr>
          <w:color w:val="FF0000"/>
        </w:rPr>
        <w:t> </w:t>
      </w: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69</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ASCENIV is approved for the treatment of PIDD or PI, a class of inherited genetic disorders that causes a deficient or absent immune system in adults and adolescents (12 to 17 years of age).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 school and 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In the future, we may elect to work with the FDA and the immunology and infectious disease community to design an appropriate clinical trial to evaluate the use of ASCENIV in this patient population. Following FDA approval in April 2019, commercial sales of ASCENIV commenced in October 2019 and in 2023 we commenced manufacturing ASCENIV at the 4,400 Liter production scale. This expansion has improved the product’s margin profile and increased plant production capacity as fewer batches are needed to support our revenue goals. ASCENIV’s prescriber and patient base continued to expand during 2024, which drove record utilization and pull-through for this product. These elevated demand trends continued throughout fiscal year 2025, and we expect the product’s rapid growth to continue through 2026 and beyond.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June 2025, we filed our sBLA for the expansion of ASCENIV’s label to include the pediatric setting for patients who are two years and older and we anticipate potential FDA approval in the first half of 2026.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BIVIGAM</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May 2019, the FDA approved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2019.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April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December 2023, we announced that the FDA approved the expansion of BIVIGAM’s label in the United States to now include the pediatric setting for those two years of age and older.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Nabi-HB</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in March 1999. Production of Nabi-HB at the Boca Facility has continued under our leadership since the third quarter of 2017. In early 2018, we received authorization from the FDA for the release of our first commercial batch of Nabi-HB for commercial distribution in the United States and we continue to manufacture Nabi-HB under HHS License No. 2019. </w:t>
      </w:r>
    </w:p>
    <w:p>
      <w:pPr>
        <w:pStyle w:val="TextBody"/>
        <w:bidi w:val="0"/>
        <w:spacing w:before="0" w:after="0"/>
        <w:jc w:val="left"/>
        <w:rPr/>
      </w:pPr>
      <w:r>
        <w:rPr>
          <w:u w:val="single"/>
        </w:rPr>
        <w:t> </w:t>
      </w: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70</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u w:val="single"/>
        </w:rPr>
        <w:t>RESULTS OF OPERATIONS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Critical Accounting Policies and Estimates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estimates related to the Company’s effective tax rate.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Some of the estimates and assumptions we are required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in this Annual Report on Form 10-K.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Revenue Deductions for Rebates and Chargebacks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Effective Tax Rate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provision for income taxes and the determination of our effective tax rate are subject to significant judgment and complexity. We estimate our income tax expense based on enacted tax laws and statutory tax rates in the jurisdictions in which we operate, as well as our interpretation of relevant tax regulations. The effective tax rate includes the impact of various estimates and judgments. Changes in these estimates or in tax laws could significantly affect our effective tax rate and results of operations. Due to the complexity of tax regulations and the potential for differing interpretations, it is reasonably possible that the ultimate resolution of these matters could result in material adjustments to our effective tax rate in future periods.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lineRule="atLeast" w:line="240" w:before="0" w:after="0"/>
        <w:jc w:val="both"/>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val="false"/>
          <w:caps w:val="false"/>
          <w:smallCaps w:val="false"/>
          <w:sz w:val="20"/>
        </w:rPr>
        <w:t>Year Ended December 31, 2025 Compared to Year Ended December 31, 2024</w:t>
      </w:r>
      <w:r>
        <w:rPr>
          <w:rFonts w:ascii="TimesNewRoman;Times New Roman;Times;Baskerville;Georgia;serif" w:hAnsi="TimesNewRoman;Times New Roman;Times;Baskerville;Georgia;serif"/>
          <w:b/>
          <w:i/>
          <w:sz w:val="20"/>
        </w:rPr>
        <w:t xml:space="preserve"> </w:t>
      </w:r>
    </w:p>
    <w:p>
      <w:pPr>
        <w:pStyle w:val="TextBody"/>
        <w:bidi w:val="0"/>
        <w:spacing w:lineRule="atLeast" w:line="240" w:before="0" w:after="0"/>
        <w:jc w:val="both"/>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presents a summary of the changes in our results of operations for the year ended December 31, 2025, compared to the year ended December 31, 2024: </w:t>
      </w:r>
    </w:p>
    <w:p>
      <w:pPr>
        <w:pStyle w:val="TextBody"/>
        <w:bidi w:val="0"/>
        <w:spacing w:lineRule="atLeast" w:line="240" w:before="0" w:after="0"/>
        <w:jc w:val="both"/>
        <w:rPr/>
      </w:pPr>
      <w:r>
        <w:rPr/>
        <w:t xml:space="preserve">  </w:t>
      </w:r>
    </w:p>
    <w:tbl>
      <w:tblPr>
        <w:tblW w:w="8339" w:type="dxa"/>
        <w:jc w:val="left"/>
        <w:tblInd w:w="0" w:type="dxa"/>
        <w:tblLayout w:type="fixed"/>
        <w:tblCellMar>
          <w:top w:w="0" w:type="dxa"/>
          <w:left w:w="0" w:type="dxa"/>
          <w:bottom w:w="0" w:type="dxa"/>
          <w:right w:w="0" w:type="dxa"/>
        </w:tblCellMar>
      </w:tblPr>
      <w:tblGrid>
        <w:gridCol w:w="4295"/>
        <w:gridCol w:w="90"/>
        <w:gridCol w:w="170"/>
        <w:gridCol w:w="830"/>
        <w:gridCol w:w="185"/>
        <w:gridCol w:w="90"/>
        <w:gridCol w:w="170"/>
        <w:gridCol w:w="830"/>
        <w:gridCol w:w="185"/>
        <w:gridCol w:w="90"/>
        <w:gridCol w:w="198"/>
        <w:gridCol w:w="976"/>
        <w:gridCol w:w="230"/>
      </w:tblGrid>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295" w:type="dxa"/>
            <w:vMerge w:val="restart"/>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3724"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w:t>
            </w:r>
            <w:r>
              <w:rPr/>
              <w:t xml:space="preserve"> </w:t>
            </w:r>
          </w:p>
        </w:tc>
        <w:tc>
          <w:tcPr>
            <w:tcW w:w="230" w:type="dxa"/>
            <w:tcBorders/>
            <w:vAlign w:val="center"/>
          </w:tcPr>
          <w:p>
            <w:pPr>
              <w:pStyle w:val="TableContents"/>
              <w:bidi w:val="0"/>
              <w:spacing w:before="0" w:after="283"/>
              <w:jc w:val="center"/>
              <w:rPr/>
            </w:pPr>
            <w:r>
              <w:rPr/>
              <w:t> </w:t>
            </w:r>
          </w:p>
        </w:tc>
      </w:tr>
      <w:tr>
        <w:trPr/>
        <w:tc>
          <w:tcPr>
            <w:tcW w:w="4295" w:type="dxa"/>
            <w:vMerge w:val="continue"/>
            <w:tcBorders/>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pPr>
            <w:r>
              <w:rPr>
                <w:b/>
              </w:rPr>
              <w:t>Increase</w:t>
              <w:br/>
              <w:t>(Decrease)</w:t>
            </w:r>
            <w:r>
              <w:rPr/>
              <w:t xml:space="preserve"> </w:t>
            </w:r>
          </w:p>
        </w:tc>
        <w:tc>
          <w:tcPr>
            <w:tcW w:w="230" w:type="dxa"/>
            <w:tcBorders/>
            <w:vAlign w:val="center"/>
          </w:tcPr>
          <w:p>
            <w:pPr>
              <w:pStyle w:val="TableContents"/>
              <w:bidi w:val="0"/>
              <w:spacing w:before="0" w:after="283"/>
              <w:jc w:val="center"/>
              <w:rPr/>
            </w:pPr>
            <w:r>
              <w:rPr/>
              <w:t> </w:t>
            </w:r>
          </w:p>
        </w:tc>
      </w:tr>
      <w:tr>
        <w:trPr/>
        <w:tc>
          <w:tcPr>
            <w:tcW w:w="4295" w:type="dxa"/>
            <w:tcBorders/>
            <w:vAlign w:val="center"/>
          </w:tcPr>
          <w:p>
            <w:pPr>
              <w:pStyle w:val="TableContents"/>
              <w:bidi w:val="0"/>
              <w:spacing w:before="0" w:after="283"/>
              <w:jc w:val="left"/>
              <w:rPr/>
            </w:pPr>
            <w:r>
              <w:rPr/>
              <w:t> </w:t>
            </w:r>
          </w:p>
        </w:tc>
        <w:tc>
          <w:tcPr>
            <w:tcW w:w="4044" w:type="dxa"/>
            <w:gridSpan w:val="12"/>
            <w:tcBorders/>
            <w:vAlign w:val="center"/>
          </w:tcPr>
          <w:p>
            <w:pPr>
              <w:pStyle w:val="TableContents"/>
              <w:bidi w:val="0"/>
              <w:spacing w:before="0" w:after="283"/>
              <w:jc w:val="center"/>
              <w:rPr/>
            </w:pPr>
            <w:r>
              <w:rPr>
                <w:i/>
              </w:rPr>
              <w:t>(in thousands)</w:t>
            </w:r>
            <w:r>
              <w:rPr/>
              <w:t xml:space="preserve"> </w:t>
            </w:r>
          </w:p>
        </w:tc>
      </w:tr>
      <w:tr>
        <w:trPr/>
        <w:tc>
          <w:tcPr>
            <w:tcW w:w="4295" w:type="dxa"/>
            <w:tcBorders/>
            <w:shd w:fill="CCEEFF" w:val="clear"/>
            <w:vAlign w:val="center"/>
          </w:tcPr>
          <w:p>
            <w:pPr>
              <w:pStyle w:val="TableContents"/>
              <w:bidi w:val="0"/>
              <w:spacing w:before="0" w:after="0"/>
              <w:ind w:left="0" w:right="0" w:hanging="144"/>
              <w:jc w:val="left"/>
              <w:rPr/>
            </w:pPr>
            <w:r>
              <w:rPr/>
              <w:t xml:space="preserve">Revenues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510,173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426,454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83,719</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Cost of product revenue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217,408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206,901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tcMar>
              <w:bottom w:w="28" w:type="dxa"/>
            </w:tcMar>
            <w:vAlign w:val="center"/>
          </w:tcPr>
          <w:p>
            <w:pPr>
              <w:pStyle w:val="TableContents"/>
              <w:bidi w:val="0"/>
              <w:spacing w:before="0" w:after="283"/>
              <w:jc w:val="right"/>
              <w:rPr/>
            </w:pPr>
            <w:r>
              <w:rPr/>
              <w:t>10,507</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Gross profit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292,765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219,553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73,212</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Research and development expenses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4,762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2,949</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Plasma center operating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4,836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4,245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591</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Amortization of intangibles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(244</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Selling, general and administrative expenses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91,580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74,124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CCEEFF" w:val="clear"/>
            <w:tcMar>
              <w:bottom w:w="28" w:type="dxa"/>
            </w:tcMar>
            <w:vAlign w:val="center"/>
          </w:tcPr>
          <w:p>
            <w:pPr>
              <w:pStyle w:val="TableContents"/>
              <w:bidi w:val="0"/>
              <w:spacing w:before="0" w:after="283"/>
              <w:jc w:val="right"/>
              <w:rPr/>
            </w:pPr>
            <w:r>
              <w:rPr/>
              <w:t>17,456</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Income from operations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191,443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138,983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52,460</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Interest expense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(7,110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(13,930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6,820</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Loss on extinguishment of debt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(3,336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(2,093</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Other income, net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1,659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1,904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tcMar>
              <w:bottom w:w="28" w:type="dxa"/>
            </w:tcMar>
            <w:vAlign w:val="center"/>
          </w:tcPr>
          <w:p>
            <w:pPr>
              <w:pStyle w:val="TableContents"/>
              <w:bidi w:val="0"/>
              <w:spacing w:before="0" w:after="283"/>
              <w:jc w:val="right"/>
              <w:rPr/>
            </w:pPr>
            <w:r>
              <w:rPr/>
              <w:t>(245</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Income before taxes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182,656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125,714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56,942</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Income tax expense (benefit)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35,726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(71,959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107,685</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146,930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197,673</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98"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76" w:type="dxa"/>
            <w:tcBorders>
              <w:bottom w:val="double" w:sz="8" w:space="0" w:color="000000"/>
            </w:tcBorders>
            <w:shd w:fill="CCEEFF" w:val="clear"/>
            <w:tcMar>
              <w:bottom w:w="28" w:type="dxa"/>
            </w:tcMar>
            <w:vAlign w:val="center"/>
          </w:tcPr>
          <w:p>
            <w:pPr>
              <w:pStyle w:val="TableContents"/>
              <w:bidi w:val="0"/>
              <w:spacing w:before="0" w:after="283"/>
              <w:jc w:val="right"/>
              <w:rPr/>
            </w:pPr>
            <w:r>
              <w:rPr/>
              <w:t>(50,743</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Adjusted EBITDA*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231,030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164,612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98"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76" w:type="dxa"/>
            <w:tcBorders>
              <w:bottom w:val="double" w:sz="8" w:space="0" w:color="000000"/>
            </w:tcBorders>
            <w:shd w:fill="CCEEFF" w:val="clear"/>
            <w:tcMar>
              <w:bottom w:w="28" w:type="dxa"/>
            </w:tcMar>
            <w:vAlign w:val="center"/>
          </w:tcPr>
          <w:p>
            <w:pPr>
              <w:pStyle w:val="TableContents"/>
              <w:bidi w:val="0"/>
              <w:spacing w:before="0" w:after="283"/>
              <w:jc w:val="right"/>
              <w:rPr/>
            </w:pPr>
            <w:r>
              <w:rPr/>
              <w:t>66,418</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Adjusted net income*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160,829</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119,218</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98"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76" w:type="dxa"/>
            <w:tcBorders>
              <w:bottom w:val="double" w:sz="8" w:space="0" w:color="000000"/>
            </w:tcBorders>
            <w:shd w:fill="CCEEFF" w:val="clear"/>
            <w:tcMar>
              <w:bottom w:w="28" w:type="dxa"/>
            </w:tcMar>
            <w:vAlign w:val="center"/>
          </w:tcPr>
          <w:p>
            <w:pPr>
              <w:pStyle w:val="TableContents"/>
              <w:bidi w:val="0"/>
              <w:spacing w:before="0" w:after="283"/>
              <w:jc w:val="right"/>
              <w:rPr/>
            </w:pPr>
            <w:r>
              <w:rPr/>
              <w:t>41,611</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NewRoman;Times New Roman;Times;Baskerville;Georgia;serif" w:hAnsi="TimesNewRoman;Times New Roman;Times;Baskerville;Georgia;serif"/>
          <w:i/>
          <w:spacing w:val="0"/>
          <w:sz w:val="20"/>
        </w:rPr>
      </w:pPr>
      <w:r>
        <w:rPr>
          <w:rFonts w:ascii="TimesNewRoman;Times New Roman;Times;Baskerville;Georgia;serif" w:hAnsi="TimesNewRoman;Times New Roman;Times;Baskerville;Georgia;serif"/>
          <w:i/>
          <w:spacing w:val="0"/>
          <w:sz w:val="20"/>
        </w:rPr>
        <w:t>* - See Non-GAAP Financial Measures appearing at the end of this discussion</w:t>
      </w:r>
    </w:p>
    <w:p>
      <w:pPr>
        <w:pStyle w:val="TextBody"/>
        <w:bidi w:val="0"/>
        <w:spacing w:before="0" w:after="0"/>
        <w:jc w:val="left"/>
        <w:rPr/>
      </w:pPr>
      <w:r>
        <w:rPr/>
        <w:t> </w:t>
      </w:r>
    </w:p>
    <w:p>
      <w:pPr>
        <w:pStyle w:val="TextBody"/>
        <w:bidi w:val="0"/>
        <w:spacing w:lineRule="atLeast" w:line="240"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Revenues</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i w:val="false"/>
          <w:caps w:val="false"/>
          <w:smallCaps w:val="false"/>
          <w:sz w:val="20"/>
        </w:rPr>
        <w:t>We recorded total revenues of $510.2 million for the year ended December 31, 2025, as compared to $426.5 million for the year ended December 31, 2024, an increase of $83.7 million, or 20%. Revenue by product for the years ended December 31, 2025 and 2024 was as follows:</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jc w:val="both"/>
        <w:rPr/>
      </w:pPr>
      <w:r>
        <w:rPr/>
        <w:t> </w:t>
      </w:r>
    </w:p>
    <w:tbl>
      <w:tblPr>
        <w:tblW w:w="8895" w:type="dxa"/>
        <w:jc w:val="left"/>
        <w:tblInd w:w="0" w:type="dxa"/>
        <w:tblLayout w:type="fixed"/>
        <w:tblCellMar>
          <w:top w:w="0" w:type="dxa"/>
          <w:left w:w="0" w:type="dxa"/>
          <w:bottom w:w="0" w:type="dxa"/>
          <w:right w:w="0" w:type="dxa"/>
        </w:tblCellMar>
      </w:tblPr>
      <w:tblGrid>
        <w:gridCol w:w="3317"/>
        <w:gridCol w:w="90"/>
        <w:gridCol w:w="170"/>
        <w:gridCol w:w="830"/>
        <w:gridCol w:w="90"/>
        <w:gridCol w:w="90"/>
        <w:gridCol w:w="170"/>
        <w:gridCol w:w="830"/>
        <w:gridCol w:w="90"/>
        <w:gridCol w:w="90"/>
        <w:gridCol w:w="187"/>
        <w:gridCol w:w="922"/>
        <w:gridCol w:w="185"/>
        <w:gridCol w:w="90"/>
        <w:gridCol w:w="273"/>
        <w:gridCol w:w="1118"/>
        <w:gridCol w:w="353"/>
      </w:tblGrid>
      <w:tr>
        <w:trPr/>
        <w:tc>
          <w:tcPr>
            <w:tcW w:w="3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r>
      <w:tr>
        <w:trPr/>
        <w:tc>
          <w:tcPr>
            <w:tcW w:w="33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left"/>
              <w:rPr/>
            </w:pPr>
            <w:r>
              <w:rPr/>
            </w:r>
          </w:p>
        </w:tc>
        <w:tc>
          <w:tcPr>
            <w:tcW w:w="5135" w:type="dxa"/>
            <w:gridSpan w:val="14"/>
            <w:tcBorders/>
            <w:vAlign w:val="bottom"/>
          </w:tcPr>
          <w:p>
            <w:pPr>
              <w:pStyle w:val="TableContents"/>
              <w:bidi w:val="0"/>
              <w:spacing w:before="0" w:after="283"/>
              <w:jc w:val="center"/>
              <w:rPr/>
            </w:pPr>
            <w:r>
              <w:rPr>
                <w:b/>
                <w:spacing w:val="0"/>
              </w:rPr>
              <w:t>Year Ended December 31,</w:t>
            </w:r>
            <w:r>
              <w:rPr/>
              <w:t xml:space="preserve"> </w:t>
            </w:r>
          </w:p>
        </w:tc>
        <w:tc>
          <w:tcPr>
            <w:tcW w:w="353" w:type="dxa"/>
            <w:tcBorders/>
            <w:vAlign w:val="bottom"/>
          </w:tcPr>
          <w:p>
            <w:pPr>
              <w:pStyle w:val="TableContents"/>
              <w:bidi w:val="0"/>
              <w:spacing w:before="0" w:after="283"/>
              <w:jc w:val="center"/>
              <w:rPr/>
            </w:pPr>
            <w:r>
              <w:rPr/>
              <w:t> </w:t>
            </w:r>
          </w:p>
        </w:tc>
      </w:tr>
      <w:tr>
        <w:trPr/>
        <w:tc>
          <w:tcPr>
            <w:tcW w:w="33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000" w:type="dxa"/>
            <w:gridSpan w:val="2"/>
            <w:tcBorders/>
            <w:vAlign w:val="bottom"/>
          </w:tcPr>
          <w:p>
            <w:pPr>
              <w:pStyle w:val="TableContents"/>
              <w:bidi w:val="0"/>
              <w:spacing w:before="0" w:after="0"/>
              <w:ind w:left="0" w:right="0" w:hanging="0"/>
              <w:jc w:val="center"/>
              <w:rPr>
                <w:b/>
              </w:rPr>
            </w:pPr>
            <w:r>
              <w:rPr>
                <w:b/>
              </w:rPr>
              <w:t>2025</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000" w:type="dxa"/>
            <w:gridSpan w:val="2"/>
            <w:tcBorders/>
            <w:vAlign w:val="bottom"/>
          </w:tcPr>
          <w:p>
            <w:pPr>
              <w:pStyle w:val="TableContents"/>
              <w:bidi w:val="0"/>
              <w:spacing w:before="0" w:after="0"/>
              <w:ind w:left="0" w:right="0" w:hanging="0"/>
              <w:jc w:val="center"/>
              <w:rPr>
                <w:b/>
              </w:rPr>
            </w:pPr>
            <w:r>
              <w:rPr>
                <w:b/>
              </w:rPr>
              <w:t>2024</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109" w:type="dxa"/>
            <w:gridSpan w:val="2"/>
            <w:tcBorders/>
            <w:vAlign w:val="bottom"/>
          </w:tcPr>
          <w:p>
            <w:pPr>
              <w:pStyle w:val="TableContents"/>
              <w:bidi w:val="0"/>
              <w:spacing w:before="0" w:after="0"/>
              <w:ind w:left="0" w:right="0" w:hanging="0"/>
              <w:jc w:val="center"/>
              <w:rPr>
                <w:b/>
              </w:rPr>
            </w:pPr>
            <w:r>
              <w:rPr>
                <w:b/>
              </w:rPr>
              <w:t>Increase/</w:t>
              <w:br/>
              <w:t>(Decrease)</w:t>
            </w:r>
          </w:p>
        </w:tc>
        <w:tc>
          <w:tcPr>
            <w:tcW w:w="185"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391" w:type="dxa"/>
            <w:gridSpan w:val="2"/>
            <w:tcBorders/>
            <w:vAlign w:val="bottom"/>
          </w:tcPr>
          <w:p>
            <w:pPr>
              <w:pStyle w:val="TableContents"/>
              <w:bidi w:val="0"/>
              <w:spacing w:before="0" w:after="0"/>
              <w:ind w:left="0" w:right="0" w:hanging="0"/>
              <w:jc w:val="center"/>
              <w:rPr>
                <w:b/>
              </w:rPr>
            </w:pPr>
            <w:r>
              <w:rPr>
                <w:b/>
              </w:rPr>
              <w:t>Increase/</w:t>
              <w:br/>
              <w:t>(Decrease) %</w:t>
            </w:r>
          </w:p>
        </w:tc>
        <w:tc>
          <w:tcPr>
            <w:tcW w:w="353" w:type="dxa"/>
            <w:tcBorders/>
            <w:vAlign w:val="bottom"/>
          </w:tcPr>
          <w:p>
            <w:pPr>
              <w:pStyle w:val="TableContents"/>
              <w:bidi w:val="0"/>
              <w:spacing w:before="0" w:after="283"/>
              <w:jc w:val="center"/>
              <w:rPr/>
            </w:pPr>
            <w:r>
              <w:rPr/>
              <w:t> </w:t>
            </w:r>
          </w:p>
        </w:tc>
      </w:tr>
      <w:tr>
        <w:trPr/>
        <w:tc>
          <w:tcPr>
            <w:tcW w:w="3317" w:type="dxa"/>
            <w:tcBorders/>
            <w:vAlign w:val="bottom"/>
          </w:tcPr>
          <w:p>
            <w:pPr>
              <w:pStyle w:val="TableContents"/>
              <w:bidi w:val="0"/>
              <w:spacing w:before="0" w:after="283"/>
              <w:jc w:val="left"/>
              <w:rPr/>
            </w:pPr>
            <w:r>
              <w:rPr/>
              <w:t> </w:t>
            </w:r>
          </w:p>
        </w:tc>
        <w:tc>
          <w:tcPr>
            <w:tcW w:w="3744" w:type="dxa"/>
            <w:gridSpan w:val="12"/>
            <w:tcBorders/>
            <w:vAlign w:val="bottom"/>
          </w:tcPr>
          <w:p>
            <w:pPr>
              <w:pStyle w:val="TableContents"/>
              <w:bidi w:val="0"/>
              <w:spacing w:before="0" w:after="0"/>
              <w:ind w:left="0" w:right="0" w:hanging="0"/>
              <w:jc w:val="center"/>
              <w:rPr>
                <w:i/>
              </w:rPr>
            </w:pPr>
            <w:r>
              <w:rPr>
                <w:i/>
              </w:rPr>
              <w:t>(in thousands)</w:t>
            </w:r>
          </w:p>
        </w:tc>
        <w:tc>
          <w:tcPr>
            <w:tcW w:w="90" w:type="dxa"/>
            <w:tcBorders/>
            <w:vAlign w:val="bottom"/>
          </w:tcPr>
          <w:p>
            <w:pPr>
              <w:pStyle w:val="TableContents"/>
              <w:bidi w:val="0"/>
              <w:spacing w:before="0" w:after="283"/>
              <w:jc w:val="center"/>
              <w:rPr/>
            </w:pPr>
            <w:r>
              <w:rPr/>
              <w:t> </w:t>
            </w:r>
          </w:p>
        </w:tc>
        <w:tc>
          <w:tcPr>
            <w:tcW w:w="273" w:type="dxa"/>
            <w:tcBorders/>
            <w:vAlign w:val="bottom"/>
          </w:tcPr>
          <w:p>
            <w:pPr>
              <w:pStyle w:val="TableContents"/>
              <w:bidi w:val="0"/>
              <w:spacing w:before="0" w:after="283"/>
              <w:jc w:val="center"/>
              <w:rPr/>
            </w:pPr>
            <w:r>
              <w:rPr/>
              <w:t> </w:t>
            </w:r>
          </w:p>
        </w:tc>
        <w:tc>
          <w:tcPr>
            <w:tcW w:w="1118" w:type="dxa"/>
            <w:tcBorders/>
            <w:vAlign w:val="bottom"/>
          </w:tcPr>
          <w:p>
            <w:pPr>
              <w:pStyle w:val="TableContents"/>
              <w:bidi w:val="0"/>
              <w:spacing w:before="0" w:after="283"/>
              <w:jc w:val="center"/>
              <w:rPr/>
            </w:pPr>
            <w:r>
              <w:rPr/>
              <w:t> </w:t>
            </w:r>
          </w:p>
        </w:tc>
        <w:tc>
          <w:tcPr>
            <w:tcW w:w="353" w:type="dxa"/>
            <w:tcBorders/>
            <w:vAlign w:val="bottom"/>
          </w:tcPr>
          <w:p>
            <w:pPr>
              <w:pStyle w:val="TableContents"/>
              <w:bidi w:val="0"/>
              <w:spacing w:before="0" w:after="283"/>
              <w:jc w:val="center"/>
              <w:rPr/>
            </w:pPr>
            <w:r>
              <w:rPr/>
              <w:t> </w:t>
            </w:r>
          </w:p>
        </w:tc>
      </w:tr>
      <w:tr>
        <w:trPr/>
        <w:tc>
          <w:tcPr>
            <w:tcW w:w="3317" w:type="dxa"/>
            <w:tcBorders/>
            <w:shd w:fill="CCEEFF" w:val="clear"/>
            <w:vAlign w:val="bottom"/>
          </w:tcPr>
          <w:p>
            <w:pPr>
              <w:pStyle w:val="TableContents"/>
              <w:bidi w:val="0"/>
              <w:spacing w:before="0" w:after="0"/>
              <w:ind w:left="0" w:right="0" w:hanging="0"/>
              <w:jc w:val="left"/>
              <w:rPr/>
            </w:pPr>
            <w:r>
              <w:rPr/>
              <w:t>ASCENIV</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830" w:type="dxa"/>
            <w:tcBorders/>
            <w:shd w:fill="CCEEFF" w:val="clear"/>
            <w:vAlign w:val="bottom"/>
          </w:tcPr>
          <w:p>
            <w:pPr>
              <w:pStyle w:val="TableContents"/>
              <w:bidi w:val="0"/>
              <w:spacing w:before="0" w:after="0"/>
              <w:ind w:left="0" w:right="0" w:hanging="0"/>
              <w:jc w:val="right"/>
              <w:rPr/>
            </w:pPr>
            <w:r>
              <w:rPr/>
              <w:t>362,531</w:t>
            </w:r>
          </w:p>
        </w:tc>
        <w:tc>
          <w:tcPr>
            <w:tcW w:w="90"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830" w:type="dxa"/>
            <w:tcBorders/>
            <w:shd w:fill="CCEEFF" w:val="clear"/>
            <w:vAlign w:val="bottom"/>
          </w:tcPr>
          <w:p>
            <w:pPr>
              <w:pStyle w:val="TableContents"/>
              <w:bidi w:val="0"/>
              <w:spacing w:before="0" w:after="0"/>
              <w:ind w:left="0" w:right="0" w:hanging="0"/>
              <w:jc w:val="right"/>
              <w:rPr/>
            </w:pPr>
            <w:r>
              <w:rPr/>
              <w:t>239,594</w:t>
            </w:r>
          </w:p>
        </w:tc>
        <w:tc>
          <w:tcPr>
            <w:tcW w:w="90"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87" w:type="dxa"/>
            <w:tcBorders/>
            <w:shd w:fill="CCEEFF" w:val="clear"/>
            <w:vAlign w:val="bottom"/>
          </w:tcPr>
          <w:p>
            <w:pPr>
              <w:pStyle w:val="TableContents"/>
              <w:bidi w:val="0"/>
              <w:spacing w:before="0" w:after="0"/>
              <w:ind w:left="0" w:right="0" w:hanging="0"/>
              <w:jc w:val="left"/>
              <w:rPr/>
            </w:pPr>
            <w:r>
              <w:rPr/>
              <w:t>$</w:t>
            </w:r>
          </w:p>
        </w:tc>
        <w:tc>
          <w:tcPr>
            <w:tcW w:w="922" w:type="dxa"/>
            <w:tcBorders/>
            <w:shd w:fill="CCEEFF" w:val="clear"/>
            <w:vAlign w:val="bottom"/>
          </w:tcPr>
          <w:p>
            <w:pPr>
              <w:pStyle w:val="TableContents"/>
              <w:bidi w:val="0"/>
              <w:spacing w:before="0" w:after="0"/>
              <w:ind w:left="0" w:right="0" w:hanging="0"/>
              <w:jc w:val="right"/>
              <w:rPr/>
            </w:pPr>
            <w:r>
              <w:rPr/>
              <w:t>122,937</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center"/>
              <w:rPr/>
            </w:pPr>
            <w:r>
              <w:rPr/>
              <w:t> </w:t>
            </w:r>
          </w:p>
        </w:tc>
        <w:tc>
          <w:tcPr>
            <w:tcW w:w="273" w:type="dxa"/>
            <w:tcBorders/>
            <w:shd w:fill="CCEEFF" w:val="clear"/>
            <w:vAlign w:val="bottom"/>
          </w:tcPr>
          <w:p>
            <w:pPr>
              <w:pStyle w:val="TableContents"/>
              <w:bidi w:val="0"/>
              <w:spacing w:before="0" w:after="0"/>
              <w:ind w:left="0" w:right="0" w:hanging="0"/>
              <w:jc w:val="left"/>
              <w:rPr/>
            </w:pPr>
            <w:r>
              <w:rPr/>
              <w:t> </w:t>
            </w:r>
          </w:p>
        </w:tc>
        <w:tc>
          <w:tcPr>
            <w:tcW w:w="1118" w:type="dxa"/>
            <w:tcBorders/>
            <w:shd w:fill="CCEEFF" w:val="clear"/>
            <w:vAlign w:val="bottom"/>
          </w:tcPr>
          <w:p>
            <w:pPr>
              <w:pStyle w:val="TableContents"/>
              <w:bidi w:val="0"/>
              <w:spacing w:before="0" w:after="0"/>
              <w:ind w:left="0" w:right="0" w:hanging="0"/>
              <w:jc w:val="right"/>
              <w:rPr/>
            </w:pPr>
            <w:r>
              <w:rPr/>
              <w:t>51</w:t>
            </w:r>
          </w:p>
        </w:tc>
        <w:tc>
          <w:tcPr>
            <w:tcW w:w="353" w:type="dxa"/>
            <w:tcBorders/>
            <w:shd w:fill="CCEEFF" w:val="clear"/>
            <w:vAlign w:val="bottom"/>
          </w:tcPr>
          <w:p>
            <w:pPr>
              <w:pStyle w:val="TableContents"/>
              <w:bidi w:val="0"/>
              <w:spacing w:before="0" w:after="0"/>
              <w:jc w:val="left"/>
              <w:rPr/>
            </w:pPr>
            <w:r>
              <w:rPr/>
              <w:t>%</w:t>
            </w:r>
          </w:p>
        </w:tc>
      </w:tr>
      <w:tr>
        <w:trPr/>
        <w:tc>
          <w:tcPr>
            <w:tcW w:w="3317" w:type="dxa"/>
            <w:tcBorders/>
            <w:vAlign w:val="bottom"/>
          </w:tcPr>
          <w:p>
            <w:pPr>
              <w:pStyle w:val="TableContents"/>
              <w:bidi w:val="0"/>
              <w:spacing w:before="0" w:after="0"/>
              <w:ind w:left="0" w:right="0" w:hanging="0"/>
              <w:jc w:val="left"/>
              <w:rPr/>
            </w:pPr>
            <w:r>
              <w:rPr/>
              <w:t>BIVIGAM</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122,033</w:t>
            </w:r>
          </w:p>
        </w:tc>
        <w:tc>
          <w:tcPr>
            <w:tcW w:w="9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142,357</w:t>
            </w:r>
          </w:p>
        </w:tc>
        <w:tc>
          <w:tcPr>
            <w:tcW w:w="9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87" w:type="dxa"/>
            <w:tcBorders/>
            <w:vAlign w:val="bottom"/>
          </w:tcPr>
          <w:p>
            <w:pPr>
              <w:pStyle w:val="TableContents"/>
              <w:bidi w:val="0"/>
              <w:spacing w:before="0" w:after="0"/>
              <w:ind w:left="0" w:right="0" w:hanging="0"/>
              <w:jc w:val="left"/>
              <w:rPr/>
            </w:pPr>
            <w:r>
              <w:rPr/>
              <w:t> </w:t>
            </w:r>
          </w:p>
        </w:tc>
        <w:tc>
          <w:tcPr>
            <w:tcW w:w="922" w:type="dxa"/>
            <w:tcBorders/>
            <w:vAlign w:val="bottom"/>
          </w:tcPr>
          <w:p>
            <w:pPr>
              <w:pStyle w:val="TableContents"/>
              <w:bidi w:val="0"/>
              <w:spacing w:before="0" w:after="0"/>
              <w:ind w:left="0" w:right="0" w:hanging="0"/>
              <w:jc w:val="right"/>
              <w:rPr/>
            </w:pPr>
            <w:r>
              <w:rPr/>
              <w:t>(20,324</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center"/>
              <w:rPr/>
            </w:pPr>
            <w:r>
              <w:rPr/>
              <w:t> </w:t>
            </w:r>
          </w:p>
        </w:tc>
        <w:tc>
          <w:tcPr>
            <w:tcW w:w="273" w:type="dxa"/>
            <w:tcBorders/>
            <w:vAlign w:val="bottom"/>
          </w:tcPr>
          <w:p>
            <w:pPr>
              <w:pStyle w:val="TableContents"/>
              <w:bidi w:val="0"/>
              <w:spacing w:before="0" w:after="0"/>
              <w:ind w:left="0" w:right="0" w:hanging="0"/>
              <w:jc w:val="left"/>
              <w:rPr/>
            </w:pPr>
            <w:r>
              <w:rPr/>
              <w:t> </w:t>
            </w:r>
          </w:p>
        </w:tc>
        <w:tc>
          <w:tcPr>
            <w:tcW w:w="1118" w:type="dxa"/>
            <w:tcBorders/>
            <w:vAlign w:val="bottom"/>
          </w:tcPr>
          <w:p>
            <w:pPr>
              <w:pStyle w:val="TableContents"/>
              <w:bidi w:val="0"/>
              <w:spacing w:before="0" w:after="0"/>
              <w:ind w:left="0" w:right="0" w:hanging="0"/>
              <w:jc w:val="right"/>
              <w:rPr/>
            </w:pPr>
            <w:r>
              <w:rPr/>
              <w:t>-14</w:t>
            </w:r>
          </w:p>
        </w:tc>
        <w:tc>
          <w:tcPr>
            <w:tcW w:w="353" w:type="dxa"/>
            <w:tcBorders/>
            <w:vAlign w:val="bottom"/>
          </w:tcPr>
          <w:p>
            <w:pPr>
              <w:pStyle w:val="TableContents"/>
              <w:bidi w:val="0"/>
              <w:spacing w:before="0" w:after="0"/>
              <w:jc w:val="left"/>
              <w:rPr/>
            </w:pPr>
            <w:r>
              <w:rPr/>
              <w:t>% </w:t>
            </w:r>
          </w:p>
        </w:tc>
      </w:tr>
      <w:tr>
        <w:trPr/>
        <w:tc>
          <w:tcPr>
            <w:tcW w:w="3317" w:type="dxa"/>
            <w:tcBorders/>
            <w:shd w:fill="CCEEFF" w:val="clear"/>
            <w:vAlign w:val="bottom"/>
          </w:tcPr>
          <w:p>
            <w:pPr>
              <w:pStyle w:val="TableContents"/>
              <w:bidi w:val="0"/>
              <w:spacing w:before="0" w:after="0"/>
              <w:ind w:left="0" w:right="0" w:hanging="0"/>
              <w:jc w:val="left"/>
              <w:rPr/>
            </w:pPr>
            <w:r>
              <w:rPr/>
              <w:t>Intermediates and other products(1)</w:t>
            </w:r>
          </w:p>
        </w:tc>
        <w:tc>
          <w:tcPr>
            <w:tcW w:w="9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8,579</w:t>
            </w:r>
          </w:p>
        </w:tc>
        <w:tc>
          <w:tcPr>
            <w:tcW w:w="9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33,998</w:t>
            </w:r>
          </w:p>
        </w:tc>
        <w:tc>
          <w:tcPr>
            <w:tcW w:w="9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22"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(25,419</w:t>
            </w:r>
          </w:p>
        </w:tc>
        <w:tc>
          <w:tcPr>
            <w:tcW w:w="185"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0"/>
              <w:ind w:left="0" w:right="0" w:hanging="0"/>
              <w:jc w:val="center"/>
              <w:rPr/>
            </w:pPr>
            <w:r>
              <w:rPr/>
              <w:t> </w:t>
            </w:r>
          </w:p>
        </w:tc>
        <w:tc>
          <w:tcPr>
            <w:tcW w:w="273"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118"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-75</w:t>
            </w:r>
          </w:p>
        </w:tc>
        <w:tc>
          <w:tcPr>
            <w:tcW w:w="353"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r>
      <w:tr>
        <w:trPr/>
        <w:tc>
          <w:tcPr>
            <w:tcW w:w="3317" w:type="dxa"/>
            <w:tcBorders/>
            <w:vAlign w:val="bottom"/>
          </w:tcPr>
          <w:p>
            <w:pPr>
              <w:pStyle w:val="TableContents"/>
              <w:bidi w:val="0"/>
              <w:spacing w:before="0" w:after="0"/>
              <w:ind w:left="0" w:right="0" w:hanging="0"/>
              <w:jc w:val="left"/>
              <w:rPr/>
            </w:pPr>
            <w:r>
              <w:rPr/>
              <w:t>ADMA BioManufacturing</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493,143</w:t>
            </w:r>
          </w:p>
        </w:tc>
        <w:tc>
          <w:tcPr>
            <w:tcW w:w="9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415,949</w:t>
            </w:r>
          </w:p>
        </w:tc>
        <w:tc>
          <w:tcPr>
            <w:tcW w:w="9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87" w:type="dxa"/>
            <w:tcBorders/>
            <w:vAlign w:val="bottom"/>
          </w:tcPr>
          <w:p>
            <w:pPr>
              <w:pStyle w:val="TableContents"/>
              <w:bidi w:val="0"/>
              <w:spacing w:before="0" w:after="0"/>
              <w:ind w:left="0" w:right="0" w:hanging="0"/>
              <w:jc w:val="left"/>
              <w:rPr/>
            </w:pPr>
            <w:r>
              <w:rPr/>
              <w:t> </w:t>
            </w:r>
          </w:p>
        </w:tc>
        <w:tc>
          <w:tcPr>
            <w:tcW w:w="922" w:type="dxa"/>
            <w:tcBorders/>
            <w:vAlign w:val="bottom"/>
          </w:tcPr>
          <w:p>
            <w:pPr>
              <w:pStyle w:val="TableContents"/>
              <w:bidi w:val="0"/>
              <w:spacing w:before="0" w:after="0"/>
              <w:ind w:left="0" w:right="0" w:hanging="0"/>
              <w:jc w:val="right"/>
              <w:rPr/>
            </w:pPr>
            <w:r>
              <w:rPr/>
              <w:t>77,194</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center"/>
              <w:rPr/>
            </w:pPr>
            <w:r>
              <w:rPr/>
              <w:t> </w:t>
            </w:r>
          </w:p>
        </w:tc>
        <w:tc>
          <w:tcPr>
            <w:tcW w:w="273" w:type="dxa"/>
            <w:tcBorders/>
            <w:vAlign w:val="bottom"/>
          </w:tcPr>
          <w:p>
            <w:pPr>
              <w:pStyle w:val="TableContents"/>
              <w:bidi w:val="0"/>
              <w:spacing w:before="0" w:after="0"/>
              <w:ind w:left="0" w:right="0" w:hanging="0"/>
              <w:jc w:val="left"/>
              <w:rPr/>
            </w:pPr>
            <w:r>
              <w:rPr/>
              <w:t> </w:t>
            </w:r>
          </w:p>
        </w:tc>
        <w:tc>
          <w:tcPr>
            <w:tcW w:w="1118" w:type="dxa"/>
            <w:tcBorders/>
            <w:vAlign w:val="bottom"/>
          </w:tcPr>
          <w:p>
            <w:pPr>
              <w:pStyle w:val="TableContents"/>
              <w:bidi w:val="0"/>
              <w:spacing w:before="0" w:after="0"/>
              <w:ind w:left="0" w:right="0" w:hanging="0"/>
              <w:jc w:val="right"/>
              <w:rPr/>
            </w:pPr>
            <w:r>
              <w:rPr/>
              <w:t>19</w:t>
            </w:r>
          </w:p>
        </w:tc>
        <w:tc>
          <w:tcPr>
            <w:tcW w:w="353" w:type="dxa"/>
            <w:tcBorders/>
            <w:vAlign w:val="bottom"/>
          </w:tcPr>
          <w:p>
            <w:pPr>
              <w:pStyle w:val="TableContents"/>
              <w:bidi w:val="0"/>
              <w:spacing w:before="0" w:after="0"/>
              <w:jc w:val="left"/>
              <w:rPr/>
            </w:pPr>
            <w:r>
              <w:rPr/>
              <w:t>%</w:t>
            </w:r>
          </w:p>
        </w:tc>
      </w:tr>
      <w:tr>
        <w:trPr/>
        <w:tc>
          <w:tcPr>
            <w:tcW w:w="331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r>
      <w:tr>
        <w:trPr/>
        <w:tc>
          <w:tcPr>
            <w:tcW w:w="3317" w:type="dxa"/>
            <w:tcBorders/>
            <w:vAlign w:val="bottom"/>
          </w:tcPr>
          <w:p>
            <w:pPr>
              <w:pStyle w:val="TableContents"/>
              <w:bidi w:val="0"/>
              <w:spacing w:before="0" w:after="0"/>
              <w:ind w:left="0" w:right="0" w:hanging="0"/>
              <w:jc w:val="left"/>
              <w:rPr/>
            </w:pPr>
            <w:r>
              <w:rPr/>
              <w:t>Plasma Collection Centers</w:t>
            </w:r>
          </w:p>
        </w:tc>
        <w:tc>
          <w:tcPr>
            <w:tcW w:w="9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17,030</w:t>
            </w:r>
          </w:p>
        </w:tc>
        <w:tc>
          <w:tcPr>
            <w:tcW w:w="9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10,505</w:t>
            </w:r>
          </w:p>
        </w:tc>
        <w:tc>
          <w:tcPr>
            <w:tcW w:w="9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87"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22" w:type="dxa"/>
            <w:tcBorders>
              <w:bottom w:val="single" w:sz="12" w:space="0" w:color="000000"/>
            </w:tcBorders>
            <w:tcMar>
              <w:bottom w:w="28" w:type="dxa"/>
            </w:tcMar>
            <w:vAlign w:val="bottom"/>
          </w:tcPr>
          <w:p>
            <w:pPr>
              <w:pStyle w:val="TableContents"/>
              <w:bidi w:val="0"/>
              <w:spacing w:before="0" w:after="0"/>
              <w:ind w:left="0" w:right="0" w:hanging="0"/>
              <w:jc w:val="right"/>
              <w:rPr/>
            </w:pPr>
            <w:r>
              <w:rPr/>
              <w:t>6,525</w:t>
            </w:r>
          </w:p>
        </w:tc>
        <w:tc>
          <w:tcPr>
            <w:tcW w:w="185"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vAlign w:val="bottom"/>
          </w:tcPr>
          <w:p>
            <w:pPr>
              <w:pStyle w:val="TableContents"/>
              <w:bidi w:val="0"/>
              <w:spacing w:before="0" w:after="0"/>
              <w:ind w:left="0" w:right="0" w:hanging="0"/>
              <w:jc w:val="center"/>
              <w:rPr/>
            </w:pPr>
            <w:r>
              <w:rPr/>
              <w:t> </w:t>
            </w:r>
          </w:p>
        </w:tc>
        <w:tc>
          <w:tcPr>
            <w:tcW w:w="273"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118" w:type="dxa"/>
            <w:tcBorders>
              <w:bottom w:val="single" w:sz="12" w:space="0" w:color="000000"/>
            </w:tcBorders>
            <w:tcMar>
              <w:bottom w:w="28" w:type="dxa"/>
            </w:tcMar>
            <w:vAlign w:val="bottom"/>
          </w:tcPr>
          <w:p>
            <w:pPr>
              <w:pStyle w:val="TableContents"/>
              <w:bidi w:val="0"/>
              <w:spacing w:before="0" w:after="0"/>
              <w:ind w:left="0" w:right="0" w:hanging="0"/>
              <w:jc w:val="right"/>
              <w:rPr/>
            </w:pPr>
            <w:r>
              <w:rPr/>
              <w:t>62</w:t>
            </w:r>
          </w:p>
        </w:tc>
        <w:tc>
          <w:tcPr>
            <w:tcW w:w="353" w:type="dxa"/>
            <w:tcBorders>
              <w:bottom w:val="single" w:sz="12" w:space="0" w:color="000000"/>
            </w:tcBorders>
            <w:tcMar>
              <w:bottom w:w="28" w:type="dxa"/>
            </w:tcMar>
            <w:vAlign w:val="bottom"/>
          </w:tcPr>
          <w:p>
            <w:pPr>
              <w:pStyle w:val="TableContents"/>
              <w:bidi w:val="0"/>
              <w:spacing w:before="0" w:after="0"/>
              <w:jc w:val="left"/>
              <w:rPr/>
            </w:pPr>
            <w:r>
              <w:rPr/>
              <w:t>%</w:t>
            </w:r>
          </w:p>
        </w:tc>
      </w:tr>
      <w:tr>
        <w:trPr/>
        <w:tc>
          <w:tcPr>
            <w:tcW w:w="3317" w:type="dxa"/>
            <w:tcBorders/>
            <w:shd w:fill="CCEEFF" w:val="clear"/>
            <w:vAlign w:val="bottom"/>
          </w:tcPr>
          <w:p>
            <w:pPr>
              <w:pStyle w:val="TableContents"/>
              <w:bidi w:val="0"/>
              <w:spacing w:before="0" w:after="0"/>
              <w:ind w:left="0" w:right="0" w:hanging="0"/>
              <w:jc w:val="left"/>
              <w:rPr>
                <w:b/>
              </w:rPr>
            </w:pPr>
            <w:r>
              <w:rPr>
                <w:b/>
              </w:rPr>
              <w:t>Total Revenues</w:t>
            </w:r>
          </w:p>
        </w:tc>
        <w:tc>
          <w:tcPr>
            <w:tcW w:w="90" w:type="dxa"/>
            <w:tcBorders>
              <w:bottom w:val="double" w:sz="8" w:space="0" w:color="000000"/>
            </w:tcBorders>
            <w:shd w:fill="CCEEFF" w:val="clear"/>
            <w:tcMar>
              <w:bottom w:w="28" w:type="dxa"/>
            </w:tcMar>
            <w:vAlign w:val="bottom"/>
          </w:tcPr>
          <w:p>
            <w:pPr>
              <w:pStyle w:val="TableContents"/>
              <w:bidi w:val="0"/>
              <w:spacing w:before="0" w:after="0"/>
              <w:ind w:left="0" w:right="0" w:hanging="0"/>
              <w:jc w:val="center"/>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b/>
              </w:rPr>
            </w:pPr>
            <w:r>
              <w:rPr>
                <w:b/>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b/>
              </w:rPr>
            </w:pPr>
            <w:r>
              <w:rPr>
                <w:b/>
              </w:rPr>
              <w:t>510,173</w:t>
            </w:r>
          </w:p>
        </w:tc>
        <w:tc>
          <w:tcPr>
            <w:tcW w:w="9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0"/>
              <w:ind w:left="0" w:right="0" w:hanging="0"/>
              <w:jc w:val="center"/>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b/>
              </w:rPr>
            </w:pPr>
            <w:r>
              <w:rPr>
                <w:b/>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b/>
              </w:rPr>
            </w:pPr>
            <w:r>
              <w:rPr>
                <w:b/>
              </w:rPr>
              <w:t>426,454</w:t>
            </w:r>
          </w:p>
        </w:tc>
        <w:tc>
          <w:tcPr>
            <w:tcW w:w="9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0"/>
              <w:ind w:left="0" w:right="0" w:hanging="0"/>
              <w:jc w:val="center"/>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b/>
              </w:rPr>
            </w:pPr>
            <w:r>
              <w:rPr>
                <w:b/>
              </w:rPr>
              <w:t>$</w:t>
            </w:r>
          </w:p>
        </w:tc>
        <w:tc>
          <w:tcPr>
            <w:tcW w:w="922"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b/>
              </w:rPr>
            </w:pPr>
            <w:r>
              <w:rPr>
                <w:b/>
              </w:rPr>
              <w:t>83,719</w:t>
            </w:r>
          </w:p>
        </w:tc>
        <w:tc>
          <w:tcPr>
            <w:tcW w:w="185"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0"/>
              <w:ind w:left="0" w:right="0" w:hanging="0"/>
              <w:jc w:val="center"/>
              <w:rPr/>
            </w:pPr>
            <w:r>
              <w:rPr/>
              <w:t> </w:t>
            </w:r>
          </w:p>
        </w:tc>
        <w:tc>
          <w:tcPr>
            <w:tcW w:w="273"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118"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b/>
              </w:rPr>
            </w:pPr>
            <w:r>
              <w:rPr>
                <w:b/>
              </w:rPr>
              <w:t>20</w:t>
            </w:r>
          </w:p>
        </w:tc>
        <w:tc>
          <w:tcPr>
            <w:tcW w:w="353"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r>
    </w:tbl>
    <w:p>
      <w:pPr>
        <w:pStyle w:val="TextBody"/>
        <w:bidi w:val="0"/>
        <w:spacing w:lineRule="atLeast" w:line="240" w:before="0" w:after="0"/>
        <w:jc w:val="both"/>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position w:val="7"/>
          <w:sz w:val="16"/>
          <w:sz w:val="20"/>
        </w:rPr>
        <w:t>(1)</w:t>
      </w:r>
      <w:r>
        <w:rPr>
          <w:rFonts w:ascii="TimesNewRoman;Times New Roman;Times;Baskerville;Georgia;serif" w:hAnsi="TimesNewRoman;Times New Roman;Times;Baskerville;Georgia;serif"/>
          <w:sz w:val="20"/>
        </w:rPr>
        <w:t xml:space="preserve"> Due to Nabi-HB historically representing less than 10% of the Company’s revenue within the ADMA BioManufacturing segment, it has been included under intermediates and other products. The $12.6 million U.S. Medicaid rebate adjustment recorded in 2024 is also included under intermediates and other products.</w:t>
      </w:r>
    </w:p>
    <w:p>
      <w:pPr>
        <w:pStyle w:val="TextBody"/>
        <w:bidi w:val="0"/>
        <w:spacing w:lineRule="atLeast" w:line="240" w:before="0" w:after="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i w:val="false"/>
          <w:caps w:val="false"/>
          <w:smallCaps w:val="false"/>
          <w:sz w:val="20"/>
        </w:rPr>
        <w:t>The increase in total revenue is primarily related to increased sales of ASCENIV, as we continue to experience increased physician, payer and patient acceptance and utilization of this product, partially offset by the decrease in sales of BIVIGAM, intermediates and other. The revenue increase also includes an increase in sales of normal source plasma (“NSP”) and hyperimmune Hepatitis B plasma in the amount of $6.5 million. During the year ended December 31, 2025, and as previously disclosed in our Quarterly Reports on Form 10-Q for the quarters ended March 31, 2025, June 30, 2025, and September 30, 2025, we voluntarily withdrew three lots of BIVIGAM (such a withdrawal, hereinafter referred to as the “Voluntary Withdrawal”) as a precautionary measure. This resulted in a reduction in revenue recognized for the year ended December 31, 2025 of $4.0 million for credits issued to customers that were impacted by this Voluntary Withdrawal. This action was proactively initiated, and we believe this matter to be resolved. Excluding the $12.6 million adjustment we recorded in 2024 to decrease our accrual for estimated U.S. Medicaid rebates (which had the effect of increasing net revenues by $12.6 million during the year ended December 31, 2024), total revenue increased by approximately $96.3 million, or 23%.</w:t>
      </w:r>
      <w:r>
        <w:rPr>
          <w:rFonts w:ascii="TimesNewRoman;Times New Roman;Times;Baskerville;Georgia;serif" w:hAnsi="TimesNewRoman;Times New Roman;Times;Baskerville;Georgia;serif"/>
          <w:i/>
          <w:sz w:val="20"/>
        </w:rPr>
        <w:t xml:space="preserve"> </w:t>
      </w:r>
    </w:p>
    <w:p>
      <w:pPr>
        <w:pStyle w:val="TextBody"/>
        <w:bidi w:val="0"/>
        <w:spacing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Cost of Product Revenue and Gross Profit</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i w:val="false"/>
          <w:caps w:val="false"/>
          <w:smallCaps w:val="false"/>
          <w:sz w:val="20"/>
        </w:rPr>
        <w:t>Cost of product revenue was $217.4 million for the year ended December 31, 2025, as compared to $206.9 million for the year ended December 31, 2024, an increase of $10.5 million, or 5%. The increase is primarily due to higher volume of our IG products and plasma, which impacted cost of product revenue by $19.7 million and $6.7 million, respectively, partially offset by $10.2 million driven by lower volume of intermediates and other, and a reduction in unabsorbed expenses of $5.7 million.</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jc w:val="both"/>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i w:val="false"/>
          <w:caps w:val="false"/>
          <w:smallCaps w:val="false"/>
          <w:sz w:val="20"/>
        </w:rPr>
        <w:t>For the year ended December 31, 2025, we had gross profit of $292.8 million, as compared to $219.6 million for the prior year, which represents a gross margin for fiscal 2025 of 57.4%, as compared to 51.5% for fiscal 2024. Excluding the $12.6 million adjustment we recorded in the second quarter of 2024 to reduce our accrual for estimated U.S. Medicaid rebates, our gross profit for the year ended December 31, 2024 was approximately $207.0 million, representing a gross margin of 50.0%. The improvement in gross margin is mainly driven by a significantly more favorable mix of higher margin IG sales in 2025 as compared to 2024, along with the reduction in other manufacturing costs. In fiscal year 2026, our anticipated first full year of yield-enhanced production, we expect a continued shift in our revenue mix toward higher margin IVIG products and improved gross margin.</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Research and Development Expenses</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Research and development (“R&amp;D”) expenses totaled $4.8 million for the year ended December 31, 2025, as compared to $1.8 million for the year ended December 31, 2024. The increase is driven by the investments made in connection with SG-001.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Plasma Center Operating Expenses</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Plasma center operating expenses, which primarily consist of compensation, benefits and travel for plasma center management and administrative staff increased to $4.8 million for the year ended December 31, 2025 as compared to approximately $4.2 million for the year ended December 31, 2024.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Amortization of Intangibles</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Amortization expense decreased to $0.1 million for the year ended December 31, 2025, as compared to $0.4 million for the year ended December 31, 2024.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Selling, General and Administrative Expenses</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Selling, general and administrative (“SG&amp;A”) expenses were $91.6 million for the year ended December 31, 2025, an increase of $17.5 million from the year ended December 31, 2024, or approximately 24%. The increase is primarily driven by higher compensation costs due to increased headcount to support the growth of our business and manufacturing operations. In addition, higher insurance premiums, professional fees and software expenses contributed to this increase.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Interest Expense</w:t>
      </w:r>
      <w:r>
        <w:rPr>
          <w:rFonts w:ascii="TimesNewRoman;Times New Roman;Times;Baskerville;Georgia;serif" w:hAnsi="TimesNewRoman;Times New Roman;Times;Baskerville;Georgia;serif"/>
          <w:i/>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Interest expense for the year ended December 31, 2025, was $7.1 million, as compared to $13.9 million for the year ended December 31, 2024, primarily driven by the decrease in debt balances due to principal repayments made in 2024 and the lower JPM Term Loan Facility (as defined below) interest rate.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Loss on Extinguishment of Debt</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a result of the $30.0 million prepayment we made in May 2025 and repayment of all obligations then outstanding under the Ares Credit Facility (as defined below) in August 2025, we have incurred prepayment penalties and wrote off the remaining debt issuance costs and discount associated with that facility, which resulted in recognition of debt extinguishment losses of $3.3 million during the year ended December 31, 2025. As a result of the debt prepayment we made in 2024, we incurred a prepayment penalty in the amount of $0.5 million and recorded a partial write-down of unamortized debt discount of approximately $0.8 million, for a total loss on this partial extinguishment of debt in the amount of $1.2 million recognized during the year ended December 31, 2024.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Other Income, Net</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Other income, net, for the year ended December 31, 2025 was $1.7 million, as compared to $1.9 million for the year ended December 31, 2024, driven by the decrease in 2025 of the prevailing short-term interest rates which resulted in lower interest income.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Income Tax Expense (Benefit)</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Income tax expense of $35.7 million for the year ended December 31, 2025 represented an effective tax rate of 19.6%, which differed from the federal statutory rate of 21% primarily due to the excess tax benefits on stock-based compensation and R&amp;D tax credits. </w:t>
      </w:r>
    </w:p>
    <w:p>
      <w:pPr>
        <w:pStyle w:val="TextBody"/>
        <w:bidi w:val="0"/>
        <w:spacing w:lineRule="atLeast" w:line="240" w:before="0" w:after="0"/>
        <w:jc w:val="both"/>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recorded a total income tax benefit of ($72.0) million for the year ended December 31, 2024. The provision for income taxes for fiscal 2024 includes a deferred tax benefit of ($84.3) million related to the release of the valuation allowance against our net deferred tax assets, partially offset by current income tax expense of $12.3 million, which reflects federal and state income tax liabilities that are not fully sheltered by NOLs due to limitations from prior ownership changes and other limitations on net operating loss carryforwards under the Internal Revenue Code of 1986, as amended (see “Risk Factors - Our ability to use our net operating loss carryforwards (“NOLs”) may be limited.” appearing elsewhere in this report and Note 11 to the Consolidated Financial Statements).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lineRule="atLeast" w:line="240" w:before="0" w:after="0"/>
        <w:jc w:val="both"/>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val="false"/>
          <w:caps w:val="false"/>
          <w:smallCaps w:val="false"/>
          <w:sz w:val="20"/>
        </w:rPr>
        <w:t>Year Ended December 31, 2024 Compared to Year Ended December 31, 2023</w:t>
      </w:r>
      <w:r>
        <w:rPr>
          <w:rFonts w:ascii="TimesNewRoman;Times New Roman;Times;Baskerville;Georgia;serif" w:hAnsi="TimesNewRoman;Times New Roman;Times;Baskerville;Georgia;serif"/>
          <w:b/>
          <w:i/>
          <w:sz w:val="20"/>
        </w:rPr>
        <w:t xml:space="preserve"> </w:t>
      </w:r>
    </w:p>
    <w:p>
      <w:pPr>
        <w:pStyle w:val="TextBody"/>
        <w:bidi w:val="0"/>
        <w:spacing w:lineRule="atLeast" w:line="240" w:before="0" w:after="0"/>
        <w:jc w:val="both"/>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presents a summary of the changes in our results of operations for the year ended December 31, 2024, compared to the year ended December 31, 2023: </w:t>
      </w:r>
    </w:p>
    <w:p>
      <w:pPr>
        <w:pStyle w:val="TextBody"/>
        <w:bidi w:val="0"/>
        <w:spacing w:lineRule="atLeast" w:line="240" w:before="0" w:after="0"/>
        <w:jc w:val="both"/>
        <w:rPr/>
      </w:pPr>
      <w:r>
        <w:rPr/>
        <w:t xml:space="preserve">  </w:t>
      </w:r>
    </w:p>
    <w:tbl>
      <w:tblPr>
        <w:tblW w:w="8339" w:type="dxa"/>
        <w:jc w:val="left"/>
        <w:tblInd w:w="0" w:type="dxa"/>
        <w:tblLayout w:type="fixed"/>
        <w:tblCellMar>
          <w:top w:w="0" w:type="dxa"/>
          <w:left w:w="0" w:type="dxa"/>
          <w:bottom w:w="0" w:type="dxa"/>
          <w:right w:w="0" w:type="dxa"/>
        </w:tblCellMar>
      </w:tblPr>
      <w:tblGrid>
        <w:gridCol w:w="4295"/>
        <w:gridCol w:w="90"/>
        <w:gridCol w:w="170"/>
        <w:gridCol w:w="830"/>
        <w:gridCol w:w="185"/>
        <w:gridCol w:w="90"/>
        <w:gridCol w:w="170"/>
        <w:gridCol w:w="830"/>
        <w:gridCol w:w="185"/>
        <w:gridCol w:w="90"/>
        <w:gridCol w:w="198"/>
        <w:gridCol w:w="976"/>
        <w:gridCol w:w="230"/>
      </w:tblGrid>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295" w:type="dxa"/>
            <w:vMerge w:val="restart"/>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372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December 31, </w:t>
            </w:r>
          </w:p>
        </w:tc>
        <w:tc>
          <w:tcPr>
            <w:tcW w:w="230" w:type="dxa"/>
            <w:tcBorders/>
            <w:vAlign w:val="center"/>
          </w:tcPr>
          <w:p>
            <w:pPr>
              <w:pStyle w:val="TableContents"/>
              <w:bidi w:val="0"/>
              <w:spacing w:before="0" w:after="283"/>
              <w:jc w:val="center"/>
              <w:rPr/>
            </w:pPr>
            <w:r>
              <w:rPr/>
              <w:t> </w:t>
            </w:r>
          </w:p>
        </w:tc>
      </w:tr>
      <w:tr>
        <w:trPr/>
        <w:tc>
          <w:tcPr>
            <w:tcW w:w="4295" w:type="dxa"/>
            <w:vMerge w:val="continue"/>
            <w:tcBorders/>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pPr>
            <w:r>
              <w:rPr>
                <w:b/>
              </w:rPr>
              <w:t>Increase</w:t>
              <w:br/>
              <w:t>(Decrease)</w:t>
            </w:r>
            <w:r>
              <w:rPr/>
              <w:t xml:space="preserve"> </w:t>
            </w:r>
          </w:p>
        </w:tc>
        <w:tc>
          <w:tcPr>
            <w:tcW w:w="230" w:type="dxa"/>
            <w:tcBorders/>
            <w:vAlign w:val="center"/>
          </w:tcPr>
          <w:p>
            <w:pPr>
              <w:pStyle w:val="TableContents"/>
              <w:bidi w:val="0"/>
              <w:spacing w:before="0" w:after="283"/>
              <w:jc w:val="center"/>
              <w:rPr/>
            </w:pPr>
            <w:r>
              <w:rPr/>
              <w:t> </w:t>
            </w:r>
          </w:p>
        </w:tc>
      </w:tr>
      <w:tr>
        <w:trPr/>
        <w:tc>
          <w:tcPr>
            <w:tcW w:w="4295" w:type="dxa"/>
            <w:tcBorders/>
            <w:vAlign w:val="center"/>
          </w:tcPr>
          <w:p>
            <w:pPr>
              <w:pStyle w:val="TableContents"/>
              <w:bidi w:val="0"/>
              <w:spacing w:before="0" w:after="283"/>
              <w:jc w:val="left"/>
              <w:rPr/>
            </w:pPr>
            <w:r>
              <w:rPr/>
              <w:t> </w:t>
            </w:r>
          </w:p>
        </w:tc>
        <w:tc>
          <w:tcPr>
            <w:tcW w:w="4044" w:type="dxa"/>
            <w:gridSpan w:val="12"/>
            <w:tcBorders/>
            <w:vAlign w:val="center"/>
          </w:tcPr>
          <w:p>
            <w:pPr>
              <w:pStyle w:val="TableContents"/>
              <w:bidi w:val="0"/>
              <w:spacing w:before="0" w:after="283"/>
              <w:jc w:val="center"/>
              <w:rPr/>
            </w:pPr>
            <w:r>
              <w:rPr>
                <w:i/>
              </w:rPr>
              <w:t>(in thousands)</w:t>
            </w:r>
            <w:r>
              <w:rPr/>
              <w:t xml:space="preserve"> </w:t>
            </w:r>
          </w:p>
        </w:tc>
      </w:tr>
      <w:tr>
        <w:trPr/>
        <w:tc>
          <w:tcPr>
            <w:tcW w:w="4295" w:type="dxa"/>
            <w:tcBorders/>
            <w:shd w:fill="CCEEFF" w:val="clear"/>
            <w:vAlign w:val="center"/>
          </w:tcPr>
          <w:p>
            <w:pPr>
              <w:pStyle w:val="TableContents"/>
              <w:bidi w:val="0"/>
              <w:spacing w:before="0" w:after="0"/>
              <w:ind w:left="0" w:right="0" w:hanging="144"/>
              <w:jc w:val="left"/>
              <w:rPr/>
            </w:pPr>
            <w:r>
              <w:rPr/>
              <w:t xml:space="preserve">Revenues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426,454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258,215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168,239</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Cost of product revenue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206,901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169,273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tcMar>
              <w:bottom w:w="28" w:type="dxa"/>
            </w:tcMar>
            <w:vAlign w:val="center"/>
          </w:tcPr>
          <w:p>
            <w:pPr>
              <w:pStyle w:val="TableContents"/>
              <w:bidi w:val="0"/>
              <w:spacing w:before="0" w:after="283"/>
              <w:jc w:val="right"/>
              <w:rPr/>
            </w:pPr>
            <w:r>
              <w:rPr/>
              <w:t>37,628</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Gross profit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219,553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88,942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130,611</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Research and development expenses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3,300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(1,487</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Plasma center operating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4,245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4,266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(21</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Amortization of intangibles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(336</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Selling, general and administrative expenses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74,124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59,020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CCEEFF" w:val="clear"/>
            <w:tcMar>
              <w:bottom w:w="28" w:type="dxa"/>
            </w:tcMar>
            <w:vAlign w:val="center"/>
          </w:tcPr>
          <w:p>
            <w:pPr>
              <w:pStyle w:val="TableContents"/>
              <w:bidi w:val="0"/>
              <w:spacing w:before="0" w:after="283"/>
              <w:jc w:val="right"/>
              <w:rPr/>
            </w:pPr>
            <w:r>
              <w:rPr/>
              <w:t>15,104</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Income from operations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138,983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21,632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117,351</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Interest expense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(13,930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(25,027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11,097</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both"/>
              <w:rPr/>
            </w:pPr>
            <w:r>
              <w:rPr/>
              <w:t xml:space="preserve">Loss on extinguishment of debt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(26,174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24,931</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Other income, net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1,904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1,330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tcMar>
              <w:bottom w:w="28" w:type="dxa"/>
            </w:tcMar>
            <w:vAlign w:val="center"/>
          </w:tcPr>
          <w:p>
            <w:pPr>
              <w:pStyle w:val="TableContents"/>
              <w:bidi w:val="0"/>
              <w:spacing w:before="0" w:after="283"/>
              <w:jc w:val="right"/>
              <w:rPr/>
            </w:pPr>
            <w:r>
              <w:rPr/>
              <w:t>574</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Income before taxes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125,714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(28,239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153,953</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Income tax benefit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(71,959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tcMar>
              <w:bottom w:w="28" w:type="dxa"/>
            </w:tcMar>
            <w:vAlign w:val="center"/>
          </w:tcPr>
          <w:p>
            <w:pPr>
              <w:pStyle w:val="TableContents"/>
              <w:bidi w:val="0"/>
              <w:spacing w:before="0" w:after="283"/>
              <w:jc w:val="right"/>
              <w:rPr/>
            </w:pPr>
            <w:r>
              <w:rPr/>
              <w:t>(71,959</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Net income (loss)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197,673</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(28,239</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98"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76" w:type="dxa"/>
            <w:tcBorders>
              <w:bottom w:val="double" w:sz="8" w:space="0" w:color="000000"/>
            </w:tcBorders>
            <w:shd w:fill="CCEEFF" w:val="clear"/>
            <w:tcMar>
              <w:bottom w:w="28" w:type="dxa"/>
            </w:tcMar>
            <w:vAlign w:val="center"/>
          </w:tcPr>
          <w:p>
            <w:pPr>
              <w:pStyle w:val="TableContents"/>
              <w:bidi w:val="0"/>
              <w:spacing w:before="0" w:after="283"/>
              <w:jc w:val="right"/>
              <w:rPr/>
            </w:pPr>
            <w:r>
              <w:rPr/>
              <w:t>225,912</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Adjusted EBITDA*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164,612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40,251</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98"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76" w:type="dxa"/>
            <w:tcBorders>
              <w:bottom w:val="double" w:sz="8" w:space="0" w:color="000000"/>
            </w:tcBorders>
            <w:shd w:fill="CCEEFF" w:val="clear"/>
            <w:tcMar>
              <w:bottom w:w="28" w:type="dxa"/>
            </w:tcMar>
            <w:vAlign w:val="center"/>
          </w:tcPr>
          <w:p>
            <w:pPr>
              <w:pStyle w:val="TableContents"/>
              <w:bidi w:val="0"/>
              <w:spacing w:before="0" w:after="283"/>
              <w:jc w:val="right"/>
              <w:rPr/>
            </w:pPr>
            <w:r>
              <w:rPr/>
              <w:t>124,361</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Adjusted net income*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119,218</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705</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98" w:type="dxa"/>
            <w:tcBorders>
              <w:bottom w:val="double" w:sz="8" w:space="0" w:color="000000"/>
            </w:tcBorders>
            <w:tcMar>
              <w:bottom w:w="28" w:type="dxa"/>
            </w:tcMar>
            <w:vAlign w:val="center"/>
          </w:tcPr>
          <w:p>
            <w:pPr>
              <w:pStyle w:val="TableContents"/>
              <w:bidi w:val="0"/>
              <w:spacing w:before="0" w:after="283"/>
              <w:jc w:val="left"/>
              <w:rPr/>
            </w:pPr>
            <w:r>
              <w:rPr/>
              <w:t>$</w:t>
            </w:r>
          </w:p>
        </w:tc>
        <w:tc>
          <w:tcPr>
            <w:tcW w:w="976" w:type="dxa"/>
            <w:tcBorders>
              <w:bottom w:val="double" w:sz="8" w:space="0" w:color="000000"/>
            </w:tcBorders>
            <w:tcMar>
              <w:bottom w:w="28" w:type="dxa"/>
            </w:tcMar>
            <w:vAlign w:val="center"/>
          </w:tcPr>
          <w:p>
            <w:pPr>
              <w:pStyle w:val="TableContents"/>
              <w:bidi w:val="0"/>
              <w:spacing w:before="0" w:after="283"/>
              <w:jc w:val="right"/>
              <w:rPr/>
            </w:pPr>
            <w:r>
              <w:rPr/>
              <w:t>118,513</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 - See Non-GAAP Financial Measures appearing at the end of this discussion </w:t>
      </w:r>
    </w:p>
    <w:p>
      <w:pPr>
        <w:pStyle w:val="TextBody"/>
        <w:bidi w:val="0"/>
        <w:spacing w:lineRule="atLeast" w:line="240" w:before="0" w:after="0"/>
        <w:jc w:val="center"/>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Revenues</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i w:val="false"/>
          <w:caps w:val="false"/>
          <w:smallCaps w:val="false"/>
          <w:sz w:val="20"/>
        </w:rPr>
        <w:t>We recorded total revenues of $426.5 million for the year ended December 31, 2024, as compared to $258.2 million for the year ended December 31, 2023, an increase of $168.2 million, or 65%. Revenue by product for the years ended December 31, 2024 and 2023 was as follows:</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jc w:val="both"/>
        <w:rPr/>
      </w:pPr>
      <w:r>
        <w:rPr/>
        <w:t xml:space="preserve">  </w:t>
      </w:r>
    </w:p>
    <w:tbl>
      <w:tblPr>
        <w:tblW w:w="9083" w:type="dxa"/>
        <w:jc w:val="left"/>
        <w:tblInd w:w="0" w:type="dxa"/>
        <w:tblLayout w:type="fixed"/>
        <w:tblCellMar>
          <w:top w:w="0" w:type="dxa"/>
          <w:left w:w="0" w:type="dxa"/>
          <w:bottom w:w="0" w:type="dxa"/>
          <w:right w:w="0" w:type="dxa"/>
        </w:tblCellMar>
      </w:tblPr>
      <w:tblGrid>
        <w:gridCol w:w="3470"/>
        <w:gridCol w:w="90"/>
        <w:gridCol w:w="170"/>
        <w:gridCol w:w="830"/>
        <w:gridCol w:w="90"/>
        <w:gridCol w:w="90"/>
        <w:gridCol w:w="170"/>
        <w:gridCol w:w="830"/>
        <w:gridCol w:w="90"/>
        <w:gridCol w:w="90"/>
        <w:gridCol w:w="198"/>
        <w:gridCol w:w="976"/>
        <w:gridCol w:w="90"/>
        <w:gridCol w:w="90"/>
        <w:gridCol w:w="265"/>
        <w:gridCol w:w="1209"/>
        <w:gridCol w:w="335"/>
      </w:tblGrid>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5188" w:type="dxa"/>
            <w:gridSpan w:val="14"/>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w:t>
            </w:r>
            <w:r>
              <w:rPr/>
              <w:t xml:space="preserve"> </w:t>
            </w:r>
          </w:p>
        </w:tc>
        <w:tc>
          <w:tcPr>
            <w:tcW w:w="335" w:type="dxa"/>
            <w:tcBorders/>
            <w:vAlign w:val="center"/>
          </w:tcPr>
          <w:p>
            <w:pPr>
              <w:pStyle w:val="TableContents"/>
              <w:bidi w:val="0"/>
              <w:spacing w:before="0" w:after="283"/>
              <w:jc w:val="center"/>
              <w:rPr/>
            </w:pPr>
            <w:r>
              <w:rPr/>
              <w:t> </w:t>
            </w:r>
          </w:p>
        </w:tc>
      </w:tr>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pPr>
            <w:r>
              <w:rPr>
                <w:b/>
              </w:rPr>
              <w:t>Increase/</w:t>
              <w:br/>
              <w:t>(Decrease)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pPr>
            <w:r>
              <w:rPr>
                <w:b/>
              </w:rPr>
              <w:t>Increase/</w:t>
              <w:br/>
              <w:t>(Decrease) %</w:t>
            </w:r>
            <w:r>
              <w:rPr/>
              <w:t xml:space="preserve"> </w:t>
            </w:r>
          </w:p>
        </w:tc>
        <w:tc>
          <w:tcPr>
            <w:tcW w:w="335" w:type="dxa"/>
            <w:tcBorders/>
            <w:vAlign w:val="center"/>
          </w:tcPr>
          <w:p>
            <w:pPr>
              <w:pStyle w:val="TableContents"/>
              <w:bidi w:val="0"/>
              <w:spacing w:before="0" w:after="283"/>
              <w:jc w:val="center"/>
              <w:rPr/>
            </w:pPr>
            <w:r>
              <w:rPr/>
              <w:t> </w:t>
            </w:r>
          </w:p>
        </w:tc>
      </w:tr>
      <w:tr>
        <w:trPr/>
        <w:tc>
          <w:tcPr>
            <w:tcW w:w="3470" w:type="dxa"/>
            <w:tcBorders/>
            <w:vAlign w:val="center"/>
          </w:tcPr>
          <w:p>
            <w:pPr>
              <w:pStyle w:val="TableContents"/>
              <w:bidi w:val="0"/>
              <w:spacing w:before="0" w:after="283"/>
              <w:jc w:val="left"/>
              <w:rPr/>
            </w:pPr>
            <w:r>
              <w:rPr/>
              <w:t> </w:t>
            </w:r>
          </w:p>
        </w:tc>
        <w:tc>
          <w:tcPr>
            <w:tcW w:w="3714" w:type="dxa"/>
            <w:gridSpan w:val="12"/>
            <w:tcBorders/>
            <w:vAlign w:val="center"/>
          </w:tcPr>
          <w:p>
            <w:pPr>
              <w:pStyle w:val="TableContents"/>
              <w:bidi w:val="0"/>
              <w:spacing w:before="0" w:after="283"/>
              <w:jc w:val="center"/>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ASCENIV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239,594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92,592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147,002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265"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159</w:t>
            </w:r>
          </w:p>
        </w:tc>
        <w:tc>
          <w:tcPr>
            <w:tcW w:w="335" w:type="dxa"/>
            <w:tcBorders/>
            <w:shd w:fill="CCEEFF" w:val="clear"/>
            <w:vAlign w:val="center"/>
          </w:tcPr>
          <w:p>
            <w:pPr>
              <w:pStyle w:val="TableContents"/>
              <w:bidi w:val="0"/>
              <w:spacing w:before="0" w:after="283"/>
              <w:jc w:val="left"/>
              <w:rPr/>
            </w:pPr>
            <w:r>
              <w:rPr/>
              <w:t>%</w:t>
            </w:r>
          </w:p>
        </w:tc>
      </w:tr>
      <w:tr>
        <w:trPr/>
        <w:tc>
          <w:tcPr>
            <w:tcW w:w="3470" w:type="dxa"/>
            <w:tcBorders/>
            <w:vAlign w:val="center"/>
          </w:tcPr>
          <w:p>
            <w:pPr>
              <w:pStyle w:val="TableContents"/>
              <w:bidi w:val="0"/>
              <w:spacing w:before="0" w:after="0"/>
              <w:ind w:left="0" w:right="0" w:hanging="144"/>
              <w:jc w:val="left"/>
              <w:rPr/>
            </w:pPr>
            <w:r>
              <w:rPr/>
              <w:t xml:space="preserve">BIVIGAM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142,357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140,212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2,145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65"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2</w:t>
            </w:r>
          </w:p>
        </w:tc>
        <w:tc>
          <w:tcPr>
            <w:tcW w:w="335" w:type="dxa"/>
            <w:tcBorders/>
            <w:vAlign w:val="center"/>
          </w:tcPr>
          <w:p>
            <w:pPr>
              <w:pStyle w:val="TableContents"/>
              <w:bidi w:val="0"/>
              <w:spacing w:before="0" w:after="283"/>
              <w:jc w:val="left"/>
              <w:rPr/>
            </w:pPr>
            <w:r>
              <w:rPr/>
              <w:t>%</w:t>
            </w:r>
          </w:p>
        </w:tc>
      </w:tr>
      <w:tr>
        <w:trPr/>
        <w:tc>
          <w:tcPr>
            <w:tcW w:w="3470" w:type="dxa"/>
            <w:tcBorders/>
            <w:shd w:fill="CCEEFF" w:val="clear"/>
            <w:vAlign w:val="center"/>
          </w:tcPr>
          <w:p>
            <w:pPr>
              <w:pStyle w:val="TableContents"/>
              <w:bidi w:val="0"/>
              <w:spacing w:before="0" w:after="0"/>
              <w:ind w:left="0" w:right="0" w:hanging="144"/>
              <w:jc w:val="left"/>
              <w:rPr/>
            </w:pPr>
            <w:r>
              <w:rPr/>
              <w:t>Intermediates and other products (1)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33,998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17,077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CCEEFF" w:val="clear"/>
            <w:tcMar>
              <w:bottom w:w="28" w:type="dxa"/>
            </w:tcMar>
            <w:vAlign w:val="center"/>
          </w:tcPr>
          <w:p>
            <w:pPr>
              <w:pStyle w:val="TableContents"/>
              <w:bidi w:val="0"/>
              <w:spacing w:before="0" w:after="283"/>
              <w:jc w:val="right"/>
              <w:rPr/>
            </w:pPr>
            <w:r>
              <w:rPr/>
              <w:t>16,921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2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CCEEFF" w:val="clear"/>
            <w:tcMar>
              <w:bottom w:w="28" w:type="dxa"/>
            </w:tcMar>
            <w:vAlign w:val="center"/>
          </w:tcPr>
          <w:p>
            <w:pPr>
              <w:pStyle w:val="TableContents"/>
              <w:bidi w:val="0"/>
              <w:spacing w:before="0" w:after="283"/>
              <w:jc w:val="right"/>
              <w:rPr/>
            </w:pPr>
            <w:r>
              <w:rPr/>
              <w:t>99</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3470" w:type="dxa"/>
            <w:tcBorders/>
            <w:vAlign w:val="center"/>
          </w:tcPr>
          <w:p>
            <w:pPr>
              <w:pStyle w:val="TableContents"/>
              <w:bidi w:val="0"/>
              <w:spacing w:before="0" w:after="0"/>
              <w:ind w:left="0" w:right="0" w:hanging="144"/>
              <w:jc w:val="left"/>
              <w:rPr/>
            </w:pPr>
            <w:r>
              <w:rPr/>
              <w:t xml:space="preserve">ADMA BioManufacturing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415,949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249,881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166,068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65"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66</w:t>
            </w:r>
          </w:p>
        </w:tc>
        <w:tc>
          <w:tcPr>
            <w:tcW w:w="335" w:type="dxa"/>
            <w:tcBorders/>
            <w:vAlign w:val="center"/>
          </w:tcPr>
          <w:p>
            <w:pPr>
              <w:pStyle w:val="TableContents"/>
              <w:bidi w:val="0"/>
              <w:spacing w:before="0" w:after="283"/>
              <w:jc w:val="left"/>
              <w:rPr/>
            </w:pPr>
            <w:r>
              <w:rPr/>
              <w:t>%</w:t>
            </w:r>
          </w:p>
        </w:tc>
      </w:tr>
      <w:tr>
        <w:trPr/>
        <w:tc>
          <w:tcPr>
            <w:tcW w:w="34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ind w:left="0" w:right="0" w:hanging="144"/>
              <w:jc w:val="left"/>
              <w:rPr/>
            </w:pPr>
            <w:r>
              <w:rPr/>
              <w:t xml:space="preserve">Plasma Collection Centers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10,505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8,334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tcMar>
              <w:bottom w:w="28" w:type="dxa"/>
            </w:tcMar>
            <w:vAlign w:val="center"/>
          </w:tcPr>
          <w:p>
            <w:pPr>
              <w:pStyle w:val="TableContents"/>
              <w:bidi w:val="0"/>
              <w:spacing w:before="0" w:after="283"/>
              <w:jc w:val="right"/>
              <w:rPr/>
            </w:pPr>
            <w:r>
              <w:rPr/>
              <w:t>2,171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6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tcMar>
              <w:bottom w:w="28" w:type="dxa"/>
            </w:tcMar>
            <w:vAlign w:val="center"/>
          </w:tcPr>
          <w:p>
            <w:pPr>
              <w:pStyle w:val="TableContents"/>
              <w:bidi w:val="0"/>
              <w:spacing w:before="0" w:after="283"/>
              <w:jc w:val="right"/>
              <w:rPr/>
            </w:pPr>
            <w:r>
              <w:rPr/>
              <w:t>26</w:t>
            </w:r>
          </w:p>
        </w:tc>
        <w:tc>
          <w:tcPr>
            <w:tcW w:w="335"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3470" w:type="dxa"/>
            <w:tcBorders/>
            <w:shd w:fill="CCEEFF" w:val="clear"/>
            <w:vAlign w:val="center"/>
          </w:tcPr>
          <w:p>
            <w:pPr>
              <w:pStyle w:val="TableContents"/>
              <w:bidi w:val="0"/>
              <w:spacing w:before="0" w:after="0"/>
              <w:ind w:left="0" w:right="0" w:hanging="144"/>
              <w:jc w:val="left"/>
              <w:rPr/>
            </w:pPr>
            <w:r>
              <w:rPr>
                <w:b/>
              </w:rPr>
              <w:t>Total Revenues</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center"/>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426,454</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center"/>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258,215</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center"/>
              <w:rPr/>
            </w:pPr>
            <w:r>
              <w:rPr/>
              <w:t> </w:t>
            </w:r>
          </w:p>
        </w:tc>
        <w:tc>
          <w:tcPr>
            <w:tcW w:w="198"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6"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168,239</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center"/>
              <w:rPr/>
            </w:pPr>
            <w:r>
              <w:rPr/>
              <w:t> </w:t>
            </w:r>
          </w:p>
        </w:tc>
        <w:tc>
          <w:tcPr>
            <w:tcW w:w="26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65</w:t>
            </w:r>
          </w:p>
        </w:tc>
        <w:tc>
          <w:tcPr>
            <w:tcW w:w="33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r>
    </w:tbl>
    <w:p>
      <w:pPr>
        <w:pStyle w:val="TextBody"/>
        <w:bidi w:val="0"/>
        <w:spacing w:before="0" w:after="0"/>
        <w:ind w:left="108" w:right="0" w:hanging="0"/>
        <w:jc w:val="left"/>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position w:val="7"/>
          <w:sz w:val="16"/>
          <w:sz w:val="20"/>
        </w:rPr>
        <w:t>(1)</w:t>
      </w:r>
      <w:r>
        <w:rPr>
          <w:rFonts w:ascii="TimesNewRoman;Times New Roman;Times;Baskerville;Georgia;serif" w:hAnsi="TimesNewRoman;Times New Roman;Times;Baskerville;Georgia;serif"/>
          <w:sz w:val="20"/>
        </w:rPr>
        <w:t xml:space="preserve"> Due to Nabi-HB historically representing less than 10% of the Company’s revenue within the ADMA BioManufacturing segment, it has been included under intermediates and other products. The $12.6 million U.S. Medicaid rebate adjustment recorded in 2024 is also included under intermediates and other products.</w:t>
      </w:r>
    </w:p>
    <w:p>
      <w:pPr>
        <w:pStyle w:val="TextBody"/>
        <w:bidi w:val="0"/>
        <w:spacing w:before="0" w:after="0"/>
        <w:ind w:left="0" w:right="0" w:hanging="0"/>
        <w:jc w:val="left"/>
        <w:rPr/>
      </w:pPr>
      <w:r>
        <w:rPr/>
        <w:t>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i w:val="false"/>
          <w:caps w:val="false"/>
          <w:smallCaps w:val="false"/>
          <w:sz w:val="20"/>
        </w:rPr>
        <w:t>Excluding the $12.6 million adjustment we recorded in the second quarter of 2024 to decrease our accrual for estimated U.S. Medicaid rebates (which had the effect of increasing net revenues by $12.6 million), revenue increased by approximately $155.6 million, or 60%. This increase is primarily related to increased sales of ASCENIV, as we continue to experience increased physician, payer and patient acceptance and utilization of this product, as well as sales increases for some of our other IG products. The revenue increase also includes an increase in sales of normal source plasma (“NSP”) and hyperimmune Hepatitis B plasma by our Plasma Collection Centers business segment in the amount of $2.2 million.</w:t>
      </w:r>
      <w:r>
        <w:rPr>
          <w:rFonts w:ascii="TimesNewRoman;Times New Roman;Times;Baskerville;Georgia;serif" w:hAnsi="TimesNewRoman;Times New Roman;Times;Baskerville;Georgia;serif"/>
          <w:i/>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75</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Cost of Product Revenue and Gross Profit</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i w:val="false"/>
          <w:caps w:val="false"/>
          <w:smallCaps w:val="false"/>
          <w:sz w:val="20"/>
        </w:rPr>
        <w:t>Cost of product revenue was $206.9 million for the year ended December 31, 2024, as compared to $169.3 million for the year ended December 31, 2023. This increase is primarily attributable to volume-driven increases in product revenue costs related to our increased sales of IG products and plasma of $39.5 million and $3.1 million, respectively, partially offset by a reduction in other manufacturing costs, mainly unabsorbed manufacturing expenses, of $5.1 million.</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jc w:val="both"/>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i w:val="false"/>
          <w:caps w:val="false"/>
          <w:smallCaps w:val="false"/>
          <w:sz w:val="20"/>
        </w:rPr>
        <w:t>For the year ended December 31, 2024, we had gross profit of $219.6 million, as compared to $88.9 million for the prior year, which represents a gross margin for fiscal 2024 of 51.5%, as compared to 34.4% for fiscal 2023. Excluding the $12.6 million adjustment we recorded in the second quarter of 2024 to reduce our accrual for estimated U.S. Medicaid rebates, our gross profit for the year ended December 31, 2024 was approximately $207.0 million, representing a gross margin of approximately 50.0%. The improvement in gross margin is mainly driven by a significantly more favorable mix of higher margin IG sales in 2024 as compared to 2023, along with the reduction in other manufacturing costs.</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Research and Development Expenses</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Research and development (“R&amp;D”) expenses totaled $1.8 million for the year ended December 31, 2024, as compared to $3.3 million for the year ended December 31, 2023. The decrease is primarily due to the absence of expenditures in 2024 related to the BIVIGAM post-marketing commitments, for which we incurred $1.7 million of expenses in 2023, partially offset by an increase in expenses associated with our ASCENIV pediatric study in the amount of $0.3 million.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Plasma Center Operating Expenses</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i w:val="false"/>
          <w:caps w:val="false"/>
          <w:smallCaps w:val="false"/>
          <w:sz w:val="20"/>
        </w:rPr>
        <w:t>Plasma center operating expenses, which primarily consist of compensation, benefits and travel for plasma center management and administrative staff, along with certain initial opening, marketing and start-up costs, were essentially unchanged at $4.2 million for the year ended December 31, 2024 as compared to approximately $4.3 million for the year ended December 31, 2023.</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Amortization of Intangibles</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i w:val="false"/>
          <w:caps w:val="false"/>
          <w:smallCaps w:val="false"/>
          <w:sz w:val="20"/>
        </w:rPr>
        <w:t>Amortization expense mainly pertains to the amortization of intangible assets acquired in a 2017 acquisition transaction and was $0.4 million and $0.7 million for the years ended December 31, 2024 and 2023, respectively. The intangible assets acquired in 2017 became fully amortized in June of 2024.</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Selling, General and Administrative Expenses</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Selling, general and administrative expenses were $74.1 million for the year ended December 31, 2024, an increase of $15.1 million from the year ended December 31, 2023, and reflects an increase in stock-based compensation expense of $6.4 million in 2024, largely due to the higher valuation of grants awarded in 2024 and to additional compensation expense recognized for the modification of certain outstanding equity awards. The increase in SG&amp;A also reflects increases in employee-related costs, including salaries and wages, benefits, relocation and recruiting, in the aggregate amount of $4.8 million, software maintenance expense of $1.2 million, consulting and professional fees of $0.9 million, audit and tax fees of $0.6 million, insurance expense of $0.6 million and temporary labor expense of $0.7 million. SG&amp;A expenses as a percentage of net revenues decreased from 22.9% in fiscal 2023 to 17.4% in fiscal 2024.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Interest Expense</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Interest expense for the year ended December 31, 2024 was $13.9 million, as compared to $25.0 million for the year ended December 31, 2023. Prior to the refinancing of our senior debt on December 18, 2023 (see “Liquidity and Capital Resources”), our outstanding debt principal balance throughout 2023 ranged between $155.1 million and $158.6 million. The refinancing transaction reduced our debt principal to $135.0 million as of December 31, 2023, and we made additional principal payments on this indebtedness of $30.0 million on each of August 14, 2024 and December 19, 2024, reducing our debt principal balance to $75.0 million as of December 31, 2024. In addition, the stated interest rate on our debt during 2024 was approximately 10.1%, as compared to approximately 13.9% during 2023. We also incurred lower expense related to the amortization of debt discount in 2024 in the amount of $1.6 million.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76</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Loss on Extinguishment of Debt</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i w:val="false"/>
          <w:caps w:val="false"/>
          <w:smallCaps w:val="false"/>
          <w:sz w:val="20"/>
        </w:rPr>
        <w:t>As a result of the prepayment we made on our senior debt on December 19, 2024, we incurred a prepayment penalty in the amount of $0.45 million and recorded a partial write-down of unamortized debt discount of approximately $0.8 million, for a loss on this partial extinguishment of debt in the amount of $1.2 million. In connection with the foregoing refinancing of our senior debt in December of 2023, we incurred a loss on extinguishment of debt in the amount of $26.2 million, which was comprised of a prepayment penalty paid to our previous lender in the amount of $11.1 million, and the write-off of unamortized discount related to the retired indebtedness in the approximate amount of $15.1 million.</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i/>
          <w:sz w:val="20"/>
        </w:rPr>
      </w:pPr>
      <w:r>
        <w:rPr>
          <w:rFonts w:ascii="TimesNewRoman;Times New Roman;Times;Baskerville;Georgia;serif" w:hAnsi="TimesNewRoman;Times New Roman;Times;Baskerville;Georgia;serif"/>
          <w:b/>
          <w:i/>
          <w:sz w:val="20"/>
        </w:rPr>
        <w:t>Other Income, Net</w:t>
      </w:r>
      <w:r>
        <w:rPr>
          <w:rFonts w:ascii="TimesNewRoman;Times New Roman;Times;Baskerville;Georgia;serif" w:hAnsi="TimesNewRoman;Times New Roman;Times;Baskerville;Georgia;serif"/>
          <w:i/>
          <w:sz w:val="20"/>
        </w:rPr>
        <w:t xml:space="preserve"> </w:t>
      </w:r>
    </w:p>
    <w:p>
      <w:pPr>
        <w:pStyle w:val="TextBody"/>
        <w:bidi w:val="0"/>
        <w:spacing w:lineRule="atLeast" w:line="240"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Other income, net, for the year ended December 31, 2024 was $1.9 million, as compared to $1.3 million for the year ended December 31, 2023. The increase is mainly due to an increase in interest income of $0.5 million in 2024 resulting from higher average cash balances in 2024.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Income Tax Benefit</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recorded a total income tax benefit of $72.0 million for the year ended December 31, 2024, with no comparable amount for the year ended December 31, 2023. The provision for income taxes for fiscal 2024 includes a deferred tax benefit of $84.3 million related to the release of the valuation allowance against our net deferred tax assets, partially offset by current income tax expense of $12.3 million, which reflects federal and state income tax liabilities that are not fully sheltered by NOLs due to limitations from prior ownership changes and other limitations on net operating loss carryforwards under the Internal Revenue Code of 1986, as amended (see “Risk Factors - Our ability to use our net operating loss carryforwards (“NOLs”) may be limited.” appearing elsewhere in this report and Note 11 to the Consolidated Financial Statements). </w:t>
      </w:r>
    </w:p>
    <w:p>
      <w:pPr>
        <w:pStyle w:val="TextBody"/>
        <w:bidi w:val="0"/>
        <w:spacing w:lineRule="atLeast" w:line="240" w:before="0" w:after="0"/>
        <w:jc w:val="left"/>
        <w:rPr/>
      </w:pPr>
      <w:r>
        <w:rPr/>
        <w:t xml:space="preserve">  </w:t>
      </w:r>
    </w:p>
    <w:p>
      <w:pPr>
        <w:pStyle w:val="TextBody"/>
        <w:bidi w:val="0"/>
        <w:spacing w:lineRule="atLeast" w:line="240"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Non-GAAP Financial Measures</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jc w:val="both"/>
        <w:rPr/>
      </w:pPr>
      <w:r>
        <w:rPr/>
        <w:t xml:space="preserve">  </w:t>
      </w:r>
    </w:p>
    <w:p>
      <w:pPr>
        <w:pStyle w:val="TextBody"/>
        <w:bidi w:val="0"/>
        <w:spacing w:lineRule="atLeast" w:line="240"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Earnings Before Interest, Taxes, Depreciation and Amortization (“EBITDA”), Adjusted EBITDA and Adjusted Net Income (Loss)</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EBITDA, Adjusted EBITDA and Adjusted net income (loss) are important non-GAAP financial measures used by our management and Board of Directors to assess our operating performance. We use EBITDA, Adjusted EBITDA and Adjusted net income (loss) as key performance measures because we believe that they facilitate operating performance comparisons from period to period that exclude, in the case of Adjusted net income (loss), items that are expected to be non-recurring, and in the case of EBITDA and Adjusted EBITDA, potential differences driven by the impact of variations of non-cash items such as depreciation and amortization, as well as, in the case of Adjusted EBITDA, stock-based compensation or certain one-time and non-recurring items. In addition, we believe that EBITDA, Adjusted EBITDA and Adjusted net loss and similar measures are widely used by investors, securities analysts, ratings agencies and other parties in evaluating companies in our industry as a measure of financial performance and debt-service capabilities. See below for a reconciliation of our EBITDA, Adjusted EBITDA and Adjusted net income (loss) to net loss, the most directly comparable financial measure calculated and presented in accordance with U.S. GAAP. </w:t>
      </w:r>
    </w:p>
    <w:p>
      <w:pPr>
        <w:pStyle w:val="TextBody"/>
        <w:bidi w:val="0"/>
        <w:spacing w:lineRule="atLeast" w:line="240" w:before="0" w:after="0"/>
        <w:jc w:val="both"/>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Because EBITDA, Adjusted EBITDA and Adjusted net income (loss) are measures not deemed to be in accordance with U.S. GAAP and are susceptible to varying calculations, our EBITDA, Adjusted EBITDA and Adjusted net income (loss) may not be comparable to similarly titled measures of other companies, including companies in our industry, because other companies may calculate EBITDA, Adjusted EBITDA and Adjusted net income (loss) in a different manner than we calculate these measurements. Although the Company uses Adjusted EBITDA as one of several financial measures to assess its operating performance, its use is limited as it excludes certain significant operating expenses. EBITDA, Adjusted EBITDA and Adjusted net income (loss) are not intended to represent cash flows for the periods presented, nor have they been presented as an alternative to operating income/loss, net income/loss or as an indicator of operating performance and should not be considered in isolation or as a substitute for measures of performance prepared in accordance with U.S. GAAP. The following table presents the reconciliation of net income/(loss) to EBITDA and Adjusted EBITDA for the years ended December 31, 2025, 2024 and 2023: </w:t>
      </w:r>
    </w:p>
    <w:p>
      <w:pPr>
        <w:pStyle w:val="TextBody"/>
        <w:bidi w:val="0"/>
        <w:spacing w:lineRule="atLeast" w:line="240"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77</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8595" w:type="dxa"/>
        <w:jc w:val="left"/>
        <w:tblInd w:w="0" w:type="dxa"/>
        <w:tblLayout w:type="fixed"/>
        <w:tblCellMar>
          <w:top w:w="0" w:type="dxa"/>
          <w:left w:w="0" w:type="dxa"/>
          <w:bottom w:w="0" w:type="dxa"/>
          <w:right w:w="0" w:type="dxa"/>
        </w:tblCellMar>
      </w:tblPr>
      <w:tblGrid>
        <w:gridCol w:w="4730"/>
        <w:gridCol w:w="90"/>
        <w:gridCol w:w="170"/>
        <w:gridCol w:w="830"/>
        <w:gridCol w:w="90"/>
        <w:gridCol w:w="90"/>
        <w:gridCol w:w="170"/>
        <w:gridCol w:w="845"/>
        <w:gridCol w:w="185"/>
        <w:gridCol w:w="90"/>
        <w:gridCol w:w="170"/>
        <w:gridCol w:w="905"/>
        <w:gridCol w:w="230"/>
      </w:tblGrid>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3545"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w:t>
            </w:r>
            <w:r>
              <w:rPr/>
              <w:t xml:space="preserve"> </w:t>
            </w:r>
          </w:p>
        </w:tc>
        <w:tc>
          <w:tcPr>
            <w:tcW w:w="230"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230"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283"/>
              <w:jc w:val="left"/>
              <w:rPr/>
            </w:pPr>
            <w:r>
              <w:rPr/>
              <w:t> </w:t>
            </w:r>
          </w:p>
        </w:tc>
        <w:tc>
          <w:tcPr>
            <w:tcW w:w="3865" w:type="dxa"/>
            <w:gridSpan w:val="12"/>
            <w:tcBorders/>
            <w:vAlign w:val="center"/>
          </w:tcPr>
          <w:p>
            <w:pPr>
              <w:pStyle w:val="TableContents"/>
              <w:bidi w:val="0"/>
              <w:spacing w:before="0" w:after="283"/>
              <w:jc w:val="center"/>
              <w:rPr/>
            </w:pPr>
            <w:r>
              <w:rPr>
                <w:i/>
              </w:rPr>
              <w:t>(In thousands)</w:t>
            </w:r>
            <w:r>
              <w:rPr/>
              <w:t xml:space="preserve"> </w:t>
            </w:r>
          </w:p>
        </w:tc>
      </w:tr>
      <w:tr>
        <w:trPr/>
        <w:tc>
          <w:tcPr>
            <w:tcW w:w="4730" w:type="dxa"/>
            <w:tcBorders/>
            <w:shd w:fill="CCEEFF" w:val="clear"/>
            <w:vAlign w:val="center"/>
          </w:tcPr>
          <w:p>
            <w:pPr>
              <w:pStyle w:val="TableContents"/>
              <w:bidi w:val="0"/>
              <w:spacing w:before="0" w:after="0"/>
              <w:ind w:left="0" w:right="0" w:hanging="144"/>
              <w:jc w:val="left"/>
              <w:rPr/>
            </w:pPr>
            <w:r>
              <w:rPr>
                <w:b/>
              </w:rPr>
              <w:t>Net income (loss)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146,930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197,673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(28,239</w:t>
            </w:r>
          </w:p>
        </w:tc>
        <w:tc>
          <w:tcPr>
            <w:tcW w:w="23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Depreciation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7,952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7,657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7,608</w:t>
            </w:r>
          </w:p>
        </w:tc>
        <w:tc>
          <w:tcPr>
            <w:tcW w:w="23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Amortization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724</w:t>
            </w:r>
          </w:p>
        </w:tc>
        <w:tc>
          <w:tcPr>
            <w:tcW w:w="23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Income tax expense (benefit)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35,726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(71,959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r>
              <w:rPr/>
              <w:t xml:space="preserve">- </w:t>
            </w:r>
          </w:p>
        </w:tc>
        <w:tc>
          <w:tcPr>
            <w:tcW w:w="23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Interest expense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7,110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13,930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25,027</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b/>
              </w:rPr>
              <w:t>EBITDA</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197,862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147,689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5,120</w:t>
            </w:r>
          </w:p>
        </w:tc>
        <w:tc>
          <w:tcPr>
            <w:tcW w:w="23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Stock-based compensation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13,616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6,187</w:t>
            </w:r>
          </w:p>
        </w:tc>
        <w:tc>
          <w:tcPr>
            <w:tcW w:w="23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Voluntary Withdrawal and product replacements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6,215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Loss on extinguishment of debt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3,336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1,243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26,174</w:t>
            </w:r>
          </w:p>
        </w:tc>
        <w:tc>
          <w:tcPr>
            <w:tcW w:w="23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Yield enhancement expense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2,064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r>
              <w:rPr/>
              <w:t xml:space="preserve">- </w:t>
            </w:r>
          </w:p>
        </w:tc>
        <w:tc>
          <w:tcPr>
            <w:tcW w:w="23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Non-recurring professional fees (a)</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1,781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2,770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b/>
              </w:rPr>
              <w:t>Adjusted EBITDA</w:t>
            </w: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231,030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45" w:type="dxa"/>
            <w:tcBorders>
              <w:bottom w:val="double" w:sz="8" w:space="0" w:color="000000"/>
            </w:tcBorders>
            <w:tcMar>
              <w:bottom w:w="28" w:type="dxa"/>
            </w:tcMar>
            <w:vAlign w:val="center"/>
          </w:tcPr>
          <w:p>
            <w:pPr>
              <w:pStyle w:val="TableContents"/>
              <w:bidi w:val="0"/>
              <w:spacing w:before="0" w:after="283"/>
              <w:jc w:val="right"/>
              <w:rPr/>
            </w:pPr>
            <w:r>
              <w:rPr/>
              <w:t>164,612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905" w:type="dxa"/>
            <w:tcBorders>
              <w:bottom w:val="double" w:sz="8" w:space="0" w:color="000000"/>
            </w:tcBorders>
            <w:tcMar>
              <w:bottom w:w="28" w:type="dxa"/>
            </w:tcMar>
            <w:vAlign w:val="center"/>
          </w:tcPr>
          <w:p>
            <w:pPr>
              <w:pStyle w:val="TableContents"/>
              <w:bidi w:val="0"/>
              <w:spacing w:before="0" w:after="283"/>
              <w:jc w:val="right"/>
              <w:rPr/>
            </w:pPr>
            <w:r>
              <w:rPr/>
              <w:t>40,251</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Non-recurring professional fees represent incremental costs associated with a vendor change that we do not expect to incur in future periods and other one-time professional fees.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228600" cy="171450"/>
                <wp:effectExtent l="0" t="0" r="0" b="0"/>
                <wp:wrapSquare wrapText="right"/>
                <wp:docPr id="181" name="Frame180"/>
                <a:graphic xmlns:a="http://schemas.openxmlformats.org/drawingml/2006/main">
                  <a:graphicData uri="http://schemas.microsoft.com/office/word/2010/wordprocessingShape">
                    <wps:wsp>
                      <wps:cNvSpPr txBox="1"/>
                      <wps:spPr>
                        <a:xfrm>
                          <a:off x="0" y="0"/>
                          <a:ext cx="228600" cy="171450"/>
                        </a:xfrm>
                        <a:prstGeom prst="rect"/>
                        <a:solidFill>
                          <a:srgbClr val="FFFFFF"/>
                        </a:solidFill>
                      </wps:spPr>
                      <wps:txbx>
                        <w:txbxContent>
                          <w:p>
                            <w:pPr>
                              <w:pStyle w:val="TextBody"/>
                              <w:bidi w:val="0"/>
                              <w:spacing w:before="0" w:after="283"/>
                              <w:jc w:val="left"/>
                              <w:rPr>
                                <w:sz w:val="20"/>
                              </w:rPr>
                            </w:pPr>
                            <w:r>
                              <w:rPr>
                                <w:position w:val="7"/>
                                <w:sz w:val="16"/>
                                <w:sz w:val="20"/>
                              </w:rPr>
                              <w:t>(a)</w:t>
                            </w:r>
                            <w:r>
                              <w:rPr>
                                <w:sz w:val="20"/>
                              </w:rPr>
                              <w:t xml:space="preserve"> </w:t>
                            </w:r>
                          </w:p>
                        </w:txbxContent>
                      </wps:txbx>
                      <wps:bodyPr anchor="t" lIns="0" tIns="0" rIns="0" bIns="0">
                        <a:noAutofit/>
                      </wps:bodyPr>
                    </wps:wsp>
                  </a:graphicData>
                </a:graphic>
              </wp:anchor>
            </w:drawing>
          </mc:Choice>
          <mc:Fallback>
            <w:pict>
              <v:rect style="position:absolute;rotation:-0;width:18pt;height: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position w:val="7"/>
                          <w:sz w:val="16"/>
                          <w:sz w:val="20"/>
                        </w:rPr>
                        <w:t>(a)</w:t>
                      </w:r>
                      <w:r>
                        <w:rPr>
                          <w:sz w:val="20"/>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lineRule="atLeast" w:line="240"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Adjusted EBITDA improved by $66.4 million for the year ended December 31, 2025, as compared to the year ended December 31, 2024, mainly due to the increase of $52.5 million in our 2025 income from operations, as compared to that in 2024. </w:t>
      </w:r>
    </w:p>
    <w:p>
      <w:pPr>
        <w:pStyle w:val="TextBody"/>
        <w:bidi w:val="0"/>
        <w:spacing w:lineRule="atLeast" w:line="240" w:before="0" w:after="0"/>
        <w:jc w:val="left"/>
        <w:rPr/>
      </w:pPr>
      <w:r>
        <w:rPr/>
        <w:t xml:space="preserve">  </w:t>
      </w:r>
    </w:p>
    <w:p>
      <w:pPr>
        <w:pStyle w:val="TextBody"/>
        <w:bidi w:val="0"/>
        <w:spacing w:lineRule="atLeast" w:line="240"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presents the reconciliation of Net income to Adjusted net income for the years ended December 31, 2025, 2024 and 2023: </w:t>
      </w:r>
    </w:p>
    <w:p>
      <w:pPr>
        <w:pStyle w:val="TextBody"/>
        <w:bidi w:val="0"/>
        <w:spacing w:lineRule="atLeast" w:line="240" w:before="0" w:after="0"/>
        <w:jc w:val="left"/>
        <w:rPr/>
      </w:pPr>
      <w:r>
        <w:rPr/>
        <w:t xml:space="preserve">  </w:t>
      </w:r>
    </w:p>
    <w:tbl>
      <w:tblPr>
        <w:tblW w:w="8775" w:type="dxa"/>
        <w:jc w:val="left"/>
        <w:tblInd w:w="0" w:type="dxa"/>
        <w:tblLayout w:type="fixed"/>
        <w:tblCellMar>
          <w:top w:w="0" w:type="dxa"/>
          <w:left w:w="0" w:type="dxa"/>
          <w:bottom w:w="0" w:type="dxa"/>
          <w:right w:w="0" w:type="dxa"/>
        </w:tblCellMar>
      </w:tblPr>
      <w:tblGrid>
        <w:gridCol w:w="4730"/>
        <w:gridCol w:w="90"/>
        <w:gridCol w:w="170"/>
        <w:gridCol w:w="1145"/>
        <w:gridCol w:w="90"/>
        <w:gridCol w:w="90"/>
        <w:gridCol w:w="170"/>
        <w:gridCol w:w="830"/>
        <w:gridCol w:w="185"/>
        <w:gridCol w:w="90"/>
        <w:gridCol w:w="170"/>
        <w:gridCol w:w="785"/>
        <w:gridCol w:w="230"/>
      </w:tblGrid>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3725"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w:t>
            </w:r>
            <w:r>
              <w:rPr/>
              <w:t xml:space="preserve"> </w:t>
            </w:r>
          </w:p>
        </w:tc>
        <w:tc>
          <w:tcPr>
            <w:tcW w:w="230"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230"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283"/>
              <w:jc w:val="left"/>
              <w:rPr/>
            </w:pPr>
            <w:r>
              <w:rPr/>
              <w:t> </w:t>
            </w:r>
          </w:p>
        </w:tc>
        <w:tc>
          <w:tcPr>
            <w:tcW w:w="4045" w:type="dxa"/>
            <w:gridSpan w:val="12"/>
            <w:tcBorders/>
            <w:vAlign w:val="center"/>
          </w:tcPr>
          <w:p>
            <w:pPr>
              <w:pStyle w:val="TableContents"/>
              <w:bidi w:val="0"/>
              <w:spacing w:before="0" w:after="283"/>
              <w:jc w:val="center"/>
              <w:rPr/>
            </w:pPr>
            <w:r>
              <w:rPr>
                <w:i/>
              </w:rPr>
              <w:t>(in thousands)</w:t>
            </w:r>
            <w:r>
              <w:rPr/>
              <w:t xml:space="preserve"> </w:t>
            </w:r>
          </w:p>
        </w:tc>
      </w:tr>
      <w:tr>
        <w:trPr/>
        <w:tc>
          <w:tcPr>
            <w:tcW w:w="4730" w:type="dxa"/>
            <w:tcBorders/>
            <w:shd w:fill="CCEEFF" w:val="clear"/>
            <w:vAlign w:val="center"/>
          </w:tcPr>
          <w:p>
            <w:pPr>
              <w:pStyle w:val="TableContents"/>
              <w:bidi w:val="0"/>
              <w:spacing w:before="0" w:after="0"/>
              <w:ind w:left="0" w:right="0" w:hanging="144"/>
              <w:jc w:val="left"/>
              <w:rPr/>
            </w:pPr>
            <w:r>
              <w:rPr>
                <w:b/>
              </w:rPr>
              <w:t>Net income (loss)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146,930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197,673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(28,239</w:t>
            </w:r>
          </w:p>
        </w:tc>
        <w:tc>
          <w:tcPr>
            <w:tcW w:w="23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Loss on extinguishment of debt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26,174</w:t>
            </w:r>
          </w:p>
        </w:tc>
        <w:tc>
          <w:tcPr>
            <w:tcW w:w="23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Deferred tax benefit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(84,280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r>
              <w:rPr/>
              <w:t xml:space="preserve">- </w:t>
            </w:r>
          </w:p>
        </w:tc>
        <w:tc>
          <w:tcPr>
            <w:tcW w:w="23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Stock-based compenstion modifications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757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Yield Enhancement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1,810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r>
              <w:rPr/>
              <w:t xml:space="preserve">- </w:t>
            </w:r>
          </w:p>
        </w:tc>
        <w:tc>
          <w:tcPr>
            <w:tcW w:w="23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Voluntary Withdrawal and product replacements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6,215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r>
              <w:rPr/>
              <w:t xml:space="preserve">- </w:t>
            </w:r>
          </w:p>
        </w:tc>
        <w:tc>
          <w:tcPr>
            <w:tcW w:w="23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Non-recurring professional fees (pre-tax) (a)</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1,781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2,770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b/>
              </w:rPr>
              <w:t>Adjusted net income(b)</w:t>
            </w: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145" w:type="dxa"/>
            <w:tcBorders>
              <w:bottom w:val="double" w:sz="8" w:space="0" w:color="000000"/>
            </w:tcBorders>
            <w:tcMar>
              <w:bottom w:w="28" w:type="dxa"/>
            </w:tcMar>
            <w:vAlign w:val="center"/>
          </w:tcPr>
          <w:p>
            <w:pPr>
              <w:pStyle w:val="TableContents"/>
              <w:bidi w:val="0"/>
              <w:spacing w:before="0" w:after="283"/>
              <w:jc w:val="right"/>
              <w:rPr/>
            </w:pPr>
            <w:r>
              <w:rPr/>
              <w:t>160,829</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119,218</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85" w:type="dxa"/>
            <w:tcBorders>
              <w:bottom w:val="double" w:sz="8" w:space="0" w:color="000000"/>
            </w:tcBorders>
            <w:tcMar>
              <w:bottom w:w="28" w:type="dxa"/>
            </w:tcMar>
            <w:vAlign w:val="center"/>
          </w:tcPr>
          <w:p>
            <w:pPr>
              <w:pStyle w:val="TableContents"/>
              <w:bidi w:val="0"/>
              <w:spacing w:before="0" w:after="283"/>
              <w:jc w:val="right"/>
              <w:rPr/>
            </w:pPr>
            <w:r>
              <w:rPr/>
              <w:t>705</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Non-recurring professional fees represent incremental costs associated with a vendor change that we do not expect to incur in future periods and other one-time professional fees. </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228600" cy="146685"/>
                <wp:effectExtent l="0" t="0" r="0" b="0"/>
                <wp:wrapSquare wrapText="right"/>
                <wp:docPr id="182" name="Frame181"/>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(a)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(a)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Excludes estimated tax effect of the add-backs of $2.7 million $0.6 million for the years ended December 31, 2025 and 2024, respectively.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228600" cy="146685"/>
                <wp:effectExtent l="0" t="0" r="0" b="0"/>
                <wp:wrapSquare wrapText="right"/>
                <wp:docPr id="183" name="Frame182"/>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(b)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(b)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u w:val="single"/>
        </w:rPr>
        <w:t>LIQUIDITY AND CAPITAL RESOURCES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At December 31, 2025, we had working capital of $397.0 million primarily consisting of $206.5 million of inventory, cash and cash equivalents of $87.6 million and $158.4 million of accounts receivable, partially offset by current liabilities of $69.5 million, as compared to working capital at December 31, 2024 of $275.9 million, primarily consisting of $170.2 million of inventory, cash and cash equivalents of $103.1 million and $50.0 million of accounts receivable, partially offset by current liabilities of $55.5 million. Although we have incurred an accumulated deficit of $161.8 million since inception, we had positive cash flow from operations for the years ended December 31, 2025, 2024 and 2023 of $50.4 million, $118.7 million and $8.8 million, respectively. Prior to fiscal 2024, we funded our operations from the sale of our equity securities and debt financings. Our material cash requirements are primarily comprised of: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78</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collection and procurement of raw material source plasma, which includes plasma donor fees and plasma center supplies, and other raw materials necessary to maintain and scale up our manufacturing operations; </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228600" cy="175260"/>
                <wp:effectExtent l="0" t="0" r="0" b="0"/>
                <wp:wrapSquare wrapText="right"/>
                <wp:docPr id="184" name="Frame18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90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Employee compensation and benefits; </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228600" cy="175260"/>
                <wp:effectExtent l="0" t="0" r="0" b="0"/>
                <wp:wrapSquare wrapText="right"/>
                <wp:docPr id="185" name="Frame18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907"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Capital expenditures for equipment upgrades and maintenance of our plasma collection facilities; </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228600" cy="175260"/>
                <wp:effectExtent l="0" t="0" r="0" b="0"/>
                <wp:wrapSquare wrapText="right"/>
                <wp:docPr id="186" name="Frame18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907"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Interest on our debt; </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228600" cy="175260"/>
                <wp:effectExtent l="0" t="0" r="0" b="0"/>
                <wp:wrapSquare wrapText="right"/>
                <wp:docPr id="187" name="Frame18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907"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Marketing programs, medical education and continued commercialization efforts; </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228600" cy="175260"/>
                <wp:effectExtent l="0" t="0" r="0" b="0"/>
                <wp:wrapSquare wrapText="right"/>
                <wp:docPr id="188" name="Frame18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907"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Boca Facility maintenance, improvements, repairs and supplies; </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228600" cy="175260"/>
                <wp:effectExtent l="0" t="0" r="0" b="0"/>
                <wp:wrapSquare wrapText="right"/>
                <wp:docPr id="189" name="Frame18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907"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Research and development, including studies and development activities relating to SG-001;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228600" cy="175260"/>
                <wp:effectExtent l="0" t="0" r="0" b="0"/>
                <wp:wrapSquare wrapText="right"/>
                <wp:docPr id="190" name="Frame18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907"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Conducting required post-marketing clinical trials for ASCENIV; and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228600" cy="175260"/>
                <wp:effectExtent l="0" t="0" r="0" b="0"/>
                <wp:wrapSquare wrapText="right"/>
                <wp:docPr id="191" name="Frame19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907"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Continuous improvements and updates to our IT infrastructure, laboratory equipment and assays, and facilities and engineering equipment.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228600" cy="175260"/>
                <wp:effectExtent l="0" t="0" r="0" b="0"/>
                <wp:wrapSquare wrapText="right"/>
                <wp:docPr id="192" name="Frame19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July 2025, we completed the acquisition of real estate in Boca Raton, FL for a total purchase price of $12.6 million. This real estate purchase is intended to allow us to expand our production operations and related activities as well as provide for certain redundancies for ambient and cold-chain storage of raw materials, work in process and finished goods inventory.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currently anticipate, based upon our projected revenue and expenditures, that our current cash, cash equivalents and accounts receivable, along with our projected future operating cash flow, will be sufficient to fund our operations, as currently conducted, through the first quarter of 2027 and beyond. Based on current operations and assuming continued market acceptance and utilization of our finished drug products, we do not anticipate the need to raise additional capital at this time. However, should the market for our products or political, economic or inflationary conditions change, we may need to seek additional capital which may not be available due to a variety of potential factors beyond our control (see “Risk Factors” appearing elsewhere in this report). </w:t>
      </w:r>
    </w:p>
    <w:p>
      <w:pPr>
        <w:pStyle w:val="TextBody"/>
        <w:bidi w:val="0"/>
        <w:spacing w:before="0" w:after="0"/>
        <w:jc w:val="left"/>
        <w:rPr/>
      </w:pPr>
      <w:r>
        <w:rPr/>
        <w:t xml:space="preserve">  </w:t>
      </w:r>
    </w:p>
    <w:p>
      <w:pPr>
        <w:pStyle w:val="TextBody"/>
        <w:bidi w:val="0"/>
        <w:spacing w:before="0" w:after="0"/>
        <w:ind w:left="0" w:right="0" w:firstLine="720"/>
        <w:jc w:val="both"/>
        <w:rPr/>
      </w:pPr>
      <w:r>
        <w:rPr/>
        <w:t> </w:t>
      </w:r>
      <w:r>
        <w:rPr>
          <w:rFonts w:ascii="TimesNewRoman;Times New Roman;Times;Baskerville;Georgia;serif" w:hAnsi="TimesNewRoman;Times New Roman;Times;Baskerville;Georgia;serif"/>
          <w:sz w:val="20"/>
        </w:rPr>
        <w:t xml:space="preserve">ADMA continues to evaluate a variety of strategic alternatives, and the exploration of value-creating opportunities remains a top corporate priority.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Ares Credit Agreement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December 18, 2023 (the “Ares Closing Date”), we entered into a senior secured credit facility (the “Ares Credit Agreement”) with Ares Capital Corporation and certain credit funds affiliated with Ares Capital Corporation (collectively, “Ares”). The Ares Credit Agreement provided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had a maturity date of December 20, 2027 (the “Ares Maturity Date”). On the Ares Closing Date, we used the proceeds from the Ares Loans, along with a portion of its existing cash on hand, to terminate and pay in full all of the outstanding obligations under our previous senior credit facility (the “Hayfin Credit Facility”) with Hayfin Services LLP (“Hayfin”) including the outstanding principal in the amount of $158.6 million, a prepayment penalty in the amount $11.1 million, an exit fee of $1.6 million, all accrued and unpaid interest outstanding on the Hayfin Credit Facility as of the Ares Closing date, as well as certain fees and expenses related thereto. In connection with the payoff and termination of the Hayfin Credit Facility, we also wrote off $15.0 million of unamortized debt discount related to the Hayfin Credit Facility. As a result of this transaction, during the year ended December 31, 2023, we recorded a total loss on the extinguishment in the amount of $26.2 million.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79</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August 14, 2024, we repaid $30.0 million against the Ares revolving credit facility and the outstanding balance on the Ares revolving credit facility as of December 31, 2024 was $42.5 million, with an additional $30.0 million of availability through the Ares Maturity Date. We were required to pay an unused commitment fee of 0.5% per annum for this availability.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December 19, 2024 we repaid $30.0 million against the Ares term loan and the outstanding balance on the Ares term loan as of December 31, 2024 was $32.5 million. In connection with the repayment against the term loan, during the year ended December 31, 2024, we recognized a loss on extinguishment of debt in the approximate amount of $1.2 million, which was comprised of a prepayment penalty in the amount of $0.5 million and a partial write-off of unamortized discount attributable to the term loan in the amount of $0.8 million.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Borrowings under the Ares term loan bore interest at the adjusted Term SOFR for a three</w:t>
        <w:noBreakHyphen/>
        <w:t>month tenor in effect on the day that is two business days prior to the first day of the applicable calendar quarter plus 6.50% (the “Initial SOFR Term Loan Applicable Margin”). Borrowings under the Ares revolving facility bore interest at the adjusted Term SOFR for a three</w:t>
        <w:noBreakHyphen/>
        <w:t xml:space="preserve">month tenor in effect on the day that is two business days prior to the first day of the applicable calendar quarter plus 3.75% (the “SOFR Revolving Facility Applicable Margin”). As of December 31, 2024, the interest rate on the Ares term loan was approximately 10.85%, and the interest rate on the Ares revolving facility was approximately 8.34%.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were required to pay Ares the entire outstanding principal amount underlying the Ares term loan and revolving loan (together, the “Ares Loans”) and any accrued and unpaid interest thereon as of the Ares Maturity Date. Prior to the Ares Maturity Date, there were no scheduled principal payments on the Ares Loans. The Ares Credit Agreement permitted prepayment of the outstanding principal under the revolving facility, together with any accrued but unpaid interest on the prepaid principal amount, at any time and from time to time upon three business days’ prior written notice with no prepayment premium. However, in the event we paid down an aggregate amount under the revolving facility that was greater than 50% of the $72.5 million commitment amount, or $36,250,000, we were still required to pay an amount of interest on the revolving facility that would have been payable had $36,250,000 been outstanding, through the Ares Maturity Date. The Ares Credit Agreement permitted prepayment of the outstanding principal on the term loan, together with any accrued but unpaid interest on the prepaid principal amount, at any time and from time to time upon three business days’ prior written notice, subject to the payment to Ares of a prepayment premium equal to (i) 1.5% of the prepaid principal amount, if prepaid after the first anniversary of the Ares Closing Date and on or prior to the second anniversary of the Ares Closing Date or (ii) 1.0% of the prepaid principal amount, if prepaid on or prior to the third anniversary of the Ares Closing Date.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May 2025, we repaid $30.0 million against the Ares term loan using a draw of $30.0 million against the Ares revolving credit facility made in May 2025. In August 2025, we repaid all obligations outstanding under the Ares Credit Agreement using the proceeds from the JPM Credit Agreement, defined below. As a result of the aforementioned transactions, during the year ended December 31, 2025, we recognized debt extinguishment losses of $3.3 million. </w:t>
      </w:r>
    </w:p>
    <w:p>
      <w:pPr>
        <w:pStyle w:val="TextBody"/>
        <w:bidi w:val="0"/>
        <w:spacing w:before="0" w:after="0"/>
        <w:ind w:left="360" w:right="0" w:hanging="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JPM Credit Agreement</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August 5, 2025 (the “JPM Closing Date”), we entered into a Credit Agreement (the “JPM Credit Agreement”) with the lenders party thereto and JPMorgan Chase Bank, N.A., as administrative agent. The JPM Credit Agreement provides for $300 million of senior secured credit facilities, consisting of (a) a term loan in the aggregate principal amount of $75 million (the “JPM Term Loan Facility”), which was drawn in full on the JPM Closing Date, and (b) a revolving credit facility in the aggregate principal amount of $225 million (the “JPM Revolving Facility”). We may also request, subject to customary conditions, additional incremental revolving commitments or term loans in an aggregate principal amount not to exceed $100 million (together with the JPM Term Loan Facility and the JPM Revolving Facility, the “JPM Credit Facilities”). The JPM Term Loan Facility has a maturity date of August 5, 2028 (the “JPM Term Maturity Date”) and the JPM Revolving Facility has a maturity date of August 5, 2028 or any earlier date on which the commitments under the JPM Revolving Facility are reduced to zero or otherwise terminated pursuant to the terms of the JPM Credit Agreement (the “JPM Revolving Maturity Date”).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80</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Interest on borrowings under the JPM Credit Facilities accrues at an applicable rate equal to (i) an alternate base rate plus an applicable spread (each such borrowing, an “ABR Borrowing”) or (ii) Term SOFR plus an applicable spread (each such borrowing, a “Term Benchmark Borrowing”), in each case based on the lower of the applicable rates set forth in the JPM Credit Agreement, which are based on the Company’s total leverage ratio. These applicable spreads range from 150 basis points to 200 basis points over the alternate base rate and 250 basis points to 300 basis points over Term SOFR, in each case, as determined in accordance with the provisions of the JPM Credit Agreement. We have agreed to pay a commitment fee at specified rates set forth in the JPM Credit Agreement, which, based on our total leverage ratio, ranges from 30 basis points to 35 basis points on the daily amount of the undrawn portion of the aggregate commitments of the lenders under the JPM Revolving Facility. At our request, each borrowing initially shall be either an ABR Borrowing or a Term Benchmark Borrowing, and the Company may thereafter elect to convert any such borrowing to a different type. During the occurrence and continuance of an Event of Default (as defined in the JPM Credit Agreement), all borrowings shall accrue interest at a rate per annum equal to 2% plus the applicable rate. As of December 31, 2025, the interest rate on the JPM Term Loan Facility was approximately 6.42%. No borrowings were outstanding under the JPM Revolving Facility as of December 31, 2025.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the JPM Revolving Maturity Date, we will repay the unpaid principal amount outstanding under the JPM Revolving Facility. Under the JPM Term Loan Facility, we will make principal payments in accordance with and on the dates specified in the amortization schedule set forth in the JPM Credit Agreement, with the remaining unpaid principal amount to be paid in full on the JPM Term Maturity Date. We may prepay at any time and from time to time any borrowing in whole or in part, without premium or penalty (other than, if applicable, any break funding expenses), subject to customary notice requirements.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of our obligations under the JPM Credit Agreement are secured by a first-priority lien and security interest in substantially all of our and our subsidiaries’ tangible and intangible assets, including intellectual property and equity interests.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JPM Credit Agreement contains certain representations and warranties, affirmative covenants, negative covenants and conditions that are customarily required for similar debt financings. The negative covenants include certain financial covenants, including a maximum total leverage ratio of 2.50 to 1.00 and a minimum fixed charge coverage ratio of 1.20 to 1.00. The negative covenants also restrict or limit our ability to, among other things and subject to certain exceptions contained in the JPM Credit Agreement, incur new indebtedness; create liens on assets; engage in certain fundamental corporate changes; make certain investments; dispose of certain assets; engage in sale and leaseback transactions or swap agreements; make certain Restricted Payments (as defined in the JPM Credit Agreement); engage in certain affiliate transactions; enter into any other agreements that have the impact of restricting our ability to make loan repayments under the JPM Credit Agreement; or amend certain material documents.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we were in compliance with all of its debt covenants in the JPM Credit Agreement. </w:t>
      </w:r>
    </w:p>
    <w:p>
      <w:pPr>
        <w:pStyle w:val="TextBody"/>
        <w:bidi w:val="0"/>
        <w:spacing w:before="0" w:after="0"/>
        <w:jc w:val="both"/>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Cash Flows </w:t>
      </w:r>
    </w:p>
    <w:p>
      <w:pPr>
        <w:pStyle w:val="TextBody"/>
        <w:bidi w:val="0"/>
        <w:spacing w:lineRule="atLeast" w:line="240" w:before="0" w:after="0"/>
        <w:jc w:val="left"/>
        <w:rPr/>
      </w:pPr>
      <w:r>
        <w:rPr/>
        <w:t xml:space="preserve">  </w:t>
      </w:r>
    </w:p>
    <w:p>
      <w:pPr>
        <w:pStyle w:val="TextBody"/>
        <w:bidi w:val="0"/>
        <w:spacing w:lineRule="atLeast" w:line="240" w:before="0" w:after="0"/>
        <w:ind w:left="0" w:right="0" w:firstLine="72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The following table sets forth a summary of our cash flows for the periods indicated:</w:t>
      </w:r>
      <w:r>
        <w:rPr>
          <w:rFonts w:ascii="TimesNewRoman;Times New Roman;Times;Baskerville;Georgia;serif" w:hAnsi="TimesNewRoman;Times New Roman;Times;Baskerville;Georgia;serif"/>
          <w:b/>
          <w:sz w:val="20"/>
        </w:rPr>
        <w:t xml:space="preserve"> </w:t>
      </w:r>
    </w:p>
    <w:p>
      <w:pPr>
        <w:pStyle w:val="TextBody"/>
        <w:bidi w:val="0"/>
        <w:spacing w:lineRule="atLeast" w:line="240" w:before="0" w:after="0"/>
        <w:jc w:val="left"/>
        <w:rPr/>
      </w:pPr>
      <w:r>
        <w:rPr/>
        <w:t xml:space="preserve">  </w:t>
      </w:r>
    </w:p>
    <w:tbl>
      <w:tblPr>
        <w:tblW w:w="8300" w:type="dxa"/>
        <w:jc w:val="left"/>
        <w:tblInd w:w="0" w:type="dxa"/>
        <w:tblLayout w:type="fixed"/>
        <w:tblCellMar>
          <w:top w:w="0" w:type="dxa"/>
          <w:left w:w="0" w:type="dxa"/>
          <w:bottom w:w="0" w:type="dxa"/>
          <w:right w:w="0" w:type="dxa"/>
        </w:tblCellMar>
      </w:tblPr>
      <w:tblGrid>
        <w:gridCol w:w="4475"/>
        <w:gridCol w:w="90"/>
        <w:gridCol w:w="170"/>
        <w:gridCol w:w="830"/>
        <w:gridCol w:w="185"/>
        <w:gridCol w:w="90"/>
        <w:gridCol w:w="170"/>
        <w:gridCol w:w="830"/>
        <w:gridCol w:w="185"/>
        <w:gridCol w:w="90"/>
        <w:gridCol w:w="170"/>
        <w:gridCol w:w="785"/>
        <w:gridCol w:w="230"/>
      </w:tblGrid>
      <w:tr>
        <w:trPr/>
        <w:tc>
          <w:tcPr>
            <w:tcW w:w="4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3505"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w:t>
            </w:r>
            <w:r>
              <w:rPr/>
              <w:t xml:space="preserve"> </w:t>
            </w:r>
          </w:p>
        </w:tc>
        <w:tc>
          <w:tcPr>
            <w:tcW w:w="230" w:type="dxa"/>
            <w:tcBorders/>
            <w:vAlign w:val="center"/>
          </w:tcPr>
          <w:p>
            <w:pPr>
              <w:pStyle w:val="TableContents"/>
              <w:bidi w:val="0"/>
              <w:spacing w:before="0" w:after="283"/>
              <w:jc w:val="center"/>
              <w:rPr/>
            </w:pPr>
            <w:r>
              <w:rPr/>
              <w:t> </w:t>
            </w:r>
          </w:p>
        </w:tc>
      </w:tr>
      <w:tr>
        <w:trPr/>
        <w:tc>
          <w:tcPr>
            <w:tcW w:w="4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230" w:type="dxa"/>
            <w:tcBorders/>
            <w:vAlign w:val="center"/>
          </w:tcPr>
          <w:p>
            <w:pPr>
              <w:pStyle w:val="TableContents"/>
              <w:bidi w:val="0"/>
              <w:spacing w:before="0" w:after="283"/>
              <w:jc w:val="center"/>
              <w:rPr/>
            </w:pPr>
            <w:r>
              <w:rPr/>
              <w:t> </w:t>
            </w:r>
          </w:p>
        </w:tc>
      </w:tr>
      <w:tr>
        <w:trPr/>
        <w:tc>
          <w:tcPr>
            <w:tcW w:w="4475" w:type="dxa"/>
            <w:tcBorders/>
            <w:vAlign w:val="center"/>
          </w:tcPr>
          <w:p>
            <w:pPr>
              <w:pStyle w:val="TableContents"/>
              <w:bidi w:val="0"/>
              <w:spacing w:before="0" w:after="283"/>
              <w:jc w:val="left"/>
              <w:rPr/>
            </w:pPr>
            <w:r>
              <w:rPr/>
              <w:t> </w:t>
            </w:r>
          </w:p>
        </w:tc>
        <w:tc>
          <w:tcPr>
            <w:tcW w:w="3825" w:type="dxa"/>
            <w:gridSpan w:val="12"/>
            <w:tcBorders/>
            <w:vAlign w:val="center"/>
          </w:tcPr>
          <w:p>
            <w:pPr>
              <w:pStyle w:val="TableContents"/>
              <w:bidi w:val="0"/>
              <w:spacing w:before="0" w:after="283"/>
              <w:jc w:val="center"/>
              <w:rPr/>
            </w:pPr>
            <w:r>
              <w:rPr>
                <w:i/>
              </w:rPr>
              <w:t>(in thousands)</w:t>
            </w:r>
            <w:r>
              <w:rPr/>
              <w:t xml:space="preserve"> </w:t>
            </w:r>
          </w:p>
        </w:tc>
      </w:tr>
      <w:tr>
        <w:trPr/>
        <w:tc>
          <w:tcPr>
            <w:tcW w:w="4475" w:type="dxa"/>
            <w:tcBorders/>
            <w:shd w:fill="CCEEFF" w:val="clear"/>
            <w:vAlign w:val="center"/>
          </w:tcPr>
          <w:p>
            <w:pPr>
              <w:pStyle w:val="TableContents"/>
              <w:bidi w:val="0"/>
              <w:spacing w:before="0" w:after="0"/>
              <w:ind w:left="0" w:right="0" w:hanging="144"/>
              <w:jc w:val="left"/>
              <w:rPr/>
            </w:pPr>
            <w:r>
              <w:rPr/>
              <w:t xml:space="preserve">Net cash provided by operating activities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50,396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118,672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8,800</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ind w:left="0" w:right="0" w:hanging="144"/>
              <w:jc w:val="left"/>
              <w:rPr/>
            </w:pPr>
            <w:r>
              <w:rPr/>
              <w:t xml:space="preserve">Net cash used in investing activities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(21,891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(8,575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(4,981</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144"/>
              <w:jc w:val="left"/>
              <w:rPr/>
            </w:pPr>
            <w:r>
              <w:rPr/>
              <w:t xml:space="preserve">Net cash used in financing activities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(44,022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(58,302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(38,989</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ind w:left="0" w:right="0" w:hanging="144"/>
              <w:jc w:val="left"/>
              <w:rPr/>
            </w:pPr>
            <w:r>
              <w:rPr/>
              <w:t xml:space="preserve">Net change in cash and cash equivalents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(15,517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51,795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(35,170</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ind w:left="0" w:right="0" w:hanging="144"/>
              <w:jc w:val="left"/>
              <w:rPr/>
            </w:pPr>
            <w:r>
              <w:rPr/>
              <w:t xml:space="preserve">Cash and cash equivalents - beginning of year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103,147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51,352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86,522</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144"/>
              <w:jc w:val="left"/>
              <w:rPr/>
            </w:pPr>
            <w:r>
              <w:rPr/>
              <w:t xml:space="preserve">Cash and cash equivalents - end of year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87,630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103,147</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8" w:space="0" w:color="000000"/>
            </w:tcBorders>
            <w:shd w:fill="CCEEFF" w:val="clear"/>
            <w:tcMar>
              <w:bottom w:w="28" w:type="dxa"/>
            </w:tcMar>
            <w:vAlign w:val="center"/>
          </w:tcPr>
          <w:p>
            <w:pPr>
              <w:pStyle w:val="TableContents"/>
              <w:bidi w:val="0"/>
              <w:spacing w:before="0" w:after="283"/>
              <w:jc w:val="right"/>
              <w:rPr/>
            </w:pPr>
            <w:r>
              <w:rPr/>
              <w:t>51,352</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i/>
          <w:sz w:val="20"/>
        </w:rPr>
        <w:t>Net Cash Provided by Operating Activities</w:t>
      </w:r>
      <w:r>
        <w:rPr>
          <w:rFonts w:ascii="TimesNewRoman;Times New Roman;Times;Baskerville;Georgia;serif" w:hAnsi="TimesNewRoman;Times New Roman;Times;Baskerville;Georgia;serif"/>
          <w:b/>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Cash provided by operations for the year ended December 31, 2025 was $50.4 million, as compared to $118.7 million for the year ended December 31, 2024. The decrease is primarily due to the unfavorable impact of the timing of sales and due to inventory investments made in 2025 to support our manufacturing and distribution objectives. The improvement in cash flow from operations during the year ended December 2024, compared to that for the year ended December 31, 2023, is primarily due to substantially higher net income. The following table illustrates the primary components of our cash flows from operations:</w:t>
      </w:r>
      <w:r>
        <w:rPr>
          <w:rFonts w:ascii="TimesNewRoman;Times New Roman;Times;Baskerville;Georgia;serif" w:hAnsi="TimesNewRoman;Times New Roman;Times;Baskerville;Georgia;serif"/>
          <w:b/>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8885" w:type="dxa"/>
        <w:jc w:val="left"/>
        <w:tblInd w:w="0" w:type="dxa"/>
        <w:tblLayout w:type="fixed"/>
        <w:tblCellMar>
          <w:top w:w="0" w:type="dxa"/>
          <w:left w:w="0" w:type="dxa"/>
          <w:bottom w:w="0" w:type="dxa"/>
          <w:right w:w="0" w:type="dxa"/>
        </w:tblCellMar>
      </w:tblPr>
      <w:tblGrid>
        <w:gridCol w:w="4985"/>
        <w:gridCol w:w="90"/>
        <w:gridCol w:w="170"/>
        <w:gridCol w:w="905"/>
        <w:gridCol w:w="185"/>
        <w:gridCol w:w="90"/>
        <w:gridCol w:w="170"/>
        <w:gridCol w:w="830"/>
        <w:gridCol w:w="185"/>
        <w:gridCol w:w="90"/>
        <w:gridCol w:w="170"/>
        <w:gridCol w:w="785"/>
        <w:gridCol w:w="230"/>
      </w:tblGrid>
      <w:tr>
        <w:trPr/>
        <w:tc>
          <w:tcPr>
            <w:tcW w:w="4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3580"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w:t>
            </w:r>
            <w:r>
              <w:rPr/>
              <w:t xml:space="preserve"> </w:t>
            </w:r>
          </w:p>
        </w:tc>
        <w:tc>
          <w:tcPr>
            <w:tcW w:w="230"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230"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283"/>
              <w:jc w:val="left"/>
              <w:rPr/>
            </w:pPr>
            <w:r>
              <w:rPr/>
              <w:t> </w:t>
            </w:r>
          </w:p>
        </w:tc>
        <w:tc>
          <w:tcPr>
            <w:tcW w:w="3900" w:type="dxa"/>
            <w:gridSpan w:val="12"/>
            <w:tcBorders/>
            <w:vAlign w:val="center"/>
          </w:tcPr>
          <w:p>
            <w:pPr>
              <w:pStyle w:val="TableContents"/>
              <w:bidi w:val="0"/>
              <w:spacing w:before="0" w:after="283"/>
              <w:jc w:val="center"/>
              <w:rPr/>
            </w:pPr>
            <w:r>
              <w:rPr>
                <w:i/>
              </w:rPr>
              <w:t>(in thousands)</w:t>
            </w:r>
            <w:r>
              <w:rPr/>
              <w:t xml:space="preserve"> </w:t>
            </w:r>
          </w:p>
        </w:tc>
      </w:tr>
      <w:tr>
        <w:trPr/>
        <w:tc>
          <w:tcPr>
            <w:tcW w:w="4985" w:type="dxa"/>
            <w:tcBorders/>
            <w:shd w:fill="CCEEFF" w:val="clear"/>
            <w:vAlign w:val="center"/>
          </w:tcPr>
          <w:p>
            <w:pPr>
              <w:pStyle w:val="TableContents"/>
              <w:bidi w:val="0"/>
              <w:spacing w:before="0" w:after="0"/>
              <w:ind w:left="0" w:right="0" w:hanging="144"/>
              <w:jc w:val="left"/>
              <w:rPr/>
            </w:pPr>
            <w:r>
              <w:rPr/>
              <w:t xml:space="preserve">Net income (loss)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146,930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197,673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(28,239</w:t>
            </w:r>
          </w:p>
        </w:tc>
        <w:tc>
          <w:tcPr>
            <w:tcW w:w="23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ind w:left="0" w:right="0" w:hanging="144"/>
              <w:jc w:val="left"/>
              <w:rPr/>
            </w:pPr>
            <w:r>
              <w:rPr/>
              <w:t xml:space="preserve">Non-cash expenses, gains and losses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43,061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(60,462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47,162</w:t>
            </w:r>
          </w:p>
        </w:tc>
        <w:tc>
          <w:tcPr>
            <w:tcW w:w="23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0" w:right="0" w:hanging="144"/>
              <w:jc w:val="left"/>
              <w:rPr/>
            </w:pPr>
            <w:r>
              <w:rPr/>
              <w:t xml:space="preserve">Changes in accounts receivable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(108,430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(22,578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(11,916</w:t>
            </w:r>
          </w:p>
        </w:tc>
        <w:tc>
          <w:tcPr>
            <w:tcW w:w="23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ind w:left="0" w:right="0" w:hanging="144"/>
              <w:jc w:val="left"/>
              <w:rPr/>
            </w:pPr>
            <w:r>
              <w:rPr/>
              <w:t xml:space="preserve">Changes in inventories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(36,230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2,671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(9,626</w:t>
            </w:r>
          </w:p>
        </w:tc>
        <w:tc>
          <w:tcPr>
            <w:tcW w:w="23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0" w:right="0" w:hanging="144"/>
              <w:jc w:val="left"/>
              <w:rPr/>
            </w:pPr>
            <w:r>
              <w:rPr/>
              <w:t xml:space="preserve">Changes in accounts payable and accrued expenses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7,542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5,192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11,369</w:t>
            </w:r>
          </w:p>
        </w:tc>
        <w:tc>
          <w:tcPr>
            <w:tcW w:w="23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ind w:left="0" w:right="0" w:hanging="144"/>
              <w:jc w:val="left"/>
              <w:rPr/>
            </w:pPr>
            <w:r>
              <w:rPr/>
              <w:t xml:space="preserve">Other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(2,477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(3,824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50</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0" w:right="0" w:hanging="144"/>
              <w:jc w:val="left"/>
              <w:rPr/>
            </w:pPr>
            <w:r>
              <w:rPr/>
              <w:t xml:space="preserve">Cash provided by operations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8" w:space="0" w:color="000000"/>
            </w:tcBorders>
            <w:shd w:fill="CCEEFF" w:val="clear"/>
            <w:tcMar>
              <w:bottom w:w="28" w:type="dxa"/>
            </w:tcMar>
            <w:vAlign w:val="center"/>
          </w:tcPr>
          <w:p>
            <w:pPr>
              <w:pStyle w:val="TableContents"/>
              <w:bidi w:val="0"/>
              <w:spacing w:before="0" w:after="283"/>
              <w:jc w:val="right"/>
              <w:rPr/>
            </w:pPr>
            <w:r>
              <w:rPr/>
              <w:t>50,396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118,672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8" w:space="0" w:color="000000"/>
            </w:tcBorders>
            <w:shd w:fill="CCEEFF" w:val="clear"/>
            <w:tcMar>
              <w:bottom w:w="28" w:type="dxa"/>
            </w:tcMar>
            <w:vAlign w:val="center"/>
          </w:tcPr>
          <w:p>
            <w:pPr>
              <w:pStyle w:val="TableContents"/>
              <w:bidi w:val="0"/>
              <w:spacing w:before="0" w:after="283"/>
              <w:jc w:val="right"/>
              <w:rPr/>
            </w:pPr>
            <w:r>
              <w:rPr/>
              <w:t>8,800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lineRule="atLeast" w:line="240" w:before="0" w:after="0"/>
        <w:jc w:val="both"/>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Net Cash Used in Investing Activities</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Cash used in investing activities for the year ended December 31, 2025, was $21.9 million as compared to cash used in investing activities for the year ended December 31, 2024 of $8.6 million. The increase is primarily related to the capital expenditures associated with the Yield Enhancement project of $1.8 million and the acquisition of the real estate in Boca Raton, FL in the amount of $12.6 million, partially offset by the $1.0 million deposit received in December 2025 related to the sale of three of our plasma centers (refer to Note 5 to our financial statements included in Item 8 of this Annual Report on Form 10-K for further information). </w:t>
      </w:r>
    </w:p>
    <w:p>
      <w:pPr>
        <w:pStyle w:val="TextBody"/>
        <w:bidi w:val="0"/>
        <w:spacing w:lineRule="atLeast" w:line="240" w:before="0" w:after="0"/>
        <w:jc w:val="both"/>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Cash used in investing activities for the year ended December 31, 2024 was $8.6 million and is mainly comprised of equipment purchases and other capital expenditures at the Boca Facility. Cash used in investing activities for the year ended December 31, 2023 was $5.0 million, which was primarily comprised of capital expenditures of $3.0 million for equipment purchases and facilities upgrades at the Boca Facility, and $1.8 million to complete the buildout of our plasma collection facilities. While we do not have any firm commitments for material capital expenditures, we estimate that our total 2026 capital expenditures will be between $22.0 million and $27.0 million. </w:t>
      </w:r>
    </w:p>
    <w:p>
      <w:pPr>
        <w:pStyle w:val="TextBody"/>
        <w:bidi w:val="0"/>
        <w:spacing w:lineRule="atLeast" w:line="240" w:before="0" w:after="0"/>
        <w:jc w:val="left"/>
        <w:rPr/>
      </w:pPr>
      <w:r>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i/>
          <w:sz w:val="20"/>
        </w:rPr>
        <w:t>Net Cash Used in Financing Activities</w:t>
      </w:r>
      <w:r>
        <w:rPr>
          <w:rFonts w:ascii="TimesNewRoman;Times New Roman;Times;Baskerville;Georgia;serif" w:hAnsi="TimesNewRoman;Times New Roman;Times;Baskerville;Georgia;serif"/>
          <w:b/>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Net cash used in financing activities for the year ended December 31, 2025 was $44.0 million, as compared to cash used in financing activities for the year ended December 31, 2024 of $58.3 million. During the year ended December 31, 2025, we repaid our debt principal outstanding under the Ares Credit Agreement using proceeds from the JPM Credit Agreement and acquired treasury stock in the amount of $31.9 million. During the year ended December 31, 2024, we made principal payments of $60.0 million under the Ares Credit Agreement. During the year ended December 31, 2023, we reduced our outstanding debt principal by $23.6 million with the refinancing of our senior debt and paid approximately $12.7 million to exit the Hayfin Credit Facility.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Effect of Inflation</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Inflation impacted a number of facets of our business during the years ended December 31, 2025, 2024 and 2023 at each of our business segments. Disruptions in the global economy have impeded global supply chains, resulted in longer lead times and delays in procuring certain raw materials, and resulted in inflationary cost increases in certain raw materials, labor and transportation. We also experienced price increases for, among other items, consumable supplies, services for repairs and maintenance of our facilities, utilities, shipping and freight charges, fuel surcharges and labor costs, among other expenses. Based upon the macroeconomic environment, publicly available information and reports from the U.S. government, we expect this trend to subside somewhat in 2026, however we cannot predict the extent to which future domestic and global economic conditions including, but not limited to, supply chain constraints or geopolitical conditions, including the continuing conflicts in South America, Europe and in the Middle East and surrounding areas, could have a significant impact on our future results of operations. In addition, some of our third-party inventory purchase agreements provide for scheduled price increases that are tied to various consumer price indices, which have resulted in higher than historical percentage price increases and could result in higher source plasma and other raw material and supplies costs in 2026 and beyond. Also, in a higher inflationary environment, we may not be able to raise the prices of our products to keep up with the rate of inflation. </w:t>
      </w:r>
    </w:p>
    <w:p>
      <w:pPr>
        <w:pStyle w:val="TextBody"/>
        <w:bidi w:val="0"/>
        <w:spacing w:lineRule="atLeast" w:line="240"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900"/>
        <w:jc w:val="left"/>
        <w:rPr>
          <w:rFonts w:ascii="Aptos" w:hAnsi="Aptos"/>
          <w:sz w:val="20"/>
        </w:rPr>
      </w:pPr>
      <w:r>
        <w:rPr>
          <w:rFonts w:ascii="Times New Roman" w:hAnsi="Times New Roman"/>
          <w:b/>
          <w:sz w:val="20"/>
        </w:rPr>
        <w:t>Quantitative and Qualitative Disclosures About Market Risk</w:t>
      </w:r>
      <w:r>
        <w:rPr>
          <w:rFonts w:ascii="Aptos" w:hAnsi="Aptos"/>
          <w:sz w:val="20"/>
        </w:rPr>
        <w:t xml:space="preserve">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571500" cy="175260"/>
                <wp:effectExtent l="0" t="0" r="0" b="0"/>
                <wp:wrapSquare wrapText="right"/>
                <wp:docPr id="193" name="Frame19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19" w:name="Item_7A"/>
                            <w:bookmarkEnd w:id="19"/>
                            <w:r>
                              <w:rPr>
                                <w:rFonts w:ascii="Times New Roman" w:hAnsi="Times New Roman"/>
                                <w:b/>
                              </w:rPr>
                              <w:t>Item 7A.</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0" w:name="Item_7A"/>
                      <w:bookmarkEnd w:id="20"/>
                      <w:r>
                        <w:rPr>
                          <w:rFonts w:ascii="Times New Roman" w:hAnsi="Times New Roman"/>
                          <w:b/>
                        </w:rPr>
                        <w:t>Item 7A.</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Interest Rate Risk</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are exposed to market risk as the result of changes in interest rates. The JPM Credit Agreement requires monthly payments of interest based on the adjusted Term SOFR plus the applicable margin. We currently do not utilize any derivative financial instruments, such as interest rate swaps or caps, to mitigate this risk. As of December 31, 2025, we had $72.1 million outstanding under our JPM Credit Agreement that was subject to a variable interest rate. As a result, the effect of a hypothetical, instantaneous and unfavorable change of 100 basis points in the interest rate would have an approximate $0.7 million annualized negative impact on our earnings and cash flows.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Effects of Inflation</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Inflation generally affects us by increasing our research and development, labor, clinical trials and/or manufacturing costs. We do not believe that inflation had a material effect on our business, financial condition or results of operations as of December 31, 2025. </w:t>
      </w:r>
    </w:p>
    <w:p>
      <w:pPr>
        <w:pStyle w:val="TextBody"/>
        <w:bidi w:val="0"/>
        <w:spacing w:before="0" w:after="0"/>
        <w:ind w:left="900" w:right="0" w:hanging="0"/>
        <w:jc w:val="left"/>
        <w:rPr/>
      </w:pPr>
      <w:r>
        <w:rPr/>
        <w:t> </w:t>
      </w:r>
    </w:p>
    <w:p>
      <w:pPr>
        <w:pStyle w:val="TextBody"/>
        <w:bidi w:val="0"/>
        <w:spacing w:before="0" w:after="0"/>
        <w:ind w:left="0" w:right="0" w:hanging="900"/>
        <w:jc w:val="left"/>
        <w:rPr>
          <w:rFonts w:ascii="Times New Roman" w:hAnsi="Times New Roman"/>
          <w:b/>
          <w:sz w:val="20"/>
        </w:rPr>
      </w:pPr>
      <w:r>
        <w:rPr>
          <w:rFonts w:ascii="Times New Roman" w:hAnsi="Times New Roman"/>
          <w:b/>
          <w:sz w:val="20"/>
        </w:rPr>
        <w:t>Financial Statements and Supplementary Data</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571500" cy="175260"/>
                <wp:effectExtent l="0" t="0" r="0" b="0"/>
                <wp:wrapSquare wrapText="right"/>
                <wp:docPr id="194" name="Frame19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21" w:name="Item_8"/>
                            <w:bookmarkEnd w:id="21"/>
                            <w:r>
                              <w:rPr>
                                <w:rFonts w:ascii="Times New Roman" w:hAnsi="Times New Roman"/>
                                <w:b/>
                              </w:rPr>
                              <w:t>Item 8.</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2" w:name="Item_8"/>
                      <w:bookmarkEnd w:id="22"/>
                      <w:r>
                        <w:rPr>
                          <w:rFonts w:ascii="Times New Roman" w:hAnsi="Times New Roman"/>
                          <w:b/>
                        </w:rPr>
                        <w:t>Item 8.</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firstLine="675"/>
        <w:jc w:val="left"/>
        <w:rPr/>
      </w:pPr>
      <w:r>
        <w:rPr/>
        <w:t> </w:t>
      </w:r>
      <w:r>
        <w:rPr>
          <w:rFonts w:ascii="TimesNewRoman;Times New Roman;Times;Baskerville;Georgia;serif" w:hAnsi="TimesNewRoman;Times New Roman;Times;Baskerville;Georgia;serif"/>
          <w:sz w:val="20"/>
        </w:rPr>
        <w:t>Our financial statements required to be filed pursuant to this Item 8 appear in a separate section of this Annual Report on Form 10-K, beginning on page F-1.</w:t>
      </w:r>
    </w:p>
    <w:p>
      <w:pPr>
        <w:pStyle w:val="TextBody"/>
        <w:bidi w:val="0"/>
        <w:spacing w:before="0" w:after="0"/>
        <w:ind w:left="900" w:right="0" w:hanging="0"/>
        <w:jc w:val="left"/>
        <w:rPr/>
      </w:pPr>
      <w:r>
        <w:rPr/>
        <w:t> </w:t>
      </w:r>
    </w:p>
    <w:p>
      <w:pPr>
        <w:pStyle w:val="TextBody"/>
        <w:bidi w:val="0"/>
        <w:spacing w:before="0" w:after="0"/>
        <w:ind w:left="0" w:right="0" w:hanging="900"/>
        <w:jc w:val="left"/>
        <w:rPr>
          <w:rFonts w:ascii="Aptos" w:hAnsi="Aptos"/>
          <w:sz w:val="20"/>
        </w:rPr>
      </w:pPr>
      <w:r>
        <w:rPr>
          <w:rFonts w:ascii="Times New Roman" w:hAnsi="Times New Roman"/>
          <w:b/>
          <w:sz w:val="20"/>
        </w:rPr>
        <w:t>Changes in and Disagreements with Accountants on Accounting and Financial Disclosure</w:t>
      </w:r>
      <w:r>
        <w:rPr>
          <w:rFonts w:ascii="Aptos" w:hAnsi="Aptos"/>
          <w:sz w:val="20"/>
        </w:rPr>
        <w:t xml:space="preserve"> </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571500" cy="175260"/>
                <wp:effectExtent l="0" t="0" r="0" b="0"/>
                <wp:wrapSquare wrapText="right"/>
                <wp:docPr id="195" name="Frame19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23" w:name="Item_9"/>
                            <w:bookmarkEnd w:id="23"/>
                            <w:r>
                              <w:rPr>
                                <w:rFonts w:ascii="Times New Roman" w:hAnsi="Times New Roman"/>
                                <w:b/>
                              </w:rPr>
                              <w:t>Item 9.</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4" w:name="Item_9"/>
                      <w:bookmarkEnd w:id="24"/>
                      <w:r>
                        <w:rPr>
                          <w:rFonts w:ascii="Times New Roman" w:hAnsi="Times New Roman"/>
                          <w:b/>
                        </w:rPr>
                        <w:t>Item 9.</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None. </w:t>
      </w:r>
    </w:p>
    <w:p>
      <w:pPr>
        <w:pStyle w:val="TextBody"/>
        <w:bidi w:val="0"/>
        <w:spacing w:before="0" w:after="0"/>
        <w:ind w:left="0" w:right="0" w:hanging="900"/>
        <w:jc w:val="left"/>
        <w:rPr/>
      </w:pPr>
      <w:r>
        <w:rPr/>
        <w:t> </w:t>
      </w:r>
    </w:p>
    <w:p>
      <w:pPr>
        <w:pStyle w:val="TextBody"/>
        <w:bidi w:val="0"/>
        <w:spacing w:before="0" w:after="0"/>
        <w:ind w:left="0" w:right="0" w:hanging="900"/>
        <w:jc w:val="left"/>
        <w:rPr>
          <w:rFonts w:ascii="Aptos" w:hAnsi="Aptos"/>
          <w:sz w:val="20"/>
        </w:rPr>
      </w:pPr>
      <w:r>
        <w:rPr>
          <w:rFonts w:ascii="Times New Roman" w:hAnsi="Times New Roman"/>
          <w:b/>
          <w:sz w:val="20"/>
        </w:rPr>
        <w:t>Controls and Procedures</w:t>
      </w:r>
      <w:r>
        <w:rPr>
          <w:rFonts w:ascii="Aptos" w:hAnsi="Aptos"/>
          <w:sz w:val="20"/>
        </w:rPr>
        <w:t xml:space="preserve"> </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571500" cy="175260"/>
                <wp:effectExtent l="0" t="0" r="0" b="0"/>
                <wp:wrapSquare wrapText="right"/>
                <wp:docPr id="196" name="Frame195"/>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25" w:name="Item_9A"/>
                            <w:bookmarkEnd w:id="25"/>
                            <w:r>
                              <w:rPr>
                                <w:rFonts w:ascii="Times New Roman" w:hAnsi="Times New Roman"/>
                                <w:b/>
                              </w:rPr>
                              <w:t>Item 9A.</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6" w:name="Item_9A"/>
                      <w:bookmarkEnd w:id="26"/>
                      <w:r>
                        <w:rPr>
                          <w:rFonts w:ascii="Times New Roman" w:hAnsi="Times New Roman"/>
                          <w:b/>
                        </w:rPr>
                        <w:t>Item 9A.</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Disclosure Controls and Procedures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management, with the participation of our Chief Executive Officer and Chief Financial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set of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Chief Financial Officer concluded that, as of such date, our disclosure controls and procedures were effective at the reasonable assurance level.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Management’s Annual Report on Internal Control Over Financial Reporting</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Management’s annual report on internal control over financial reporting (as defined in Rule 13a- 15(f) under the Exchange Act) is included with the financial statements reflected in Item 8 of this Annual Report on Form 10-K and is incorporated herein by reference.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Report of Independent Registered Public Accounting Firms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effectiveness of our internal control over financial reporting as of December 31, 2025 has been audited by KPMG. KPMG is an independent registered public accounting firm, as stated in their reports which appear in Item 8 of this Annual Report on Form 10-K.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Changes in Internal Control Over Financial Reporting</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There has been no change in our internal control over financial reporting during the quarter ending December 31, 2025 that has materially affected, or is reasonably likely to materially affect, our internal control over financial reporting. </w:t>
      </w:r>
    </w:p>
    <w:p>
      <w:pPr>
        <w:pStyle w:val="TextBody"/>
        <w:bidi w:val="0"/>
        <w:spacing w:before="0" w:after="0"/>
        <w:ind w:left="0" w:right="0" w:hanging="720"/>
        <w:jc w:val="left"/>
        <w:rPr/>
      </w:pPr>
      <w:r>
        <w:rPr/>
        <w:t> </w:t>
      </w:r>
    </w:p>
    <w:p>
      <w:pPr>
        <w:pStyle w:val="TextBody"/>
        <w:bidi w:val="0"/>
        <w:spacing w:before="0" w:after="0"/>
        <w:ind w:left="0" w:right="0" w:hanging="900"/>
        <w:jc w:val="left"/>
        <w:rPr>
          <w:rFonts w:ascii="Times New Roman" w:hAnsi="Times New Roman"/>
          <w:b/>
          <w:sz w:val="20"/>
        </w:rPr>
      </w:pPr>
      <w:r>
        <w:rPr>
          <w:rFonts w:ascii="Times New Roman" w:hAnsi="Times New Roman"/>
          <w:b/>
          <w:sz w:val="20"/>
        </w:rPr>
        <w:t>Other Information</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571500" cy="175260"/>
                <wp:effectExtent l="0" t="0" r="0" b="0"/>
                <wp:wrapSquare wrapText="right"/>
                <wp:docPr id="197" name="Frame19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27" w:name="Item_9B"/>
                            <w:bookmarkEnd w:id="27"/>
                            <w:r>
                              <w:rPr>
                                <w:rFonts w:ascii="Times New Roman" w:hAnsi="Times New Roman"/>
                                <w:b/>
                              </w:rPr>
                              <w:t>Item 9B.</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8" w:name="Item_9B"/>
                      <w:bookmarkEnd w:id="28"/>
                      <w:r>
                        <w:rPr>
                          <w:rFonts w:ascii="Times New Roman" w:hAnsi="Times New Roman"/>
                          <w:b/>
                        </w:rPr>
                        <w:t>Item 9B.</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directors and executive officers may from time to time enter into plans or other arrangements for the purchase or sale of our common stock that are intended to satisfy the affirmative defense conditions of Rule 10b5-1(c) or may constitute a non-Rule 10b5-1 trading arrangement under the Exchange Act.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During the quarter ended December 31, 2025, none of our directors or executive officers adopted or terminated any such contract, instruction or written plans except for Adam Grossman, our President and CEO, who entered into a Rule 10b5-1 trading plan with Fidelity Brokerage Services LLC on November 14, 2025 (the “Grossman Plan”). The Grossman Plan provides that Mr. Grossman may sell up to an aggregate of (i) 66,000 shares of our common stock and (ii) 165,000 shares of our common stock to be received upon the exercise of vested options granted to Mr. Grossman. The Grossman Plan is scheduled to terminate on December 31, 2026, subject to earlier termination upon the sale of all shares subject to the plan, upon termination by Mr. Grossman or the broker, or as otherwise provided in the plan. </w:t>
      </w:r>
    </w:p>
    <w:p>
      <w:pPr>
        <w:pStyle w:val="TextBody"/>
        <w:bidi w:val="0"/>
        <w:spacing w:before="0" w:after="0"/>
        <w:ind w:left="0" w:right="0" w:hanging="720"/>
        <w:jc w:val="left"/>
        <w:rPr/>
      </w:pPr>
      <w:r>
        <w:rPr/>
        <w:t> </w:t>
      </w:r>
    </w:p>
    <w:p>
      <w:pPr>
        <w:pStyle w:val="TextBody"/>
        <w:bidi w:val="0"/>
        <w:spacing w:before="0" w:after="0"/>
        <w:ind w:left="0" w:right="0" w:hanging="900"/>
        <w:jc w:val="left"/>
        <w:rPr>
          <w:rFonts w:ascii="Aptos" w:hAnsi="Aptos"/>
          <w:sz w:val="20"/>
        </w:rPr>
      </w:pPr>
      <w:r>
        <w:rPr>
          <w:rFonts w:ascii="Times New Roman" w:hAnsi="Times New Roman"/>
          <w:b/>
          <w:sz w:val="20"/>
        </w:rPr>
        <w:t>Disclosure Regarding Foreign Jurisdictions that Prevent Inspections</w:t>
      </w:r>
      <w:r>
        <w:rPr>
          <w:rFonts w:ascii="Aptos" w:hAnsi="Aptos"/>
          <w:sz w:val="20"/>
        </w:rPr>
        <w:t xml:space="preserve">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571500" cy="175260"/>
                <wp:effectExtent l="0" t="0" r="0" b="0"/>
                <wp:wrapSquare wrapText="right"/>
                <wp:docPr id="198" name="Frame19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29" w:name="Item_9C"/>
                            <w:bookmarkEnd w:id="29"/>
                            <w:r>
                              <w:rPr>
                                <w:rFonts w:ascii="Times New Roman" w:hAnsi="Times New Roman"/>
                                <w:b/>
                              </w:rPr>
                              <w:t>Item 9C.</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30" w:name="Item_9C"/>
                      <w:bookmarkEnd w:id="30"/>
                      <w:r>
                        <w:rPr>
                          <w:rFonts w:ascii="Times New Roman" w:hAnsi="Times New Roman"/>
                          <w:b/>
                        </w:rPr>
                        <w:t>Item 9C.</w:t>
                      </w:r>
                      <w:r>
                        <w:rPr/>
                        <w:t xml:space="preserve"> </w:t>
                      </w:r>
                    </w:p>
                  </w:txbxContent>
                </v:textbox>
                <w10:wrap type="square" side="right"/>
              </v:rect>
            </w:pict>
          </mc:Fallback>
        </mc:AlternateContent>
      </w:r>
    </w:p>
    <w:p>
      <w:pPr>
        <w:pStyle w:val="TextBody"/>
        <w:bidi w:val="0"/>
        <w:spacing w:before="0" w:after="0"/>
        <w:ind w:left="0" w:right="0" w:hanging="900"/>
        <w:jc w:val="left"/>
        <w:rPr/>
      </w:pPr>
      <w:r>
        <w:rPr/>
        <w:t>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None.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PART III</w:t>
      </w:r>
    </w:p>
    <w:p>
      <w:pPr>
        <w:pStyle w:val="TextBody"/>
        <w:bidi w:val="0"/>
        <w:spacing w:before="0" w:after="0"/>
        <w:jc w:val="left"/>
        <w:rPr/>
      </w:pPr>
      <w:r>
        <w:rPr/>
        <w:t> </w:t>
      </w:r>
    </w:p>
    <w:p>
      <w:pPr>
        <w:pStyle w:val="TextBody"/>
        <w:bidi w:val="0"/>
        <w:spacing w:before="0" w:after="0"/>
        <w:ind w:left="0" w:right="0" w:hanging="900"/>
        <w:jc w:val="left"/>
        <w:rPr>
          <w:rFonts w:ascii="Aptos" w:hAnsi="Aptos"/>
          <w:sz w:val="20"/>
        </w:rPr>
      </w:pPr>
      <w:r>
        <w:rPr>
          <w:rFonts w:ascii="Times New Roman" w:hAnsi="Times New Roman"/>
          <w:b/>
          <w:sz w:val="20"/>
        </w:rPr>
        <w:t>Directors, Executive Officers and Corporate Governance</w:t>
      </w:r>
      <w:r>
        <w:rPr>
          <w:rFonts w:ascii="Aptos" w:hAnsi="Aptos"/>
          <w:sz w:val="20"/>
        </w:rPr>
        <w:t xml:space="preserve"> </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571500" cy="175260"/>
                <wp:effectExtent l="0" t="0" r="0" b="0"/>
                <wp:wrapSquare wrapText="right"/>
                <wp:docPr id="199" name="Frame198"/>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31" w:name="Item_10"/>
                            <w:bookmarkEnd w:id="31"/>
                            <w:r>
                              <w:rPr>
                                <w:rFonts w:ascii="Times New Roman" w:hAnsi="Times New Roman"/>
                                <w:b/>
                              </w:rPr>
                              <w:t>Item 10.</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32" w:name="Item_10"/>
                      <w:bookmarkEnd w:id="32"/>
                      <w:r>
                        <w:rPr>
                          <w:rFonts w:ascii="Times New Roman" w:hAnsi="Times New Roman"/>
                          <w:b/>
                        </w:rPr>
                        <w:t>Item 10.</w:t>
                      </w:r>
                      <w:r>
                        <w:rPr/>
                        <w:t xml:space="preserve"> </w:t>
                      </w:r>
                    </w:p>
                  </w:txbxContent>
                </v:textbox>
                <w10:wrap type="square" side="right"/>
              </v:rect>
            </w:pict>
          </mc:Fallback>
        </mc:AlternateContent>
      </w:r>
    </w:p>
    <w:p>
      <w:pPr>
        <w:pStyle w:val="TextBody"/>
        <w:bidi w:val="0"/>
        <w:spacing w:before="0" w:after="0"/>
        <w:ind w:left="0" w:right="0" w:hanging="900"/>
        <w:jc w:val="left"/>
        <w:rPr/>
      </w:pPr>
      <w:r>
        <w:rPr/>
        <w:t>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Information required to be disclosed by this Item with respect to our executive officers is incorporated into this Annual Report on Form 10-K by reference from the section entitled “ADMA Executive Officers and Director and Officer Compensation: Executive Officers” contained in our definitive proxy statement for our 2026 annual meeting of stockholders, which we intend to file within 120 days of the end of our fiscal year ended December 31, 2025.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Information required to be disclosed by this Item about our Board of Directors (the “Board”) is incorporated into this Annual Report on Form 10-K by reference from the section entitled “The Director Election Proposal” contained in our definitive proxy statement for our 2026 annual meeting of stockholders, which we intend to file within 120 days of the end of our fiscal year ended December 31, 2025.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 the extent necessary, information required to be disclosed by this Item about the Section 16(a) compliance of our directors and executive officers is incorporated into this Annual Report on Form 10-K, as applicable, by reference from the section entitled “Delinquent Section 16(a) Reports” contained in our definitive proxy statement for our 2026 annual meeting of stockholders, which we intend to file within 120 days of the end of our fiscal year ended December 31, 2025.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Information required to be disclosed by this Item about our Board, the Audit Committee of our Board, our audit committee financial expert(s), our Code of Ethics and Business Conduct, and other corporate governance matters is incorporated into this Annual Report on Form 10-K by reference from the section entitled “ADMA Corporate Governance” contained in our definitive proxy statement for our 2026 annual meeting of stockholders, which we intend to file within 120 days of the end of our fiscal year ended December 31, 2025.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text of our Code of Ethics and Business Conduct, which applies to our directors and employees (including our principal executive officer, principal financial officer, principal accounting officer or controller and persons performing similar functions), is posted in the “Documents” section of the Investors section of our website, www.admabiologics.com. A copy of the Code of Ethics and Business Conduct can be obtained free of charge on our website. We intend to disclose on our website any amendments to, or waivers from, our Code of Ethics and Business Conduct that are required to be disclosed pursuant to the rules of the SEC and The Nasdaq Stock Market.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information presented on our website is not a part of this Annual Report on Form 10-K and the reference to our website is intended to be an inactive textual reference only.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Insider Trading Policy governs transactions in our securities by our directors, officers and employees and is designed to promote compliance with applicable insider trading laws, rules and regulations. A copy of our Insider Trading Policy is filed with this Annual Report on Form 10-K as Exhibit 19.1. </w:t>
      </w:r>
    </w:p>
    <w:p>
      <w:pPr>
        <w:pStyle w:val="TextBody"/>
        <w:bidi w:val="0"/>
        <w:spacing w:before="0" w:after="0"/>
        <w:jc w:val="both"/>
        <w:rPr/>
      </w:pPr>
      <w:r>
        <w:rPr/>
        <w:t xml:space="preserve">  </w:t>
      </w:r>
    </w:p>
    <w:p>
      <w:pPr>
        <w:pStyle w:val="TextBody"/>
        <w:bidi w:val="0"/>
        <w:spacing w:before="0" w:after="0"/>
        <w:ind w:left="0" w:right="0" w:hanging="900"/>
        <w:jc w:val="left"/>
        <w:rPr>
          <w:rFonts w:ascii="Aptos" w:hAnsi="Aptos"/>
          <w:sz w:val="20"/>
        </w:rPr>
      </w:pPr>
      <w:r>
        <w:rPr>
          <w:rFonts w:ascii="Times New Roman" w:hAnsi="Times New Roman"/>
          <w:b/>
          <w:sz w:val="20"/>
        </w:rPr>
        <w:t>Executive Compensation</w:t>
      </w:r>
      <w:r>
        <w:rPr>
          <w:rFonts w:ascii="Aptos" w:hAnsi="Aptos"/>
          <w:sz w:val="20"/>
        </w:rPr>
        <w:t xml:space="preserve"> </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571500" cy="175260"/>
                <wp:effectExtent l="0" t="0" r="0" b="0"/>
                <wp:wrapSquare wrapText="right"/>
                <wp:docPr id="200" name="Frame19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33" w:name="Item_11"/>
                            <w:bookmarkEnd w:id="33"/>
                            <w:r>
                              <w:rPr>
                                <w:rFonts w:ascii="Times New Roman" w:hAnsi="Times New Roman"/>
                                <w:b/>
                              </w:rPr>
                              <w:t>Item 11.</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34" w:name="Item_11"/>
                      <w:bookmarkEnd w:id="34"/>
                      <w:r>
                        <w:rPr>
                          <w:rFonts w:ascii="Times New Roman" w:hAnsi="Times New Roman"/>
                          <w:b/>
                        </w:rPr>
                        <w:t>Item 11.</w:t>
                      </w:r>
                      <w:r>
                        <w:rPr/>
                        <w:t xml:space="preserve"> </w:t>
                      </w:r>
                    </w:p>
                  </w:txbxContent>
                </v:textbox>
                <w10:wrap type="square" side="right"/>
              </v:rect>
            </w:pict>
          </mc:Fallback>
        </mc:AlternateContent>
      </w:r>
    </w:p>
    <w:p>
      <w:pPr>
        <w:pStyle w:val="TextBody"/>
        <w:bidi w:val="0"/>
        <w:spacing w:before="0" w:after="0"/>
        <w:ind w:left="0" w:right="0" w:hanging="900"/>
        <w:jc w:val="left"/>
        <w:rPr/>
      </w:pPr>
      <w:r>
        <w:rPr/>
        <w:t>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Information required to be disclosed by this Item is incorporated into this Annual Report on Form 10-K by reference from the section entitled “ADMA Executive Officers and Director and Officer Compensation” contained in our definitive proxy statement for our 2026 annual meeting of stockholders, which we intend to file within 120 days of the end of our fiscal year ended December 31, 2025. </w:t>
      </w:r>
    </w:p>
    <w:p>
      <w:pPr>
        <w:pStyle w:val="TextBody"/>
        <w:bidi w:val="0"/>
        <w:spacing w:before="0" w:after="0"/>
        <w:ind w:left="0" w:right="0" w:hanging="720"/>
        <w:jc w:val="left"/>
        <w:rPr/>
      </w:pPr>
      <w:r>
        <w:rPr/>
        <w:t> </w:t>
      </w:r>
    </w:p>
    <w:p>
      <w:pPr>
        <w:pStyle w:val="TextBody"/>
        <w:bidi w:val="0"/>
        <w:spacing w:before="0" w:after="0"/>
        <w:ind w:left="0" w:right="0" w:hanging="900"/>
        <w:jc w:val="left"/>
        <w:rPr>
          <w:rFonts w:ascii="Aptos" w:hAnsi="Aptos"/>
          <w:sz w:val="20"/>
        </w:rPr>
      </w:pPr>
      <w:r>
        <w:rPr>
          <w:rFonts w:ascii="Times New Roman" w:hAnsi="Times New Roman"/>
          <w:b/>
          <w:sz w:val="20"/>
        </w:rPr>
        <w:t>Security Ownership of Certain Beneficial Owners and Management and Related Stockholder Matters</w:t>
      </w:r>
      <w:r>
        <w:rPr>
          <w:rFonts w:ascii="Aptos" w:hAnsi="Aptos"/>
          <w:sz w:val="20"/>
        </w:rPr>
        <w:t xml:space="preserve"> </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571500" cy="175260"/>
                <wp:effectExtent l="0" t="0" r="0" b="0"/>
                <wp:wrapSquare wrapText="right"/>
                <wp:docPr id="201" name="Frame20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35" w:name="Item_12"/>
                            <w:bookmarkEnd w:id="35"/>
                            <w:r>
                              <w:rPr>
                                <w:rFonts w:ascii="Times New Roman" w:hAnsi="Times New Roman"/>
                                <w:b/>
                              </w:rPr>
                              <w:t>Item 12.</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36" w:name="Item_12"/>
                      <w:bookmarkEnd w:id="36"/>
                      <w:r>
                        <w:rPr>
                          <w:rFonts w:ascii="Times New Roman" w:hAnsi="Times New Roman"/>
                          <w:b/>
                        </w:rPr>
                        <w:t>Item 12.</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Information required to be disclosed by this Item is incorporated into this Annual Report on Form 10-K by reference from the sections entitled “ADMA Security Ownership of Certain Beneficial Owners and Management and Related Stockholder Matters” contained in our definitive proxy statement for our 2026 annual meeting of stockholders, which we intend to file within 120 days of the end of our fiscal year ended December 31, 2025. </w:t>
      </w:r>
    </w:p>
    <w:p>
      <w:pPr>
        <w:pStyle w:val="TextBody"/>
        <w:bidi w:val="0"/>
        <w:spacing w:before="0" w:after="0"/>
        <w:jc w:val="left"/>
        <w:rPr/>
      </w:pPr>
      <w:r>
        <w:rPr/>
        <w:t xml:space="preserve">  </w:t>
      </w:r>
    </w:p>
    <w:p>
      <w:pPr>
        <w:pStyle w:val="TextBody"/>
        <w:bidi w:val="0"/>
        <w:spacing w:before="0" w:after="0"/>
        <w:ind w:left="0" w:right="0" w:hanging="900"/>
        <w:jc w:val="left"/>
        <w:rPr>
          <w:rFonts w:ascii="Aptos" w:hAnsi="Aptos"/>
          <w:sz w:val="20"/>
        </w:rPr>
      </w:pPr>
      <w:r>
        <w:rPr>
          <w:rFonts w:ascii="Times New Roman" w:hAnsi="Times New Roman"/>
          <w:b/>
          <w:sz w:val="20"/>
        </w:rPr>
        <w:t>Certain Relationships and Related Transactions, and Director Independence</w:t>
      </w:r>
      <w:r>
        <w:rPr>
          <w:rFonts w:ascii="Aptos" w:hAnsi="Aptos"/>
          <w:sz w:val="20"/>
        </w:rPr>
        <w:t xml:space="preserve"> </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571500" cy="175260"/>
                <wp:effectExtent l="0" t="0" r="0" b="0"/>
                <wp:wrapSquare wrapText="right"/>
                <wp:docPr id="202" name="Frame201"/>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37" w:name="Item_13"/>
                            <w:bookmarkEnd w:id="37"/>
                            <w:r>
                              <w:rPr>
                                <w:rFonts w:ascii="Times New Roman" w:hAnsi="Times New Roman"/>
                                <w:b/>
                              </w:rPr>
                              <w:t>Item 13.</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38" w:name="Item_13"/>
                      <w:bookmarkEnd w:id="38"/>
                      <w:r>
                        <w:rPr>
                          <w:rFonts w:ascii="Times New Roman" w:hAnsi="Times New Roman"/>
                          <w:b/>
                        </w:rPr>
                        <w:t>Item 13.</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information required to be disclosed by this Item is incorporated in this Annual Report on Form 10-K by reference from the sections entitled “Certain ADMA Relationships and Related Transactions” and “ADMA Corporate Governance − Director Independence” contained in our definitive proxy statement for our 2026 annual meeting of stockholders, which we intend to file within 120 days of the end of our fiscal year ended December 31, 2025. </w:t>
      </w:r>
    </w:p>
    <w:p>
      <w:pPr>
        <w:pStyle w:val="TextBody"/>
        <w:bidi w:val="0"/>
        <w:spacing w:before="0" w:after="0"/>
        <w:jc w:val="left"/>
        <w:rPr/>
      </w:pPr>
      <w:r>
        <w:rPr/>
        <w:t> </w:t>
      </w:r>
    </w:p>
    <w:p>
      <w:pPr>
        <w:pStyle w:val="TextBody"/>
        <w:bidi w:val="0"/>
        <w:spacing w:before="0" w:after="0"/>
        <w:ind w:left="0" w:right="0" w:hanging="900"/>
        <w:jc w:val="left"/>
        <w:rPr>
          <w:rFonts w:ascii="Aptos" w:hAnsi="Aptos"/>
          <w:sz w:val="20"/>
        </w:rPr>
      </w:pPr>
      <w:r>
        <w:rPr>
          <w:rFonts w:ascii="Times New Roman" w:hAnsi="Times New Roman"/>
          <w:b/>
          <w:sz w:val="20"/>
        </w:rPr>
        <w:t>Principal Accounting Fees and Services</w:t>
      </w:r>
      <w:r>
        <w:rPr>
          <w:rFonts w:ascii="Aptos" w:hAnsi="Aptos"/>
          <w:sz w:val="20"/>
        </w:rPr>
        <w:t xml:space="preserve"> </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571500" cy="175260"/>
                <wp:effectExtent l="0" t="0" r="0" b="0"/>
                <wp:wrapSquare wrapText="right"/>
                <wp:docPr id="203" name="Frame20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39" w:name="Item_14"/>
                            <w:bookmarkEnd w:id="39"/>
                            <w:r>
                              <w:rPr>
                                <w:rFonts w:ascii="Times New Roman" w:hAnsi="Times New Roman"/>
                                <w:b/>
                              </w:rPr>
                              <w:t>Item 14.</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40" w:name="Item_14"/>
                      <w:bookmarkEnd w:id="40"/>
                      <w:r>
                        <w:rPr>
                          <w:rFonts w:ascii="Times New Roman" w:hAnsi="Times New Roman"/>
                          <w:b/>
                        </w:rPr>
                        <w:t>Item 14.</w:t>
                      </w:r>
                      <w:r>
                        <w:rPr/>
                        <w:t xml:space="preserve"> </w:t>
                      </w:r>
                    </w:p>
                  </w:txbxContent>
                </v:textbox>
                <w10:wrap type="square" side="right"/>
              </v:rect>
            </w:pict>
          </mc:Fallback>
        </mc:AlternateContent>
      </w:r>
    </w:p>
    <w:p>
      <w:pPr>
        <w:pStyle w:val="TextBody"/>
        <w:bidi w:val="0"/>
        <w:spacing w:before="0" w:after="0"/>
        <w:ind w:left="108" w:right="0" w:hanging="0"/>
        <w:jc w:val="left"/>
        <w:rPr/>
      </w:pPr>
      <w:r>
        <w:rPr/>
        <w:t>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information required to be disclosed by this Item is incorporated into this Annual Report on Form 10-K by reference from the section entitled “The Auditor Ratification Proposal” contained in our definitive proxy statement for our 2026 annual meeting of stockholders, which we intend to file within 120 days of the end of our fiscal year ended December 31, 2025.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85</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PART IV</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ind w:left="0" w:right="0" w:hanging="900"/>
        <w:jc w:val="left"/>
        <w:rPr>
          <w:rFonts w:ascii="Aptos" w:hAnsi="Aptos"/>
          <w:sz w:val="20"/>
        </w:rPr>
      </w:pPr>
      <w:r>
        <w:rPr>
          <w:rFonts w:ascii="Times New Roman" w:hAnsi="Times New Roman"/>
          <w:b/>
          <w:sz w:val="20"/>
        </w:rPr>
        <w:t>Exhibits, Financial Statement Schedules</w:t>
      </w:r>
      <w:r>
        <w:rPr>
          <w:rFonts w:ascii="Aptos" w:hAnsi="Aptos"/>
          <w:sz w:val="20"/>
        </w:rPr>
        <w:t xml:space="preserve"> </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571500" cy="175260"/>
                <wp:effectExtent l="0" t="0" r="0" b="0"/>
                <wp:wrapSquare wrapText="right"/>
                <wp:docPr id="204" name="Frame20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41" w:name="Item_15"/>
                            <w:bookmarkEnd w:id="41"/>
                            <w:r>
                              <w:rPr>
                                <w:rFonts w:ascii="Times New Roman" w:hAnsi="Times New Roman"/>
                                <w:b/>
                              </w:rPr>
                              <w:t>Item 15.</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42" w:name="Item_15"/>
                      <w:bookmarkEnd w:id="42"/>
                      <w:r>
                        <w:rPr>
                          <w:rFonts w:ascii="Times New Roman" w:hAnsi="Times New Roman"/>
                          <w:b/>
                        </w:rPr>
                        <w:t>Item 15.</w:t>
                      </w:r>
                      <w:r>
                        <w:rPr/>
                        <w:t xml:space="preserve"> </w:t>
                      </w:r>
                    </w:p>
                  </w:txbxContent>
                </v:textbox>
                <w10:wrap type="square" side="right"/>
              </v:rect>
            </w:pict>
          </mc:Fallback>
        </mc:AlternateContent>
      </w:r>
    </w:p>
    <w:p>
      <w:pPr>
        <w:pStyle w:val="TextBody"/>
        <w:bidi w:val="0"/>
        <w:spacing w:before="0" w:after="0"/>
        <w:ind w:left="0" w:right="0" w:hanging="900"/>
        <w:jc w:val="left"/>
        <w:rPr/>
      </w:pPr>
      <w:r>
        <w:rPr/>
        <w:t>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571500" cy="175260"/>
                <wp:effectExtent l="0" t="0" r="0" b="0"/>
                <wp:wrapSquare wrapText="right"/>
                <wp:docPr id="205" name="Frame20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Financial Statement Schedules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The following documents are filed as part of this Annual Report on Form 10-K: </w:t>
      </w:r>
    </w:p>
    <w:p>
      <w:pPr>
        <w:pStyle w:val="TextBody"/>
        <w:bidi w:val="0"/>
        <w:spacing w:before="0" w:after="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 Consolidated Financial Statements. </w:t>
      </w:r>
    </w:p>
    <w:tbl>
      <w:tblPr>
        <w:tblW w:w="10205" w:type="dxa"/>
        <w:jc w:val="left"/>
        <w:tblInd w:w="0" w:type="dxa"/>
        <w:tblLayout w:type="fixed"/>
        <w:tblCellMar>
          <w:top w:w="28" w:type="dxa"/>
          <w:left w:w="28" w:type="dxa"/>
          <w:bottom w:w="28" w:type="dxa"/>
          <w:right w:w="28" w:type="dxa"/>
        </w:tblCellMar>
      </w:tblPr>
      <w:tblGrid>
        <w:gridCol w:w="9539"/>
        <w:gridCol w:w="666"/>
      </w:tblGrid>
      <w:tr>
        <w:trPr/>
        <w:tc>
          <w:tcPr>
            <w:tcW w:w="9539"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9539"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Page </w:t>
            </w:r>
          </w:p>
        </w:tc>
      </w:tr>
      <w:tr>
        <w:trPr/>
        <w:tc>
          <w:tcPr>
            <w:tcW w:w="953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Management’s Annual Report on Internal Control Over Financial Reporting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F-2 </w:t>
            </w:r>
          </w:p>
        </w:tc>
      </w:tr>
      <w:tr>
        <w:trPr/>
        <w:tc>
          <w:tcPr>
            <w:tcW w:w="9539" w:type="dxa"/>
            <w:tcBorders/>
            <w:tcMar>
              <w:top w:w="0" w:type="dxa"/>
              <w:left w:w="0" w:type="dxa"/>
              <w:bottom w:w="0" w:type="dxa"/>
              <w:right w:w="0" w:type="dxa"/>
            </w:tcMar>
            <w:vAlign w:val="center"/>
          </w:tcPr>
          <w:p>
            <w:pPr>
              <w:pStyle w:val="TableContents"/>
              <w:bidi w:val="0"/>
              <w:spacing w:before="0" w:after="0"/>
              <w:jc w:val="left"/>
              <w:rPr/>
            </w:pPr>
            <w:r>
              <w:rPr/>
              <w:t xml:space="preserve">Reports of Independent Registered Public Accounting Firm (PCAOB ID 185) </w:t>
            </w:r>
          </w:p>
        </w:tc>
        <w:tc>
          <w:tcPr>
            <w:tcW w:w="666" w:type="dxa"/>
            <w:tcBorders/>
            <w:tcMar>
              <w:top w:w="0" w:type="dxa"/>
              <w:left w:w="0" w:type="dxa"/>
              <w:bottom w:w="0" w:type="dxa"/>
              <w:right w:w="0" w:type="dxa"/>
            </w:tcMar>
            <w:vAlign w:val="center"/>
          </w:tcPr>
          <w:p>
            <w:pPr>
              <w:pStyle w:val="TableContents"/>
              <w:bidi w:val="0"/>
              <w:spacing w:before="0" w:after="283"/>
              <w:jc w:val="center"/>
              <w:rPr/>
            </w:pPr>
            <w:r>
              <w:rPr/>
              <w:t xml:space="preserve">F-3 </w:t>
            </w:r>
          </w:p>
        </w:tc>
      </w:tr>
      <w:tr>
        <w:trPr/>
        <w:tc>
          <w:tcPr>
            <w:tcW w:w="953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Report of Independent Registered Public Accounting Firm (PCAOB ID 596)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center"/>
              <w:rPr/>
            </w:pPr>
            <w:r>
              <w:rPr/>
              <w:t>F-4</w:t>
            </w:r>
          </w:p>
        </w:tc>
      </w:tr>
      <w:tr>
        <w:trPr/>
        <w:tc>
          <w:tcPr>
            <w:tcW w:w="9539" w:type="dxa"/>
            <w:tcBorders/>
            <w:tcMar>
              <w:top w:w="0" w:type="dxa"/>
              <w:left w:w="0" w:type="dxa"/>
              <w:bottom w:w="0" w:type="dxa"/>
              <w:right w:w="0" w:type="dxa"/>
            </w:tcMar>
            <w:vAlign w:val="center"/>
          </w:tcPr>
          <w:p>
            <w:pPr>
              <w:pStyle w:val="TableContents"/>
              <w:bidi w:val="0"/>
              <w:spacing w:before="0" w:after="0"/>
              <w:jc w:val="left"/>
              <w:rPr/>
            </w:pPr>
            <w:r>
              <w:rPr/>
              <w:t xml:space="preserve">Consolidated Balance Sheets as of December 31, 2025 and 2024 </w:t>
            </w:r>
          </w:p>
        </w:tc>
        <w:tc>
          <w:tcPr>
            <w:tcW w:w="666" w:type="dxa"/>
            <w:tcBorders/>
            <w:tcMar>
              <w:top w:w="0" w:type="dxa"/>
              <w:left w:w="0" w:type="dxa"/>
              <w:bottom w:w="0" w:type="dxa"/>
              <w:right w:w="0" w:type="dxa"/>
            </w:tcMar>
            <w:vAlign w:val="center"/>
          </w:tcPr>
          <w:p>
            <w:pPr>
              <w:pStyle w:val="TableContents"/>
              <w:bidi w:val="0"/>
              <w:spacing w:before="0" w:after="283"/>
              <w:jc w:val="center"/>
              <w:rPr/>
            </w:pPr>
            <w:r>
              <w:rPr/>
              <w:t>F-6</w:t>
            </w:r>
          </w:p>
        </w:tc>
      </w:tr>
      <w:tr>
        <w:trPr/>
        <w:tc>
          <w:tcPr>
            <w:tcW w:w="953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Consolidated Statements of Operations for the years ended December 31, 2025, 2024 and 2023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center"/>
              <w:rPr/>
            </w:pPr>
            <w:r>
              <w:rPr/>
              <w:t>F-7</w:t>
            </w:r>
          </w:p>
        </w:tc>
      </w:tr>
      <w:tr>
        <w:trPr/>
        <w:tc>
          <w:tcPr>
            <w:tcW w:w="9539" w:type="dxa"/>
            <w:tcBorders/>
            <w:tcMar>
              <w:top w:w="0" w:type="dxa"/>
              <w:left w:w="0" w:type="dxa"/>
              <w:bottom w:w="0" w:type="dxa"/>
              <w:right w:w="0" w:type="dxa"/>
            </w:tcMar>
            <w:vAlign w:val="center"/>
          </w:tcPr>
          <w:p>
            <w:pPr>
              <w:pStyle w:val="TableContents"/>
              <w:bidi w:val="0"/>
              <w:spacing w:before="0" w:after="0"/>
              <w:jc w:val="left"/>
              <w:rPr/>
            </w:pPr>
            <w:r>
              <w:rPr/>
              <w:t xml:space="preserve">Consolidated Statements of Changes in Stockholders’ Equity for the years ended December 31, 2025, 2024 and 2023 </w:t>
            </w:r>
          </w:p>
        </w:tc>
        <w:tc>
          <w:tcPr>
            <w:tcW w:w="666" w:type="dxa"/>
            <w:tcBorders/>
            <w:tcMar>
              <w:top w:w="0" w:type="dxa"/>
              <w:left w:w="0" w:type="dxa"/>
              <w:bottom w:w="0" w:type="dxa"/>
              <w:right w:w="0" w:type="dxa"/>
            </w:tcMar>
            <w:vAlign w:val="center"/>
          </w:tcPr>
          <w:p>
            <w:pPr>
              <w:pStyle w:val="TableContents"/>
              <w:bidi w:val="0"/>
              <w:spacing w:before="0" w:after="283"/>
              <w:jc w:val="center"/>
              <w:rPr/>
            </w:pPr>
            <w:r>
              <w:rPr/>
              <w:t>F-8</w:t>
            </w:r>
          </w:p>
        </w:tc>
      </w:tr>
      <w:tr>
        <w:trPr/>
        <w:tc>
          <w:tcPr>
            <w:tcW w:w="953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Consolidated Statements of Cash Flows for the years ended December 31, 2025, 2024 and 2023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center"/>
              <w:rPr/>
            </w:pPr>
            <w:r>
              <w:rPr/>
              <w:t>F-9</w:t>
            </w:r>
          </w:p>
        </w:tc>
      </w:tr>
      <w:tr>
        <w:trPr/>
        <w:tc>
          <w:tcPr>
            <w:tcW w:w="9539" w:type="dxa"/>
            <w:tcBorders/>
            <w:tcMar>
              <w:top w:w="0" w:type="dxa"/>
              <w:left w:w="0" w:type="dxa"/>
              <w:bottom w:w="0" w:type="dxa"/>
              <w:right w:w="0" w:type="dxa"/>
            </w:tcMar>
            <w:vAlign w:val="center"/>
          </w:tcPr>
          <w:p>
            <w:pPr>
              <w:pStyle w:val="TableContents"/>
              <w:bidi w:val="0"/>
              <w:spacing w:before="0" w:after="0"/>
              <w:jc w:val="left"/>
              <w:rPr/>
            </w:pPr>
            <w:r>
              <w:rPr/>
              <w:t xml:space="preserve">Notes to Consolidated Financial Statements </w:t>
            </w:r>
          </w:p>
        </w:tc>
        <w:tc>
          <w:tcPr>
            <w:tcW w:w="666" w:type="dxa"/>
            <w:tcBorders/>
            <w:tcMar>
              <w:top w:w="0" w:type="dxa"/>
              <w:left w:w="0" w:type="dxa"/>
              <w:bottom w:w="0" w:type="dxa"/>
              <w:right w:w="0" w:type="dxa"/>
            </w:tcMar>
            <w:vAlign w:val="center"/>
          </w:tcPr>
          <w:p>
            <w:pPr>
              <w:pStyle w:val="TableContents"/>
              <w:bidi w:val="0"/>
              <w:spacing w:before="0" w:after="283"/>
              <w:jc w:val="center"/>
              <w:rPr/>
            </w:pPr>
            <w:r>
              <w:rPr/>
              <w:t>F-10</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 Financial Statement Schedules. </w:t>
      </w:r>
    </w:p>
    <w:p>
      <w:pPr>
        <w:pStyle w:val="TextBody"/>
        <w:bidi w:val="0"/>
        <w:spacing w:before="0" w:after="0"/>
        <w:ind w:left="0" w:right="0" w:firstLine="108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Required information is included in the footnotes to the financial statements. </w:t>
      </w:r>
    </w:p>
    <w:p>
      <w:pPr>
        <w:pStyle w:val="TextBody"/>
        <w:bidi w:val="0"/>
        <w:spacing w:before="0" w:after="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 Index to Exhibits.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INDEX TO EXHIBITS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871"/>
        <w:gridCol w:w="146"/>
        <w:gridCol w:w="9188"/>
      </w:tblGrid>
      <w:tr>
        <w:trPr/>
        <w:tc>
          <w:tcPr>
            <w:tcW w:w="8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88" w:type="dxa"/>
            <w:tcBorders/>
            <w:vAlign w:val="center"/>
          </w:tcPr>
          <w:p>
            <w:pPr>
              <w:pStyle w:val="TableContents"/>
              <w:bidi w:val="0"/>
              <w:spacing w:before="0" w:after="283"/>
              <w:jc w:val="left"/>
              <w:rPr/>
            </w:pPr>
            <w:r>
              <w:rPr/>
              <w:t> </w:t>
            </w:r>
          </w:p>
        </w:tc>
      </w:tr>
      <w:tr>
        <w:trPr/>
        <w:tc>
          <w:tcPr>
            <w:tcW w:w="871"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Exhibit</w:t>
              <w:br/>
              <w:t>No.</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Description</w:t>
            </w:r>
            <w:r>
              <w:rPr/>
              <w:t xml:space="preserve"> </w:t>
            </w:r>
          </w:p>
        </w:tc>
      </w:tr>
      <w:tr>
        <w:trPr/>
        <w:tc>
          <w:tcPr>
            <w:tcW w:w="871"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3">
              <w:r>
                <w:rPr>
                  <w:rStyle w:val="InternetLink"/>
                </w:rPr>
                <w:t>3.1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Second Amended and Restated Certificate of Incorporation of the Company (incorporated herein by reference to Exhibit 3.1 to the Company’s Current Report on Form 8-K, filed with the SEC on August 23, 2019). </w:t>
            </w:r>
          </w:p>
        </w:tc>
      </w:tr>
      <w:tr>
        <w:trPr/>
        <w:tc>
          <w:tcPr>
            <w:tcW w:w="871"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r:id="rId4">
              <w:r>
                <w:rPr>
                  <w:rStyle w:val="InternetLink"/>
                </w:rPr>
                <w:t>3.1.1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Certificate of Amendment of the Second Amended and Restated Certificate of Incorporation of ADMA Biologics, Inc., dated as of May 27, 2021 (incorporated herein by reference to Exhibit 3.1 to the Company’s Current Report on Form 8-K filed with the SEC on May 28, 2021). </w:t>
            </w:r>
          </w:p>
        </w:tc>
      </w:tr>
      <w:tr>
        <w:trPr/>
        <w:tc>
          <w:tcPr>
            <w:tcW w:w="871"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5">
              <w:r>
                <w:rPr>
                  <w:rStyle w:val="InternetLink"/>
                </w:rPr>
                <w:t>3.2</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Second Amended and Restated Bylaws (incorporated herein by reference to Exhibit 3.1 to the Company’s Current Report on Form 8-K, filed with the SEC on June 28, 2024). </w:t>
            </w:r>
          </w:p>
        </w:tc>
      </w:tr>
      <w:tr>
        <w:trPr/>
        <w:tc>
          <w:tcPr>
            <w:tcW w:w="871"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r:id="rId6">
              <w:r>
                <w:rPr>
                  <w:rStyle w:val="InternetLink"/>
                </w:rPr>
                <w:t>3.3</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Certificate of Designation of Series A Junior Participating Preferred Stock of ADMA Biologics, Inc. (incorporated herein by reference to Exhibit 3.1 to the Company’s Current Report on Form 8-K filed with the SEC on December 21, 2021). </w:t>
            </w:r>
          </w:p>
        </w:tc>
      </w:tr>
      <w:tr>
        <w:trPr/>
        <w:tc>
          <w:tcPr>
            <w:tcW w:w="871"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7">
              <w:r>
                <w:rPr>
                  <w:rStyle w:val="InternetLink"/>
                </w:rPr>
                <w:t>4.1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Specimen Common Stock Certificate (incorporated herein by reference to Exhibit 4.1 to Amendment No. 1 to the Company’s Current Report on Form 8-K/A, filed with the SEC on March 29, 2012). </w:t>
            </w:r>
          </w:p>
        </w:tc>
      </w:tr>
      <w:tr>
        <w:trPr/>
        <w:tc>
          <w:tcPr>
            <w:tcW w:w="871"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r:id="rId8">
              <w:r>
                <w:rPr>
                  <w:rStyle w:val="InternetLink"/>
                </w:rPr>
                <w:t>4.2</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Description of Securities Registered under Section 12 of the Securities Exchange Act of 1934 (incorporated herein by reference to Exhibit 4.11 to the Company’s Annual Report on Form 10-K, filed with the SEC on March 24, 2022). </w:t>
            </w:r>
          </w:p>
        </w:tc>
      </w:tr>
    </w:tbl>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86</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771"/>
        <w:gridCol w:w="146"/>
        <w:gridCol w:w="9288"/>
      </w:tblGrid>
      <w:tr>
        <w:trPr/>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71"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9">
              <w:r>
                <w:rPr>
                  <w:rStyle w:val="InternetLink"/>
                </w:rPr>
                <w:t>10.1†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Amended and Restated ADMA Biologics, Inc. 2014 Omnibus Incentive Compensation Plan (incorporated herein by reference to Exhibit 10.1 to the Company’s Registration Statement on Form S-8, filed with the SEC on August 18, 2017). </w:t>
            </w:r>
          </w:p>
        </w:tc>
      </w:tr>
      <w:tr>
        <w:trPr/>
        <w:tc>
          <w:tcPr>
            <w:tcW w:w="771"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r:id="rId10">
              <w:r>
                <w:rPr>
                  <w:rStyle w:val="InternetLink"/>
                </w:rPr>
                <w:t>10.2†</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ADMA Biologics, Inc. 2022 Equity Compensation Plan (incorporated herein by reference to Exhibit 10.1 to the Registrant’s Current Report on Form 8-K filed with the SEC on June 21, 2022). </w:t>
            </w:r>
          </w:p>
        </w:tc>
      </w:tr>
      <w:tr>
        <w:trPr/>
        <w:tc>
          <w:tcPr>
            <w:tcW w:w="771"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11">
              <w:r>
                <w:rPr>
                  <w:rStyle w:val="InternetLink"/>
                </w:rPr>
                <w:t>10.3†</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Amended and Restated Employment Agreement, dated January 29, 2019, by and between ADMA Biologics, Inc. and Adam Grossman (incorporated herein by reference to Exhibit 10.1 to the Company’s Current Report on Form 8-K, filed with the SEC on January 29, 2019). </w:t>
            </w:r>
          </w:p>
        </w:tc>
      </w:tr>
      <w:tr>
        <w:trPr/>
        <w:tc>
          <w:tcPr>
            <w:tcW w:w="771"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r:id="rId12">
              <w:r>
                <w:rPr>
                  <w:rStyle w:val="InternetLink"/>
                </w:rPr>
                <w:t>10.3.1†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Amendment to Employment Agreement, dated as of September 29, 2021, by and between ADMA Biologics, Inc. and Adam Grossman (incorporated herein by reference to Exhibit 10.2 to the Company’s Current Report on Form 8-K, filed with the SEC on October 1, 2021). </w:t>
            </w:r>
          </w:p>
        </w:tc>
      </w:tr>
      <w:tr>
        <w:trPr/>
        <w:tc>
          <w:tcPr>
            <w:tcW w:w="771"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13">
              <w:r>
                <w:rPr>
                  <w:rStyle w:val="InternetLink"/>
                </w:rPr>
                <w:t>10.4†</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Employment Agreement, dated April 1, 2024, by and between ADMA Biologics, Inc. and Kaitlin Kestenberg (incorporated herein by reference to Exhibit 10.1 to the Company’s Current Report on Form 8-K, filed with the SEC on April 2, 2024). </w:t>
            </w:r>
          </w:p>
        </w:tc>
      </w:tr>
      <w:tr>
        <w:trPr/>
        <w:tc>
          <w:tcPr>
            <w:tcW w:w="771"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r:id="rId14">
              <w:r>
                <w:rPr>
                  <w:rStyle w:val="InternetLink"/>
                </w:rPr>
                <w:t>10.5†</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Employment Agreement, dated as of July 24, 2024, by and between ADMA Biologics, Inc. and Brad Tade (incorporated herein by reference to Exhibit 10.1 to the Company’s Current Report on Form 8-K, filed with the SEC on July 26, 2024). </w:t>
            </w:r>
          </w:p>
        </w:tc>
      </w:tr>
      <w:tr>
        <w:trPr/>
        <w:tc>
          <w:tcPr>
            <w:tcW w:w="771"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15">
              <w:r>
                <w:rPr>
                  <w:rStyle w:val="InternetLink"/>
                </w:rPr>
                <w:t>10.6++</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Amended and Restated Plasma Purchase Agreement, effective as of October 1, 2024, by and between Grifols Worldwide Operations Limited and ADMA BioManufacturing, LLC (incorporated herein by reference to Exhibit 10.7 to the Company’s Annual Report on Form 10-K, filed with the SEC on March 18, 2025). </w:t>
            </w:r>
          </w:p>
        </w:tc>
      </w:tr>
      <w:tr>
        <w:trPr/>
        <w:tc>
          <w:tcPr>
            <w:tcW w:w="771"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r:id="rId16">
              <w:r>
                <w:rPr>
                  <w:rStyle w:val="InternetLink"/>
                </w:rPr>
                <w:t>10.7++</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Plasma Purchase Agreement, effective as of August 6, 2024, by and between KEDPlasma LLC and ADMA BioManufacturing, LLC (incorporated herein by reference to Exhibit 10.8 to the Company’s Annual Report on Form 10-K, filed with the SEC on March 18, 2025). </w:t>
            </w:r>
          </w:p>
        </w:tc>
      </w:tr>
      <w:tr>
        <w:trPr/>
        <w:tc>
          <w:tcPr>
            <w:tcW w:w="771"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17">
              <w:r>
                <w:rPr>
                  <w:rStyle w:val="InternetLink"/>
                </w:rPr>
                <w:t>10.8+</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Plasma Supply Agreement, dated as of June 6, 2017, by and between ADMA BioManufacturing, LLC and Biotest Pharmaceuticals Corporation (incorporated herein by reference to Exhibit 10.5 to the Company’s Quarterly Report on Form 10-Q, filed with the SEC on August 11, 2017). </w:t>
            </w:r>
          </w:p>
        </w:tc>
      </w:tr>
      <w:tr>
        <w:trPr/>
        <w:tc>
          <w:tcPr>
            <w:tcW w:w="771"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r:id="rId18">
              <w:r>
                <w:rPr>
                  <w:rStyle w:val="InternetLink"/>
                </w:rPr>
                <w:t>10.8.1+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Amendment #1 to the Plasma Supply Agreement, dated as of July 19, 2018, by and between Biotest Pharmaceuticals Corporation and ADMA BioManufacturing, LLC (incorporated herein by reference to Exhibit 10.2 to the Company’s Quarterly Report on Form 10-Q, filed with the SEC on August 10, 2018). </w:t>
            </w:r>
          </w:p>
        </w:tc>
      </w:tr>
      <w:tr>
        <w:trPr/>
        <w:tc>
          <w:tcPr>
            <w:tcW w:w="771"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19">
              <w:r>
                <w:rPr>
                  <w:rStyle w:val="InternetLink"/>
                </w:rPr>
                <w:t>10.9</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Amended and Restated Agreement for Services, effective as of January 1, 2016, as amended, by and between ADMA BioManufacturing, LLC and Areth LLC (incorporated herein by reference to Exhibit 10.18 to the Company’s Quarterly Report on Form 10-Q, filed with the SEC on August 12, 2016). </w:t>
            </w:r>
          </w:p>
        </w:tc>
      </w:tr>
    </w:tbl>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87</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854"/>
        <w:gridCol w:w="146"/>
        <w:gridCol w:w="9205"/>
      </w:tblGrid>
      <w:tr>
        <w:trPr/>
        <w:tc>
          <w:tcPr>
            <w:tcW w:w="8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05" w:type="dxa"/>
            <w:tcBorders/>
            <w:vAlign w:val="center"/>
          </w:tcPr>
          <w:p>
            <w:pPr>
              <w:pStyle w:val="TableContents"/>
              <w:bidi w:val="0"/>
              <w:spacing w:before="0" w:after="283"/>
              <w:jc w:val="left"/>
              <w:rPr/>
            </w:pPr>
            <w:r>
              <w:rPr/>
              <w:t> </w:t>
            </w:r>
          </w:p>
        </w:tc>
      </w:tr>
      <w:tr>
        <w:trPr/>
        <w:tc>
          <w:tcPr>
            <w:tcW w:w="854"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r:id="rId20">
              <w:r>
                <w:rPr>
                  <w:rStyle w:val="InternetLink"/>
                </w:rPr>
                <w:t>10.9.1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Amendment 3 to the Amended and Restated Agreement for Services, effective as of November 7, 2019, by and between ADMA BioManufacturing, LLC and Areth LLC (incorporated herein by reference to the Exhibit 10.27 to the Company’s Annual Report on Form 10-K, filed with the SEC on March 13, 2020). </w:t>
            </w:r>
          </w:p>
        </w:tc>
      </w:tr>
      <w:tr>
        <w:trPr/>
        <w:tc>
          <w:tcPr>
            <w:tcW w:w="854"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21">
              <w:r>
                <w:rPr>
                  <w:rStyle w:val="InternetLink"/>
                </w:rPr>
                <w:t>10.9.2</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Amendment 4 to the Amended and Restated Agreement For Services Between ADMA BioManufacturing, LLC and Areth LLC (incorporated herein by reference to Exhibit 10.1 to the Company’s Quarterly Report on Form 10-Q, filed with the SEC on November 9, 2022). </w:t>
            </w:r>
          </w:p>
        </w:tc>
      </w:tr>
      <w:tr>
        <w:trPr/>
        <w:tc>
          <w:tcPr>
            <w:tcW w:w="854"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r:id="rId22">
              <w:r>
                <w:rPr>
                  <w:rStyle w:val="InternetLink"/>
                </w:rPr>
                <w:t>10.10</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Form of Indemnification Agreement (incorporated herein by reference to Exhibit 10.11 to the Company’s Annual Report on Form 10-K, filed with the SEC on March 18, 2025). </w:t>
            </w:r>
          </w:p>
        </w:tc>
      </w:tr>
      <w:tr>
        <w:trPr/>
        <w:tc>
          <w:tcPr>
            <w:tcW w:w="854"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23">
              <w:r>
                <w:rPr>
                  <w:rStyle w:val="InternetLink"/>
                </w:rPr>
                <w:t>10.11+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License Agreement, effective as of December 31, 2012, by and between ADMA Biologics, Inc. and Biotest AG (incorporated herein by reference to Exhibit 10.21 to the Company’s Registration Statement on Form S-1, filed with the SEC on February 11, 2013). </w:t>
            </w:r>
          </w:p>
          <w:p>
            <w:pPr>
              <w:pStyle w:val="TableContents"/>
              <w:bidi w:val="0"/>
              <w:spacing w:before="0" w:after="0"/>
              <w:jc w:val="left"/>
              <w:rPr/>
            </w:pPr>
            <w:r>
              <w:rPr/>
              <w:t xml:space="preserve">    </w:t>
            </w:r>
          </w:p>
        </w:tc>
      </w:tr>
      <w:tr>
        <w:trPr/>
        <w:tc>
          <w:tcPr>
            <w:tcW w:w="854"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r:id="rId24">
              <w:r>
                <w:rPr>
                  <w:rStyle w:val="InternetLink"/>
                </w:rPr>
                <w:t>10.11.1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First Amendment to License Agreement, dated as of June 6, 2017, by and between the Company and Biotest AG (incorporated herein by reference to Exhibit 10.8 to the Company’s Quarterly Report on Form 10-Q, filed with the SEC on August 11, 2017). </w:t>
            </w:r>
          </w:p>
          <w:p>
            <w:pPr>
              <w:pStyle w:val="TableContents"/>
              <w:bidi w:val="0"/>
              <w:spacing w:before="0" w:after="0"/>
              <w:jc w:val="left"/>
              <w:rPr/>
            </w:pPr>
            <w:r>
              <w:rPr/>
              <w:t xml:space="preserve">    </w:t>
            </w:r>
          </w:p>
        </w:tc>
      </w:tr>
      <w:tr>
        <w:trPr/>
        <w:tc>
          <w:tcPr>
            <w:tcW w:w="854"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25">
              <w:r>
                <w:rPr>
                  <w:rStyle w:val="InternetLink"/>
                </w:rPr>
                <w:t>10.12</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Credit Agreement, dated as of August 5, 2025, by and among ADMA Biologics, Inc., as Borrower, the other Loan Parties party thereto, the Lenders party thereto and JPMorgan Chase Bank, N.A., as Administrative Agent (incorporated herein by reference to Exhibit 10.1 to the Registrant’s Current Report on Form 8-K filed with the SEC on August 6, 2025). </w:t>
            </w:r>
          </w:p>
        </w:tc>
      </w:tr>
      <w:tr>
        <w:trPr/>
        <w:tc>
          <w:tcPr>
            <w:tcW w:w="854"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r:id="rId26">
              <w:r>
                <w:rPr>
                  <w:rStyle w:val="InternetLink"/>
                </w:rPr>
                <w:t>16.1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Letter, dated October 9, 2024, from CohnReznick LLP addressed to the Commission (incorporated herein by reference to Exhibit 16.1 to the Registrant’s Current Report on Form 8-K filed with the Commission on October 9, 2024). </w:t>
            </w:r>
          </w:p>
        </w:tc>
      </w:tr>
      <w:tr>
        <w:trPr/>
        <w:tc>
          <w:tcPr>
            <w:tcW w:w="854"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w:anchor="ef20059416_ex19-1.htm">
              <w:r>
                <w:rPr>
                  <w:rStyle w:val="InternetLink"/>
                </w:rPr>
                <w:t>19.1*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The Company’s Insider Trading Policy, effective September 2025. </w:t>
            </w:r>
          </w:p>
        </w:tc>
      </w:tr>
      <w:tr>
        <w:trPr/>
        <w:tc>
          <w:tcPr>
            <w:tcW w:w="854"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w:anchor="ef20059416_ex21-1.htm">
              <w:r>
                <w:rPr>
                  <w:rStyle w:val="InternetLink"/>
                </w:rPr>
                <w:t>21.1*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Subsidiaries of the Company. </w:t>
            </w:r>
          </w:p>
        </w:tc>
      </w:tr>
      <w:tr>
        <w:trPr/>
        <w:tc>
          <w:tcPr>
            <w:tcW w:w="854"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w:anchor="ef20059416_ex23-1.htm">
              <w:r>
                <w:rPr>
                  <w:rStyle w:val="InternetLink"/>
                </w:rPr>
                <w:t>23.1*</w:t>
              </w:r>
            </w:hyperlink>
            <w:r>
              <w:rPr/>
              <w:t xml:space="preserve"> </w:t>
            </w:r>
          </w:p>
          <w:p>
            <w:pPr>
              <w:pStyle w:val="TableContents"/>
              <w:bidi w:val="0"/>
              <w:spacing w:before="0" w:after="0"/>
              <w:jc w:val="left"/>
              <w:rPr/>
            </w:pPr>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Consent of KPMG LLP. </w:t>
            </w:r>
          </w:p>
        </w:tc>
      </w:tr>
      <w:tr>
        <w:trPr/>
        <w:tc>
          <w:tcPr>
            <w:tcW w:w="854"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w:anchor="ef20059416_ex23-2.htm">
              <w:r>
                <w:rPr>
                  <w:rStyle w:val="InternetLink"/>
                </w:rPr>
                <w:t>23.2*</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Consent of CohnReznick LLP. </w:t>
            </w:r>
          </w:p>
        </w:tc>
      </w:tr>
      <w:tr>
        <w:trPr/>
        <w:tc>
          <w:tcPr>
            <w:tcW w:w="854"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w:anchor="ef20059416_ex31-1.htm">
              <w:r>
                <w:rPr>
                  <w:rStyle w:val="InternetLink"/>
                </w:rPr>
                <w:t>31.1*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Certification of Principal Executive Officer pursuant to Rules 13a-14(a) and 15d-14(a), as adopted pursuant to Section 302 of the Sarbanes-Oxley Act of 2002. </w:t>
            </w:r>
          </w:p>
          <w:p>
            <w:pPr>
              <w:pStyle w:val="TableContents"/>
              <w:bidi w:val="0"/>
              <w:spacing w:before="0" w:after="0"/>
              <w:jc w:val="left"/>
              <w:rPr/>
            </w:pPr>
            <w:r>
              <w:rPr/>
              <w:t xml:space="preserve">    </w:t>
            </w:r>
          </w:p>
        </w:tc>
      </w:tr>
      <w:tr>
        <w:trPr/>
        <w:tc>
          <w:tcPr>
            <w:tcW w:w="854"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w:anchor="ef20059416_ex31-2.htm">
              <w:r>
                <w:rPr>
                  <w:rStyle w:val="InternetLink"/>
                </w:rPr>
                <w:t>31.2*</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Certification of Principal Financial Officer pursuant to Rules 13a-14(a) and 15d-14(a), as adopted pursuant to Section 302 of the Sarbanes-Oxley Act of 2002. </w:t>
            </w:r>
          </w:p>
          <w:p>
            <w:pPr>
              <w:pStyle w:val="TableContents"/>
              <w:bidi w:val="0"/>
              <w:spacing w:before="0" w:after="0"/>
              <w:jc w:val="left"/>
              <w:rPr/>
            </w:pPr>
            <w:r>
              <w:rPr/>
              <w:t xml:space="preserve">    </w:t>
            </w:r>
          </w:p>
        </w:tc>
      </w:tr>
      <w:tr>
        <w:trPr/>
        <w:tc>
          <w:tcPr>
            <w:tcW w:w="854"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w:anchor="ef20059416_ex32-1.htm">
              <w:r>
                <w:rPr>
                  <w:rStyle w:val="InternetLink"/>
                </w:rPr>
                <w:t>32.1**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Certification of Principal Executive Officer pursuant to 18 U.S.C. Section 1350, as adopted pursuant to Section 906 of the Sarbanes-Oxley Act of 2002. </w:t>
            </w:r>
          </w:p>
        </w:tc>
      </w:tr>
      <w:tr>
        <w:trPr/>
        <w:tc>
          <w:tcPr>
            <w:tcW w:w="854" w:type="dxa"/>
            <w:tcBorders>
              <w:bottom w:val="single" w:sz="12" w:space="0" w:color="000000"/>
            </w:tcBorders>
            <w:tcMar>
              <w:top w:w="0" w:type="dxa"/>
              <w:left w:w="0" w:type="dxa"/>
              <w:right w:w="0" w:type="dxa"/>
            </w:tcMar>
            <w:vAlign w:val="center"/>
          </w:tcPr>
          <w:p>
            <w:pPr>
              <w:pStyle w:val="TableContents"/>
              <w:bidi w:val="0"/>
              <w:spacing w:before="0" w:after="0"/>
              <w:jc w:val="left"/>
              <w:rPr/>
            </w:pPr>
            <w:hyperlink w:anchor="ef20059416_ex32-2.htm">
              <w:r>
                <w:rPr>
                  <w:rStyle w:val="InternetLink"/>
                </w:rPr>
                <w:t>32.2**</w:t>
              </w:r>
            </w:hyperlink>
            <w:r>
              <w:rPr/>
              <w:t xml:space="preserve"> </w:t>
            </w:r>
          </w:p>
          <w:p>
            <w:pPr>
              <w:pStyle w:val="TableContents"/>
              <w:bidi w:val="0"/>
              <w:spacing w:before="0" w:after="0"/>
              <w:jc w:val="lef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Certification of Principal Financial Officer pursuant to 18 U.S.C. Section 1350, as adopted pursuant to Section 906 of the Sarbanes-Oxley Act of 2002. </w:t>
            </w:r>
          </w:p>
        </w:tc>
      </w:tr>
    </w:tbl>
    <w:tbl>
      <w:tblPr>
        <w:tblW w:w="10205" w:type="dxa"/>
        <w:jc w:val="left"/>
        <w:tblInd w:w="0" w:type="dxa"/>
        <w:tblLayout w:type="fixed"/>
        <w:tblCellMar>
          <w:top w:w="28" w:type="dxa"/>
          <w:left w:w="28" w:type="dxa"/>
          <w:bottom w:w="28" w:type="dxa"/>
          <w:right w:w="28" w:type="dxa"/>
        </w:tblCellMar>
      </w:tblPr>
      <w:tblGrid>
        <w:gridCol w:w="389"/>
        <w:gridCol w:w="146"/>
        <w:gridCol w:w="9670"/>
      </w:tblGrid>
      <w:tr>
        <w:trPr/>
        <w:tc>
          <w:tcPr>
            <w:tcW w:w="3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70" w:type="dxa"/>
            <w:tcBorders/>
            <w:vAlign w:val="center"/>
          </w:tcPr>
          <w:p>
            <w:pPr>
              <w:pStyle w:val="TableContents"/>
              <w:bidi w:val="0"/>
              <w:spacing w:before="0" w:after="283"/>
              <w:jc w:val="left"/>
              <w:rPr/>
            </w:pPr>
            <w:r>
              <w:rPr/>
              <w:t> </w:t>
            </w:r>
          </w:p>
        </w:tc>
      </w:tr>
      <w:tr>
        <w:trPr/>
        <w:tc>
          <w:tcPr>
            <w:tcW w:w="389"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hyperlink r:id="rId27">
              <w:r>
                <w:rPr>
                  <w:rStyle w:val="InternetLink"/>
                </w:rPr>
                <w:t>97</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70"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ADMA Biologics, Inc. Compensation Recoupment Policy (incorporated herein by reference to Ex. 97 to the Company’s Annual Report on Form 10-K, filed with the SEC on February 28, 2024). </w:t>
            </w:r>
          </w:p>
        </w:tc>
      </w:tr>
    </w:tbl>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88</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506"/>
        <w:gridCol w:w="146"/>
        <w:gridCol w:w="9553"/>
      </w:tblGrid>
      <w:tr>
        <w:trPr/>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53" w:type="dxa"/>
            <w:tcBorders/>
            <w:vAlign w:val="center"/>
          </w:tcPr>
          <w:p>
            <w:pPr>
              <w:pStyle w:val="TableContents"/>
              <w:bidi w:val="0"/>
              <w:spacing w:before="0" w:after="283"/>
              <w:jc w:val="left"/>
              <w:rPr>
                <w:sz w:val="4"/>
                <w:szCs w:val="4"/>
              </w:rPr>
            </w:pPr>
            <w:r>
              <w:rPr>
                <w:sz w:val="4"/>
                <w:szCs w:val="4"/>
              </w:rPr>
            </w:r>
          </w:p>
        </w:tc>
      </w:tr>
      <w:tr>
        <w:trPr/>
        <w:tc>
          <w:tcPr>
            <w:tcW w:w="506" w:type="dxa"/>
            <w:tcBorders/>
            <w:tcMar>
              <w:top w:w="0" w:type="dxa"/>
              <w:left w:w="0" w:type="dxa"/>
              <w:bottom w:w="0" w:type="dxa"/>
              <w:right w:w="0" w:type="dxa"/>
            </w:tcMar>
            <w:vAlign w:val="center"/>
          </w:tcPr>
          <w:p>
            <w:pPr>
              <w:pStyle w:val="TableContents"/>
              <w:bidi w:val="0"/>
              <w:spacing w:before="0" w:after="0"/>
              <w:jc w:val="left"/>
              <w:rPr/>
            </w:pPr>
            <w:r>
              <w:rPr/>
              <w:t xml:space="preserve">101*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3" w:type="dxa"/>
            <w:tcBorders/>
            <w:tcMar>
              <w:top w:w="0" w:type="dxa"/>
              <w:left w:w="0" w:type="dxa"/>
              <w:bottom w:w="0" w:type="dxa"/>
              <w:right w:w="0" w:type="dxa"/>
            </w:tcMar>
            <w:vAlign w:val="center"/>
          </w:tcPr>
          <w:p>
            <w:pPr>
              <w:pStyle w:val="TableContents"/>
              <w:bidi w:val="0"/>
              <w:spacing w:before="0" w:after="0"/>
              <w:jc w:val="left"/>
              <w:rPr/>
            </w:pPr>
            <w:r>
              <w:rPr/>
              <w:t xml:space="preserve">The following materials from ADMA Biologics, Inc. Form 10-K for the year ended December 31, 2025, formatted in Extensible Business Reporting Language (XBRL): (i) Consolidated Balance Sheets at December 31, 2025 and December 31, 2024, (ii) Consolidated Statements of Operations for the years ended December 31, 2025, 2024 and 2023, (iii) Consolidated Statements of Changes in Stockholders’ Equity for the years ended December 31, 2025, 2024 and 2023, (iv) Consolidated Statements of Cash Flows for the years ended December 31, 2025, 2024 and 2023; and (v) Notes to Consolidated Financial Statements. </w:t>
            </w:r>
          </w:p>
        </w:tc>
      </w:tr>
      <w:tr>
        <w:trPr/>
        <w:tc>
          <w:tcPr>
            <w:tcW w:w="506"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104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53"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Cover Page Interactive Data File (formatted as Inline XBRL and contained in Exhibit 101).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 Confidential treatment has been granted with respect as to certain portions of this exhibit. Such portions have been redacted and submitted separately to the SEC.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 Portions of this exhibit and the schedules thereto have been omitted pursuant to Item 601(b)(10)(iv) of Regulation S-K.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 Filed herewith.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 Furnished herewith. </w:t>
      </w:r>
    </w:p>
    <w:p>
      <w:pPr>
        <w:pStyle w:val="TextBody"/>
        <w:bidi w:val="0"/>
        <w:spacing w:before="0" w:after="0"/>
        <w:jc w:val="left"/>
        <w:rPr/>
      </w:pPr>
      <w:r>
        <w:rPr/>
        <w:t xml:space="preserve">  </w:t>
      </w:r>
    </w:p>
    <w:p>
      <w:pPr>
        <w:pStyle w:val="TextBody"/>
        <w:bidi w:val="0"/>
        <w:spacing w:before="0" w:after="0"/>
        <w:jc w:val="left"/>
        <w:rPr/>
      </w:pPr>
      <w:r>
        <w:rPr/>
        <w:t xml:space="preserve">† </w:t>
      </w:r>
      <w:r>
        <w:rPr>
          <w:rFonts w:ascii="TimesNewRoman;Times New Roman;Times;Baskerville;Georgia;serif" w:hAnsi="TimesNewRoman;Times New Roman;Times;Baskerville;Georgia;serif"/>
          <w:sz w:val="20"/>
        </w:rPr>
        <w:t xml:space="preserve">Management compensatory plan, contract or arrangement. </w:t>
      </w:r>
    </w:p>
    <w:p>
      <w:pPr>
        <w:pStyle w:val="TextBody"/>
        <w:bidi w:val="0"/>
        <w:spacing w:before="0" w:after="0"/>
        <w:ind w:left="0" w:right="0" w:hanging="720"/>
        <w:jc w:val="left"/>
        <w:rPr/>
      </w:pPr>
      <w:r>
        <w:rPr/>
        <w:t> </w:t>
      </w:r>
    </w:p>
    <w:p>
      <w:pPr>
        <w:pStyle w:val="TextBody"/>
        <w:bidi w:val="0"/>
        <w:spacing w:before="0" w:after="0"/>
        <w:ind w:left="0" w:right="0" w:hanging="900"/>
        <w:jc w:val="left"/>
        <w:rPr>
          <w:rFonts w:ascii="Aptos" w:hAnsi="Aptos"/>
          <w:sz w:val="20"/>
        </w:rPr>
      </w:pPr>
      <w:r>
        <w:rPr>
          <w:rFonts w:ascii="Times New Roman" w:hAnsi="Times New Roman"/>
          <w:b/>
          <w:sz w:val="20"/>
        </w:rPr>
        <w:t>Form 10-K Summary</w:t>
      </w:r>
      <w:r>
        <w:rPr>
          <w:rFonts w:ascii="Aptos" w:hAnsi="Aptos"/>
          <w:sz w:val="20"/>
        </w:rPr>
        <w:t xml:space="preserve">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571500" cy="175260"/>
                <wp:effectExtent l="0" t="0" r="0" b="0"/>
                <wp:wrapSquare wrapText="right"/>
                <wp:docPr id="206" name="Frame205"/>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bookmarkStart w:id="43" w:name="Item_16"/>
                            <w:bookmarkEnd w:id="43"/>
                            <w:r>
                              <w:rPr>
                                <w:rFonts w:ascii="Times New Roman" w:hAnsi="Times New Roman"/>
                                <w:b/>
                              </w:rPr>
                              <w:t>Item 16.</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44" w:name="Item_16"/>
                      <w:bookmarkEnd w:id="44"/>
                      <w:r>
                        <w:rPr>
                          <w:rFonts w:ascii="Times New Roman" w:hAnsi="Times New Roman"/>
                          <w:b/>
                        </w:rPr>
                        <w:t>Item 16.</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89</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SIGNATURES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0" w:after="0"/>
        <w:jc w:val="left"/>
        <w:rPr/>
      </w:pPr>
      <w:r>
        <w:rPr/>
        <w:t xml:space="preserve">  </w:t>
      </w:r>
    </w:p>
    <w:p>
      <w:pPr>
        <w:pStyle w:val="TextBody"/>
        <w:bidi w:val="0"/>
        <w:spacing w:before="0" w:after="0"/>
        <w:ind w:left="0" w:right="0" w:firstLine="720"/>
        <w:jc w:val="left"/>
        <w:rPr/>
      </w:pPr>
      <w:r>
        <w:rPr/>
        <w:t xml:space="preserve">  </w:t>
      </w:r>
    </w:p>
    <w:tbl>
      <w:tblPr>
        <w:tblW w:w="7113" w:type="dxa"/>
        <w:jc w:val="left"/>
        <w:tblInd w:w="0" w:type="dxa"/>
        <w:tblLayout w:type="fixed"/>
        <w:tblCellMar>
          <w:top w:w="28" w:type="dxa"/>
          <w:left w:w="28" w:type="dxa"/>
          <w:bottom w:w="28" w:type="dxa"/>
          <w:right w:w="28" w:type="dxa"/>
        </w:tblCellMar>
      </w:tblPr>
      <w:tblGrid>
        <w:gridCol w:w="2506"/>
        <w:gridCol w:w="796"/>
        <w:gridCol w:w="3811"/>
      </w:tblGrid>
      <w:tr>
        <w:trPr/>
        <w:tc>
          <w:tcPr>
            <w:tcW w:w="250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811" w:type="dxa"/>
            <w:tcBorders/>
            <w:vAlign w:val="center"/>
          </w:tcPr>
          <w:p>
            <w:pPr>
              <w:pStyle w:val="TableContents"/>
              <w:bidi w:val="0"/>
              <w:spacing w:before="0" w:after="283"/>
              <w:jc w:val="left"/>
              <w:rPr/>
            </w:pPr>
            <w:r>
              <w:rPr/>
              <w:t> </w:t>
            </w:r>
          </w:p>
        </w:tc>
      </w:tr>
      <w:tr>
        <w:trPr/>
        <w:tc>
          <w:tcPr>
            <w:tcW w:w="2506" w:type="dxa"/>
            <w:tcBorders/>
            <w:vAlign w:val="center"/>
          </w:tcPr>
          <w:p>
            <w:pPr>
              <w:pStyle w:val="TableContents"/>
              <w:bidi w:val="0"/>
              <w:spacing w:before="0" w:after="0"/>
              <w:jc w:val="left"/>
              <w:rPr/>
            </w:pPr>
            <w:r>
              <w:rPr/>
              <w:t xml:space="preserve">  </w:t>
            </w:r>
          </w:p>
        </w:tc>
        <w:tc>
          <w:tcPr>
            <w:tcW w:w="4607" w:type="dxa"/>
            <w:gridSpan w:val="2"/>
            <w:tcBorders/>
            <w:vAlign w:val="center"/>
          </w:tcPr>
          <w:p>
            <w:pPr>
              <w:pStyle w:val="TableContents"/>
              <w:bidi w:val="0"/>
              <w:spacing w:before="0" w:after="0"/>
              <w:jc w:val="left"/>
              <w:rPr/>
            </w:pPr>
            <w:r>
              <w:rPr>
                <w:b/>
              </w:rPr>
              <w:t>ADMA Biologics, Inc.</w:t>
            </w:r>
            <w:r>
              <w:rPr/>
              <w:t xml:space="preserve"> </w:t>
            </w:r>
          </w:p>
        </w:tc>
      </w:tr>
      <w:tr>
        <w:trPr/>
        <w:tc>
          <w:tcPr>
            <w:tcW w:w="2506" w:type="dxa"/>
            <w:tcBorders/>
            <w:vAlign w:val="center"/>
          </w:tcPr>
          <w:p>
            <w:pPr>
              <w:pStyle w:val="TableContents"/>
              <w:bidi w:val="0"/>
              <w:spacing w:before="0" w:after="0"/>
              <w:jc w:val="left"/>
              <w:rPr/>
            </w:pPr>
            <w:r>
              <w:rPr/>
              <w:t xml:space="preserve">  </w:t>
            </w:r>
          </w:p>
        </w:tc>
        <w:tc>
          <w:tcPr>
            <w:tcW w:w="4607" w:type="dxa"/>
            <w:gridSpan w:val="2"/>
            <w:tcBorders/>
            <w:vAlign w:val="center"/>
          </w:tcPr>
          <w:p>
            <w:pPr>
              <w:pStyle w:val="TableContents"/>
              <w:bidi w:val="0"/>
              <w:spacing w:before="0" w:after="283"/>
              <w:jc w:val="left"/>
              <w:rPr/>
            </w:pPr>
            <w:r>
              <w:rPr/>
              <w:t xml:space="preserve">  </w:t>
            </w:r>
          </w:p>
        </w:tc>
      </w:tr>
      <w:tr>
        <w:trPr/>
        <w:tc>
          <w:tcPr>
            <w:tcW w:w="2506" w:type="dxa"/>
            <w:tcBorders/>
            <w:tcMar>
              <w:top w:w="0" w:type="dxa"/>
              <w:left w:w="0" w:type="dxa"/>
              <w:bottom w:w="0" w:type="dxa"/>
              <w:right w:w="0" w:type="dxa"/>
            </w:tcMar>
            <w:vAlign w:val="center"/>
          </w:tcPr>
          <w:p>
            <w:pPr>
              <w:pStyle w:val="TableContents"/>
              <w:bidi w:val="0"/>
              <w:spacing w:before="0" w:after="0"/>
              <w:jc w:val="left"/>
              <w:rPr/>
            </w:pPr>
            <w:r>
              <w:rPr/>
              <w:t xml:space="preserve">Date: February 25, 2026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38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Adam S. Grossman </w:t>
            </w:r>
          </w:p>
        </w:tc>
      </w:tr>
      <w:tr>
        <w:trPr/>
        <w:tc>
          <w:tcPr>
            <w:tcW w:w="2506" w:type="dxa"/>
            <w:tcBorders/>
            <w:vAlign w:val="center"/>
          </w:tcPr>
          <w:p>
            <w:pPr>
              <w:pStyle w:val="TableContents"/>
              <w:bidi w:val="0"/>
              <w:spacing w:before="0" w:after="0"/>
              <w:jc w:val="left"/>
              <w:rPr/>
            </w:pPr>
            <w:r>
              <w:rPr/>
              <w:t xml:space="preserve">  </w:t>
            </w:r>
          </w:p>
        </w:tc>
        <w:tc>
          <w:tcPr>
            <w:tcW w:w="796" w:type="dxa"/>
            <w:tcBorders/>
            <w:vAlign w:val="center"/>
          </w:tcPr>
          <w:p>
            <w:pPr>
              <w:pStyle w:val="TableContents"/>
              <w:bidi w:val="0"/>
              <w:spacing w:before="0" w:after="0"/>
              <w:jc w:val="left"/>
              <w:rPr/>
            </w:pPr>
            <w:r>
              <w:rPr/>
              <w:t xml:space="preserve">Name: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Adam S. Grossman </w:t>
            </w:r>
          </w:p>
        </w:tc>
      </w:tr>
      <w:tr>
        <w:trPr/>
        <w:tc>
          <w:tcPr>
            <w:tcW w:w="2506" w:type="dxa"/>
            <w:tcBorders/>
            <w:vAlign w:val="center"/>
          </w:tcPr>
          <w:p>
            <w:pPr>
              <w:pStyle w:val="TableContents"/>
              <w:bidi w:val="0"/>
              <w:spacing w:before="0" w:after="0"/>
              <w:jc w:val="left"/>
              <w:rPr/>
            </w:pPr>
            <w:r>
              <w:rPr/>
              <w:t xml:space="preserve">  </w:t>
            </w:r>
          </w:p>
        </w:tc>
        <w:tc>
          <w:tcPr>
            <w:tcW w:w="796" w:type="dxa"/>
            <w:tcBorders/>
            <w:vAlign w:val="center"/>
          </w:tcPr>
          <w:p>
            <w:pPr>
              <w:pStyle w:val="TableContents"/>
              <w:bidi w:val="0"/>
              <w:spacing w:before="0" w:after="0"/>
              <w:jc w:val="left"/>
              <w:rPr/>
            </w:pPr>
            <w:r>
              <w:rPr/>
              <w:t xml:space="preserve">Title: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President and Chief Executive Officer </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Pursuant to the requirements of the Securities Exchange Act of 1934, report has been signed below by the following persons on behalf of the registrant and in the capacities and on the dates indicated: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955"/>
        <w:gridCol w:w="188"/>
        <w:gridCol w:w="6190"/>
        <w:gridCol w:w="188"/>
        <w:gridCol w:w="1684"/>
      </w:tblGrid>
      <w:tr>
        <w:trPr/>
        <w:tc>
          <w:tcPr>
            <w:tcW w:w="195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left"/>
              <w:rPr/>
            </w:pPr>
            <w:r>
              <w:rPr/>
              <w:t> </w:t>
            </w:r>
          </w:p>
        </w:tc>
      </w:tr>
      <w:tr>
        <w:trPr/>
        <w:tc>
          <w:tcPr>
            <w:tcW w:w="1955"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Signature</w:t>
            </w: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90"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Title</w:t>
            </w: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84"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Date</w:t>
            </w:r>
            <w:r>
              <w:rPr/>
              <w:t xml:space="preserve"> </w:t>
            </w:r>
          </w:p>
        </w:tc>
      </w:tr>
      <w:tr>
        <w:trPr/>
        <w:tc>
          <w:tcPr>
            <w:tcW w:w="1955"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9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84"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195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Adam S. Grossman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90"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84"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1955" w:type="dxa"/>
            <w:tcBorders/>
            <w:tcMar>
              <w:top w:w="0" w:type="dxa"/>
              <w:left w:w="0" w:type="dxa"/>
              <w:bottom w:w="0" w:type="dxa"/>
              <w:right w:w="0" w:type="dxa"/>
            </w:tcMar>
            <w:vAlign w:val="center"/>
          </w:tcPr>
          <w:p>
            <w:pPr>
              <w:pStyle w:val="TableContents"/>
              <w:bidi w:val="0"/>
              <w:spacing w:before="0" w:after="0"/>
              <w:jc w:val="left"/>
              <w:rPr/>
            </w:pPr>
            <w:r>
              <w:rPr/>
              <w:t xml:space="preserve">Adam S. Grossman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90" w:type="dxa"/>
            <w:tcBorders/>
            <w:tcMar>
              <w:top w:w="0" w:type="dxa"/>
              <w:left w:w="0" w:type="dxa"/>
              <w:bottom w:w="0" w:type="dxa"/>
              <w:right w:w="0" w:type="dxa"/>
            </w:tcMar>
            <w:vAlign w:val="center"/>
          </w:tcPr>
          <w:p>
            <w:pPr>
              <w:pStyle w:val="TableContents"/>
              <w:bidi w:val="0"/>
              <w:spacing w:before="0" w:after="0"/>
              <w:jc w:val="left"/>
              <w:rPr/>
            </w:pPr>
            <w:r>
              <w:rPr/>
              <w:t xml:space="preserve">President and Chief Executive Officer (Principal Executive Officer) and Director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84" w:type="dxa"/>
            <w:tcBorders/>
            <w:tcMar>
              <w:top w:w="0" w:type="dxa"/>
              <w:left w:w="0" w:type="dxa"/>
              <w:bottom w:w="0" w:type="dxa"/>
              <w:right w:w="0" w:type="dxa"/>
            </w:tcMar>
            <w:vAlign w:val="center"/>
          </w:tcPr>
          <w:p>
            <w:pPr>
              <w:pStyle w:val="TableContents"/>
              <w:bidi w:val="0"/>
              <w:spacing w:before="0" w:after="0"/>
              <w:jc w:val="center"/>
              <w:rPr/>
            </w:pPr>
            <w:r>
              <w:rPr/>
              <w:t xml:space="preserve">February 25, 2026 </w:t>
            </w:r>
          </w:p>
        </w:tc>
      </w:tr>
      <w:tr>
        <w:trPr/>
        <w:tc>
          <w:tcPr>
            <w:tcW w:w="1955"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9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84"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195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Brad Tade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9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84"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1955" w:type="dxa"/>
            <w:tcBorders/>
            <w:tcMar>
              <w:top w:w="0" w:type="dxa"/>
              <w:left w:w="0" w:type="dxa"/>
              <w:bottom w:w="0" w:type="dxa"/>
              <w:right w:w="0" w:type="dxa"/>
            </w:tcMar>
            <w:vAlign w:val="center"/>
          </w:tcPr>
          <w:p>
            <w:pPr>
              <w:pStyle w:val="TableContents"/>
              <w:bidi w:val="0"/>
              <w:spacing w:before="0" w:after="0"/>
              <w:jc w:val="left"/>
              <w:rPr/>
            </w:pPr>
            <w:r>
              <w:rPr/>
              <w:t xml:space="preserve">Brad Tade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90" w:type="dxa"/>
            <w:tcBorders/>
            <w:tcMar>
              <w:top w:w="0" w:type="dxa"/>
              <w:left w:w="0" w:type="dxa"/>
              <w:bottom w:w="0" w:type="dxa"/>
              <w:right w:w="0" w:type="dxa"/>
            </w:tcMar>
            <w:vAlign w:val="center"/>
          </w:tcPr>
          <w:p>
            <w:pPr>
              <w:pStyle w:val="TableContents"/>
              <w:bidi w:val="0"/>
              <w:spacing w:before="0" w:after="0"/>
              <w:jc w:val="left"/>
              <w:rPr/>
            </w:pPr>
            <w:r>
              <w:rPr/>
              <w:t xml:space="preserve">Chief Financial Officer (Principal Financial Officer and Principal Accounting Officer)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84" w:type="dxa"/>
            <w:tcBorders/>
            <w:tcMar>
              <w:top w:w="0" w:type="dxa"/>
              <w:left w:w="0" w:type="dxa"/>
              <w:bottom w:w="0" w:type="dxa"/>
              <w:right w:w="0" w:type="dxa"/>
            </w:tcMar>
            <w:vAlign w:val="center"/>
          </w:tcPr>
          <w:p>
            <w:pPr>
              <w:pStyle w:val="TableContents"/>
              <w:bidi w:val="0"/>
              <w:spacing w:before="0" w:after="0"/>
              <w:jc w:val="center"/>
              <w:rPr/>
            </w:pPr>
            <w:r>
              <w:rPr/>
              <w:t xml:space="preserve">February 25, 2026 </w:t>
            </w:r>
          </w:p>
        </w:tc>
      </w:tr>
      <w:tr>
        <w:trPr/>
        <w:tc>
          <w:tcPr>
            <w:tcW w:w="1955"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9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84"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195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Steven A. Elms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9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84"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1955" w:type="dxa"/>
            <w:tcBorders/>
            <w:tcMar>
              <w:top w:w="0" w:type="dxa"/>
              <w:left w:w="0" w:type="dxa"/>
              <w:bottom w:w="0" w:type="dxa"/>
              <w:right w:w="0" w:type="dxa"/>
            </w:tcMar>
            <w:vAlign w:val="center"/>
          </w:tcPr>
          <w:p>
            <w:pPr>
              <w:pStyle w:val="TableContents"/>
              <w:bidi w:val="0"/>
              <w:spacing w:before="0" w:after="0"/>
              <w:jc w:val="left"/>
              <w:rPr/>
            </w:pPr>
            <w:r>
              <w:rPr/>
              <w:t xml:space="preserve">Steven A. Elms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90" w:type="dxa"/>
            <w:tcBorders/>
            <w:tcMar>
              <w:top w:w="0" w:type="dxa"/>
              <w:left w:w="0" w:type="dxa"/>
              <w:bottom w:w="0" w:type="dxa"/>
              <w:right w:w="0" w:type="dxa"/>
            </w:tcMar>
            <w:vAlign w:val="center"/>
          </w:tcPr>
          <w:p>
            <w:pPr>
              <w:pStyle w:val="TableContents"/>
              <w:bidi w:val="0"/>
              <w:spacing w:before="0" w:after="0"/>
              <w:jc w:val="left"/>
              <w:rPr/>
            </w:pPr>
            <w:r>
              <w:rPr/>
              <w:t xml:space="preserve">Chairman of the Board of Directors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84" w:type="dxa"/>
            <w:tcBorders/>
            <w:tcMar>
              <w:top w:w="0" w:type="dxa"/>
              <w:left w:w="0" w:type="dxa"/>
              <w:bottom w:w="0" w:type="dxa"/>
              <w:right w:w="0" w:type="dxa"/>
            </w:tcMar>
            <w:vAlign w:val="center"/>
          </w:tcPr>
          <w:p>
            <w:pPr>
              <w:pStyle w:val="TableContents"/>
              <w:bidi w:val="0"/>
              <w:spacing w:before="0" w:after="0"/>
              <w:jc w:val="center"/>
              <w:rPr/>
            </w:pPr>
            <w:r>
              <w:rPr/>
              <w:t xml:space="preserve">February 25, 2026 </w:t>
            </w:r>
          </w:p>
        </w:tc>
      </w:tr>
      <w:tr>
        <w:trPr/>
        <w:tc>
          <w:tcPr>
            <w:tcW w:w="1955"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9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8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84"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bl>
    <w:tbl>
      <w:tblPr>
        <w:tblW w:w="9190" w:type="dxa"/>
        <w:jc w:val="left"/>
        <w:tblInd w:w="0" w:type="dxa"/>
        <w:tblLayout w:type="fixed"/>
        <w:tblCellMar>
          <w:top w:w="28" w:type="dxa"/>
          <w:left w:w="28" w:type="dxa"/>
          <w:bottom w:w="28" w:type="dxa"/>
          <w:right w:w="28" w:type="dxa"/>
        </w:tblCellMar>
      </w:tblPr>
      <w:tblGrid>
        <w:gridCol w:w="2776"/>
        <w:gridCol w:w="206"/>
        <w:gridCol w:w="4036"/>
        <w:gridCol w:w="206"/>
        <w:gridCol w:w="1966"/>
      </w:tblGrid>
      <w:tr>
        <w:trPr/>
        <w:tc>
          <w:tcPr>
            <w:tcW w:w="27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Dr. Jerrold B. Grossman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03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96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776" w:type="dxa"/>
            <w:tcBorders/>
            <w:vAlign w:val="center"/>
          </w:tcPr>
          <w:p>
            <w:pPr>
              <w:pStyle w:val="TableContents"/>
              <w:bidi w:val="0"/>
              <w:spacing w:before="0" w:after="0"/>
              <w:jc w:val="left"/>
              <w:rPr/>
            </w:pPr>
            <w:r>
              <w:rPr/>
              <w:t xml:space="preserve">Dr. Jerrold B. Grossman </w:t>
            </w:r>
          </w:p>
        </w:tc>
        <w:tc>
          <w:tcPr>
            <w:tcW w:w="206" w:type="dxa"/>
            <w:tcBorders/>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Vice Chairman of the Board of Directors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center"/>
              <w:rPr/>
            </w:pPr>
            <w:r>
              <w:rPr/>
              <w:t xml:space="preserve">February 25, 2026 </w:t>
            </w:r>
          </w:p>
        </w:tc>
      </w:tr>
      <w:tr>
        <w:trPr/>
        <w:tc>
          <w:tcPr>
            <w:tcW w:w="277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center"/>
              <w:rPr/>
            </w:pPr>
            <w:r>
              <w:rPr/>
              <w:t xml:space="preserve">  </w:t>
            </w:r>
          </w:p>
        </w:tc>
      </w:tr>
      <w:tr>
        <w:trPr/>
        <w:tc>
          <w:tcPr>
            <w:tcW w:w="277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Alison Finger </w:t>
            </w:r>
          </w:p>
        </w:tc>
        <w:tc>
          <w:tcPr>
            <w:tcW w:w="206" w:type="dxa"/>
            <w:tcBorders/>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center"/>
              <w:rPr/>
            </w:pPr>
            <w:r>
              <w:rPr/>
              <w:t xml:space="preserve">  </w:t>
            </w:r>
          </w:p>
        </w:tc>
      </w:tr>
      <w:tr>
        <w:trPr/>
        <w:tc>
          <w:tcPr>
            <w:tcW w:w="2776" w:type="dxa"/>
            <w:tcBorders/>
            <w:vAlign w:val="center"/>
          </w:tcPr>
          <w:p>
            <w:pPr>
              <w:pStyle w:val="TableContents"/>
              <w:bidi w:val="0"/>
              <w:spacing w:before="0" w:after="0"/>
              <w:jc w:val="left"/>
              <w:rPr/>
            </w:pPr>
            <w:r>
              <w:rPr/>
              <w:t xml:space="preserve">Alison Finger </w:t>
            </w:r>
          </w:p>
        </w:tc>
        <w:tc>
          <w:tcPr>
            <w:tcW w:w="206" w:type="dxa"/>
            <w:tcBorders/>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Director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center"/>
              <w:rPr/>
            </w:pPr>
            <w:r>
              <w:rPr/>
              <w:t xml:space="preserve">February 25, 2026 </w:t>
            </w:r>
          </w:p>
        </w:tc>
      </w:tr>
      <w:tr>
        <w:trPr/>
        <w:tc>
          <w:tcPr>
            <w:tcW w:w="277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center"/>
              <w:rPr/>
            </w:pPr>
            <w:r>
              <w:rPr/>
              <w:t xml:space="preserve">  </w:t>
            </w:r>
          </w:p>
        </w:tc>
      </w:tr>
      <w:tr>
        <w:trPr/>
        <w:tc>
          <w:tcPr>
            <w:tcW w:w="277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Lawrence P. Guiheen </w:t>
            </w:r>
          </w:p>
        </w:tc>
        <w:tc>
          <w:tcPr>
            <w:tcW w:w="20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left"/>
              <w:rPr/>
            </w:pPr>
            <w:r>
              <w:rPr/>
              <w:t xml:space="preserve">  </w:t>
            </w:r>
          </w:p>
        </w:tc>
      </w:tr>
      <w:tr>
        <w:trPr/>
        <w:tc>
          <w:tcPr>
            <w:tcW w:w="2776" w:type="dxa"/>
            <w:tcBorders/>
            <w:vAlign w:val="center"/>
          </w:tcPr>
          <w:p>
            <w:pPr>
              <w:pStyle w:val="TableContents"/>
              <w:bidi w:val="0"/>
              <w:spacing w:before="0" w:after="0"/>
              <w:jc w:val="left"/>
              <w:rPr/>
            </w:pPr>
            <w:r>
              <w:rPr/>
              <w:t xml:space="preserve">Lawrence P. Guiheen </w:t>
            </w:r>
          </w:p>
        </w:tc>
        <w:tc>
          <w:tcPr>
            <w:tcW w:w="206" w:type="dxa"/>
            <w:tcBorders/>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Director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center"/>
              <w:rPr/>
            </w:pPr>
            <w:r>
              <w:rPr/>
              <w:t xml:space="preserve">February 25, 2026 </w:t>
            </w:r>
          </w:p>
        </w:tc>
      </w:tr>
      <w:tr>
        <w:trPr/>
        <w:tc>
          <w:tcPr>
            <w:tcW w:w="277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left"/>
              <w:rPr/>
            </w:pPr>
            <w:r>
              <w:rPr/>
              <w:t xml:space="preserve">  </w:t>
            </w:r>
          </w:p>
        </w:tc>
      </w:tr>
      <w:tr>
        <w:trPr/>
        <w:tc>
          <w:tcPr>
            <w:tcW w:w="277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Young T. Kwon </w:t>
            </w:r>
          </w:p>
        </w:tc>
        <w:tc>
          <w:tcPr>
            <w:tcW w:w="206" w:type="dxa"/>
            <w:tcBorders/>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left"/>
              <w:rPr/>
            </w:pPr>
            <w:r>
              <w:rPr/>
              <w:t xml:space="preserve">  </w:t>
            </w:r>
          </w:p>
        </w:tc>
      </w:tr>
      <w:tr>
        <w:trPr/>
        <w:tc>
          <w:tcPr>
            <w:tcW w:w="2776" w:type="dxa"/>
            <w:tcBorders/>
            <w:vAlign w:val="center"/>
          </w:tcPr>
          <w:p>
            <w:pPr>
              <w:pStyle w:val="TableContents"/>
              <w:bidi w:val="0"/>
              <w:spacing w:before="0" w:after="0"/>
              <w:jc w:val="left"/>
              <w:rPr/>
            </w:pPr>
            <w:r>
              <w:rPr/>
              <w:t xml:space="preserve">Young T. Kwon </w:t>
            </w:r>
          </w:p>
        </w:tc>
        <w:tc>
          <w:tcPr>
            <w:tcW w:w="206" w:type="dxa"/>
            <w:tcBorders/>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Director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center"/>
              <w:rPr/>
            </w:pPr>
            <w:r>
              <w:rPr/>
              <w:t xml:space="preserve">February 25, 2026 </w:t>
            </w:r>
          </w:p>
        </w:tc>
      </w:tr>
      <w:tr>
        <w:trPr/>
        <w:tc>
          <w:tcPr>
            <w:tcW w:w="277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center"/>
              <w:rPr/>
            </w:pPr>
            <w:r>
              <w:rPr/>
              <w:t xml:space="preserve">  </w:t>
            </w:r>
          </w:p>
        </w:tc>
      </w:tr>
      <w:tr>
        <w:trPr/>
        <w:tc>
          <w:tcPr>
            <w:tcW w:w="277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Eduardo Rene Salas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center"/>
              <w:rPr/>
            </w:pPr>
            <w:r>
              <w:rPr/>
              <w:t xml:space="preserve">  </w:t>
            </w:r>
          </w:p>
        </w:tc>
      </w:tr>
      <w:tr>
        <w:trPr/>
        <w:tc>
          <w:tcPr>
            <w:tcW w:w="2776" w:type="dxa"/>
            <w:tcBorders/>
            <w:vAlign w:val="center"/>
          </w:tcPr>
          <w:p>
            <w:pPr>
              <w:pStyle w:val="TableContents"/>
              <w:bidi w:val="0"/>
              <w:spacing w:before="0" w:after="0"/>
              <w:jc w:val="left"/>
              <w:rPr/>
            </w:pPr>
            <w:r>
              <w:rPr/>
              <w:t xml:space="preserve">Eduardo Rene Salas </w:t>
            </w:r>
          </w:p>
        </w:tc>
        <w:tc>
          <w:tcPr>
            <w:tcW w:w="206" w:type="dxa"/>
            <w:tcBorders/>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Director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center"/>
              <w:rPr/>
            </w:pPr>
            <w:r>
              <w:rPr/>
              <w:t xml:space="preserve">February 25, 2026 </w:t>
            </w:r>
          </w:p>
        </w:tc>
      </w:tr>
      <w:tr>
        <w:trPr/>
        <w:tc>
          <w:tcPr>
            <w:tcW w:w="277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403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center"/>
              <w:rPr/>
            </w:pPr>
            <w:r>
              <w:rPr/>
              <w:t xml:space="preserve">  </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90</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lineRule="auto" w:line="256" w:before="0" w:after="0"/>
        <w:ind w:left="0" w:right="0" w:hanging="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9539"/>
        <w:gridCol w:w="666"/>
      </w:tblGrid>
      <w:tr>
        <w:trPr/>
        <w:tc>
          <w:tcPr>
            <w:tcW w:w="9539"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9539"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Page </w:t>
            </w:r>
          </w:p>
        </w:tc>
      </w:tr>
      <w:tr>
        <w:trPr/>
        <w:tc>
          <w:tcPr>
            <w:tcW w:w="9539" w:type="dxa"/>
            <w:tcBorders/>
            <w:shd w:fill="CCEEFF" w:val="clear"/>
            <w:tcMar>
              <w:top w:w="0" w:type="dxa"/>
              <w:left w:w="0" w:type="dxa"/>
              <w:bottom w:w="0" w:type="dxa"/>
              <w:right w:w="0" w:type="dxa"/>
            </w:tcMar>
            <w:vAlign w:val="center"/>
          </w:tcPr>
          <w:p>
            <w:pPr>
              <w:pStyle w:val="TableContents"/>
              <w:bidi w:val="0"/>
              <w:spacing w:before="0" w:after="0"/>
              <w:jc w:val="left"/>
              <w:rPr/>
            </w:pPr>
            <w:hyperlink w:anchor="Managements_Annual_Report_on_Internal_Control_Over_Financial_Reporting01">
              <w:r>
                <w:rPr>
                  <w:rStyle w:val="InternetLink"/>
                </w:rPr>
                <w:t>Management’s Annual Report on Internal Control Over Financial Reporting</w:t>
              </w:r>
            </w:hyperlink>
            <w:r>
              <w:rPr/>
              <w:t xml:space="preserve">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F-2 </w:t>
            </w:r>
          </w:p>
        </w:tc>
      </w:tr>
      <w:tr>
        <w:trPr/>
        <w:tc>
          <w:tcPr>
            <w:tcW w:w="9539" w:type="dxa"/>
            <w:tcBorders/>
            <w:tcMar>
              <w:top w:w="0" w:type="dxa"/>
              <w:left w:w="0" w:type="dxa"/>
              <w:bottom w:w="0" w:type="dxa"/>
              <w:right w:w="0" w:type="dxa"/>
            </w:tcMar>
            <w:vAlign w:val="center"/>
          </w:tcPr>
          <w:p>
            <w:pPr>
              <w:pStyle w:val="TableContents"/>
              <w:bidi w:val="0"/>
              <w:spacing w:before="0" w:after="0"/>
              <w:jc w:val="left"/>
              <w:rPr/>
            </w:pPr>
            <w:hyperlink w:anchor="Report_of_Independent_Registered_Public_Accounting_Firm">
              <w:r>
                <w:rPr>
                  <w:rStyle w:val="InternetLink"/>
                </w:rPr>
                <w:t xml:space="preserve">Reports of Independent Registered Public Accounting Firm </w:t>
              </w:r>
            </w:hyperlink>
          </w:p>
        </w:tc>
        <w:tc>
          <w:tcPr>
            <w:tcW w:w="666" w:type="dxa"/>
            <w:tcBorders/>
            <w:tcMar>
              <w:top w:w="0" w:type="dxa"/>
              <w:left w:w="0" w:type="dxa"/>
              <w:bottom w:w="0" w:type="dxa"/>
              <w:right w:w="0" w:type="dxa"/>
            </w:tcMar>
            <w:vAlign w:val="center"/>
          </w:tcPr>
          <w:p>
            <w:pPr>
              <w:pStyle w:val="TableContents"/>
              <w:bidi w:val="0"/>
              <w:spacing w:before="0" w:after="283"/>
              <w:jc w:val="center"/>
              <w:rPr/>
            </w:pPr>
            <w:r>
              <w:rPr/>
              <w:t xml:space="preserve">F-3 </w:t>
            </w:r>
          </w:p>
        </w:tc>
      </w:tr>
      <w:tr>
        <w:trPr/>
        <w:tc>
          <w:tcPr>
            <w:tcW w:w="9539" w:type="dxa"/>
            <w:tcBorders/>
            <w:shd w:fill="CCEEFF" w:val="clear"/>
            <w:tcMar>
              <w:top w:w="0" w:type="dxa"/>
              <w:left w:w="0" w:type="dxa"/>
              <w:bottom w:w="0" w:type="dxa"/>
              <w:right w:w="0" w:type="dxa"/>
            </w:tcMar>
            <w:vAlign w:val="center"/>
          </w:tcPr>
          <w:p>
            <w:pPr>
              <w:pStyle w:val="TableContents"/>
              <w:bidi w:val="0"/>
              <w:spacing w:before="0" w:after="0"/>
              <w:jc w:val="left"/>
              <w:rPr/>
            </w:pPr>
            <w:hyperlink w:anchor="Reports_of_Independent_Registered_Public_Accounting_Firm">
              <w:r>
                <w:rPr>
                  <w:rStyle w:val="InternetLink"/>
                </w:rPr>
                <w:t xml:space="preserve">Report of Independent Registered Public Accounting Firm </w:t>
              </w:r>
            </w:hyperlink>
          </w:p>
        </w:tc>
        <w:tc>
          <w:tcPr>
            <w:tcW w:w="666" w:type="dxa"/>
            <w:tcBorders/>
            <w:shd w:fill="CCEEFF" w:val="clear"/>
            <w:tcMar>
              <w:top w:w="0" w:type="dxa"/>
              <w:left w:w="0" w:type="dxa"/>
              <w:bottom w:w="0" w:type="dxa"/>
              <w:right w:w="0" w:type="dxa"/>
            </w:tcMar>
            <w:vAlign w:val="center"/>
          </w:tcPr>
          <w:p>
            <w:pPr>
              <w:pStyle w:val="TableContents"/>
              <w:bidi w:val="0"/>
              <w:spacing w:before="0" w:after="283"/>
              <w:jc w:val="center"/>
              <w:rPr/>
            </w:pPr>
            <w:r>
              <w:rPr/>
              <w:t>F-4</w:t>
            </w:r>
          </w:p>
        </w:tc>
      </w:tr>
      <w:tr>
        <w:trPr/>
        <w:tc>
          <w:tcPr>
            <w:tcW w:w="9539" w:type="dxa"/>
            <w:tcBorders/>
            <w:vAlign w:val="center"/>
          </w:tcPr>
          <w:p>
            <w:pPr>
              <w:pStyle w:val="TableContents"/>
              <w:bidi w:val="0"/>
              <w:spacing w:before="0" w:after="0"/>
              <w:jc w:val="left"/>
              <w:rPr/>
            </w:pPr>
            <w:hyperlink w:anchor="CONSOLIDATED_BALANCE_SHEETS">
              <w:r>
                <w:rPr>
                  <w:rStyle w:val="InternetLink"/>
                </w:rPr>
                <w:t>Consolidated Balance Sheets as of December 31, 2025 and 2024</w:t>
              </w:r>
            </w:hyperlink>
            <w:r>
              <w:rPr/>
              <w:t xml:space="preserve"> </w:t>
            </w:r>
          </w:p>
        </w:tc>
        <w:tc>
          <w:tcPr>
            <w:tcW w:w="666" w:type="dxa"/>
            <w:tcBorders/>
            <w:tcMar>
              <w:top w:w="0" w:type="dxa"/>
              <w:left w:w="0" w:type="dxa"/>
              <w:bottom w:w="0" w:type="dxa"/>
              <w:right w:w="0" w:type="dxa"/>
            </w:tcMar>
            <w:vAlign w:val="center"/>
          </w:tcPr>
          <w:p>
            <w:pPr>
              <w:pStyle w:val="TableContents"/>
              <w:bidi w:val="0"/>
              <w:spacing w:before="0" w:after="283"/>
              <w:jc w:val="center"/>
              <w:rPr/>
            </w:pPr>
            <w:r>
              <w:rPr/>
              <w:t>F-6</w:t>
            </w:r>
          </w:p>
        </w:tc>
      </w:tr>
      <w:tr>
        <w:trPr/>
        <w:tc>
          <w:tcPr>
            <w:tcW w:w="9539" w:type="dxa"/>
            <w:tcBorders/>
            <w:shd w:fill="CCEEFF" w:val="clear"/>
            <w:tcMar>
              <w:top w:w="0" w:type="dxa"/>
              <w:left w:w="0" w:type="dxa"/>
              <w:bottom w:w="0" w:type="dxa"/>
              <w:right w:w="0" w:type="dxa"/>
            </w:tcMar>
            <w:vAlign w:val="center"/>
          </w:tcPr>
          <w:p>
            <w:pPr>
              <w:pStyle w:val="TableContents"/>
              <w:bidi w:val="0"/>
              <w:spacing w:before="0" w:after="0"/>
              <w:jc w:val="left"/>
              <w:rPr/>
            </w:pPr>
            <w:hyperlink w:anchor="CONSOLIDATED_STATEMENTS_OF_OPERATIONS">
              <w:r>
                <w:rPr>
                  <w:rStyle w:val="InternetLink"/>
                </w:rPr>
                <w:t>Consolidated Statements of Operations for the years ended December 31, 2025, 2024 and 2023</w:t>
              </w:r>
            </w:hyperlink>
            <w:r>
              <w:rPr/>
              <w:t xml:space="preserve">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center"/>
              <w:rPr/>
            </w:pPr>
            <w:r>
              <w:rPr/>
              <w:t>F-7</w:t>
            </w:r>
          </w:p>
        </w:tc>
      </w:tr>
      <w:tr>
        <w:trPr/>
        <w:tc>
          <w:tcPr>
            <w:tcW w:w="9539" w:type="dxa"/>
            <w:tcBorders/>
            <w:vAlign w:val="center"/>
          </w:tcPr>
          <w:p>
            <w:pPr>
              <w:pStyle w:val="TableContents"/>
              <w:bidi w:val="0"/>
              <w:spacing w:before="0" w:after="0"/>
              <w:jc w:val="left"/>
              <w:rPr/>
            </w:pPr>
            <w:hyperlink w:anchor="CHANGES_IN_STOCKHOLDERS_EQUITY">
              <w:r>
                <w:rPr>
                  <w:rStyle w:val="InternetLink"/>
                </w:rPr>
                <w:t>Consolidated Statements of Changes in Stockholders’ Equity for the years ended December 31, 2025, 2024 and 2023</w:t>
              </w:r>
            </w:hyperlink>
            <w:r>
              <w:rPr/>
              <w:t xml:space="preserve"> </w:t>
            </w:r>
          </w:p>
        </w:tc>
        <w:tc>
          <w:tcPr>
            <w:tcW w:w="666" w:type="dxa"/>
            <w:tcBorders/>
            <w:tcMar>
              <w:top w:w="0" w:type="dxa"/>
              <w:left w:w="0" w:type="dxa"/>
              <w:bottom w:w="0" w:type="dxa"/>
              <w:right w:w="0" w:type="dxa"/>
            </w:tcMar>
            <w:vAlign w:val="center"/>
          </w:tcPr>
          <w:p>
            <w:pPr>
              <w:pStyle w:val="TableContents"/>
              <w:bidi w:val="0"/>
              <w:spacing w:before="0" w:after="283"/>
              <w:jc w:val="center"/>
              <w:rPr/>
            </w:pPr>
            <w:r>
              <w:rPr/>
              <w:t>F-8</w:t>
            </w:r>
          </w:p>
        </w:tc>
      </w:tr>
      <w:tr>
        <w:trPr/>
        <w:tc>
          <w:tcPr>
            <w:tcW w:w="9539" w:type="dxa"/>
            <w:tcBorders/>
            <w:shd w:fill="CCEEFF" w:val="clear"/>
            <w:tcMar>
              <w:top w:w="0" w:type="dxa"/>
              <w:left w:w="0" w:type="dxa"/>
              <w:bottom w:w="0" w:type="dxa"/>
              <w:right w:w="0" w:type="dxa"/>
            </w:tcMar>
            <w:vAlign w:val="center"/>
          </w:tcPr>
          <w:p>
            <w:pPr>
              <w:pStyle w:val="TableContents"/>
              <w:bidi w:val="0"/>
              <w:spacing w:before="0" w:after="0"/>
              <w:jc w:val="left"/>
              <w:rPr/>
            </w:pPr>
            <w:hyperlink w:anchor="CASH_FLOWS">
              <w:r>
                <w:rPr>
                  <w:rStyle w:val="InternetLink"/>
                </w:rPr>
                <w:t>Consolidated Statements of Cash Flows for the years ended December 31, 2025, 2024 and 2023</w:t>
              </w:r>
            </w:hyperlink>
            <w:r>
              <w:rPr/>
              <w:t xml:space="preserve">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center"/>
              <w:rPr/>
            </w:pPr>
            <w:r>
              <w:rPr/>
              <w:t>F-9</w:t>
            </w:r>
          </w:p>
        </w:tc>
      </w:tr>
      <w:tr>
        <w:trPr/>
        <w:tc>
          <w:tcPr>
            <w:tcW w:w="9539" w:type="dxa"/>
            <w:tcBorders/>
            <w:vAlign w:val="center"/>
          </w:tcPr>
          <w:p>
            <w:pPr>
              <w:pStyle w:val="TableContents"/>
              <w:bidi w:val="0"/>
              <w:spacing w:before="0" w:after="0"/>
              <w:jc w:val="left"/>
              <w:rPr/>
            </w:pPr>
            <w:hyperlink w:anchor="NOTES">
              <w:r>
                <w:rPr>
                  <w:rStyle w:val="InternetLink"/>
                </w:rPr>
                <w:t>Notes to Consolidated Financial Statements</w:t>
              </w:r>
            </w:hyperlink>
            <w:r>
              <w:rPr/>
              <w:t xml:space="preserve"> </w:t>
            </w:r>
          </w:p>
        </w:tc>
        <w:tc>
          <w:tcPr>
            <w:tcW w:w="666" w:type="dxa"/>
            <w:tcBorders/>
            <w:tcMar>
              <w:top w:w="0" w:type="dxa"/>
              <w:left w:w="0" w:type="dxa"/>
              <w:bottom w:w="0" w:type="dxa"/>
              <w:right w:w="0" w:type="dxa"/>
            </w:tcMar>
            <w:vAlign w:val="center"/>
          </w:tcPr>
          <w:p>
            <w:pPr>
              <w:pStyle w:val="TableContents"/>
              <w:bidi w:val="0"/>
              <w:spacing w:before="0" w:after="283"/>
              <w:jc w:val="center"/>
              <w:rPr/>
            </w:pPr>
            <w:r>
              <w:rPr/>
              <w:t>F-10</w:t>
            </w:r>
          </w:p>
        </w:tc>
      </w:tr>
    </w:tbl>
    <w:p>
      <w:pPr>
        <w:pStyle w:val="TextBody"/>
        <w:bidi w:val="0"/>
        <w:spacing w:before="0" w:after="0"/>
        <w:jc w:val="center"/>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bookmarkStart w:id="45" w:name="Managements_Annual_Report_on_Internal_Co"/>
      <w:bookmarkEnd w:id="45"/>
      <w:r>
        <w:rPr>
          <w:rFonts w:ascii="TimesNewRoman;Times New Roman;Times;Baskerville;Georgia;serif" w:hAnsi="TimesNewRoman;Times New Roman;Times;Baskerville;Georgia;serif"/>
          <w:b/>
          <w:sz w:val="20"/>
          <w:u w:val="single"/>
        </w:rPr>
        <w:t>Management’s Annual Report on Internal Control Over Financial Reporting</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Management of ADMA Biologics, Inc. (the “Company”) is responsible for establishing and maintaining adequate internal control over financial reporting for the Company.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 </w:t>
      </w:r>
    </w:p>
    <w:p>
      <w:pPr>
        <w:pStyle w:val="TextBody"/>
        <w:bidi w:val="0"/>
        <w:spacing w:before="0" w:after="0"/>
        <w:jc w:val="both"/>
        <w:rPr/>
      </w:pPr>
      <w:r>
        <w:rPr/>
        <w:t xml:space="preserve">  </w:t>
      </w:r>
    </w:p>
    <w:p>
      <w:pPr>
        <w:pStyle w:val="TextBody"/>
        <w:bidi w:val="0"/>
        <w:spacing w:before="0" w:after="0"/>
        <w:ind w:left="0" w:right="0" w:firstLine="720"/>
        <w:jc w:val="both"/>
        <w:rPr/>
      </w:pPr>
      <w:r>
        <w:rPr/>
        <w:t>  </w:t>
      </w:r>
      <w:r>
        <w:rPr>
          <w:rFonts w:ascii="TimesNewRoman;Times New Roman;Times;Baskerville;Georgia;serif" w:hAnsi="TimesNewRoman;Times New Roman;Times;Baskerville;Georgia;serif"/>
          <w:sz w:val="20"/>
        </w:rPr>
        <w:t xml:space="preserve">Internal control over financial reporting is designed to provide reasonable assurance regarding the reliability of financial reporting and the preparation of financial statements prepared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both"/>
        <w:rPr/>
      </w:pPr>
      <w:r>
        <w:rPr/>
        <w:t xml:space="preserve">  </w:t>
      </w:r>
    </w:p>
    <w:p>
      <w:pPr>
        <w:pStyle w:val="TextBody"/>
        <w:bidi w:val="0"/>
        <w:spacing w:before="0" w:after="0"/>
        <w:ind w:left="0" w:right="0" w:firstLine="720"/>
        <w:jc w:val="both"/>
        <w:rPr/>
      </w:pPr>
      <w:r>
        <w:rPr/>
        <w:t>  </w:t>
      </w:r>
      <w:r>
        <w:rPr>
          <w:rFonts w:ascii="TimesNewRoman;Times New Roman;Times;Baskerville;Georgia;serif" w:hAnsi="TimesNewRoman;Times New Roman;Times;Baskerville;Georgia;serif"/>
          <w:sz w:val="20"/>
        </w:rPr>
        <w:t xml:space="preserve">Management, with the participation of the Company’s Chief Executive Officer and Chief Financial Officer, assessed the effectiveness of its internal control over financial reporting as of December 31, 2025. In making this assessment, management used the criteria set forth in the Internal Control-Integrated Framework (2013) issued by the Committee of Sponsoring Organizations of the Treadway Commission. Based on its assessment, management concluded that the Company’s internal control over financial reporting was effective as of December 31, 2025 based on those criteria. </w:t>
      </w:r>
    </w:p>
    <w:p>
      <w:pPr>
        <w:pStyle w:val="TextBody"/>
        <w:bidi w:val="0"/>
        <w:spacing w:before="0" w:after="0"/>
        <w:jc w:val="both"/>
        <w:rPr/>
      </w:pPr>
      <w:r>
        <w:rPr/>
        <w:t xml:space="preserve">  </w:t>
      </w:r>
    </w:p>
    <w:p>
      <w:pPr>
        <w:pStyle w:val="TextBody"/>
        <w:bidi w:val="0"/>
        <w:spacing w:before="0" w:after="0"/>
        <w:ind w:left="0" w:right="0" w:firstLine="720"/>
        <w:jc w:val="both"/>
        <w:rPr/>
      </w:pPr>
      <w:r>
        <w:rPr/>
        <w:t>  </w:t>
      </w:r>
      <w:r>
        <w:rPr>
          <w:rFonts w:ascii="TimesNewRoman;Times New Roman;Times;Baskerville;Georgia;serif" w:hAnsi="TimesNewRoman;Times New Roman;Times;Baskerville;Georgia;serif"/>
          <w:sz w:val="20"/>
        </w:rPr>
        <w:t xml:space="preserve">Our independent registered public accounting firm, which has audited the consolidated financial statements included in this Annual Report on Form 10-K, has also issued an audit report on the effectiveness of our internal control over financial reporting as of December 31, 2025. Their report appears on page F-3 of this Annual Report on Form 10-K. </w:t>
      </w:r>
    </w:p>
    <w:p>
      <w:pPr>
        <w:pStyle w:val="TextBody"/>
        <w:bidi w:val="0"/>
        <w:spacing w:before="0" w:after="0"/>
        <w:jc w:val="both"/>
        <w:rPr/>
      </w:pPr>
      <w:r>
        <w:rPr/>
        <w:t xml:space="preserve">  </w:t>
      </w:r>
    </w:p>
    <w:tbl>
      <w:tblPr>
        <w:tblW w:w="6182" w:type="dxa"/>
        <w:jc w:val="left"/>
        <w:tblInd w:w="0" w:type="dxa"/>
        <w:tblLayout w:type="fixed"/>
        <w:tblCellMar>
          <w:top w:w="28" w:type="dxa"/>
          <w:left w:w="28" w:type="dxa"/>
          <w:bottom w:w="28" w:type="dxa"/>
          <w:right w:w="28" w:type="dxa"/>
        </w:tblCellMar>
      </w:tblPr>
      <w:tblGrid>
        <w:gridCol w:w="3781"/>
        <w:gridCol w:w="2401"/>
      </w:tblGrid>
      <w:tr>
        <w:trPr/>
        <w:tc>
          <w:tcPr>
            <w:tcW w:w="3781" w:type="dxa"/>
            <w:tcBorders/>
            <w:vAlign w:val="center"/>
          </w:tcPr>
          <w:p>
            <w:pPr>
              <w:pStyle w:val="TableContents"/>
              <w:bidi w:val="0"/>
              <w:spacing w:before="0" w:after="283"/>
              <w:jc w:val="left"/>
              <w:rPr/>
            </w:pPr>
            <w:r>
              <w:rPr/>
              <w:t> </w:t>
            </w:r>
          </w:p>
        </w:tc>
        <w:tc>
          <w:tcPr>
            <w:tcW w:w="2401" w:type="dxa"/>
            <w:tcBorders/>
            <w:vAlign w:val="center"/>
          </w:tcPr>
          <w:p>
            <w:pPr>
              <w:pStyle w:val="TableContents"/>
              <w:bidi w:val="0"/>
              <w:spacing w:before="0" w:after="283"/>
              <w:jc w:val="left"/>
              <w:rPr/>
            </w:pPr>
            <w:r>
              <w:rPr/>
              <w:t> </w:t>
            </w:r>
          </w:p>
        </w:tc>
      </w:tr>
      <w:tr>
        <w:trPr/>
        <w:tc>
          <w:tcPr>
            <w:tcW w:w="3781" w:type="dxa"/>
            <w:tcBorders/>
            <w:tcMar>
              <w:top w:w="0" w:type="dxa"/>
              <w:left w:w="0" w:type="dxa"/>
              <w:bottom w:w="0" w:type="dxa"/>
              <w:right w:w="0" w:type="dxa"/>
            </w:tcMar>
            <w:vAlign w:val="center"/>
          </w:tcPr>
          <w:p>
            <w:pPr>
              <w:pStyle w:val="TableContents"/>
              <w:bidi w:val="0"/>
              <w:spacing w:before="0" w:after="0"/>
              <w:jc w:val="left"/>
              <w:rPr/>
            </w:pPr>
            <w:r>
              <w:rPr>
                <w:u w:val="single"/>
              </w:rPr>
              <w:t>/s/ Adam S. Grossman</w:t>
            </w:r>
            <w:r>
              <w:rPr/>
              <w:t xml:space="preserve"> </w:t>
            </w:r>
          </w:p>
        </w:tc>
        <w:tc>
          <w:tcPr>
            <w:tcW w:w="2401" w:type="dxa"/>
            <w:tcBorders/>
            <w:tcMar>
              <w:top w:w="0" w:type="dxa"/>
              <w:left w:w="0" w:type="dxa"/>
              <w:bottom w:w="0" w:type="dxa"/>
              <w:right w:w="0" w:type="dxa"/>
            </w:tcMar>
            <w:vAlign w:val="center"/>
          </w:tcPr>
          <w:p>
            <w:pPr>
              <w:pStyle w:val="TableContents"/>
              <w:bidi w:val="0"/>
              <w:spacing w:before="0" w:after="0"/>
              <w:jc w:val="left"/>
              <w:rPr/>
            </w:pPr>
            <w:r>
              <w:rPr>
                <w:u w:val="single"/>
              </w:rPr>
              <w:t>/s/ Brad Tade</w:t>
            </w:r>
            <w:r>
              <w:rPr/>
              <w:t xml:space="preserve"> </w:t>
            </w:r>
          </w:p>
        </w:tc>
      </w:tr>
      <w:tr>
        <w:trPr/>
        <w:tc>
          <w:tcPr>
            <w:tcW w:w="3781" w:type="dxa"/>
            <w:tcBorders/>
            <w:tcMar>
              <w:top w:w="0" w:type="dxa"/>
              <w:left w:w="0" w:type="dxa"/>
              <w:bottom w:w="0" w:type="dxa"/>
              <w:right w:w="0" w:type="dxa"/>
            </w:tcMar>
            <w:vAlign w:val="center"/>
          </w:tcPr>
          <w:p>
            <w:pPr>
              <w:pStyle w:val="TableContents"/>
              <w:bidi w:val="0"/>
              <w:spacing w:before="0" w:after="0"/>
              <w:jc w:val="left"/>
              <w:rPr/>
            </w:pPr>
            <w:r>
              <w:rPr/>
              <w:t xml:space="preserve">Adam S. Grossman </w:t>
            </w:r>
          </w:p>
        </w:tc>
        <w:tc>
          <w:tcPr>
            <w:tcW w:w="2401" w:type="dxa"/>
            <w:tcBorders/>
            <w:tcMar>
              <w:top w:w="0" w:type="dxa"/>
              <w:left w:w="0" w:type="dxa"/>
              <w:bottom w:w="0" w:type="dxa"/>
              <w:right w:w="0" w:type="dxa"/>
            </w:tcMar>
            <w:vAlign w:val="center"/>
          </w:tcPr>
          <w:p>
            <w:pPr>
              <w:pStyle w:val="TableContents"/>
              <w:bidi w:val="0"/>
              <w:spacing w:before="0" w:after="0"/>
              <w:jc w:val="left"/>
              <w:rPr/>
            </w:pPr>
            <w:r>
              <w:rPr/>
              <w:t xml:space="preserve">Brad Tade </w:t>
            </w:r>
          </w:p>
        </w:tc>
      </w:tr>
      <w:tr>
        <w:trPr/>
        <w:tc>
          <w:tcPr>
            <w:tcW w:w="3781" w:type="dxa"/>
            <w:tcBorders/>
            <w:tcMar>
              <w:top w:w="0" w:type="dxa"/>
              <w:left w:w="0" w:type="dxa"/>
              <w:bottom w:w="0" w:type="dxa"/>
              <w:right w:w="0" w:type="dxa"/>
            </w:tcMar>
            <w:vAlign w:val="center"/>
          </w:tcPr>
          <w:p>
            <w:pPr>
              <w:pStyle w:val="TableContents"/>
              <w:bidi w:val="0"/>
              <w:spacing w:before="0" w:after="0"/>
              <w:jc w:val="left"/>
              <w:rPr/>
            </w:pPr>
            <w:r>
              <w:rPr/>
              <w:t xml:space="preserve">President and Chief Executive Officer </w:t>
            </w:r>
          </w:p>
        </w:tc>
        <w:tc>
          <w:tcPr>
            <w:tcW w:w="2401" w:type="dxa"/>
            <w:tcBorders/>
            <w:tcMar>
              <w:top w:w="0" w:type="dxa"/>
              <w:left w:w="0" w:type="dxa"/>
              <w:bottom w:w="0" w:type="dxa"/>
              <w:right w:w="0" w:type="dxa"/>
            </w:tcMar>
            <w:vAlign w:val="center"/>
          </w:tcPr>
          <w:p>
            <w:pPr>
              <w:pStyle w:val="TableContents"/>
              <w:bidi w:val="0"/>
              <w:spacing w:before="0" w:after="0"/>
              <w:jc w:val="left"/>
              <w:rPr/>
            </w:pPr>
            <w:r>
              <w:rPr/>
              <w:t xml:space="preserve">Chief Financial Officer </w:t>
            </w:r>
          </w:p>
        </w:tc>
      </w:tr>
      <w:tr>
        <w:trPr/>
        <w:tc>
          <w:tcPr>
            <w:tcW w:w="3781" w:type="dxa"/>
            <w:tcBorders/>
            <w:vAlign w:val="center"/>
          </w:tcPr>
          <w:p>
            <w:pPr>
              <w:pStyle w:val="TableContents"/>
              <w:bidi w:val="0"/>
              <w:spacing w:before="0" w:after="283"/>
              <w:jc w:val="left"/>
              <w:rPr/>
            </w:pPr>
            <w:r>
              <w:rPr/>
              <w:t> </w:t>
            </w:r>
          </w:p>
        </w:tc>
        <w:tc>
          <w:tcPr>
            <w:tcW w:w="2401" w:type="dxa"/>
            <w:tcBorders/>
            <w:vAlign w:val="center"/>
          </w:tcPr>
          <w:p>
            <w:pPr>
              <w:pStyle w:val="TableContents"/>
              <w:bidi w:val="0"/>
              <w:spacing w:before="0" w:after="283"/>
              <w:jc w:val="left"/>
              <w:rPr/>
            </w:pPr>
            <w:r>
              <w:rPr/>
              <w:t> </w:t>
            </w:r>
          </w:p>
        </w:tc>
      </w:tr>
      <w:tr>
        <w:trPr/>
        <w:tc>
          <w:tcPr>
            <w:tcW w:w="3781" w:type="dxa"/>
            <w:tcBorders/>
            <w:tcMar>
              <w:top w:w="0" w:type="dxa"/>
              <w:left w:w="0" w:type="dxa"/>
              <w:bottom w:w="0" w:type="dxa"/>
              <w:right w:w="0" w:type="dxa"/>
            </w:tcMar>
            <w:vAlign w:val="center"/>
          </w:tcPr>
          <w:p>
            <w:pPr>
              <w:pStyle w:val="TableContents"/>
              <w:bidi w:val="0"/>
              <w:spacing w:lineRule="atLeast" w:line="240" w:before="0" w:after="0"/>
              <w:jc w:val="left"/>
              <w:rPr>
                <w:rFonts w:ascii="Arial" w:hAnsi="Arial"/>
              </w:rPr>
            </w:pPr>
            <w:r>
              <w:rPr>
                <w:rFonts w:ascii="Times New Roman" w:hAnsi="Times New Roman"/>
              </w:rPr>
              <w:t>February 25, 2026</w:t>
            </w:r>
            <w:r>
              <w:rPr>
                <w:rFonts w:ascii="Arial" w:hAnsi="Arial"/>
              </w:rPr>
              <w:t xml:space="preserve"> </w:t>
            </w:r>
          </w:p>
        </w:tc>
        <w:tc>
          <w:tcPr>
            <w:tcW w:w="2401" w:type="dxa"/>
            <w:tcBorders/>
            <w:tcMar>
              <w:top w:w="0" w:type="dxa"/>
              <w:left w:w="0" w:type="dxa"/>
              <w:bottom w:w="0" w:type="dxa"/>
              <w:right w:w="0" w:type="dxa"/>
            </w:tcMar>
            <w:vAlign w:val="center"/>
          </w:tcPr>
          <w:p>
            <w:pPr>
              <w:pStyle w:val="TableContents"/>
              <w:bidi w:val="0"/>
              <w:spacing w:lineRule="atLeast" w:line="240" w:before="0" w:after="0"/>
              <w:jc w:val="left"/>
              <w:rPr>
                <w:rFonts w:ascii="Arial" w:hAnsi="Arial"/>
              </w:rPr>
            </w:pPr>
            <w:r>
              <w:rPr>
                <w:rFonts w:ascii="Times New Roman" w:hAnsi="Times New Roman"/>
              </w:rPr>
              <w:t>February 25, 2026</w:t>
            </w:r>
            <w:r>
              <w:rPr>
                <w:rFonts w:ascii="Arial" w:hAnsi="Arial"/>
              </w:rPr>
              <w:t xml:space="preserve"> </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pPr>
      <w:r>
        <w:rPr/>
        <w:t xml:space="preserve">  </w:t>
      </w:r>
    </w:p>
    <w:tbl>
      <w:tblPr>
        <w:tblW w:w="4125" w:type="dxa"/>
        <w:jc w:val="left"/>
        <w:tblInd w:w="0" w:type="dxa"/>
        <w:tblLayout w:type="fixed"/>
        <w:tblCellMar>
          <w:top w:w="0" w:type="dxa"/>
          <w:left w:w="0" w:type="dxa"/>
          <w:bottom w:w="0" w:type="dxa"/>
          <w:right w:w="0" w:type="dxa"/>
        </w:tblCellMar>
      </w:tblPr>
      <w:tblGrid>
        <w:gridCol w:w="1518"/>
        <w:gridCol w:w="2356"/>
        <w:gridCol w:w="251"/>
      </w:tblGrid>
      <w:tr>
        <w:trPr/>
        <w:tc>
          <w:tcPr>
            <w:tcW w:w="1518" w:type="dxa"/>
            <w:tcBorders/>
            <w:vAlign w:val="center"/>
          </w:tcPr>
          <w:p>
            <w:pPr>
              <w:pStyle w:val="TableContents"/>
              <w:bidi w:val="0"/>
              <w:spacing w:before="0" w:after="0"/>
              <w:jc w:val="left"/>
              <w:rPr/>
            </w:pPr>
            <w:r>
              <w:rPr/>
              <w:br/>
            </w:r>
            <w:r>
              <w:rPr/>
              <w:drawing>
                <wp:inline distT="0" distB="0" distL="0" distR="0">
                  <wp:extent cx="899795" cy="360045"/>
                  <wp:effectExtent l="0" t="0" r="0" b="0"/>
                  <wp:docPr id="20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 descr=""/>
                          <pic:cNvPicPr>
                            <a:picLocks noChangeAspect="1" noChangeArrowheads="1"/>
                          </pic:cNvPicPr>
                        </pic:nvPicPr>
                        <pic:blipFill>
                          <a:blip r:embed="rId28"/>
                          <a:stretch>
                            <a:fillRect/>
                          </a:stretch>
                        </pic:blipFill>
                        <pic:spPr bwMode="auto">
                          <a:xfrm>
                            <a:off x="0" y="0"/>
                            <a:ext cx="899795" cy="360045"/>
                          </a:xfrm>
                          <a:prstGeom prst="rect">
                            <a:avLst/>
                          </a:prstGeom>
                        </pic:spPr>
                      </pic:pic>
                    </a:graphicData>
                  </a:graphic>
                </wp:inline>
              </w:drawing>
            </w:r>
          </w:p>
          <w:p>
            <w:pPr>
              <w:pStyle w:val="TableContents"/>
              <w:bidi w:val="0"/>
              <w:spacing w:lineRule="atLeast" w:line="240" w:before="0" w:after="0"/>
              <w:jc w:val="left"/>
              <w:rPr/>
            </w:pPr>
            <w:r>
              <w:rPr/>
              <w:t> </w:t>
            </w:r>
          </w:p>
        </w:tc>
        <w:tc>
          <w:tcPr>
            <w:tcW w:w="235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r>
        <w:trPr/>
        <w:tc>
          <w:tcPr>
            <w:tcW w:w="1518" w:type="dxa"/>
            <w:tcBorders/>
            <w:vAlign w:val="center"/>
          </w:tcPr>
          <w:p>
            <w:pPr>
              <w:pStyle w:val="TableContents"/>
              <w:bidi w:val="0"/>
              <w:spacing w:before="0" w:after="283"/>
              <w:jc w:val="left"/>
              <w:rPr/>
            </w:pPr>
            <w:r>
              <w:rPr/>
              <w:t xml:space="preserve">  </w:t>
            </w:r>
          </w:p>
        </w:tc>
        <w:tc>
          <w:tcPr>
            <w:tcW w:w="2356" w:type="dxa"/>
            <w:tcBorders/>
            <w:vAlign w:val="center"/>
          </w:tcPr>
          <w:p>
            <w:pPr>
              <w:pStyle w:val="TableContents"/>
              <w:bidi w:val="0"/>
              <w:spacing w:before="0" w:after="0"/>
              <w:jc w:val="left"/>
              <w:rPr>
                <w:sz w:val="20"/>
              </w:rPr>
            </w:pPr>
            <w:r>
              <w:rPr>
                <w:sz w:val="20"/>
              </w:rPr>
              <w:t xml:space="preserve">KPMG LLP </w:t>
            </w:r>
          </w:p>
          <w:p>
            <w:pPr>
              <w:pStyle w:val="TableContents"/>
              <w:bidi w:val="0"/>
              <w:spacing w:lineRule="atLeast" w:line="240" w:before="0" w:after="0"/>
              <w:jc w:val="left"/>
              <w:rPr>
                <w:rFonts w:ascii="Aptos Display" w:hAnsi="Aptos Display"/>
                <w:sz w:val="20"/>
              </w:rPr>
            </w:pPr>
            <w:r>
              <w:rPr>
                <w:rFonts w:ascii="Times New Roman" w:hAnsi="Times New Roman"/>
                <w:sz w:val="20"/>
              </w:rPr>
              <w:t>677 Washington Boulevard</w:t>
              <w:br/>
              <w:t>Stamford, CT 06901</w:t>
            </w:r>
            <w:r>
              <w:rPr>
                <w:rFonts w:ascii="Aptos Display" w:hAnsi="Aptos Display"/>
                <w:sz w:val="20"/>
              </w:rPr>
              <w:t xml:space="preserve"> </w:t>
            </w:r>
          </w:p>
        </w:tc>
        <w:tc>
          <w:tcPr>
            <w:tcW w:w="251" w:type="dxa"/>
            <w:tcBorders/>
            <w:vAlign w:val="center"/>
          </w:tcPr>
          <w:p>
            <w:pPr>
              <w:pStyle w:val="TableContents"/>
              <w:bidi w:val="0"/>
              <w:spacing w:before="0" w:after="283"/>
              <w:jc w:val="left"/>
              <w:rPr/>
            </w:pPr>
            <w:r>
              <w:rPr/>
              <w:t xml:space="preserve">  </w:t>
            </w:r>
          </w:p>
        </w:tc>
      </w:tr>
    </w:tbl>
    <w:p>
      <w:pPr>
        <w:pStyle w:val="TextBody"/>
        <w:bidi w:val="0"/>
        <w:spacing w:lineRule="atLeast" w:line="240" w:before="0" w:after="0"/>
        <w:jc w:val="left"/>
        <w:rPr/>
      </w:pPr>
      <w:r>
        <w:rPr/>
        <w:t xml:space="preserve">  </w:t>
      </w:r>
    </w:p>
    <w:p>
      <w:pPr>
        <w:pStyle w:val="TextBody"/>
        <w:bidi w:val="0"/>
        <w:spacing w:lineRule="atLeast" w:line="240" w:before="0" w:after="0"/>
        <w:jc w:val="center"/>
        <w:rPr>
          <w:rFonts w:ascii="Aptos Display" w:hAnsi="Aptos Display"/>
          <w:sz w:val="56"/>
        </w:rPr>
      </w:pPr>
      <w:bookmarkStart w:id="46" w:name="Report_of_Independent_Registered_Public_"/>
      <w:bookmarkEnd w:id="46"/>
      <w:r>
        <w:rPr>
          <w:rFonts w:ascii="Times New Roman" w:hAnsi="Times New Roman"/>
          <w:b/>
          <w:sz w:val="20"/>
        </w:rPr>
        <w:t>Report of Independent Registered Public Accounting Firm</w:t>
      </w:r>
      <w:r>
        <w:rPr>
          <w:rFonts w:ascii="Aptos Display" w:hAnsi="Aptos Display"/>
          <w:sz w:val="56"/>
        </w:rPr>
        <w:t xml:space="preserve"> </w:t>
      </w:r>
    </w:p>
    <w:p>
      <w:pPr>
        <w:pStyle w:val="TextBody"/>
        <w:bidi w:val="0"/>
        <w:spacing w:lineRule="atLeast" w:line="240" w:before="0" w:after="0"/>
        <w:jc w:val="center"/>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 the Stockholders and Board of Directors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ADMA Biologics, Inc.: </w:t>
      </w:r>
    </w:p>
    <w:p>
      <w:pPr>
        <w:pStyle w:val="TextBody"/>
        <w:bidi w:val="0"/>
        <w:spacing w:before="0" w:after="0"/>
        <w:jc w:val="left"/>
        <w:rPr/>
      </w:pPr>
      <w:r>
        <w:rPr/>
        <w:t xml:space="preserve">  </w:t>
      </w:r>
    </w:p>
    <w:p>
      <w:pPr>
        <w:pStyle w:val="TextBody"/>
        <w:bidi w:val="0"/>
        <w:spacing w:before="0" w:after="0"/>
        <w:jc w:val="left"/>
        <w:rPr>
          <w:rFonts w:ascii="Aptos Display" w:hAnsi="Aptos Display"/>
          <w:b/>
          <w:color w:val="0F4761"/>
          <w:sz w:val="32"/>
        </w:rPr>
      </w:pPr>
      <w:r>
        <w:rPr>
          <w:rFonts w:ascii="Times New Roman" w:hAnsi="Times New Roman"/>
          <w:b/>
          <w:color w:val="000000"/>
          <w:sz w:val="20"/>
        </w:rPr>
        <w:t>Opinion on Internal Control Over Financial Reporting</w:t>
      </w:r>
      <w:r>
        <w:rPr>
          <w:rFonts w:ascii="Aptos Display" w:hAnsi="Aptos Display"/>
          <w:b/>
          <w:color w:val="0F4761"/>
          <w:sz w:val="32"/>
        </w:rPr>
        <w:t xml:space="preserve"> </w:t>
      </w:r>
    </w:p>
    <w:p>
      <w:pPr>
        <w:pStyle w:val="TextBody"/>
        <w:bidi w:val="0"/>
        <w:spacing w:before="0" w:after="0"/>
        <w:jc w:val="left"/>
        <w:rPr>
          <w:color w:val="0F4761"/>
        </w:rPr>
      </w:pPr>
      <w:r>
        <w:rPr>
          <w:color w:val="0F4761"/>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have audited ADMA Biologics,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also have audited, in accordance with the standards of the Public Company Accounting Oversight Board (United States) (PCAOB), the consolidated balance sheets of the Company as of December 31, 2025 and 2024, the related consolidated statements of operations, changes in stockholders’ equity, and cash flows for each of the two-year period ended December 31, 2025, and the related notes and financial statement schedule II - valuation and qualifying accounts (collectively, the consolidated financial statements), and our report dated February 25, 2026 expressed an unqualified opinion on those consolidated financial statements. </w:t>
      </w:r>
    </w:p>
    <w:p>
      <w:pPr>
        <w:pStyle w:val="TextBody"/>
        <w:bidi w:val="0"/>
        <w:spacing w:before="0" w:after="0"/>
        <w:jc w:val="left"/>
        <w:rPr/>
      </w:pPr>
      <w:r>
        <w:rPr/>
        <w:t xml:space="preserve">  </w:t>
      </w:r>
    </w:p>
    <w:p>
      <w:pPr>
        <w:pStyle w:val="TextBody"/>
        <w:bidi w:val="0"/>
        <w:spacing w:before="0" w:after="0"/>
        <w:jc w:val="left"/>
        <w:rPr>
          <w:rFonts w:ascii="Aptos Display" w:hAnsi="Aptos Display"/>
          <w:b/>
          <w:color w:val="0F4761"/>
          <w:sz w:val="32"/>
        </w:rPr>
      </w:pPr>
      <w:r>
        <w:rPr>
          <w:rFonts w:ascii="Times New Roman" w:hAnsi="Times New Roman"/>
          <w:b/>
          <w:color w:val="000000"/>
          <w:sz w:val="20"/>
        </w:rPr>
        <w:t>Basis for Opinion</w:t>
      </w:r>
      <w:r>
        <w:rPr>
          <w:rFonts w:ascii="Aptos Display" w:hAnsi="Aptos Display"/>
          <w:b/>
          <w:color w:val="0F4761"/>
          <w:sz w:val="32"/>
        </w:rPr>
        <w:t xml:space="preserve"> </w:t>
      </w:r>
    </w:p>
    <w:p>
      <w:pPr>
        <w:pStyle w:val="TextBody"/>
        <w:bidi w:val="0"/>
        <w:spacing w:before="0" w:after="0"/>
        <w:jc w:val="left"/>
        <w:rPr>
          <w:color w:val="0F4761"/>
        </w:rPr>
      </w:pPr>
      <w:r>
        <w:rPr>
          <w:color w:val="0F4761"/>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pStyle w:val="TextBody"/>
        <w:bidi w:val="0"/>
        <w:spacing w:before="0" w:after="0"/>
        <w:jc w:val="left"/>
        <w:rPr/>
      </w:pPr>
      <w:r>
        <w:rPr/>
        <w:t xml:space="preserve">  </w:t>
      </w:r>
    </w:p>
    <w:p>
      <w:pPr>
        <w:pStyle w:val="TextBody"/>
        <w:bidi w:val="0"/>
        <w:spacing w:before="0" w:after="0"/>
        <w:jc w:val="left"/>
        <w:rPr>
          <w:rFonts w:ascii="Aptos Display" w:hAnsi="Aptos Display"/>
          <w:b/>
          <w:color w:val="0F4761"/>
          <w:sz w:val="32"/>
        </w:rPr>
      </w:pPr>
      <w:r>
        <w:rPr>
          <w:rFonts w:ascii="Times New Roman" w:hAnsi="Times New Roman"/>
          <w:b/>
          <w:color w:val="000000"/>
          <w:sz w:val="20"/>
        </w:rPr>
        <w:t>Definition and Limitations of Internal Control Over Financial Reporting</w:t>
      </w:r>
      <w:r>
        <w:rPr>
          <w:rFonts w:ascii="Aptos Display" w:hAnsi="Aptos Display"/>
          <w:b/>
          <w:color w:val="0F4761"/>
          <w:sz w:val="32"/>
        </w:rPr>
        <w:t xml:space="preserve"> </w:t>
      </w:r>
    </w:p>
    <w:p>
      <w:pPr>
        <w:pStyle w:val="TextBody"/>
        <w:bidi w:val="0"/>
        <w:spacing w:before="0" w:after="0"/>
        <w:jc w:val="left"/>
        <w:rPr>
          <w:color w:val="0F4761"/>
        </w:rPr>
      </w:pPr>
      <w:r>
        <w:rPr>
          <w:color w:val="0F4761"/>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left"/>
        <w:rPr/>
      </w:pPr>
      <w:r>
        <w:rPr/>
        <w:t xml:space="preserve">  </w:t>
      </w:r>
    </w:p>
    <w:tbl>
      <w:tblPr>
        <w:tblW w:w="4138" w:type="dxa"/>
        <w:jc w:val="left"/>
        <w:tblInd w:w="0" w:type="dxa"/>
        <w:tblLayout w:type="fixed"/>
        <w:tblCellMar>
          <w:top w:w="0" w:type="dxa"/>
          <w:left w:w="0" w:type="dxa"/>
          <w:bottom w:w="0" w:type="dxa"/>
          <w:right w:w="0" w:type="dxa"/>
        </w:tblCellMar>
      </w:tblPr>
      <w:tblGrid>
        <w:gridCol w:w="2311"/>
        <w:gridCol w:w="1636"/>
        <w:gridCol w:w="191"/>
      </w:tblGrid>
      <w:tr>
        <w:trPr/>
        <w:tc>
          <w:tcPr>
            <w:tcW w:w="2311"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xml:space="preserve">/s/ KPMG LLP </w:t>
            </w:r>
          </w:p>
        </w:tc>
        <w:tc>
          <w:tcPr>
            <w:tcW w:w="19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0"/>
              <w:jc w:val="left"/>
              <w:rPr/>
            </w:pPr>
            <w:r>
              <w:rPr/>
              <w:t xml:space="preserve">Stamford, Connecticut </w:t>
            </w:r>
          </w:p>
        </w:tc>
        <w:tc>
          <w:tcPr>
            <w:tcW w:w="163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0"/>
              <w:jc w:val="left"/>
              <w:rPr/>
            </w:pPr>
            <w:r>
              <w:rPr/>
              <w:t xml:space="preserve">February 25, 2026 </w:t>
            </w:r>
          </w:p>
        </w:tc>
        <w:tc>
          <w:tcPr>
            <w:tcW w:w="163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spacing w:lineRule="atLeast" w:line="240" w:before="0" w:after="0"/>
        <w:jc w:val="center"/>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lineRule="atLeast" w:line="240" w:before="0" w:after="0"/>
        <w:jc w:val="center"/>
        <w:rPr/>
      </w:pPr>
      <w:r>
        <w:rPr/>
        <w:t> </w:t>
      </w:r>
    </w:p>
    <w:tbl>
      <w:tblPr>
        <w:tblW w:w="4185" w:type="dxa"/>
        <w:jc w:val="left"/>
        <w:tblInd w:w="0" w:type="dxa"/>
        <w:tblLayout w:type="fixed"/>
        <w:tblCellMar>
          <w:top w:w="0" w:type="dxa"/>
          <w:left w:w="0" w:type="dxa"/>
          <w:bottom w:w="0" w:type="dxa"/>
          <w:right w:w="0" w:type="dxa"/>
        </w:tblCellMar>
      </w:tblPr>
      <w:tblGrid>
        <w:gridCol w:w="1578"/>
        <w:gridCol w:w="2356"/>
        <w:gridCol w:w="251"/>
      </w:tblGrid>
      <w:tr>
        <w:trPr/>
        <w:tc>
          <w:tcPr>
            <w:tcW w:w="1578" w:type="dxa"/>
            <w:tcBorders/>
            <w:vAlign w:val="center"/>
          </w:tcPr>
          <w:p>
            <w:pPr>
              <w:pStyle w:val="TableContents"/>
              <w:bidi w:val="0"/>
              <w:spacing w:lineRule="atLeast" w:line="240" w:before="0" w:after="0"/>
              <w:jc w:val="left"/>
              <w:rPr/>
            </w:pPr>
            <w:r>
              <w:rPr/>
              <w:drawing>
                <wp:inline distT="0" distB="0" distL="0" distR="0">
                  <wp:extent cx="899795" cy="360045"/>
                  <wp:effectExtent l="0" t="0" r="0" b="0"/>
                  <wp:docPr id="20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3" descr=""/>
                          <pic:cNvPicPr>
                            <a:picLocks noChangeAspect="1" noChangeArrowheads="1"/>
                          </pic:cNvPicPr>
                        </pic:nvPicPr>
                        <pic:blipFill>
                          <a:blip r:embed="rId29"/>
                          <a:stretch>
                            <a:fillRect/>
                          </a:stretch>
                        </pic:blipFill>
                        <pic:spPr bwMode="auto">
                          <a:xfrm>
                            <a:off x="0" y="0"/>
                            <a:ext cx="899795" cy="360045"/>
                          </a:xfrm>
                          <a:prstGeom prst="rect">
                            <a:avLst/>
                          </a:prstGeom>
                        </pic:spPr>
                      </pic:pic>
                    </a:graphicData>
                  </a:graphic>
                </wp:inline>
              </w:drawing>
            </w:r>
            <w:r>
              <w:rPr/>
              <w:t xml:space="preserve"> </w:t>
            </w:r>
          </w:p>
        </w:tc>
        <w:tc>
          <w:tcPr>
            <w:tcW w:w="235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r>
        <w:trPr/>
        <w:tc>
          <w:tcPr>
            <w:tcW w:w="1578" w:type="dxa"/>
            <w:tcBorders/>
            <w:vAlign w:val="center"/>
          </w:tcPr>
          <w:p>
            <w:pPr>
              <w:pStyle w:val="TableContents"/>
              <w:bidi w:val="0"/>
              <w:spacing w:before="0" w:after="283"/>
              <w:jc w:val="left"/>
              <w:rPr/>
            </w:pPr>
            <w:r>
              <w:rPr/>
              <w:t xml:space="preserve">  </w:t>
            </w:r>
          </w:p>
        </w:tc>
        <w:tc>
          <w:tcPr>
            <w:tcW w:w="2356" w:type="dxa"/>
            <w:tcBorders/>
            <w:vAlign w:val="center"/>
          </w:tcPr>
          <w:p>
            <w:pPr>
              <w:pStyle w:val="TableContents"/>
              <w:bidi w:val="0"/>
              <w:spacing w:before="0" w:after="0"/>
              <w:jc w:val="left"/>
              <w:rPr>
                <w:sz w:val="20"/>
              </w:rPr>
            </w:pPr>
            <w:r>
              <w:rPr>
                <w:sz w:val="20"/>
              </w:rPr>
              <w:t xml:space="preserve">KPMG LLP </w:t>
            </w:r>
          </w:p>
          <w:p>
            <w:pPr>
              <w:pStyle w:val="TableContents"/>
              <w:bidi w:val="0"/>
              <w:spacing w:lineRule="atLeast" w:line="240" w:before="0" w:after="0"/>
              <w:jc w:val="left"/>
              <w:rPr>
                <w:rFonts w:ascii="Aptos Display" w:hAnsi="Aptos Display"/>
                <w:sz w:val="20"/>
              </w:rPr>
            </w:pPr>
            <w:r>
              <w:rPr>
                <w:rFonts w:ascii="Times New Roman" w:hAnsi="Times New Roman"/>
                <w:sz w:val="20"/>
              </w:rPr>
              <w:t>677 Washington Boulevard</w:t>
              <w:br/>
              <w:t>Stamford, CT 06901</w:t>
            </w:r>
            <w:r>
              <w:rPr>
                <w:rFonts w:ascii="Aptos Display" w:hAnsi="Aptos Display"/>
                <w:sz w:val="20"/>
              </w:rPr>
              <w:t xml:space="preserve"> </w:t>
            </w:r>
          </w:p>
        </w:tc>
        <w:tc>
          <w:tcPr>
            <w:tcW w:w="251" w:type="dxa"/>
            <w:tcBorders/>
            <w:vAlign w:val="center"/>
          </w:tcPr>
          <w:p>
            <w:pPr>
              <w:pStyle w:val="TableContents"/>
              <w:bidi w:val="0"/>
              <w:spacing w:before="0" w:after="283"/>
              <w:jc w:val="left"/>
              <w:rPr/>
            </w:pPr>
            <w:r>
              <w:rPr/>
              <w:t xml:space="preserve">  </w:t>
            </w:r>
          </w:p>
        </w:tc>
      </w:tr>
    </w:tbl>
    <w:p>
      <w:pPr>
        <w:pStyle w:val="TextBody"/>
        <w:bidi w:val="0"/>
        <w:spacing w:lineRule="atLeast" w:line="240" w:before="0" w:after="0"/>
        <w:jc w:val="left"/>
        <w:rPr/>
      </w:pPr>
      <w:r>
        <w:rPr/>
        <w:t xml:space="preserve">  </w:t>
      </w:r>
    </w:p>
    <w:p>
      <w:pPr>
        <w:pStyle w:val="TextBody"/>
        <w:bidi w:val="0"/>
        <w:spacing w:lineRule="atLeast" w:line="240" w:before="0" w:after="0"/>
        <w:jc w:val="center"/>
        <w:rPr>
          <w:rFonts w:ascii="Aptos Display" w:hAnsi="Aptos Display"/>
          <w:sz w:val="56"/>
        </w:rPr>
      </w:pPr>
      <w:bookmarkStart w:id="47" w:name="Reports_of_Independent_Registered_Public"/>
      <w:bookmarkEnd w:id="47"/>
      <w:r>
        <w:rPr>
          <w:rFonts w:ascii="Times New Roman" w:hAnsi="Times New Roman"/>
          <w:b/>
          <w:sz w:val="20"/>
        </w:rPr>
        <w:t>Report of Independent Registered Public Accounting Firm</w:t>
      </w:r>
      <w:r>
        <w:rPr>
          <w:rFonts w:ascii="Aptos Display" w:hAnsi="Aptos Display"/>
          <w:sz w:val="56"/>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 the Stockholders and Board of Directors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ADMA Biologics, Inc.: </w:t>
      </w:r>
    </w:p>
    <w:p>
      <w:pPr>
        <w:pStyle w:val="TextBody"/>
        <w:bidi w:val="0"/>
        <w:spacing w:before="0" w:after="0"/>
        <w:jc w:val="left"/>
        <w:rPr/>
      </w:pPr>
      <w:r>
        <w:rPr/>
        <w:t xml:space="preserve">  </w:t>
      </w:r>
    </w:p>
    <w:p>
      <w:pPr>
        <w:pStyle w:val="TextBody"/>
        <w:bidi w:val="0"/>
        <w:spacing w:before="0" w:after="0"/>
        <w:jc w:val="left"/>
        <w:rPr>
          <w:rFonts w:ascii="Aptos Display" w:hAnsi="Aptos Display"/>
          <w:b/>
          <w:color w:val="0F4761"/>
          <w:sz w:val="32"/>
        </w:rPr>
      </w:pPr>
      <w:r>
        <w:rPr>
          <w:rFonts w:ascii="Times New Roman" w:hAnsi="Times New Roman"/>
          <w:b/>
          <w:color w:val="000000"/>
          <w:sz w:val="20"/>
        </w:rPr>
        <w:t>Opinion on the</w:t>
      </w:r>
      <w:r>
        <w:rPr>
          <w:rFonts w:ascii="Aptos Display" w:hAnsi="Aptos Display"/>
          <w:b/>
          <w:color w:val="000000"/>
          <w:sz w:val="32"/>
        </w:rPr>
        <w:t> </w:t>
      </w:r>
      <w:r>
        <w:rPr>
          <w:rFonts w:ascii="Times New Roman" w:hAnsi="Times New Roman"/>
          <w:b/>
          <w:color w:val="000000"/>
          <w:sz w:val="20"/>
        </w:rPr>
        <w:t>Consolidated Financial Statements</w:t>
      </w:r>
      <w:r>
        <w:rPr>
          <w:rFonts w:ascii="Aptos Display" w:hAnsi="Aptos Display"/>
          <w:b/>
          <w:color w:val="0F4761"/>
          <w:sz w:val="32"/>
        </w:rPr>
        <w:t xml:space="preserve"> </w:t>
      </w:r>
    </w:p>
    <w:p>
      <w:pPr>
        <w:pStyle w:val="TextBody"/>
        <w:bidi w:val="0"/>
        <w:spacing w:before="0" w:after="0"/>
        <w:jc w:val="left"/>
        <w:rPr>
          <w:color w:val="0F4761"/>
        </w:rPr>
      </w:pPr>
      <w:r>
        <w:rPr>
          <w:color w:val="0F4761"/>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have audited the accompanying consolidated balance sheets of ADMA Biologics, Inc. and subsidiaries (the Company) as of December 31, 2025 and 2024, the related consolidated statements of operations, changes in stockholders’ equity, and cash flows for each of the two-year period ended December 31, 2025, and the related notes and financial statement schedule II - valuation and qualified accounts (collectively, the consolidated financial statements). In our opinion, the consolidated financial statements present fairly, in all material respects, the financial position of the Company as of December 31, 2025, and the results of its operations and its cash flows for the two-year period ended December 31, 2025, in conformity with U.S. generally accepted accounting principles.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NewRoman;Times New Roman;Times;Baskerville;Georgia;serif" w:hAnsi="TimesNewRoman;Times New Roman;Times;Baskerville;Georgia;serif"/>
          <w:i/>
          <w:sz w:val="20"/>
        </w:rPr>
        <w:t>Internal Control – Integrated Framework (2013</w:t>
      </w:r>
      <w:r>
        <w:rPr>
          <w:rFonts w:ascii="TimesNewRoman;Times New Roman;Times;Baskerville;Georgia;serif" w:hAnsi="TimesNewRoman;Times New Roman;Times;Baskerville;Georgia;serif"/>
          <w:sz w:val="20"/>
        </w:rPr>
        <w:t xml:space="preserve">) issued by the Committee of Sponsoring Organizations of the Treadway Commission, and our report dated February 25, 2026 expressed an unqualified opinion on the effectiveness of the Company’s internal control over financial reporting. </w:t>
      </w:r>
    </w:p>
    <w:p>
      <w:pPr>
        <w:pStyle w:val="TextBody"/>
        <w:bidi w:val="0"/>
        <w:spacing w:before="0" w:after="0"/>
        <w:jc w:val="left"/>
        <w:rPr/>
      </w:pPr>
      <w:r>
        <w:rPr/>
        <w:t xml:space="preserve">  </w:t>
      </w:r>
    </w:p>
    <w:p>
      <w:pPr>
        <w:pStyle w:val="TextBody"/>
        <w:bidi w:val="0"/>
        <w:spacing w:before="0" w:after="0"/>
        <w:jc w:val="left"/>
        <w:rPr>
          <w:rFonts w:ascii="Aptos Display" w:hAnsi="Aptos Display"/>
          <w:b/>
          <w:color w:val="0F4761"/>
          <w:sz w:val="32"/>
        </w:rPr>
      </w:pPr>
      <w:r>
        <w:rPr>
          <w:rFonts w:ascii="Times New Roman" w:hAnsi="Times New Roman"/>
          <w:b/>
          <w:color w:val="000000"/>
          <w:sz w:val="20"/>
        </w:rPr>
        <w:t>Basis for Opinion</w:t>
      </w:r>
      <w:r>
        <w:rPr>
          <w:rFonts w:ascii="Aptos Display" w:hAnsi="Aptos Display"/>
          <w:b/>
          <w:color w:val="0F4761"/>
          <w:sz w:val="32"/>
        </w:rPr>
        <w:t xml:space="preserve"> </w:t>
      </w:r>
    </w:p>
    <w:p>
      <w:pPr>
        <w:pStyle w:val="TextBody"/>
        <w:bidi w:val="0"/>
        <w:spacing w:before="0" w:after="0"/>
        <w:jc w:val="left"/>
        <w:rPr>
          <w:color w:val="0F4761"/>
        </w:rPr>
      </w:pPr>
      <w:r>
        <w:rPr>
          <w:color w:val="0F4761"/>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 </w:t>
      </w:r>
    </w:p>
    <w:p>
      <w:pPr>
        <w:pStyle w:val="TextBody"/>
        <w:bidi w:val="0"/>
        <w:spacing w:before="0" w:after="0"/>
        <w:jc w:val="left"/>
        <w:rPr/>
      </w:pPr>
      <w:r>
        <w:rPr/>
        <w:t xml:space="preserve">  </w:t>
      </w:r>
    </w:p>
    <w:p>
      <w:pPr>
        <w:pStyle w:val="TextBody"/>
        <w:bidi w:val="0"/>
        <w:spacing w:before="0" w:after="0"/>
        <w:jc w:val="left"/>
        <w:rPr>
          <w:rFonts w:ascii="Aptos Display" w:hAnsi="Aptos Display"/>
          <w:b/>
          <w:color w:val="0F4761"/>
          <w:sz w:val="32"/>
        </w:rPr>
      </w:pPr>
      <w:r>
        <w:rPr>
          <w:rFonts w:ascii="Times New Roman" w:hAnsi="Times New Roman"/>
          <w:b/>
          <w:color w:val="000000"/>
          <w:sz w:val="20"/>
        </w:rPr>
        <w:t>Critical Audit Matter</w:t>
      </w:r>
      <w:r>
        <w:rPr>
          <w:rFonts w:ascii="Aptos Display" w:hAnsi="Aptos Display"/>
          <w:b/>
          <w:color w:val="0F4761"/>
          <w:sz w:val="32"/>
        </w:rPr>
        <w:t xml:space="preserve"> </w:t>
      </w:r>
    </w:p>
    <w:p>
      <w:pPr>
        <w:pStyle w:val="TextBody"/>
        <w:bidi w:val="0"/>
        <w:spacing w:before="0" w:after="0"/>
        <w:jc w:val="left"/>
        <w:rPr>
          <w:color w:val="0F4761"/>
        </w:rPr>
      </w:pPr>
      <w:r>
        <w:rPr>
          <w:color w:val="0F4761"/>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Sufficiency of audit evidence over inventory</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disclosed in Notes 2 and 3 to the consolidated financial statements, the Company held $206.4 million of inventory as of December 31, 2025. Inventories are comprised of raw materials, work-in-process, and finished goods.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identified the evaluation of the sufficiency of audit evidence over inventory as a critical audit matter. Subjective auditor judgment was required to determine the nature and extent of procedures to be performed because of the nature of the Company’s inventory and the manufacturing process. Additionally, specialized skills and knowledge were needed to assess the Information Technology (IT) systems used in the inventory process.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are the primary procedures we performed to address this critical audit matter. We applied auditor judgment to determine the nature and extent of procedures to be performed over inventory. We evaluated the design and tested the operating effectiveness of certain internal controls in the inventory process. We also involved IT professionals with specialized skills and knowledge, who assisted in testing certain general IT and application controls related to the Company’s process of recording inventory. At select Company-operated and third-party locations, we also obtained external confirmations of inventory quantities held at those locations at year-end and compared the results to the Company’s records. We also selected a sample of transactions used in the costing of raw materials inventory and a sample of costs which had been accumulated into work-in-process and finished goods inventory and compared inventory costs to underlying documentation, including third-party invoices. In addition, we evaluated the overall sufficiency of audit evidence obtained over inventory by assessing the results of procedures performed, including the appropriateness of the nature and extent of audit effort.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 KPMG LLP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have served as the Company’s auditor since 2024.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Stamford, Connecticut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February 25, 2026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Report of Independent Registered Public Accounting Firm</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Board of Directors and Stockholders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ADMA Biologics, Inc.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Opinion on the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have audited the consolidated statements of operations, changes in stockholders’ equity, and cash flows for the year ended December 31, 2023, and the related notes and financial statement schedule II – valuation and qualifying accounts (collectively referred to as the “consolidated financial statements”) of ADMA Biologics, Inc. and subsidiaries (the “Company”).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our opinion, the consolidated financial statements referred to above present fairly, in all material respects, the results of its operations and its cash flows for the year ended December 31, 2023, in conformity with accounting principles generally accepted in the United States of America.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Basis for Opinion</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These consolidated financial statements are the responsibility of the Company’s management. Our responsibility is to express an opinion on the Company’s consolidated financial statements.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conducted our audit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 CohnReznick LLP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served as the Company’s auditor from 2008 through November 7, 2024.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Parsippany, New Jersey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February 28, 2024, except for Note 11 and Note 13 as to which the date is March 18, 2025, and except for Note 13 as to which the date is February 25, 2026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F-5</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bookmarkStart w:id="48" w:name="CONSOLIDATED_BALANCE_SHEETS"/>
      <w:bookmarkEnd w:id="48"/>
      <w:r>
        <w:rPr>
          <w:rFonts w:ascii="TimesNewRoman;Times New Roman;Times;Baskerville;Georgia;serif" w:hAnsi="TimesNewRoman;Times New Roman;Times;Baskerville;Georgia;serif"/>
          <w:b/>
          <w:sz w:val="20"/>
        </w:rPr>
        <w:t>CONSOLIDATED BALANCE SHEETS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Years Ended December 31, 2025 and 2024</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192"/>
        <w:gridCol w:w="90"/>
        <w:gridCol w:w="190"/>
        <w:gridCol w:w="1018"/>
        <w:gridCol w:w="185"/>
        <w:gridCol w:w="90"/>
        <w:gridCol w:w="186"/>
        <w:gridCol w:w="1022"/>
        <w:gridCol w:w="232"/>
      </w:tblGrid>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208" w:type="dxa"/>
            <w:gridSpan w:val="2"/>
            <w:tcBorders/>
            <w:vAlign w:val="center"/>
          </w:tcPr>
          <w:p>
            <w:pPr>
              <w:pStyle w:val="TableContents"/>
              <w:bidi w:val="0"/>
              <w:spacing w:before="0" w:after="283"/>
              <w:jc w:val="center"/>
              <w:rPr/>
            </w:pPr>
            <w:r>
              <w:rPr>
                <w:b/>
              </w:rPr>
              <w:t>December 31,</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8" w:type="dxa"/>
            <w:gridSpan w:val="2"/>
            <w:tcBorders/>
            <w:vAlign w:val="center"/>
          </w:tcPr>
          <w:p>
            <w:pPr>
              <w:pStyle w:val="TableContents"/>
              <w:bidi w:val="0"/>
              <w:spacing w:before="0" w:after="283"/>
              <w:jc w:val="center"/>
              <w:rPr/>
            </w:pPr>
            <w:r>
              <w:rPr>
                <w:b/>
              </w:rPr>
              <w:t>December 31,</w:t>
            </w:r>
            <w:r>
              <w:rPr/>
              <w:t xml:space="preserve"> </w:t>
            </w:r>
          </w:p>
        </w:tc>
        <w:tc>
          <w:tcPr>
            <w:tcW w:w="232" w:type="dxa"/>
            <w:tcBorders/>
            <w:vAlign w:val="center"/>
          </w:tcPr>
          <w:p>
            <w:pPr>
              <w:pStyle w:val="TableContents"/>
              <w:bidi w:val="0"/>
              <w:spacing w:before="0" w:after="283"/>
              <w:jc w:val="center"/>
              <w:rPr/>
            </w:pPr>
            <w:r>
              <w:rPr/>
              <w:t> </w:t>
            </w:r>
          </w:p>
        </w:tc>
      </w:tr>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208"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8"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232" w:type="dxa"/>
            <w:tcBorders/>
            <w:vAlign w:val="center"/>
          </w:tcPr>
          <w:p>
            <w:pPr>
              <w:pStyle w:val="TableContents"/>
              <w:bidi w:val="0"/>
              <w:spacing w:before="0" w:after="283"/>
              <w:jc w:val="center"/>
              <w:rPr/>
            </w:pPr>
            <w:r>
              <w:rPr/>
              <w:t> </w:t>
            </w:r>
          </w:p>
        </w:tc>
      </w:tr>
      <w:tr>
        <w:trPr/>
        <w:tc>
          <w:tcPr>
            <w:tcW w:w="7192" w:type="dxa"/>
            <w:tcBorders/>
            <w:vAlign w:val="center"/>
          </w:tcPr>
          <w:p>
            <w:pPr>
              <w:pStyle w:val="TableContents"/>
              <w:bidi w:val="0"/>
              <w:spacing w:before="0" w:after="283"/>
              <w:jc w:val="left"/>
              <w:rPr/>
            </w:pPr>
            <w:r>
              <w:rPr/>
              <w:t> </w:t>
            </w:r>
          </w:p>
        </w:tc>
        <w:tc>
          <w:tcPr>
            <w:tcW w:w="3013" w:type="dxa"/>
            <w:gridSpan w:val="8"/>
            <w:tcBorders/>
            <w:vAlign w:val="center"/>
          </w:tcPr>
          <w:p>
            <w:pPr>
              <w:pStyle w:val="TableContents"/>
              <w:bidi w:val="0"/>
              <w:spacing w:before="0" w:after="283"/>
              <w:jc w:val="center"/>
              <w:rPr/>
            </w:pPr>
            <w:r>
              <w:rPr>
                <w:i/>
              </w:rPr>
              <w:t>(in thousands, except share data)</w:t>
            </w:r>
            <w:r>
              <w:rPr/>
              <w:t xml:space="preserve"> </w:t>
            </w:r>
          </w:p>
        </w:tc>
      </w:tr>
      <w:tr>
        <w:trPr/>
        <w:tc>
          <w:tcPr>
            <w:tcW w:w="7192" w:type="dxa"/>
            <w:tcBorders/>
            <w:vAlign w:val="center"/>
          </w:tcPr>
          <w:p>
            <w:pPr>
              <w:pStyle w:val="TableContents"/>
              <w:bidi w:val="0"/>
              <w:spacing w:before="0" w:after="0"/>
              <w:ind w:left="0" w:right="0" w:hanging="144"/>
              <w:jc w:val="left"/>
              <w:rPr/>
            </w:pPr>
            <w:r>
              <w:rPr>
                <w:b/>
              </w:rPr>
              <w:t>ASSETS</w:t>
            </w:r>
            <w:r>
              <w:rPr/>
              <w:t xml:space="preserve"> </w:t>
            </w:r>
          </w:p>
        </w:tc>
        <w:tc>
          <w:tcPr>
            <w:tcW w:w="90" w:type="dxa"/>
            <w:tcBorders/>
            <w:vAlign w:val="center"/>
          </w:tcPr>
          <w:p>
            <w:pPr>
              <w:pStyle w:val="TableContents"/>
              <w:bidi w:val="0"/>
              <w:spacing w:before="0" w:after="283"/>
              <w:jc w:val="center"/>
              <w:rPr/>
            </w:pPr>
            <w:r>
              <w:rPr/>
              <w:t> </w:t>
            </w:r>
          </w:p>
        </w:tc>
        <w:tc>
          <w:tcPr>
            <w:tcW w:w="190" w:type="dxa"/>
            <w:tcBorders/>
            <w:vAlign w:val="center"/>
          </w:tcPr>
          <w:p>
            <w:pPr>
              <w:pStyle w:val="TableContents"/>
              <w:bidi w:val="0"/>
              <w:spacing w:before="0" w:after="283"/>
              <w:jc w:val="center"/>
              <w:rPr/>
            </w:pPr>
            <w:r>
              <w:rPr/>
              <w:t> </w:t>
            </w:r>
          </w:p>
        </w:tc>
        <w:tc>
          <w:tcPr>
            <w:tcW w:w="1018"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6" w:type="dxa"/>
            <w:tcBorders/>
            <w:vAlign w:val="center"/>
          </w:tcPr>
          <w:p>
            <w:pPr>
              <w:pStyle w:val="TableContents"/>
              <w:bidi w:val="0"/>
              <w:spacing w:before="0" w:after="283"/>
              <w:jc w:val="center"/>
              <w:rPr/>
            </w:pPr>
            <w:r>
              <w:rPr/>
              <w:t> </w:t>
            </w:r>
          </w:p>
        </w:tc>
        <w:tc>
          <w:tcPr>
            <w:tcW w:w="1022" w:type="dxa"/>
            <w:tcBorders/>
            <w:vAlign w:val="center"/>
          </w:tcPr>
          <w:p>
            <w:pPr>
              <w:pStyle w:val="TableContents"/>
              <w:bidi w:val="0"/>
              <w:spacing w:before="0" w:after="283"/>
              <w:jc w:val="center"/>
              <w:rPr/>
            </w:pPr>
            <w:r>
              <w:rPr/>
              <w:t> </w:t>
            </w:r>
          </w:p>
        </w:tc>
        <w:tc>
          <w:tcPr>
            <w:tcW w:w="232" w:type="dxa"/>
            <w:tcBorders/>
            <w:vAlign w:val="center"/>
          </w:tcPr>
          <w:p>
            <w:pPr>
              <w:pStyle w:val="TableContents"/>
              <w:bidi w:val="0"/>
              <w:spacing w:before="0" w:after="283"/>
              <w:jc w:val="center"/>
              <w:rPr/>
            </w:pPr>
            <w:r>
              <w:rPr/>
              <w:t> </w:t>
            </w:r>
          </w:p>
        </w:tc>
      </w:tr>
      <w:tr>
        <w:trPr/>
        <w:tc>
          <w:tcPr>
            <w:tcW w:w="7192" w:type="dxa"/>
            <w:tcBorders/>
            <w:vAlign w:val="center"/>
          </w:tcPr>
          <w:p>
            <w:pPr>
              <w:pStyle w:val="TableContents"/>
              <w:bidi w:val="0"/>
              <w:spacing w:before="0" w:after="0"/>
              <w:ind w:left="0" w:right="0" w:hanging="144"/>
              <w:jc w:val="left"/>
              <w:rPr/>
            </w:pPr>
            <w:r>
              <w:rPr/>
              <w:t xml:space="preserve">Current assets: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Cash and cash equivalents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87,630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22" w:type="dxa"/>
            <w:tcBorders/>
            <w:shd w:fill="CCEEFF" w:val="clear"/>
            <w:vAlign w:val="center"/>
          </w:tcPr>
          <w:p>
            <w:pPr>
              <w:pStyle w:val="TableContents"/>
              <w:bidi w:val="0"/>
              <w:spacing w:before="0" w:after="283"/>
              <w:jc w:val="right"/>
              <w:rPr/>
            </w:pPr>
            <w:r>
              <w:rPr/>
              <w:t>103,147</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Accounts receivable, net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158,429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49,999</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Inventories, net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206,465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170,235</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Prepaid expenses and other current assets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7,458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8,029</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Assets held for sale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center"/>
          </w:tcPr>
          <w:p>
            <w:pPr>
              <w:pStyle w:val="TableContents"/>
              <w:bidi w:val="0"/>
              <w:spacing w:before="0" w:after="283"/>
              <w:jc w:val="right"/>
              <w:rPr/>
            </w:pPr>
            <w:r>
              <w:rPr/>
              <w:t>6,530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r>
              <w:rPr/>
              <w:t xml:space="preserve">-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jc w:val="left"/>
              <w:rPr/>
            </w:pPr>
            <w:r>
              <w:rPr/>
              <w:t xml:space="preserve">Total current assets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466,512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331,410</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Property and equipment, net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65,057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54,707</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Intangible assets, net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632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460</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Goodwill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3,530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3,530</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Deferred tax assets, net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73,261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84,280</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Right-of-use assets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6,650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8,634</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Deposits and other assets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pPr>
            <w:r>
              <w:rPr/>
              <w:t>8,600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tcMar>
              <w:bottom w:w="28" w:type="dxa"/>
            </w:tcMar>
            <w:vAlign w:val="center"/>
          </w:tcPr>
          <w:p>
            <w:pPr>
              <w:pStyle w:val="TableContents"/>
              <w:bidi w:val="0"/>
              <w:spacing w:before="0" w:after="283"/>
              <w:jc w:val="right"/>
              <w:rPr/>
            </w:pPr>
            <w:r>
              <w:rPr/>
              <w:t>5,657</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b/>
              </w:rPr>
              <w:t>TOTAL ASSETS</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18" w:type="dxa"/>
            <w:tcBorders>
              <w:bottom w:val="double" w:sz="8" w:space="0" w:color="000000"/>
            </w:tcBorders>
            <w:shd w:fill="CCEEFF" w:val="clear"/>
            <w:tcMar>
              <w:bottom w:w="28" w:type="dxa"/>
            </w:tcMar>
            <w:vAlign w:val="center"/>
          </w:tcPr>
          <w:p>
            <w:pPr>
              <w:pStyle w:val="TableContents"/>
              <w:bidi w:val="0"/>
              <w:spacing w:before="0" w:after="283"/>
              <w:jc w:val="right"/>
              <w:rPr/>
            </w:pPr>
            <w:r>
              <w:rPr/>
              <w:t>624,242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86"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22" w:type="dxa"/>
            <w:tcBorders>
              <w:bottom w:val="double" w:sz="8" w:space="0" w:color="000000"/>
            </w:tcBorders>
            <w:shd w:fill="CCEEFF" w:val="clear"/>
            <w:tcMar>
              <w:bottom w:w="28" w:type="dxa"/>
            </w:tcMar>
            <w:vAlign w:val="center"/>
          </w:tcPr>
          <w:p>
            <w:pPr>
              <w:pStyle w:val="TableContents"/>
              <w:bidi w:val="0"/>
              <w:spacing w:before="0" w:after="283"/>
              <w:jc w:val="right"/>
              <w:rPr/>
            </w:pPr>
            <w:r>
              <w:rPr/>
              <w:t>488,678</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b/>
              </w:rPr>
            </w:pPr>
            <w:r>
              <w:rPr>
                <w:b/>
              </w:rPr>
              <w:t xml:space="preserve">LIABILITIES AND STOCKHOLDERS' EQUITY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Current liabilities: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Accounts payable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22,519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22" w:type="dxa"/>
            <w:tcBorders/>
            <w:shd w:fill="CCEEFF" w:val="clear"/>
            <w:vAlign w:val="center"/>
          </w:tcPr>
          <w:p>
            <w:pPr>
              <w:pStyle w:val="TableContents"/>
              <w:bidi w:val="0"/>
              <w:spacing w:before="0" w:after="283"/>
              <w:jc w:val="right"/>
              <w:rPr/>
            </w:pPr>
            <w:r>
              <w:rPr/>
              <w:t>20,219</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Accrued expenses and other current liabilities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40,466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34,105</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Current portion of long-term debt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2,813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xml:space="preserve">            </w:t>
            </w:r>
            <w:r>
              <w:rPr/>
              <w:t xml:space="preserve">- </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Current portion of lease obligations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1,096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1,218</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Liabilities held for sale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center"/>
          </w:tcPr>
          <w:p>
            <w:pPr>
              <w:pStyle w:val="TableContents"/>
              <w:bidi w:val="0"/>
              <w:spacing w:before="0" w:after="283"/>
              <w:jc w:val="right"/>
              <w:rPr/>
            </w:pPr>
            <w:r>
              <w:rPr/>
              <w:t>2,647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r>
              <w:rPr/>
              <w:t xml:space="preserve">-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Total current liabilities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69,541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55,542</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Long-term debt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69,330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72,337</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Deferred revenue, net of current portion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1,405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1,547</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End of term fee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1,313</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Lease obligations, net of current portion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6,646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8,561</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Other non-current liabilities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shd w:fill="CCEEFF" w:val="clear"/>
            <w:tcMar>
              <w:bottom w:w="28" w:type="dxa"/>
            </w:tcMar>
            <w:vAlign w:val="center"/>
          </w:tcPr>
          <w:p>
            <w:pPr>
              <w:pStyle w:val="TableContents"/>
              <w:bidi w:val="0"/>
              <w:spacing w:before="0" w:after="283"/>
              <w:jc w:val="right"/>
              <w:rPr/>
            </w:pPr>
            <w:r>
              <w:rPr/>
              <w:t>360</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b/>
              </w:rPr>
              <w:t>TOTAL LIABILITIES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pPr>
            <w:r>
              <w:rPr/>
              <w:t>146,922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tcMar>
              <w:bottom w:w="28" w:type="dxa"/>
            </w:tcMar>
            <w:vAlign w:val="center"/>
          </w:tcPr>
          <w:p>
            <w:pPr>
              <w:pStyle w:val="TableContents"/>
              <w:bidi w:val="0"/>
              <w:spacing w:before="0" w:after="283"/>
              <w:jc w:val="right"/>
              <w:rPr/>
            </w:pPr>
            <w:r>
              <w:rPr/>
              <w:t>139,660</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b/>
              </w:rPr>
              <w:t>COMMITMENTS AND CONTINGENCIES</w:t>
            </w:r>
            <w:r>
              <w:rPr/>
              <w:t xml:space="preserve">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0"/>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0"/>
              <w:jc w:val="right"/>
              <w:rPr/>
            </w:pPr>
            <w:r>
              <w:rPr/>
              <w:t> </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b/>
              </w:rPr>
            </w:pPr>
            <w:r>
              <w:rPr>
                <w:b/>
              </w:rPr>
              <w:t xml:space="preserve">STOCKHOLDERS' EQUITY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Preferred Stock, $0.0001 par value, 10,000,000 shares authorized, no shares issued and outstanding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xml:space="preserve">             </w:t>
            </w:r>
            <w:r>
              <w:rPr/>
              <w:t xml:space="preserve">- </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Common Stock - voting, $0.0001 par value, 300,000,000 shares authorized, December 31, 2025: 239,793,566 issued and 237,874,496 outstanding; December 31, 2024: 236,620,545 issued and outstanding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24</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jc w:val="left"/>
              <w:rPr/>
            </w:pPr>
            <w:r>
              <w:rPr/>
              <w:t xml:space="preserve">Treasury stock, at cost, 1,919,070 and 0 shares as of December 31, 2025 and December 31, 2024, respectively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(32,090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xml:space="preserve">            </w:t>
            </w:r>
            <w:r>
              <w:rPr/>
              <w:t xml:space="preserve">- </w:t>
            </w:r>
          </w:p>
        </w:tc>
        <w:tc>
          <w:tcPr>
            <w:tcW w:w="232"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pPr>
            <w:r>
              <w:rPr/>
              <w:t xml:space="preserve">Additional paid-in capital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671,039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657,577</w:t>
            </w:r>
          </w:p>
        </w:tc>
        <w:tc>
          <w:tcPr>
            <w:tcW w:w="232"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pPr>
            <w:r>
              <w:rPr/>
              <w:t xml:space="preserve">Accumulated deficit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center"/>
          </w:tcPr>
          <w:p>
            <w:pPr>
              <w:pStyle w:val="TableContents"/>
              <w:bidi w:val="0"/>
              <w:spacing w:before="0" w:after="283"/>
              <w:jc w:val="right"/>
              <w:rPr/>
            </w:pPr>
            <w:r>
              <w:rPr/>
              <w:t>(161,653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shd w:fill="CCEEFF" w:val="clear"/>
            <w:tcMar>
              <w:bottom w:w="28" w:type="dxa"/>
            </w:tcMar>
            <w:vAlign w:val="center"/>
          </w:tcPr>
          <w:p>
            <w:pPr>
              <w:pStyle w:val="TableContents"/>
              <w:bidi w:val="0"/>
              <w:spacing w:before="0" w:after="283"/>
              <w:jc w:val="right"/>
              <w:rPr/>
            </w:pPr>
            <w:r>
              <w:rPr/>
              <w:t>(308,583</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0"/>
              <w:ind w:left="0" w:right="0" w:hanging="144"/>
              <w:jc w:val="left"/>
              <w:rPr>
                <w:b/>
              </w:rPr>
            </w:pPr>
            <w:r>
              <w:rPr>
                <w:b/>
              </w:rPr>
              <w:t xml:space="preserve">TOTAL STOCKHOLDERS' EQUITY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pPr>
            <w:r>
              <w:rPr/>
              <w:t>477,320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tcMar>
              <w:bottom w:w="28" w:type="dxa"/>
            </w:tcMar>
            <w:vAlign w:val="center"/>
          </w:tcPr>
          <w:p>
            <w:pPr>
              <w:pStyle w:val="TableContents"/>
              <w:bidi w:val="0"/>
              <w:spacing w:before="0" w:after="283"/>
              <w:jc w:val="right"/>
              <w:rPr/>
            </w:pPr>
            <w:r>
              <w:rPr/>
              <w:t>349,018</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0"/>
              <w:ind w:left="0" w:right="0" w:hanging="144"/>
              <w:jc w:val="left"/>
              <w:rPr>
                <w:b/>
              </w:rPr>
            </w:pPr>
            <w:r>
              <w:rPr>
                <w:b/>
              </w:rPr>
              <w:t xml:space="preserve">TOTAL LIABILITIES AND STOCKHOLDERS' EQUITY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18" w:type="dxa"/>
            <w:tcBorders>
              <w:bottom w:val="double" w:sz="8" w:space="0" w:color="000000"/>
            </w:tcBorders>
            <w:shd w:fill="CCEEFF" w:val="clear"/>
            <w:tcMar>
              <w:bottom w:w="28" w:type="dxa"/>
            </w:tcMar>
            <w:vAlign w:val="center"/>
          </w:tcPr>
          <w:p>
            <w:pPr>
              <w:pStyle w:val="TableContents"/>
              <w:bidi w:val="0"/>
              <w:spacing w:before="0" w:after="283"/>
              <w:jc w:val="right"/>
              <w:rPr/>
            </w:pPr>
            <w:r>
              <w:rPr/>
              <w:t>624,242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86"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22" w:type="dxa"/>
            <w:tcBorders>
              <w:bottom w:val="double" w:sz="8" w:space="0" w:color="000000"/>
            </w:tcBorders>
            <w:shd w:fill="CCEEFF" w:val="clear"/>
            <w:tcMar>
              <w:bottom w:w="28" w:type="dxa"/>
            </w:tcMar>
            <w:vAlign w:val="center"/>
          </w:tcPr>
          <w:p>
            <w:pPr>
              <w:pStyle w:val="TableContents"/>
              <w:bidi w:val="0"/>
              <w:spacing w:before="0" w:after="283"/>
              <w:jc w:val="right"/>
              <w:rPr/>
            </w:pPr>
            <w:r>
              <w:rPr/>
              <w:t>488,678</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accompanying notes are an integral part of these consolidated financial statements.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F-6</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pPr>
      <w:r>
        <w:rPr/>
        <w:t> </w:t>
      </w: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bookmarkStart w:id="49" w:name="CONSOLIDATED_STATEMENTS_OF_OPERATIONS"/>
      <w:bookmarkEnd w:id="49"/>
      <w:r>
        <w:rPr>
          <w:rFonts w:ascii="TimesNewRoman;Times New Roman;Times;Baskerville;Georgia;serif" w:hAnsi="TimesNewRoman;Times New Roman;Times;Baskerville;Georgia;serif"/>
          <w:b/>
          <w:sz w:val="20"/>
        </w:rPr>
        <w:t>CONSOLIDATED STATEMENTS OF OPERATIONS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5075"/>
        <w:gridCol w:w="90"/>
        <w:gridCol w:w="170"/>
        <w:gridCol w:w="1250"/>
        <w:gridCol w:w="185"/>
        <w:gridCol w:w="90"/>
        <w:gridCol w:w="170"/>
        <w:gridCol w:w="1250"/>
        <w:gridCol w:w="185"/>
        <w:gridCol w:w="90"/>
        <w:gridCol w:w="170"/>
        <w:gridCol w:w="1250"/>
        <w:gridCol w:w="230"/>
      </w:tblGrid>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4810"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Years ended December 31,</w:t>
            </w:r>
            <w:r>
              <w:rPr/>
              <w:t xml:space="preserve"> </w:t>
            </w:r>
          </w:p>
        </w:tc>
        <w:tc>
          <w:tcPr>
            <w:tcW w:w="230" w:type="dxa"/>
            <w:tcBorders/>
            <w:vAlign w:val="center"/>
          </w:tcPr>
          <w:p>
            <w:pPr>
              <w:pStyle w:val="TableContents"/>
              <w:bidi w:val="0"/>
              <w:spacing w:before="0" w:after="283"/>
              <w:jc w:val="center"/>
              <w:rPr/>
            </w:pPr>
            <w:r>
              <w:rPr/>
              <w:t>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230" w:type="dxa"/>
            <w:tcBorders/>
            <w:vAlign w:val="center"/>
          </w:tcPr>
          <w:p>
            <w:pPr>
              <w:pStyle w:val="TableContents"/>
              <w:bidi w:val="0"/>
              <w:spacing w:before="0" w:after="283"/>
              <w:jc w:val="center"/>
              <w:rPr/>
            </w:pPr>
            <w:r>
              <w:rPr/>
              <w:t> </w:t>
            </w:r>
          </w:p>
        </w:tc>
      </w:tr>
      <w:tr>
        <w:trPr/>
        <w:tc>
          <w:tcPr>
            <w:tcW w:w="5075" w:type="dxa"/>
            <w:tcBorders/>
            <w:vAlign w:val="center"/>
          </w:tcPr>
          <w:p>
            <w:pPr>
              <w:pStyle w:val="TableContents"/>
              <w:bidi w:val="0"/>
              <w:spacing w:before="0" w:after="283"/>
              <w:jc w:val="left"/>
              <w:rPr/>
            </w:pPr>
            <w:r>
              <w:rPr/>
              <w:t> </w:t>
            </w:r>
          </w:p>
        </w:tc>
        <w:tc>
          <w:tcPr>
            <w:tcW w:w="5130" w:type="dxa"/>
            <w:gridSpan w:val="12"/>
            <w:tcBorders/>
            <w:vAlign w:val="center"/>
          </w:tcPr>
          <w:p>
            <w:pPr>
              <w:pStyle w:val="TableContents"/>
              <w:bidi w:val="0"/>
              <w:spacing w:before="0" w:after="283"/>
              <w:jc w:val="center"/>
              <w:rPr/>
            </w:pPr>
            <w:r>
              <w:rPr>
                <w:i/>
              </w:rPr>
              <w:t>(in thousands, except share and per share data)</w:t>
            </w:r>
            <w:r>
              <w:rPr/>
              <w:t xml:space="preserve">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25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25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144"/>
              <w:jc w:val="left"/>
              <w:rPr/>
            </w:pPr>
            <w:r>
              <w:rPr>
                <w:b/>
              </w:rPr>
              <w:t>REVENUES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510,173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426,454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258,215</w:t>
            </w:r>
          </w:p>
        </w:tc>
        <w:tc>
          <w:tcPr>
            <w:tcW w:w="23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0"/>
              <w:ind w:left="0" w:right="0" w:hanging="144"/>
              <w:jc w:val="left"/>
              <w:rPr/>
            </w:pPr>
            <w:r>
              <w:rPr/>
              <w:t xml:space="preserve">Cost of product revenue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217,408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206,901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169,273</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jc w:val="left"/>
              <w:rPr/>
            </w:pPr>
            <w:r>
              <w:rPr>
                <w:b/>
              </w:rPr>
              <w:t>Gross profit</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292,765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219,553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88,942</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5075" w:type="dxa"/>
            <w:tcBorders/>
            <w:shd w:fill="CCEEFF" w:val="clear"/>
            <w:vAlign w:val="center"/>
          </w:tcPr>
          <w:p>
            <w:pPr>
              <w:pStyle w:val="TableContents"/>
              <w:bidi w:val="0"/>
              <w:spacing w:before="0" w:after="0"/>
              <w:ind w:left="0" w:right="0" w:hanging="144"/>
              <w:jc w:val="left"/>
              <w:rPr/>
            </w:pPr>
            <w:r>
              <w:rPr>
                <w:b/>
              </w:rPr>
              <w:t>OPERATING EXPENSES: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right"/>
              <w:rPr/>
            </w:pPr>
            <w:r>
              <w:rPr/>
              <w:t> </w:t>
            </w:r>
          </w:p>
        </w:tc>
      </w:tr>
      <w:tr>
        <w:trPr/>
        <w:tc>
          <w:tcPr>
            <w:tcW w:w="5075" w:type="dxa"/>
            <w:tcBorders/>
            <w:vAlign w:val="center"/>
          </w:tcPr>
          <w:p>
            <w:pPr>
              <w:pStyle w:val="TableContents"/>
              <w:bidi w:val="0"/>
              <w:spacing w:before="0" w:after="0"/>
              <w:jc w:val="left"/>
              <w:rPr/>
            </w:pPr>
            <w:r>
              <w:rPr/>
              <w:t xml:space="preserve">Research and development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4,762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1,813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3,300</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jc w:val="left"/>
              <w:rPr/>
            </w:pPr>
            <w:r>
              <w:rPr/>
              <w:t xml:space="preserve">Plasma center operating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4,836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4,245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4,266</w:t>
            </w:r>
          </w:p>
        </w:tc>
        <w:tc>
          <w:tcPr>
            <w:tcW w:w="23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0"/>
              <w:jc w:val="left"/>
              <w:rPr/>
            </w:pPr>
            <w:r>
              <w:rPr/>
              <w:t xml:space="preserve">Amortization of intangible assets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144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724</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jc w:val="left"/>
              <w:rPr/>
            </w:pPr>
            <w:r>
              <w:rPr/>
              <w:t xml:space="preserve">Selling, general and administrative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91,580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74,124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59,020</w:t>
            </w:r>
          </w:p>
        </w:tc>
        <w:tc>
          <w:tcPr>
            <w:tcW w:w="23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0"/>
              <w:jc w:val="left"/>
              <w:rPr/>
            </w:pPr>
            <w:r>
              <w:rPr>
                <w:b/>
              </w:rPr>
              <w:t>Total operating expenses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101,322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80,570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67,310</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right"/>
              <w:rPr/>
            </w:pPr>
            <w:r>
              <w:rPr/>
              <w:t> </w:t>
            </w:r>
          </w:p>
        </w:tc>
      </w:tr>
      <w:tr>
        <w:trPr/>
        <w:tc>
          <w:tcPr>
            <w:tcW w:w="5075" w:type="dxa"/>
            <w:tcBorders/>
            <w:vAlign w:val="center"/>
          </w:tcPr>
          <w:p>
            <w:pPr>
              <w:pStyle w:val="TableContents"/>
              <w:bidi w:val="0"/>
              <w:spacing w:before="0" w:after="0"/>
              <w:ind w:left="0" w:right="0" w:hanging="144"/>
              <w:jc w:val="left"/>
              <w:rPr/>
            </w:pPr>
            <w:r>
              <w:rPr>
                <w:b/>
              </w:rPr>
              <w:t>INCOME FROM OPERATIONS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191,443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138,983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21,632</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right"/>
              <w:rPr/>
            </w:pPr>
            <w:r>
              <w:rPr/>
              <w:t> </w:t>
            </w:r>
          </w:p>
        </w:tc>
      </w:tr>
      <w:tr>
        <w:trPr/>
        <w:tc>
          <w:tcPr>
            <w:tcW w:w="5075" w:type="dxa"/>
            <w:tcBorders/>
            <w:vAlign w:val="center"/>
          </w:tcPr>
          <w:p>
            <w:pPr>
              <w:pStyle w:val="TableContents"/>
              <w:bidi w:val="0"/>
              <w:spacing w:before="0" w:after="0"/>
              <w:ind w:left="0" w:right="0" w:hanging="144"/>
              <w:jc w:val="left"/>
              <w:rPr/>
            </w:pPr>
            <w:r>
              <w:rPr>
                <w:b/>
              </w:rPr>
              <w:t>OTHER INCOME (EXPENSE):</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5075" w:type="dxa"/>
            <w:tcBorders/>
            <w:shd w:fill="CCEEFF" w:val="clear"/>
            <w:vAlign w:val="center"/>
          </w:tcPr>
          <w:p>
            <w:pPr>
              <w:pStyle w:val="TableContents"/>
              <w:bidi w:val="0"/>
              <w:spacing w:before="0" w:after="0"/>
              <w:jc w:val="left"/>
              <w:rPr/>
            </w:pPr>
            <w:r>
              <w:rPr/>
              <w:t xml:space="preserve">Interest income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2,097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1,617</w:t>
            </w:r>
          </w:p>
        </w:tc>
        <w:tc>
          <w:tcPr>
            <w:tcW w:w="23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0"/>
              <w:jc w:val="left"/>
              <w:rPr/>
            </w:pPr>
            <w:r>
              <w:rPr/>
              <w:t xml:space="preserve">Interest expense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(7,110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(13,930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(25,027</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jc w:val="left"/>
              <w:rPr/>
            </w:pPr>
            <w:r>
              <w:rPr/>
              <w:t xml:space="preserve">Loss on extinguishment of debt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(3,336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(26,174</w:t>
            </w:r>
          </w:p>
        </w:tc>
        <w:tc>
          <w:tcPr>
            <w:tcW w:w="23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0"/>
              <w:jc w:val="left"/>
              <w:rPr/>
            </w:pPr>
            <w:r>
              <w:rPr/>
              <w:t xml:space="preserve">Other expense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(287</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jc w:val="left"/>
              <w:rPr/>
            </w:pPr>
            <w:r>
              <w:rPr>
                <w:b/>
              </w:rPr>
              <w:t>Other expense, net</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(8,787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(13,269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(49,871</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5075" w:type="dxa"/>
            <w:tcBorders/>
            <w:shd w:fill="CCEEFF" w:val="clear"/>
            <w:vAlign w:val="center"/>
          </w:tcPr>
          <w:p>
            <w:pPr>
              <w:pStyle w:val="TableContents"/>
              <w:bidi w:val="0"/>
              <w:spacing w:before="0" w:after="0"/>
              <w:ind w:left="0" w:right="0" w:hanging="144"/>
              <w:jc w:val="left"/>
              <w:rPr/>
            </w:pPr>
            <w:r>
              <w:rPr>
                <w:b/>
              </w:rPr>
              <w:t>INCOME (LOSS) BEFORE INCOME TAXES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182,656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125,714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(28,239</w:t>
            </w:r>
          </w:p>
        </w:tc>
        <w:tc>
          <w:tcPr>
            <w:tcW w:w="23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5075" w:type="dxa"/>
            <w:tcBorders/>
            <w:shd w:fill="CCEEFF" w:val="clear"/>
            <w:vAlign w:val="center"/>
          </w:tcPr>
          <w:p>
            <w:pPr>
              <w:pStyle w:val="TableContents"/>
              <w:bidi w:val="0"/>
              <w:spacing w:before="0" w:after="0"/>
              <w:jc w:val="left"/>
              <w:rPr/>
            </w:pPr>
            <w:r>
              <w:rPr/>
              <w:t xml:space="preserve">Income tax expense (benefit)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35,726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(71,959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r>
              <w:rPr/>
              <w:t xml:space="preserve">- </w:t>
            </w:r>
          </w:p>
        </w:tc>
        <w:tc>
          <w:tcPr>
            <w:tcW w:w="23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5075" w:type="dxa"/>
            <w:tcBorders/>
            <w:shd w:fill="CCEEFF" w:val="clear"/>
            <w:vAlign w:val="center"/>
          </w:tcPr>
          <w:p>
            <w:pPr>
              <w:pStyle w:val="TableContents"/>
              <w:bidi w:val="0"/>
              <w:spacing w:before="0" w:after="0"/>
              <w:ind w:left="0" w:right="0" w:hanging="144"/>
              <w:jc w:val="left"/>
              <w:rPr/>
            </w:pPr>
            <w:r>
              <w:rPr>
                <w:b/>
              </w:rPr>
              <w:t>NET INCOME (LOSS)</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146,930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197,673</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(28,239</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5075" w:type="dxa"/>
            <w:tcBorders/>
            <w:shd w:fill="CCEEFF" w:val="clear"/>
            <w:vAlign w:val="center"/>
          </w:tcPr>
          <w:p>
            <w:pPr>
              <w:pStyle w:val="TableContents"/>
              <w:bidi w:val="0"/>
              <w:spacing w:before="0" w:after="0"/>
              <w:ind w:left="0" w:right="0" w:hanging="144"/>
              <w:jc w:val="left"/>
              <w:rPr/>
            </w:pPr>
            <w:r>
              <w:rPr>
                <w:b/>
              </w:rPr>
              <w:t>BASIC EARNINGS (LOSS) PER COMMON SHARE</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0.62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0.85</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(0.13</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0"/>
              <w:ind w:left="0" w:right="0" w:hanging="144"/>
              <w:jc w:val="left"/>
              <w:rPr/>
            </w:pPr>
            <w:r>
              <w:rPr>
                <w:b/>
              </w:rPr>
              <w:t>DILUTED EARNINGS (LOSS) PER COMMON SHARE</w:t>
            </w: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tcMar>
              <w:bottom w:w="28" w:type="dxa"/>
            </w:tcMar>
            <w:vAlign w:val="center"/>
          </w:tcPr>
          <w:p>
            <w:pPr>
              <w:pStyle w:val="TableContents"/>
              <w:bidi w:val="0"/>
              <w:spacing w:before="0" w:after="283"/>
              <w:jc w:val="right"/>
              <w:rPr/>
            </w:pPr>
            <w:r>
              <w:rPr/>
              <w:t>0.60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tcMar>
              <w:bottom w:w="28" w:type="dxa"/>
            </w:tcMar>
            <w:vAlign w:val="center"/>
          </w:tcPr>
          <w:p>
            <w:pPr>
              <w:pStyle w:val="TableContents"/>
              <w:bidi w:val="0"/>
              <w:spacing w:before="0" w:after="283"/>
              <w:jc w:val="right"/>
              <w:rPr/>
            </w:pPr>
            <w:r>
              <w:rPr/>
              <w:t>0.81</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tcMar>
              <w:bottom w:w="28" w:type="dxa"/>
            </w:tcMar>
            <w:vAlign w:val="center"/>
          </w:tcPr>
          <w:p>
            <w:pPr>
              <w:pStyle w:val="TableContents"/>
              <w:bidi w:val="0"/>
              <w:spacing w:before="0" w:after="283"/>
              <w:jc w:val="right"/>
              <w:rPr/>
            </w:pPr>
            <w:r>
              <w:rPr/>
              <w:t>(0.13</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right"/>
              <w:rPr/>
            </w:pPr>
            <w:r>
              <w:rPr/>
              <w:t> </w:t>
            </w:r>
          </w:p>
        </w:tc>
      </w:tr>
      <w:tr>
        <w:trPr/>
        <w:tc>
          <w:tcPr>
            <w:tcW w:w="5075" w:type="dxa"/>
            <w:tcBorders/>
            <w:vAlign w:val="center"/>
          </w:tcPr>
          <w:p>
            <w:pPr>
              <w:pStyle w:val="TableContents"/>
              <w:bidi w:val="0"/>
              <w:spacing w:before="0" w:after="0"/>
              <w:ind w:left="0" w:right="0" w:hanging="144"/>
              <w:jc w:val="left"/>
              <w:rPr/>
            </w:pPr>
            <w:r>
              <w:rPr>
                <w:b/>
              </w:rPr>
              <w:t>WEIGHTED AVERAGE COMMON SHARES OUTSTANDING:</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5075" w:type="dxa"/>
            <w:tcBorders/>
            <w:shd w:fill="CCEEFF" w:val="clear"/>
            <w:vAlign w:val="center"/>
          </w:tcPr>
          <w:p>
            <w:pPr>
              <w:pStyle w:val="TableContents"/>
              <w:bidi w:val="0"/>
              <w:spacing w:before="0" w:after="0"/>
              <w:jc w:val="left"/>
              <w:rPr/>
            </w:pPr>
            <w:r>
              <w:rPr>
                <w:b/>
              </w:rPr>
              <w:t>Basic</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238,299,024</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233,084,236</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223,977,315</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0"/>
              <w:jc w:val="left"/>
              <w:rPr/>
            </w:pPr>
            <w:r>
              <w:rPr>
                <w:b/>
              </w:rPr>
              <w:t>Diluted</w:t>
            </w: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244,904,640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243,342,466</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223,977,315</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accompanying notes are an integral part of these consolidated financial statements. </w:t>
      </w:r>
    </w:p>
    <w:p>
      <w:pPr>
        <w:pStyle w:val="TextBody"/>
        <w:bidi w:val="0"/>
        <w:spacing w:before="0" w:after="0"/>
        <w:jc w:val="center"/>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F-7</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bookmarkStart w:id="50" w:name="CHANGES_IN_STOCKHOLDERS_EQUITY"/>
      <w:bookmarkEnd w:id="50"/>
      <w:r>
        <w:rPr>
          <w:rFonts w:ascii="TimesNewRoman;Times New Roman;Times;Baskerville;Georgia;serif" w:hAnsi="TimesNewRoman;Times New Roman;Times;Baskerville;Georgia;serif"/>
          <w:b/>
          <w:sz w:val="20"/>
        </w:rPr>
        <w:t>CONSOLIDATED STATEMENTS OF CHANGES IN STOCKHOLDERS’ EQUITY</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(in thousands, except share data)</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tbl>
      <w:tblPr>
        <w:tblW w:w="10988" w:type="dxa"/>
        <w:jc w:val="left"/>
        <w:tblInd w:w="0" w:type="dxa"/>
        <w:tblLayout w:type="fixed"/>
        <w:tblCellMar>
          <w:top w:w="0" w:type="dxa"/>
          <w:left w:w="0" w:type="dxa"/>
          <w:bottom w:w="0" w:type="dxa"/>
          <w:right w:w="0" w:type="dxa"/>
        </w:tblCellMar>
      </w:tblPr>
      <w:tblGrid>
        <w:gridCol w:w="1226"/>
        <w:gridCol w:w="90"/>
        <w:gridCol w:w="90"/>
        <w:gridCol w:w="1250"/>
        <w:gridCol w:w="90"/>
        <w:gridCol w:w="90"/>
        <w:gridCol w:w="90"/>
        <w:gridCol w:w="746"/>
        <w:gridCol w:w="90"/>
        <w:gridCol w:w="90"/>
        <w:gridCol w:w="90"/>
        <w:gridCol w:w="986"/>
        <w:gridCol w:w="185"/>
        <w:gridCol w:w="90"/>
        <w:gridCol w:w="90"/>
        <w:gridCol w:w="1265"/>
        <w:gridCol w:w="185"/>
        <w:gridCol w:w="90"/>
        <w:gridCol w:w="90"/>
        <w:gridCol w:w="1085"/>
        <w:gridCol w:w="185"/>
        <w:gridCol w:w="90"/>
        <w:gridCol w:w="90"/>
        <w:gridCol w:w="785"/>
        <w:gridCol w:w="185"/>
        <w:gridCol w:w="90"/>
        <w:gridCol w:w="90"/>
        <w:gridCol w:w="1235"/>
        <w:gridCol w:w="230"/>
      </w:tblGrid>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0988" w:type="dxa"/>
            <w:gridSpan w:val="29"/>
            <w:tcBorders/>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0"/>
              <w:ind w:left="0" w:right="0" w:hanging="144"/>
              <w:jc w:val="center"/>
              <w:rPr/>
            </w:pPr>
            <w:r>
              <w:rPr>
                <w:b/>
              </w:rPr>
              <w:t>Additional</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ind w:left="0" w:right="0" w:hanging="144"/>
              <w:jc w:val="center"/>
              <w:rPr/>
            </w:pPr>
            <w:r>
              <w:rPr>
                <w:b/>
              </w:rPr>
              <w:t>Total</w:t>
            </w:r>
            <w:r>
              <w:rPr/>
              <w:t xml:space="preserve"> </w:t>
            </w:r>
          </w:p>
        </w:tc>
        <w:tc>
          <w:tcPr>
            <w:tcW w:w="230" w:type="dxa"/>
            <w:tcBorders/>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6" w:type="dxa"/>
            <w:gridSpan w:val="6"/>
            <w:tcBorders>
              <w:bottom w:val="single" w:sz="12" w:space="0" w:color="000000"/>
            </w:tcBorders>
            <w:tcMar>
              <w:bottom w:w="28" w:type="dxa"/>
            </w:tcMar>
            <w:vAlign w:val="center"/>
          </w:tcPr>
          <w:p>
            <w:pPr>
              <w:pStyle w:val="TableContents"/>
              <w:bidi w:val="0"/>
              <w:spacing w:before="0" w:after="283"/>
              <w:ind w:left="0" w:right="0" w:hanging="135"/>
              <w:jc w:val="center"/>
              <w:rPr/>
            </w:pPr>
            <w:r>
              <w:rPr>
                <w:b/>
                <w:spacing w:val="0"/>
              </w:rPr>
              <w:t>Common Stock</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ind w:left="0" w:right="0" w:hanging="135"/>
              <w:jc w:val="center"/>
              <w:rPr>
                <w:b/>
                <w:spacing w:val="0"/>
              </w:rPr>
            </w:pPr>
            <w:r>
              <w:rPr>
                <w:b/>
                <w:spacing w:val="0"/>
              </w:rPr>
              <w:t>Paid-in</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ind w:left="0" w:right="0" w:hanging="135"/>
              <w:jc w:val="center"/>
              <w:rPr>
                <w:b/>
                <w:spacing w:val="0"/>
              </w:rPr>
            </w:pPr>
            <w:r>
              <w:rPr>
                <w:b/>
                <w:spacing w:val="0"/>
              </w:rPr>
              <w:t>Accumulated</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235" w:type="dxa"/>
            <w:gridSpan w:val="5"/>
            <w:tcBorders>
              <w:bottom w:val="single" w:sz="12" w:space="0" w:color="000000"/>
            </w:tcBorders>
            <w:tcMar>
              <w:bottom w:w="28" w:type="dxa"/>
            </w:tcMar>
            <w:vAlign w:val="center"/>
          </w:tcPr>
          <w:p>
            <w:pPr>
              <w:pStyle w:val="TableContents"/>
              <w:bidi w:val="0"/>
              <w:spacing w:before="0" w:after="283"/>
              <w:ind w:left="0" w:right="0" w:hanging="135"/>
              <w:jc w:val="center"/>
              <w:rPr/>
            </w:pPr>
            <w:r>
              <w:rPr>
                <w:b/>
                <w:spacing w:val="0"/>
              </w:rPr>
              <w:t>Treasury Stock</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ind w:left="0" w:right="0" w:hanging="135"/>
              <w:jc w:val="center"/>
              <w:rPr>
                <w:b/>
                <w:spacing w:val="0"/>
              </w:rPr>
            </w:pPr>
            <w:r>
              <w:rPr>
                <w:b/>
                <w:spacing w:val="0"/>
              </w:rPr>
              <w:t>Stockholders'</w:t>
            </w:r>
          </w:p>
        </w:tc>
        <w:tc>
          <w:tcPr>
            <w:tcW w:w="230" w:type="dxa"/>
            <w:tcBorders/>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ind w:left="0" w:right="0" w:hanging="144"/>
              <w:jc w:val="center"/>
              <w:rPr/>
            </w:pPr>
            <w:r>
              <w:rPr>
                <w:b/>
              </w:rPr>
              <w:t>Shares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tcMar>
              <w:bottom w:w="28" w:type="dxa"/>
            </w:tcMar>
            <w:vAlign w:val="center"/>
          </w:tcPr>
          <w:p>
            <w:pPr>
              <w:pStyle w:val="TableContents"/>
              <w:bidi w:val="0"/>
              <w:spacing w:before="0" w:after="0"/>
              <w:ind w:left="0" w:right="0" w:hanging="144"/>
              <w:jc w:val="center"/>
              <w:rPr/>
            </w:pPr>
            <w:r>
              <w:rPr>
                <w:b/>
              </w:rPr>
              <w:t>Amount</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tcMar>
              <w:bottom w:w="28" w:type="dxa"/>
            </w:tcMar>
            <w:vAlign w:val="center"/>
          </w:tcPr>
          <w:p>
            <w:pPr>
              <w:pStyle w:val="TableContents"/>
              <w:bidi w:val="0"/>
              <w:spacing w:before="0" w:after="0"/>
              <w:ind w:left="0" w:right="0" w:hanging="144"/>
              <w:jc w:val="center"/>
              <w:rPr/>
            </w:pPr>
            <w:r>
              <w:rPr>
                <w:b/>
              </w:rPr>
              <w:t>Capital</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tcMar>
              <w:bottom w:w="28" w:type="dxa"/>
            </w:tcMar>
            <w:vAlign w:val="center"/>
          </w:tcPr>
          <w:p>
            <w:pPr>
              <w:pStyle w:val="TableContents"/>
              <w:bidi w:val="0"/>
              <w:spacing w:before="0" w:after="0"/>
              <w:ind w:left="0" w:right="0" w:hanging="144"/>
              <w:jc w:val="center"/>
              <w:rPr/>
            </w:pPr>
            <w:r>
              <w:rPr>
                <w:b/>
              </w:rPr>
              <w:t>Deficit</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ind w:left="0" w:right="0" w:hanging="144"/>
              <w:jc w:val="center"/>
              <w:rPr/>
            </w:pPr>
            <w:r>
              <w:rPr>
                <w:b/>
              </w:rPr>
              <w:t>Shares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ind w:left="0" w:right="0" w:hanging="144"/>
              <w:jc w:val="center"/>
              <w:rPr/>
            </w:pPr>
            <w:r>
              <w:rPr>
                <w:b/>
              </w:rPr>
              <w:t>Amount</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tcMar>
              <w:bottom w:w="28" w:type="dxa"/>
            </w:tcMar>
            <w:vAlign w:val="center"/>
          </w:tcPr>
          <w:p>
            <w:pPr>
              <w:pStyle w:val="TableContents"/>
              <w:bidi w:val="0"/>
              <w:spacing w:before="0" w:after="0"/>
              <w:ind w:left="0" w:right="0" w:hanging="144"/>
              <w:jc w:val="center"/>
              <w:rPr/>
            </w:pPr>
            <w:r>
              <w:rPr>
                <w:b/>
              </w:rPr>
              <w:t>Equity</w:t>
            </w:r>
            <w:r>
              <w:rPr/>
              <w:t xml:space="preserve"> </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b/>
              </w:rPr>
              <w:t>Balance at December 31, 2022</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50" w:type="dxa"/>
            <w:tcBorders/>
            <w:shd w:fill="CCEEFF" w:val="clear"/>
            <w:vAlign w:val="center"/>
          </w:tcPr>
          <w:p>
            <w:pPr>
              <w:pStyle w:val="TableContents"/>
              <w:bidi w:val="0"/>
              <w:spacing w:before="0" w:after="283"/>
              <w:jc w:val="right"/>
              <w:rPr/>
            </w:pPr>
            <w:r>
              <w:rPr/>
              <w:t>221,816,930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746" w:type="dxa"/>
            <w:tcBorders/>
            <w:shd w:fill="CCEEFF" w:val="clear"/>
            <w:vAlign w:val="center"/>
          </w:tcPr>
          <w:p>
            <w:pPr>
              <w:pStyle w:val="TableContents"/>
              <w:bidi w:val="0"/>
              <w:spacing w:before="0" w:after="283"/>
              <w:jc w:val="right"/>
              <w:rPr/>
            </w:pPr>
            <w:r>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986" w:type="dxa"/>
            <w:tcBorders/>
            <w:shd w:fill="CCEEFF" w:val="clear"/>
            <w:vAlign w:val="center"/>
          </w:tcPr>
          <w:p>
            <w:pPr>
              <w:pStyle w:val="TableContents"/>
              <w:bidi w:val="0"/>
              <w:spacing w:before="0" w:after="283"/>
              <w:jc w:val="right"/>
              <w:rPr/>
            </w:pPr>
            <w:r>
              <w:rPr/>
              <w:t>629,969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265" w:type="dxa"/>
            <w:tcBorders/>
            <w:shd w:fill="CCEEFF" w:val="clear"/>
            <w:vAlign w:val="center"/>
          </w:tcPr>
          <w:p>
            <w:pPr>
              <w:pStyle w:val="TableContents"/>
              <w:bidi w:val="0"/>
              <w:spacing w:before="0" w:after="283"/>
              <w:jc w:val="right"/>
              <w:rPr/>
            </w:pPr>
            <w:r>
              <w:rPr/>
              <w:t>(478,017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785"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235" w:type="dxa"/>
            <w:tcBorders/>
            <w:shd w:fill="CCEEFF" w:val="clear"/>
            <w:vAlign w:val="center"/>
          </w:tcPr>
          <w:p>
            <w:pPr>
              <w:pStyle w:val="TableContents"/>
              <w:bidi w:val="0"/>
              <w:spacing w:before="0" w:after="283"/>
              <w:jc w:val="right"/>
              <w:rPr/>
            </w:pPr>
            <w:r>
              <w:rPr/>
              <w:t>151,974</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Stock-based compensation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5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46"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986" w:type="dxa"/>
            <w:tcBorders/>
            <w:vAlign w:val="center"/>
          </w:tcPr>
          <w:p>
            <w:pPr>
              <w:pStyle w:val="TableContents"/>
              <w:bidi w:val="0"/>
              <w:spacing w:before="0" w:after="283"/>
              <w:jc w:val="right"/>
              <w:rPr/>
            </w:pPr>
            <w:r>
              <w:rPr/>
              <w:t>6,187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0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35" w:type="dxa"/>
            <w:tcBorders/>
            <w:vAlign w:val="center"/>
          </w:tcPr>
          <w:p>
            <w:pPr>
              <w:pStyle w:val="TableContents"/>
              <w:bidi w:val="0"/>
              <w:spacing w:before="0" w:after="283"/>
              <w:jc w:val="right"/>
              <w:rPr/>
            </w:pPr>
            <w:r>
              <w:rPr/>
              <w:t>6,187</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Vesting of Restricted Stock Units, net of shares withheld for taxes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50" w:type="dxa"/>
            <w:tcBorders/>
            <w:shd w:fill="CCEEFF" w:val="clear"/>
            <w:vAlign w:val="center"/>
          </w:tcPr>
          <w:p>
            <w:pPr>
              <w:pStyle w:val="TableContents"/>
              <w:bidi w:val="0"/>
              <w:spacing w:before="0" w:after="283"/>
              <w:jc w:val="right"/>
              <w:rPr/>
            </w:pPr>
            <w:r>
              <w:rPr/>
              <w:t>833,722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46"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986" w:type="dxa"/>
            <w:tcBorders/>
            <w:shd w:fill="CCEEFF" w:val="clear"/>
            <w:vAlign w:val="center"/>
          </w:tcPr>
          <w:p>
            <w:pPr>
              <w:pStyle w:val="TableContents"/>
              <w:bidi w:val="0"/>
              <w:spacing w:before="0" w:after="283"/>
              <w:jc w:val="right"/>
              <w:rPr/>
            </w:pPr>
            <w:r>
              <w:rPr/>
              <w:t>(1,415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6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35" w:type="dxa"/>
            <w:tcBorders/>
            <w:shd w:fill="CCEEFF" w:val="clear"/>
            <w:vAlign w:val="center"/>
          </w:tcPr>
          <w:p>
            <w:pPr>
              <w:pStyle w:val="TableContents"/>
              <w:bidi w:val="0"/>
              <w:spacing w:before="0" w:after="283"/>
              <w:jc w:val="right"/>
              <w:rPr/>
            </w:pPr>
            <w:r>
              <w:rPr/>
              <w:t>(1,415</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Warrants issued in connection with notes payable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5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46"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986" w:type="dxa"/>
            <w:tcBorders/>
            <w:vAlign w:val="center"/>
          </w:tcPr>
          <w:p>
            <w:pPr>
              <w:pStyle w:val="TableContents"/>
              <w:bidi w:val="0"/>
              <w:spacing w:before="0" w:after="283"/>
              <w:jc w:val="right"/>
              <w:rPr/>
            </w:pPr>
            <w:r>
              <w:rPr/>
              <w:t>5,595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0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35" w:type="dxa"/>
            <w:tcBorders/>
            <w:vAlign w:val="center"/>
          </w:tcPr>
          <w:p>
            <w:pPr>
              <w:pStyle w:val="TableContents"/>
              <w:bidi w:val="0"/>
              <w:spacing w:before="0" w:after="283"/>
              <w:jc w:val="right"/>
              <w:rPr/>
            </w:pPr>
            <w:r>
              <w:rPr/>
              <w:t>5,595</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Exercise of stock options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50" w:type="dxa"/>
            <w:tcBorders/>
            <w:shd w:fill="CCEEFF" w:val="clear"/>
            <w:vAlign w:val="center"/>
          </w:tcPr>
          <w:p>
            <w:pPr>
              <w:pStyle w:val="TableContents"/>
              <w:bidi w:val="0"/>
              <w:spacing w:before="0" w:after="283"/>
              <w:jc w:val="right"/>
              <w:rPr/>
            </w:pPr>
            <w:r>
              <w:rPr/>
              <w:t>1,444,533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46"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986" w:type="dxa"/>
            <w:tcBorders/>
            <w:shd w:fill="CCEEFF" w:val="clear"/>
            <w:vAlign w:val="center"/>
          </w:tcPr>
          <w:p>
            <w:pPr>
              <w:pStyle w:val="TableContents"/>
              <w:bidi w:val="0"/>
              <w:spacing w:before="0" w:after="283"/>
              <w:jc w:val="right"/>
              <w:rPr/>
            </w:pPr>
            <w:r>
              <w:rPr/>
              <w:t>1,103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6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35" w:type="dxa"/>
            <w:tcBorders/>
            <w:shd w:fill="CCEEFF" w:val="clear"/>
            <w:vAlign w:val="center"/>
          </w:tcPr>
          <w:p>
            <w:pPr>
              <w:pStyle w:val="TableContents"/>
              <w:bidi w:val="0"/>
              <w:spacing w:before="0" w:after="283"/>
              <w:jc w:val="right"/>
              <w:rPr/>
            </w:pPr>
            <w:r>
              <w:rPr/>
              <w:t>1,104</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Cashless exercise of warrants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50" w:type="dxa"/>
            <w:tcBorders/>
            <w:vAlign w:val="center"/>
          </w:tcPr>
          <w:p>
            <w:pPr>
              <w:pStyle w:val="TableContents"/>
              <w:bidi w:val="0"/>
              <w:spacing w:before="0" w:after="283"/>
              <w:jc w:val="right"/>
              <w:rPr/>
            </w:pPr>
            <w:r>
              <w:rPr/>
              <w:t>1,967,847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46"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98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0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35"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Net loss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(28,239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235" w:type="dxa"/>
            <w:tcBorders>
              <w:bottom w:val="single" w:sz="12" w:space="0" w:color="000000"/>
            </w:tcBorders>
            <w:shd w:fill="CCEEFF" w:val="clear"/>
            <w:tcMar>
              <w:bottom w:w="28" w:type="dxa"/>
            </w:tcMar>
            <w:vAlign w:val="center"/>
          </w:tcPr>
          <w:p>
            <w:pPr>
              <w:pStyle w:val="TableContents"/>
              <w:bidi w:val="0"/>
              <w:spacing w:before="0" w:after="283"/>
              <w:jc w:val="right"/>
              <w:rPr/>
            </w:pPr>
            <w:r>
              <w:rPr/>
              <w:t>(28,239</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b/>
              </w:rPr>
              <w:t>Balance at December 31, 2023</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226,063,032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746" w:type="dxa"/>
            <w:tcBorders>
              <w:bottom w:val="single" w:sz="12" w:space="0" w:color="000000"/>
            </w:tcBorders>
            <w:tcMar>
              <w:bottom w:w="28" w:type="dxa"/>
            </w:tcMar>
            <w:vAlign w:val="center"/>
          </w:tcPr>
          <w:p>
            <w:pPr>
              <w:pStyle w:val="TableContents"/>
              <w:bidi w:val="0"/>
              <w:spacing w:before="0" w:after="283"/>
              <w:jc w:val="right"/>
              <w:rPr/>
            </w:pPr>
            <w:r>
              <w:rPr/>
              <w:t>23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986" w:type="dxa"/>
            <w:tcBorders>
              <w:bottom w:val="single" w:sz="12" w:space="0" w:color="000000"/>
            </w:tcBorders>
            <w:tcMar>
              <w:bottom w:w="28" w:type="dxa"/>
            </w:tcMar>
            <w:vAlign w:val="center"/>
          </w:tcPr>
          <w:p>
            <w:pPr>
              <w:pStyle w:val="TableContents"/>
              <w:bidi w:val="0"/>
              <w:spacing w:before="0" w:after="283"/>
              <w:jc w:val="right"/>
              <w:rPr/>
            </w:pPr>
            <w:r>
              <w:rPr/>
              <w:t>641,439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265" w:type="dxa"/>
            <w:tcBorders>
              <w:bottom w:val="single" w:sz="12" w:space="0" w:color="000000"/>
            </w:tcBorders>
            <w:tcMar>
              <w:bottom w:w="28" w:type="dxa"/>
            </w:tcMar>
            <w:vAlign w:val="center"/>
          </w:tcPr>
          <w:p>
            <w:pPr>
              <w:pStyle w:val="TableContents"/>
              <w:bidi w:val="0"/>
              <w:spacing w:before="0" w:after="283"/>
              <w:jc w:val="right"/>
              <w:rPr/>
            </w:pPr>
            <w:r>
              <w:rPr/>
              <w:t>(506,256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235" w:type="dxa"/>
            <w:tcBorders>
              <w:bottom w:val="single" w:sz="12" w:space="0" w:color="000000"/>
            </w:tcBorders>
            <w:tcMar>
              <w:bottom w:w="28" w:type="dxa"/>
            </w:tcMar>
            <w:vAlign w:val="center"/>
          </w:tcPr>
          <w:p>
            <w:pPr>
              <w:pStyle w:val="TableContents"/>
              <w:bidi w:val="0"/>
              <w:spacing w:before="0" w:after="283"/>
              <w:jc w:val="right"/>
              <w:rPr/>
            </w:pPr>
            <w:r>
              <w:rPr/>
              <w:t>135,206</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Stock-based compensation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5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46"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986" w:type="dxa"/>
            <w:tcBorders/>
            <w:shd w:fill="CCEEFF" w:val="clear"/>
            <w:vAlign w:val="center"/>
          </w:tcPr>
          <w:p>
            <w:pPr>
              <w:pStyle w:val="TableContents"/>
              <w:bidi w:val="0"/>
              <w:spacing w:before="0" w:after="283"/>
              <w:jc w:val="right"/>
              <w:rPr/>
            </w:pPr>
            <w:r>
              <w:rPr/>
              <w:t>13,616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6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35" w:type="dxa"/>
            <w:tcBorders/>
            <w:shd w:fill="CCEEFF" w:val="clear"/>
            <w:vAlign w:val="center"/>
          </w:tcPr>
          <w:p>
            <w:pPr>
              <w:pStyle w:val="TableContents"/>
              <w:bidi w:val="0"/>
              <w:spacing w:before="0" w:after="283"/>
              <w:jc w:val="right"/>
              <w:rPr/>
            </w:pPr>
            <w:r>
              <w:rPr/>
              <w:t>13,616</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Vesting of Restricted Stock Units, net of shares withheld for taxes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50" w:type="dxa"/>
            <w:tcBorders/>
            <w:vAlign w:val="center"/>
          </w:tcPr>
          <w:p>
            <w:pPr>
              <w:pStyle w:val="TableContents"/>
              <w:bidi w:val="0"/>
              <w:spacing w:before="0" w:after="283"/>
              <w:jc w:val="right"/>
              <w:rPr/>
            </w:pPr>
            <w:r>
              <w:rPr/>
              <w:t>1,344,555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46"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986" w:type="dxa"/>
            <w:tcBorders/>
            <w:vAlign w:val="center"/>
          </w:tcPr>
          <w:p>
            <w:pPr>
              <w:pStyle w:val="TableContents"/>
              <w:bidi w:val="0"/>
              <w:spacing w:before="0" w:after="283"/>
              <w:jc w:val="right"/>
              <w:rPr/>
            </w:pPr>
            <w:r>
              <w:rPr/>
              <w:t>(4,971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0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35" w:type="dxa"/>
            <w:tcBorders/>
            <w:vAlign w:val="center"/>
          </w:tcPr>
          <w:p>
            <w:pPr>
              <w:pStyle w:val="TableContents"/>
              <w:bidi w:val="0"/>
              <w:spacing w:before="0" w:after="283"/>
              <w:jc w:val="right"/>
              <w:rPr/>
            </w:pPr>
            <w:r>
              <w:rPr/>
              <w:t>(4,971</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Exercise of stock options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50" w:type="dxa"/>
            <w:tcBorders/>
            <w:shd w:fill="CCEEFF" w:val="clear"/>
            <w:vAlign w:val="center"/>
          </w:tcPr>
          <w:p>
            <w:pPr>
              <w:pStyle w:val="TableContents"/>
              <w:bidi w:val="0"/>
              <w:spacing w:before="0" w:after="283"/>
              <w:jc w:val="right"/>
              <w:rPr/>
            </w:pPr>
            <w:r>
              <w:rPr/>
              <w:t>1,988,066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46"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986" w:type="dxa"/>
            <w:tcBorders/>
            <w:shd w:fill="CCEEFF" w:val="clear"/>
            <w:vAlign w:val="center"/>
          </w:tcPr>
          <w:p>
            <w:pPr>
              <w:pStyle w:val="TableContents"/>
              <w:bidi w:val="0"/>
              <w:spacing w:before="0" w:after="283"/>
              <w:jc w:val="right"/>
              <w:rPr/>
            </w:pPr>
            <w:r>
              <w:rPr/>
              <w:t>7,494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6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35" w:type="dxa"/>
            <w:tcBorders/>
            <w:shd w:fill="CCEEFF" w:val="clear"/>
            <w:vAlign w:val="center"/>
          </w:tcPr>
          <w:p>
            <w:pPr>
              <w:pStyle w:val="TableContents"/>
              <w:bidi w:val="0"/>
              <w:spacing w:before="0" w:after="283"/>
              <w:jc w:val="right"/>
              <w:rPr/>
            </w:pPr>
            <w:r>
              <w:rPr/>
              <w:t>7,494</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Cashless exercise of warrants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50" w:type="dxa"/>
            <w:tcBorders/>
            <w:vAlign w:val="center"/>
          </w:tcPr>
          <w:p>
            <w:pPr>
              <w:pStyle w:val="TableContents"/>
              <w:bidi w:val="0"/>
              <w:spacing w:before="0" w:after="283"/>
              <w:jc w:val="right"/>
              <w:rPr/>
            </w:pPr>
            <w:r>
              <w:rPr/>
              <w:t>7,224,892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46"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986" w:type="dxa"/>
            <w:tcBorders/>
            <w:vAlign w:val="center"/>
          </w:tcPr>
          <w:p>
            <w:pPr>
              <w:pStyle w:val="TableContents"/>
              <w:bidi w:val="0"/>
              <w:spacing w:before="0" w:after="283"/>
              <w:jc w:val="right"/>
              <w:rPr/>
            </w:pPr>
            <w:r>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0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35"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197,673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235" w:type="dxa"/>
            <w:tcBorders>
              <w:bottom w:val="single" w:sz="12" w:space="0" w:color="000000"/>
            </w:tcBorders>
            <w:shd w:fill="CCEEFF" w:val="clear"/>
            <w:tcMar>
              <w:bottom w:w="28" w:type="dxa"/>
            </w:tcMar>
            <w:vAlign w:val="center"/>
          </w:tcPr>
          <w:p>
            <w:pPr>
              <w:pStyle w:val="TableContents"/>
              <w:bidi w:val="0"/>
              <w:spacing w:before="0" w:after="283"/>
              <w:jc w:val="right"/>
              <w:rPr/>
            </w:pPr>
            <w:r>
              <w:rPr/>
              <w:t>197,673</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b/>
              </w:rPr>
              <w:t>Balance at December 31, 2024</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236,620,545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746" w:type="dxa"/>
            <w:tcBorders>
              <w:bottom w:val="single" w:sz="12" w:space="0" w:color="000000"/>
            </w:tcBorders>
            <w:tcMar>
              <w:bottom w:w="28" w:type="dxa"/>
            </w:tcMar>
            <w:vAlign w:val="center"/>
          </w:tcPr>
          <w:p>
            <w:pPr>
              <w:pStyle w:val="TableContents"/>
              <w:bidi w:val="0"/>
              <w:spacing w:before="0" w:after="283"/>
              <w:jc w:val="right"/>
              <w:rPr/>
            </w:pPr>
            <w:r>
              <w:rPr/>
              <w:t>24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986" w:type="dxa"/>
            <w:tcBorders>
              <w:bottom w:val="single" w:sz="12" w:space="0" w:color="000000"/>
            </w:tcBorders>
            <w:tcMar>
              <w:bottom w:w="28" w:type="dxa"/>
            </w:tcMar>
            <w:vAlign w:val="center"/>
          </w:tcPr>
          <w:p>
            <w:pPr>
              <w:pStyle w:val="TableContents"/>
              <w:bidi w:val="0"/>
              <w:spacing w:before="0" w:after="283"/>
              <w:jc w:val="right"/>
              <w:rPr/>
            </w:pPr>
            <w:r>
              <w:rPr/>
              <w:t>657,577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265" w:type="dxa"/>
            <w:tcBorders>
              <w:bottom w:val="single" w:sz="12" w:space="0" w:color="000000"/>
            </w:tcBorders>
            <w:tcMar>
              <w:bottom w:w="28" w:type="dxa"/>
            </w:tcMar>
            <w:vAlign w:val="center"/>
          </w:tcPr>
          <w:p>
            <w:pPr>
              <w:pStyle w:val="TableContents"/>
              <w:bidi w:val="0"/>
              <w:spacing w:before="0" w:after="283"/>
              <w:jc w:val="right"/>
              <w:rPr/>
            </w:pPr>
            <w:r>
              <w:rPr/>
              <w:t>(308,583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235" w:type="dxa"/>
            <w:tcBorders>
              <w:bottom w:val="single" w:sz="12" w:space="0" w:color="000000"/>
            </w:tcBorders>
            <w:tcMar>
              <w:bottom w:w="28" w:type="dxa"/>
            </w:tcMar>
            <w:vAlign w:val="center"/>
          </w:tcPr>
          <w:p>
            <w:pPr>
              <w:pStyle w:val="TableContents"/>
              <w:bidi w:val="0"/>
              <w:spacing w:before="0" w:after="283"/>
              <w:jc w:val="right"/>
              <w:rPr/>
            </w:pPr>
            <w:r>
              <w:rPr/>
              <w:t>349,018</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Stock-based compensation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5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46"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986" w:type="dxa"/>
            <w:tcBorders/>
            <w:shd w:fill="CCEEFF" w:val="clear"/>
            <w:vAlign w:val="center"/>
          </w:tcPr>
          <w:p>
            <w:pPr>
              <w:pStyle w:val="TableContents"/>
              <w:bidi w:val="0"/>
              <w:spacing w:before="0" w:after="283"/>
              <w:jc w:val="right"/>
              <w:rPr/>
            </w:pPr>
            <w:r>
              <w:rPr/>
              <w:t>20,026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6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35" w:type="dxa"/>
            <w:tcBorders/>
            <w:shd w:fill="CCEEFF" w:val="clear"/>
            <w:vAlign w:val="center"/>
          </w:tcPr>
          <w:p>
            <w:pPr>
              <w:pStyle w:val="TableContents"/>
              <w:bidi w:val="0"/>
              <w:spacing w:before="0" w:after="283"/>
              <w:jc w:val="right"/>
              <w:rPr/>
            </w:pPr>
            <w:r>
              <w:rPr/>
              <w:t>20,026</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Cashless exercise of warrants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50" w:type="dxa"/>
            <w:tcBorders/>
            <w:vAlign w:val="center"/>
          </w:tcPr>
          <w:p>
            <w:pPr>
              <w:pStyle w:val="TableContents"/>
              <w:bidi w:val="0"/>
              <w:spacing w:before="0" w:after="283"/>
              <w:jc w:val="right"/>
              <w:rPr/>
            </w:pPr>
            <w:r>
              <w:rPr/>
              <w:t>866,302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46"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986" w:type="dxa"/>
            <w:tcBorders/>
            <w:vAlign w:val="center"/>
          </w:tcPr>
          <w:p>
            <w:pPr>
              <w:pStyle w:val="TableContents"/>
              <w:bidi w:val="0"/>
              <w:spacing w:before="0" w:after="283"/>
              <w:jc w:val="right"/>
              <w:rPr/>
            </w:pPr>
            <w:r>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0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35"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Vesting of Restricted Stock Units, net of shares withheld for taxes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50" w:type="dxa"/>
            <w:tcBorders/>
            <w:shd w:fill="CCEEFF" w:val="clear"/>
            <w:vAlign w:val="center"/>
          </w:tcPr>
          <w:p>
            <w:pPr>
              <w:pStyle w:val="TableContents"/>
              <w:bidi w:val="0"/>
              <w:spacing w:before="0" w:after="283"/>
              <w:jc w:val="right"/>
              <w:rPr/>
            </w:pPr>
            <w:r>
              <w:rPr/>
              <w:t>1,308,069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46"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986" w:type="dxa"/>
            <w:tcBorders/>
            <w:shd w:fill="CCEEFF" w:val="clear"/>
            <w:vAlign w:val="center"/>
          </w:tcPr>
          <w:p>
            <w:pPr>
              <w:pStyle w:val="TableContents"/>
              <w:bidi w:val="0"/>
              <w:spacing w:before="0" w:after="283"/>
              <w:jc w:val="right"/>
              <w:rPr/>
            </w:pPr>
            <w:r>
              <w:rPr/>
              <w:t>(9,547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6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8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35" w:type="dxa"/>
            <w:tcBorders/>
            <w:shd w:fill="CCEEFF" w:val="clear"/>
            <w:vAlign w:val="center"/>
          </w:tcPr>
          <w:p>
            <w:pPr>
              <w:pStyle w:val="TableContents"/>
              <w:bidi w:val="0"/>
              <w:spacing w:before="0" w:after="283"/>
              <w:jc w:val="right"/>
              <w:rPr/>
            </w:pPr>
            <w:r>
              <w:rPr/>
              <w:t>(9,547</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Exercise of stock options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50" w:type="dxa"/>
            <w:tcBorders/>
            <w:vAlign w:val="center"/>
          </w:tcPr>
          <w:p>
            <w:pPr>
              <w:pStyle w:val="TableContents"/>
              <w:bidi w:val="0"/>
              <w:spacing w:before="0" w:after="283"/>
              <w:jc w:val="right"/>
              <w:rPr/>
            </w:pPr>
            <w:r>
              <w:rPr/>
              <w:t>998,650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46"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986" w:type="dxa"/>
            <w:tcBorders/>
            <w:vAlign w:val="center"/>
          </w:tcPr>
          <w:p>
            <w:pPr>
              <w:pStyle w:val="TableContents"/>
              <w:bidi w:val="0"/>
              <w:spacing w:before="0" w:after="283"/>
              <w:jc w:val="right"/>
              <w:rPr/>
            </w:pPr>
            <w:r>
              <w:rPr/>
              <w:t>2,984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0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7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44"/>
              <w:jc w:val="left"/>
              <w:rPr/>
            </w:pPr>
            <w:r>
              <w:rPr/>
              <w:t> </w:t>
            </w:r>
          </w:p>
        </w:tc>
        <w:tc>
          <w:tcPr>
            <w:tcW w:w="1235" w:type="dxa"/>
            <w:tcBorders/>
            <w:vAlign w:val="center"/>
          </w:tcPr>
          <w:p>
            <w:pPr>
              <w:pStyle w:val="TableContents"/>
              <w:bidi w:val="0"/>
              <w:spacing w:before="0" w:after="283"/>
              <w:jc w:val="right"/>
              <w:rPr/>
            </w:pPr>
            <w:r>
              <w:rPr/>
              <w:t>2,984</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Acquisition of treasury stock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5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46"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986"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6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85" w:type="dxa"/>
            <w:tcBorders/>
            <w:shd w:fill="CCEEFF" w:val="clear"/>
            <w:vAlign w:val="center"/>
          </w:tcPr>
          <w:p>
            <w:pPr>
              <w:pStyle w:val="TableContents"/>
              <w:bidi w:val="0"/>
              <w:spacing w:before="0" w:after="283"/>
              <w:jc w:val="right"/>
              <w:rPr/>
            </w:pPr>
            <w:r>
              <w:rPr/>
              <w:t>(1,919,070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785" w:type="dxa"/>
            <w:tcBorders/>
            <w:shd w:fill="CCEEFF" w:val="clear"/>
            <w:vAlign w:val="center"/>
          </w:tcPr>
          <w:p>
            <w:pPr>
              <w:pStyle w:val="TableContents"/>
              <w:bidi w:val="0"/>
              <w:spacing w:before="0" w:after="283"/>
              <w:jc w:val="right"/>
              <w:rPr/>
            </w:pPr>
            <w:r>
              <w:rPr/>
              <w:t>(32,090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235" w:type="dxa"/>
            <w:tcBorders/>
            <w:shd w:fill="CCEEFF" w:val="clear"/>
            <w:vAlign w:val="center"/>
          </w:tcPr>
          <w:p>
            <w:pPr>
              <w:pStyle w:val="TableContents"/>
              <w:bidi w:val="0"/>
              <w:spacing w:before="0" w:after="283"/>
              <w:jc w:val="right"/>
              <w:rPr/>
            </w:pPr>
            <w:r>
              <w:rPr/>
              <w:t>(32,090</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Net income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746"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986"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265" w:type="dxa"/>
            <w:tcBorders>
              <w:bottom w:val="single" w:sz="12" w:space="0" w:color="000000"/>
            </w:tcBorders>
            <w:tcMar>
              <w:bottom w:w="28" w:type="dxa"/>
            </w:tcMar>
            <w:vAlign w:val="center"/>
          </w:tcPr>
          <w:p>
            <w:pPr>
              <w:pStyle w:val="TableContents"/>
              <w:bidi w:val="0"/>
              <w:spacing w:before="0" w:after="283"/>
              <w:jc w:val="right"/>
              <w:rPr/>
            </w:pPr>
            <w:r>
              <w:rPr/>
              <w:t>146,930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235" w:type="dxa"/>
            <w:tcBorders>
              <w:bottom w:val="single" w:sz="12" w:space="0" w:color="000000"/>
            </w:tcBorders>
            <w:tcMar>
              <w:bottom w:w="28" w:type="dxa"/>
            </w:tcMar>
            <w:vAlign w:val="center"/>
          </w:tcPr>
          <w:p>
            <w:pPr>
              <w:pStyle w:val="TableContents"/>
              <w:bidi w:val="0"/>
              <w:spacing w:before="0" w:after="283"/>
              <w:jc w:val="right"/>
              <w:rPr/>
            </w:pPr>
            <w:r>
              <w:rPr/>
              <w:t>146,930</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b/>
              </w:rPr>
              <w:t>Balance at December 31, 2025</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239,793,566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746" w:type="dxa"/>
            <w:tcBorders>
              <w:bottom w:val="double" w:sz="8" w:space="0" w:color="000000"/>
            </w:tcBorders>
            <w:shd w:fill="CCEEFF" w:val="clear"/>
            <w:tcMar>
              <w:bottom w:w="28" w:type="dxa"/>
            </w:tcMar>
            <w:vAlign w:val="center"/>
          </w:tcPr>
          <w:p>
            <w:pPr>
              <w:pStyle w:val="TableContents"/>
              <w:bidi w:val="0"/>
              <w:spacing w:before="0" w:after="283"/>
              <w:jc w:val="right"/>
              <w:rPr/>
            </w:pPr>
            <w:r>
              <w:rPr/>
              <w:t>24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986" w:type="dxa"/>
            <w:tcBorders>
              <w:bottom w:val="double" w:sz="8" w:space="0" w:color="000000"/>
            </w:tcBorders>
            <w:shd w:fill="CCEEFF" w:val="clear"/>
            <w:tcMar>
              <w:bottom w:w="28" w:type="dxa"/>
            </w:tcMar>
            <w:vAlign w:val="center"/>
          </w:tcPr>
          <w:p>
            <w:pPr>
              <w:pStyle w:val="TableContents"/>
              <w:bidi w:val="0"/>
              <w:spacing w:before="0" w:after="283"/>
              <w:jc w:val="right"/>
              <w:rPr/>
            </w:pPr>
            <w:r>
              <w:rPr/>
              <w:t>671,039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265" w:type="dxa"/>
            <w:tcBorders>
              <w:bottom w:val="double" w:sz="8" w:space="0" w:color="000000"/>
            </w:tcBorders>
            <w:shd w:fill="CCEEFF" w:val="clear"/>
            <w:tcMar>
              <w:bottom w:w="28" w:type="dxa"/>
            </w:tcMar>
            <w:vAlign w:val="center"/>
          </w:tcPr>
          <w:p>
            <w:pPr>
              <w:pStyle w:val="TableContents"/>
              <w:bidi w:val="0"/>
              <w:spacing w:before="0" w:after="283"/>
              <w:jc w:val="right"/>
              <w:rPr/>
            </w:pPr>
            <w:r>
              <w:rPr/>
              <w:t>(161,653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85" w:type="dxa"/>
            <w:tcBorders>
              <w:bottom w:val="double" w:sz="8" w:space="0" w:color="000000"/>
            </w:tcBorders>
            <w:shd w:fill="CCEEFF" w:val="clear"/>
            <w:tcMar>
              <w:bottom w:w="28" w:type="dxa"/>
            </w:tcMar>
            <w:vAlign w:val="center"/>
          </w:tcPr>
          <w:p>
            <w:pPr>
              <w:pStyle w:val="TableContents"/>
              <w:bidi w:val="0"/>
              <w:spacing w:before="0" w:after="283"/>
              <w:jc w:val="right"/>
              <w:rPr/>
            </w:pPr>
            <w:r>
              <w:rPr/>
              <w:t>(1,919,070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785" w:type="dxa"/>
            <w:tcBorders>
              <w:bottom w:val="double" w:sz="8" w:space="0" w:color="000000"/>
            </w:tcBorders>
            <w:shd w:fill="CCEEFF" w:val="clear"/>
            <w:tcMar>
              <w:bottom w:w="28" w:type="dxa"/>
            </w:tcMar>
            <w:vAlign w:val="center"/>
          </w:tcPr>
          <w:p>
            <w:pPr>
              <w:pStyle w:val="TableContents"/>
              <w:bidi w:val="0"/>
              <w:spacing w:before="0" w:after="283"/>
              <w:jc w:val="right"/>
              <w:rPr/>
            </w:pPr>
            <w:r>
              <w:rPr/>
              <w:t>(32,090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235" w:type="dxa"/>
            <w:tcBorders>
              <w:bottom w:val="double" w:sz="8" w:space="0" w:color="000000"/>
            </w:tcBorders>
            <w:shd w:fill="CCEEFF" w:val="clear"/>
            <w:tcMar>
              <w:bottom w:w="28" w:type="dxa"/>
            </w:tcMar>
            <w:vAlign w:val="center"/>
          </w:tcPr>
          <w:p>
            <w:pPr>
              <w:pStyle w:val="TableContents"/>
              <w:bidi w:val="0"/>
              <w:spacing w:before="0" w:after="283"/>
              <w:jc w:val="right"/>
              <w:rPr/>
            </w:pPr>
            <w:r>
              <w:rPr/>
              <w:t>477,320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accompanying notes are an integral part of these consolidated financial statements.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F-8</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bookmarkStart w:id="51" w:name="CASH_FLOWS"/>
      <w:bookmarkEnd w:id="51"/>
      <w:r>
        <w:rPr>
          <w:rFonts w:ascii="TimesNewRoman;Times New Roman;Times;Baskerville;Georgia;serif" w:hAnsi="TimesNewRoman;Times New Roman;Times;Baskerville;Georgia;serif"/>
          <w:b/>
          <w:sz w:val="20"/>
        </w:rPr>
        <w:t>CONSOLIDATED STATEMENTS OF CASH FLOWS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1465"/>
        <w:gridCol w:w="1235"/>
        <w:gridCol w:w="1235"/>
        <w:gridCol w:w="1235"/>
        <w:gridCol w:w="1239"/>
        <w:gridCol w:w="90"/>
        <w:gridCol w:w="90"/>
        <w:gridCol w:w="905"/>
        <w:gridCol w:w="185"/>
        <w:gridCol w:w="90"/>
        <w:gridCol w:w="90"/>
        <w:gridCol w:w="841"/>
        <w:gridCol w:w="185"/>
        <w:gridCol w:w="90"/>
        <w:gridCol w:w="90"/>
        <w:gridCol w:w="905"/>
        <w:gridCol w:w="235"/>
      </w:tblGrid>
      <w:tr>
        <w:trPr/>
        <w:tc>
          <w:tcPr>
            <w:tcW w:w="146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3471"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w:t>
            </w:r>
            <w:r>
              <w:rPr/>
              <w:t xml:space="preserve"> </w:t>
            </w:r>
          </w:p>
        </w:tc>
        <w:tc>
          <w:tcPr>
            <w:tcW w:w="235" w:type="dxa"/>
            <w:tcBorders/>
            <w:vAlign w:val="center"/>
          </w:tcPr>
          <w:p>
            <w:pPr>
              <w:pStyle w:val="TableContents"/>
              <w:bidi w:val="0"/>
              <w:spacing w:before="0" w:after="283"/>
              <w:jc w:val="center"/>
              <w:rPr/>
            </w:pPr>
            <w:r>
              <w:rPr/>
              <w:t> </w:t>
            </w:r>
          </w:p>
        </w:tc>
      </w:tr>
      <w:tr>
        <w:trPr/>
        <w:tc>
          <w:tcPr>
            <w:tcW w:w="6409" w:type="dxa"/>
            <w:gridSpan w:val="5"/>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41" w:type="dxa"/>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235" w:type="dxa"/>
            <w:tcBorders/>
            <w:vAlign w:val="center"/>
          </w:tcPr>
          <w:p>
            <w:pPr>
              <w:pStyle w:val="TableContents"/>
              <w:bidi w:val="0"/>
              <w:spacing w:before="0" w:after="283"/>
              <w:jc w:val="center"/>
              <w:rPr/>
            </w:pPr>
            <w:r>
              <w:rPr/>
              <w:t> </w:t>
            </w:r>
          </w:p>
        </w:tc>
      </w:tr>
      <w:tr>
        <w:trPr/>
        <w:tc>
          <w:tcPr>
            <w:tcW w:w="6409" w:type="dxa"/>
            <w:gridSpan w:val="5"/>
            <w:tcBorders/>
            <w:vAlign w:val="center"/>
          </w:tcPr>
          <w:p>
            <w:pPr>
              <w:pStyle w:val="TableContents"/>
              <w:bidi w:val="0"/>
              <w:spacing w:before="0" w:after="283"/>
              <w:jc w:val="left"/>
              <w:rPr/>
            </w:pPr>
            <w:r>
              <w:rPr/>
              <w:t> </w:t>
            </w:r>
          </w:p>
        </w:tc>
        <w:tc>
          <w:tcPr>
            <w:tcW w:w="3796" w:type="dxa"/>
            <w:gridSpan w:val="12"/>
            <w:tcBorders/>
            <w:vAlign w:val="center"/>
          </w:tcPr>
          <w:p>
            <w:pPr>
              <w:pStyle w:val="TableContents"/>
              <w:bidi w:val="0"/>
              <w:spacing w:before="0" w:after="283"/>
              <w:jc w:val="center"/>
              <w:rPr>
                <w:i/>
              </w:rPr>
            </w:pPr>
            <w:r>
              <w:rPr>
                <w:i/>
              </w:rPr>
              <w:t xml:space="preserve">(in thousands) </w:t>
            </w:r>
          </w:p>
        </w:tc>
      </w:tr>
      <w:tr>
        <w:trPr/>
        <w:tc>
          <w:tcPr>
            <w:tcW w:w="6409" w:type="dxa"/>
            <w:gridSpan w:val="5"/>
            <w:tcBorders/>
            <w:vAlign w:val="center"/>
          </w:tcPr>
          <w:p>
            <w:pPr>
              <w:pStyle w:val="TableContents"/>
              <w:bidi w:val="0"/>
              <w:spacing w:before="0" w:after="0"/>
              <w:ind w:left="0" w:right="0" w:hanging="144"/>
              <w:jc w:val="left"/>
              <w:rPr/>
            </w:pPr>
            <w:r>
              <w:rPr>
                <w:b/>
              </w:rPr>
              <w:t>CASH FLOWS FROM OPERATING ACTIVITIES:</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Net income (loss)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146,930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197,673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(28,239</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Adjustments to reconcile net income to net </w:t>
            </w:r>
            <w:r>
              <w:rPr>
                <w:spacing w:val="0"/>
              </w:rPr>
              <w:t>cash provided by operating activities:</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Depreciation and amortization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8,096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8,045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8,332</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Loss on disposal of fixed assets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182</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Deferred income tax provision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11,020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(84,280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Interest paid in kind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3,836</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Stock-based compensation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20,026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13,616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6,187</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Amortization of debt discount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951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2,594</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Loss on extinguishment of debt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3,336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1,243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26,174</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Amortization of license revenue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(143</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Changes in operating assets and liabilities: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Accounts receivable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(108,430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(22,578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(11,916</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Inventories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(36,230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2,671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(9,626</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Prepaid expenses and other current assets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(1,525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(2,695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(239</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Deposits and other assets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279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1,080</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Accounts payable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2,330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4,150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3,839</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Accrued expenses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5,212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1,042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7,530</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Other current and non-current liabilities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(1,231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tcMar>
              <w:bottom w:w="28" w:type="dxa"/>
            </w:tcMar>
            <w:vAlign w:val="center"/>
          </w:tcPr>
          <w:p>
            <w:pPr>
              <w:pStyle w:val="TableContents"/>
              <w:bidi w:val="0"/>
              <w:spacing w:before="0" w:after="283"/>
              <w:jc w:val="right"/>
              <w:rPr/>
            </w:pPr>
            <w:r>
              <w:rPr/>
              <w:t>(1,144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(791</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Net cash provided by operating activities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50,396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118,672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8,800</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ind w:left="0" w:right="0" w:hanging="144"/>
              <w:jc w:val="left"/>
              <w:rPr/>
            </w:pPr>
            <w:r>
              <w:rPr>
                <w:b/>
              </w:rPr>
              <w:t>CASH FLOWS FROM INVESTING ACTIVITIES: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Purchase of property and equipment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(22,575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(8,226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(4,771</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Acquisition of intangible assets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(349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(210</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Deposit received on net assets held for sale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Net cash used in investing activities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(21,891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(8,575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(4,981</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ind w:left="0" w:right="0" w:hanging="144"/>
              <w:jc w:val="left"/>
              <w:rPr/>
            </w:pPr>
            <w:r>
              <w:rPr>
                <w:b/>
              </w:rPr>
              <w:t>CASH FLOWS FROM FINANCING ACTIVITIES: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Ares term loan payments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(32,500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(60,000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(158,584</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Ares revolving facility payments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(72,500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Ares revolving facility proceeds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30,000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JPM term loan payments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JPM term loan proceeds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75,000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Prepayment penalties on repayment of debt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(450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(11,140</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Proceeds from issuance of note payable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135,000</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Taxes paid on vested restricted stock units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(9,547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(4,971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(1,415</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Payments on finance lease obligations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(17</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Debt issuance costs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(2,237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Net proceeds from the exercise of stock options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2,984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7,494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1,104</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Payment of end of term fee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(1,313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(375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(1,586</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Payment of deferred financing fees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(2,351</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jc w:val="left"/>
              <w:rPr/>
            </w:pPr>
            <w:r>
              <w:rPr/>
              <w:t xml:space="preserve">Acquisition of treasury stock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(31,940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jc w:val="left"/>
              <w:rPr/>
            </w:pPr>
            <w:r>
              <w:rPr/>
              <w:t xml:space="preserve">Net cash used in financing activities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(44,022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tcMar>
              <w:bottom w:w="28" w:type="dxa"/>
            </w:tcMar>
            <w:vAlign w:val="center"/>
          </w:tcPr>
          <w:p>
            <w:pPr>
              <w:pStyle w:val="TableContents"/>
              <w:bidi w:val="0"/>
              <w:spacing w:before="0" w:after="283"/>
              <w:jc w:val="right"/>
              <w:rPr/>
            </w:pPr>
            <w:r>
              <w:rPr/>
              <w:t>(58,302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(38,989</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ind w:left="0" w:right="0" w:hanging="144"/>
              <w:jc w:val="left"/>
              <w:rPr/>
            </w:pPr>
            <w:r>
              <w:rPr>
                <w:b/>
              </w:rPr>
              <w:t>Net (decrease) increase in cash and cash equivalents</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(15,517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51,795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(35,170</w:t>
            </w:r>
          </w:p>
        </w:tc>
        <w:tc>
          <w:tcPr>
            <w:tcW w:w="235" w:type="dxa"/>
            <w:tcBorders/>
            <w:vAlign w:val="center"/>
          </w:tcPr>
          <w:p>
            <w:pPr>
              <w:pStyle w:val="TableContents"/>
              <w:bidi w:val="0"/>
              <w:spacing w:before="0" w:after="283"/>
              <w:jc w:val="left"/>
              <w:rPr/>
            </w:pPr>
            <w:r>
              <w:rPr/>
              <w:t>) </w:t>
            </w:r>
          </w:p>
        </w:tc>
      </w:tr>
      <w:tr>
        <w:trPr/>
        <w:tc>
          <w:tcPr>
            <w:tcW w:w="6409" w:type="dxa"/>
            <w:gridSpan w:val="5"/>
            <w:tcBorders/>
            <w:shd w:fill="CCEEFF" w:val="clear"/>
            <w:vAlign w:val="center"/>
          </w:tcPr>
          <w:p>
            <w:pPr>
              <w:pStyle w:val="TableContents"/>
              <w:bidi w:val="0"/>
              <w:spacing w:before="0" w:after="0"/>
              <w:ind w:left="0" w:right="0" w:hanging="144"/>
              <w:jc w:val="left"/>
              <w:rPr/>
            </w:pPr>
            <w:r>
              <w:rPr>
                <w:b/>
              </w:rPr>
              <w:t>Cash and cash equivalents - beginning of year</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103,147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51,352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86,522</w:t>
            </w:r>
          </w:p>
        </w:tc>
        <w:tc>
          <w:tcPr>
            <w:tcW w:w="235" w:type="dxa"/>
            <w:tcBorders/>
            <w:shd w:fill="CCEEFF" w:val="clear"/>
            <w:vAlign w:val="center"/>
          </w:tcPr>
          <w:p>
            <w:pPr>
              <w:pStyle w:val="TableContents"/>
              <w:bidi w:val="0"/>
              <w:spacing w:before="0" w:after="283"/>
              <w:jc w:val="left"/>
              <w:rPr/>
            </w:pPr>
            <w:r>
              <w:rPr/>
              <w:t> </w:t>
            </w:r>
          </w:p>
        </w:tc>
      </w:tr>
      <w:tr>
        <w:trPr/>
        <w:tc>
          <w:tcPr>
            <w:tcW w:w="6409" w:type="dxa"/>
            <w:gridSpan w:val="5"/>
            <w:tcBorders/>
            <w:vAlign w:val="center"/>
          </w:tcPr>
          <w:p>
            <w:pPr>
              <w:pStyle w:val="TableContents"/>
              <w:bidi w:val="0"/>
              <w:spacing w:before="0" w:after="0"/>
              <w:ind w:left="0" w:right="0" w:hanging="144"/>
              <w:jc w:val="left"/>
              <w:rPr/>
            </w:pPr>
            <w:r>
              <w:rPr>
                <w:b/>
              </w:rPr>
              <w:t>Cash and cash equivalents - end of year</w:t>
            </w: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5" w:type="dxa"/>
            <w:tcBorders>
              <w:bottom w:val="double" w:sz="8" w:space="0" w:color="000000"/>
            </w:tcBorders>
            <w:tcMar>
              <w:bottom w:w="28" w:type="dxa"/>
            </w:tcMar>
            <w:vAlign w:val="center"/>
          </w:tcPr>
          <w:p>
            <w:pPr>
              <w:pStyle w:val="TableContents"/>
              <w:bidi w:val="0"/>
              <w:spacing w:before="0" w:after="283"/>
              <w:jc w:val="right"/>
              <w:rPr/>
            </w:pPr>
            <w:r>
              <w:rPr/>
              <w:t>87,630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841" w:type="dxa"/>
            <w:tcBorders>
              <w:bottom w:val="double" w:sz="8" w:space="0" w:color="000000"/>
            </w:tcBorders>
            <w:tcMar>
              <w:bottom w:w="28" w:type="dxa"/>
            </w:tcMar>
            <w:vAlign w:val="center"/>
          </w:tcPr>
          <w:p>
            <w:pPr>
              <w:pStyle w:val="TableContents"/>
              <w:bidi w:val="0"/>
              <w:spacing w:before="0" w:after="283"/>
              <w:jc w:val="right"/>
              <w:rPr/>
            </w:pPr>
            <w:r>
              <w:rPr/>
              <w:t>103,147</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5" w:type="dxa"/>
            <w:tcBorders>
              <w:bottom w:val="double" w:sz="8" w:space="0" w:color="000000"/>
            </w:tcBorders>
            <w:tcMar>
              <w:bottom w:w="28" w:type="dxa"/>
            </w:tcMar>
            <w:vAlign w:val="center"/>
          </w:tcPr>
          <w:p>
            <w:pPr>
              <w:pStyle w:val="TableContents"/>
              <w:bidi w:val="0"/>
              <w:spacing w:before="0" w:after="283"/>
              <w:jc w:val="right"/>
              <w:rPr/>
            </w:pPr>
            <w:r>
              <w:rPr/>
              <w:t>51,352</w:t>
            </w:r>
          </w:p>
        </w:tc>
        <w:tc>
          <w:tcPr>
            <w:tcW w:w="2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accompanying notes are an integral part of these consolidated financial statements.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F-9</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b/>
          <w:sz w:val="20"/>
        </w:rPr>
      </w:pPr>
      <w:bookmarkStart w:id="52" w:name="NOTES"/>
      <w:bookmarkEnd w:id="52"/>
      <w:r>
        <w:rPr>
          <w:rFonts w:ascii="TimesNewRoman;Times New Roman;Times;Baskerville;Georgia;serif" w:hAnsi="TimesNewRoman;Times New Roman;Times;Baskerville;Georgia;serif"/>
          <w:b/>
          <w:sz w:val="20"/>
        </w:rPr>
        <w:t>NOTES TO CONSOLIDATED FINANCIAL STATEMENTS</w:t>
      </w:r>
    </w:p>
    <w:p>
      <w:pPr>
        <w:pStyle w:val="TextBody"/>
        <w:bidi w:val="0"/>
        <w:spacing w:before="0" w:after="0"/>
        <w:jc w:val="center"/>
        <w:rPr/>
      </w:pPr>
      <w:r>
        <w:rPr/>
        <w:t> </w:t>
      </w:r>
    </w:p>
    <w:p>
      <w:pPr>
        <w:pStyle w:val="TextBody"/>
        <w:bidi w:val="0"/>
        <w:spacing w:before="0" w:after="160"/>
        <w:ind w:left="0" w:right="0" w:hanging="540"/>
        <w:jc w:val="left"/>
        <w:rPr>
          <w:rFonts w:ascii="Aptos" w:hAnsi="Aptos"/>
          <w:sz w:val="20"/>
        </w:rPr>
      </w:pPr>
      <w:r>
        <w:rPr>
          <w:rFonts w:ascii="Aptos" w:hAnsi="Aptos"/>
          <w:b/>
          <w:sz w:val="20"/>
          <w:u w:val="single"/>
        </w:rPr>
        <w:t>ORGANIZATION AND BUSINESS</w:t>
      </w:r>
      <w:r>
        <w:rPr>
          <w:rFonts w:ascii="Aptos" w:hAnsi="Aptos"/>
          <w:sz w:val="20"/>
        </w:rPr>
        <w:t xml:space="preserve"> </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342900" cy="175260"/>
                <wp:effectExtent l="0" t="0" r="0" b="0"/>
                <wp:wrapSquare wrapText="right"/>
                <wp:docPr id="209" name="Frame20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1.</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1.</w:t>
                      </w:r>
                      <w:r>
                        <w:rPr/>
                        <w:t xml:space="preserve"> </w:t>
                      </w:r>
                    </w:p>
                  </w:txbxContent>
                </v:textbox>
                <w10:wrap type="square" side="right"/>
              </v:rect>
            </w:pict>
          </mc:Fallback>
        </mc:AlternateContent>
      </w:r>
    </w:p>
    <w:p>
      <w:pPr>
        <w:pStyle w:val="TextBody"/>
        <w:bidi w:val="0"/>
        <w:spacing w:before="0" w:after="0"/>
        <w:ind w:left="0" w:right="0" w:firstLine="675"/>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ADMA Biologics, Inc. (“ADMA” or the “Company”) is a U.S. based, end-to-end commercial biopharmaceutical company dedicated to manufacturing, marketing and developing specialty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 </w:t>
      </w:r>
    </w:p>
    <w:p>
      <w:pPr>
        <w:pStyle w:val="TextBody"/>
        <w:bidi w:val="0"/>
        <w:spacing w:before="0" w:after="0"/>
        <w:jc w:val="both"/>
        <w:rPr/>
      </w:pPr>
      <w:r>
        <w:rPr/>
        <w:t xml:space="preserve">  </w:t>
      </w:r>
    </w:p>
    <w:p>
      <w:pPr>
        <w:pStyle w:val="TextBody"/>
        <w:bidi w:val="0"/>
        <w:spacing w:before="0" w:after="0"/>
        <w:ind w:left="0" w:right="0" w:firstLine="675"/>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ADMA operates through its wholly owned subsidiaries ADMA BioManufacturing, LLC (“ADMA BioManufacturing”) and ADMA BioCenters Georgia Inc. (“ADMA BioCenters”). ADMA BioManufacturing was formed in January 2017 to facilitate the acquisition of certain assets held by the Company’s former third-party contract manufacturer, which included the U.S. Food and Drug Administration (“FDA”)-licensed BIVIGAM and Nabi-HB immunoglobulin products, and an FDA-licensed plasma fractionation manufacturing facility located in Boca Raton, FL (the “Boca Facility”). ADMA BioCenters is the Company’s source plasma collection business with ten plasma collection facilities located throughout the U.S. as of December 31, 2025, all of which hold an approved license with the FDA. </w:t>
      </w:r>
    </w:p>
    <w:p>
      <w:pPr>
        <w:pStyle w:val="TextBody"/>
        <w:bidi w:val="0"/>
        <w:spacing w:before="0" w:after="0"/>
        <w:jc w:val="both"/>
        <w:rPr/>
      </w:pPr>
      <w:r>
        <w:rPr/>
        <w:t xml:space="preserve">  </w:t>
      </w:r>
    </w:p>
    <w:p>
      <w:pPr>
        <w:pStyle w:val="TextBody"/>
        <w:bidi w:val="0"/>
        <w:spacing w:before="0" w:after="0"/>
        <w:ind w:left="0" w:right="0" w:firstLine="675"/>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has three FDA-approved products,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for which the Company received FDA approval in April 2019 and commenced first commercial sales in October 2019; (ii) BIVIGAM (Immune Globulin Intravenous, Human), an IVIG product indicated for the treatment of PI, and for which the Company received FDA approval in May 2019 and commenced commercial sales in August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generates revenues from the sale of intermediate by-products that result from the immunoglobulin production process and from time to time provides contract manufacturing and laboratory services for certain clients. The Company seeks to develop a pipeline of plasma-derived therapeutics, including but not limited to SG-001, a pre-clinical, investigative hyperimmune globulin targeting </w:t>
      </w:r>
      <w:r>
        <w:rPr>
          <w:rFonts w:ascii="TimesNewRoman;Times New Roman;Times;Baskerville;Georgia;serif" w:hAnsi="TimesNewRoman;Times New Roman;Times;Baskerville;Georgia;serif"/>
          <w:i/>
          <w:sz w:val="20"/>
        </w:rPr>
        <w:t>S. pneumonia</w:t>
      </w:r>
      <w:r>
        <w:rPr>
          <w:rFonts w:ascii="TimesNewRoman;Times New Roman;Times;Baskerville;Georgia;serif" w:hAnsi="TimesNewRoman;Times New Roman;Times;Baskerville;Georgia;serif"/>
          <w:sz w:val="20"/>
        </w:rPr>
        <w:t>. The Company’s products and product candidates are intended to be used by physician specialists focused on caring for immune-compromised patients with or at risk for certain infectious diseases.</w:t>
      </w:r>
    </w:p>
    <w:p>
      <w:pPr>
        <w:pStyle w:val="TextBody"/>
        <w:bidi w:val="0"/>
        <w:spacing w:before="0" w:after="0"/>
        <w:ind w:left="0" w:right="0" w:firstLine="675"/>
        <w:jc w:val="both"/>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SIGNIFICANT ACCOUNTING POLICIES</w:t>
      </w:r>
      <w:r>
        <w:rPr>
          <w:rFonts w:ascii="Aptos" w:hAnsi="Aptos"/>
          <w:sz w:val="20"/>
        </w:rPr>
        <w:t xml:space="preserve"> </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342900" cy="175260"/>
                <wp:effectExtent l="0" t="0" r="0" b="0"/>
                <wp:wrapSquare wrapText="right"/>
                <wp:docPr id="210" name="Frame20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2.</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Principles of consolidation and basis of presentation</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accompanying consolidated financial statements include the accounts of ADMA and its wholly owned subsidiaries and have been prepared in conformity with accounting principles generally accepted in the United States of America (“U.S. GAAP”) and in accordance with Article 3 of Regulation S-X of the Securities and Exchange Commission (the “SEC”). All intercompany balances have been eliminated in consolidation. Any reference in these notes to applicable guidance is meant to refer to U.S. GAAP as found in the Accounting Standards Codification (“ASC”) and Accounting Standards Updates (“ASU”) of the Financial Accounting Standards Board (the “FASB”). </w:t>
      </w:r>
    </w:p>
    <w:p>
      <w:pPr>
        <w:pStyle w:val="TextBody"/>
        <w:bidi w:val="0"/>
        <w:spacing w:lineRule="atLeast" w:line="240" w:before="0" w:after="0"/>
        <w:jc w:val="left"/>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During the years ended December 31, 2025, 2024 and 2023, comprehensive income (loss) was equal to the net income (loss) amounts presented for the respective periods in the accompanying consolidated statements of operations. </w:t>
      </w:r>
    </w:p>
    <w:p>
      <w:pPr>
        <w:pStyle w:val="TextBody"/>
        <w:bidi w:val="0"/>
        <w:spacing w:lineRule="atLeast" w:line="240" w:before="0" w:after="0"/>
        <w:jc w:val="both"/>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Use of estimates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estimates related to the Company’s effective tax rate.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2024, the Company engaged a third-party specialist to assist in the evaluation of the Company’s accrual for U.S. Medicaid rebates related to the sale of the Company’s immunoglobulin products. As a result of this evaluation, the Company recognized a reduction in this accrual and a corresponding increase to net revenues of $12.6 million for the year ended December 31, 2024.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F-10</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Cash and cash equivalents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considers all highly liquid instruments purchased with a maturity of three months or less to be cash equivalents.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regularly maintains cash and cash equivalents at third-party financial institutions in excess of the Federal Deposit Insurance Corporation insurance limit. Although the Company monitors the daily cash balances in its operating accounts and adjusts the balances as appropriate, these balances could be impacted, and there could be a material adverse effect on the Company’s business, if one or more of the financial institutions with which the Company has deposits fails or is subject to other adverse conditions in the financial or credit markets. To date, the Company has not experienced a loss or lack of access to its deposited cash or cash equivalents; however, the Company cannot provide assurance that access to its cash and cash equivalents will not be impacted by adverse conditions in the financial and credit markets in the future.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Accounts receivable</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Accounts receivable is reported at realizable value, net of allowances for contractual credits and doubtful accounts in the amount of $0.3 million and $0.2 million at December 31, 2025 and 2024, respectively, which are recognized in the period the related revenue is recorded. </w:t>
      </w:r>
      <w:r>
        <w:rPr>
          <w:rFonts w:ascii="TimesNewRoman;Times New Roman;Times;Baskerville;Georgia;serif" w:hAnsi="TimesNewRoman;Times New Roman;Times;Baskerville;Georgia;serif"/>
          <w:color w:val="212529"/>
          <w:sz w:val="20"/>
        </w:rPr>
        <w:t>The Company extends credit to its customers based upon an evaluation of each customer's financial condition and credit history. Evaluations of the financial condition and associated credit risk of customers are performed on an ongoing basis.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Inventories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Raw materials inventory consists of normal source plasma (“NSP”) and Respiratory Syncytial Virus (“RSV”) high-titer plasma collected at the Company’s plasma collection facilities or purchased from third parties, along with various materials purchased from suppliers,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Inventories, including plasma intended for resale and plasma intended for internal use in the Company’s manufacturing, commercialization or research and development activities, are carried at the lower of cost or net realizable value determined by the first-in, first-out method. For both the Company’s immune globulin products and plasma intended for resale and internal use,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engineering lots that would not qualify as immediately available for commercial sale are charged to cost of product revenue and not capitalized into inventory.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Property and equipment</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Assets comprising property and equipment (see Note 4) are stated at cost less accumulated depreciation and any historical impairment charges. Depreciation is calculated using the straight-line method over the asset’s estimated useful life. Land is not depreciated. The buildings have been assigned a useful life of 30 years and building improvement 15 years. Property and equipment other than land and buildings have useful lives ranging from 3 to 8 years. Leasehold improvements are amortized over the lesser of the lease term or their estimated useful lives.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Goodwill</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Goodwill represents the excess of purchase price over the fair value of net assets acquired by the Company. Goodwill at December 31, 2025 and 2024 was $3.5 million, all of which is attributable to the Company’s ADMA BioManufacturing business segment. There were no changes to the carrying amount of goodwill during the years ended December 31, 2025, 2024 and 2023.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assessment as of October 1 of each year. The Company’s annual goodwill impairment assessments as of October 1, 2025, 2024 and 2023 did not result in any impairment charges related to goodwill for the years ended December 31, 2025, 2024 and 2023.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Impairment of long-lived assets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assesses the recoverability of its long-lived assets, which include property and equipment, right-of-use assets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years ended December 31, 2025, 2024 and 2023, the Company determined that there was no impairment of its long-lived assets.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Revenue recognition</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Revenues for the years ended December 31, 2025, 2024 and 2023 are comprised of (i) revenues from the sale of the Company’s immunoglobulin products, ASCENIV, BIVIGAM and Nabi-HB, (ii) product revenues from the sale of human plasma collected by the Company’s Plasma Collection Centers business segment, (iii) contract manufacturing and laboratory services revenue, (iv) revenues from the sale of intermediate by-products and (v) license and other revenues primarily attributable to the out-licensing of ASCENIV to Biotest AG (“Biotest”) in 2012 to market and sell this product in Europe and certain countries in Northern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Product revenue is recognized when the customer is deemed to have control over the product and the performance obligation is satisfied.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wholesaler distribution and related fees, customer incentives, including prompt pay discounts, wholesaler chargebacks, group purchasing organization fees and reimbursements for patient assistance. These estimates are based on contractual arrangements, historical experience and certain other assumptions, and while the Company believes that such estimates are reasonable, they are subject to change based on future developments and other factors.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revenues associated with contract manufacturing and the sale of intermediates, control transfers to the customer and the performance obligation is satisfied when the customer takes possession of the product from the Boca Facility. </w:t>
      </w:r>
    </w:p>
    <w:p>
      <w:pPr>
        <w:pStyle w:val="TextBody"/>
        <w:bidi w:val="0"/>
        <w:spacing w:before="0" w:after="0"/>
        <w:ind w:left="360" w:right="0" w:hanging="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Product revenues from the sale of human plasma collected at the Company’s plasma collection centers are recognized at the time control of the product has been transferred to the customer and the performance obligation is satisfied, which generally occurs at the time of shipment from one of the Company’s plasma collection facilities or from a third-party warehouse that is utilized by the Company. Product revenues are recognized at the time of delivery if the Company retains control of the product during shipment.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all of the Company’s product revenues, payment from the customer is typically due within 90 days of sale.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Cost of product revenue</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Cost of product revenue includes costs associated with the manufacture of the Company’s FDA approved products and intermediates and for the collection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Research and development expenses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Research and development expenses consist of clinical research organization costs, costs related to clinical trials, post-marketing commitment studies for BIVIGAM and ASCENIV and salaries, benefits and stock-based compensation for employees directly related to research and development activities. All research and development costs are expensed as incurred.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Plasma center operating expenses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Plasma center operating expenses consist of certain general and administrative plasma center costs, marketing, rent expense, maintenance, utilities and compensation and benefits for administrative staff.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Advertising and marketing expenses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Advertising and marketing expense includes cost for promotional materials and trade show expenses for the marketing of the Company’s products and expenses incurred for attracting donors to the Company’s plasma collection centers. All advertising and marketing expenses are expensed as incurred. Advertising and marketing expenses were $3.1 million, $2.7 million and $3.3 million for the years ended December 31, 2025, 2024 and 2023, respectively.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Stock-based compensation</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follows recognized accounting guidance which requires all equity-based payments, including grants of stock options and restricted stock unit awards (“RSUs”), to be recognized in the statement of operations as compensation expense based on their fair values at the date of grant. Compensation expense related to awards to employees and directors with service-based vesting conditions is recognized on a straight-line basis over the associated vesting period of the award based on the grant date fair value of the award. Stock options granted to employees under the Company’s equity incentive plans generally have a four-year vesting period and a term of 10 years. RSUs granted to employees also have a four-year vesting period. Pursuant to ASU No. 2016-09, </w:t>
      </w:r>
      <w:r>
        <w:rPr>
          <w:rFonts w:ascii="TimesNewRoman;Times New Roman;Times;Baskerville;Georgia;serif" w:hAnsi="TimesNewRoman;Times New Roman;Times;Baskerville;Georgia;serif"/>
          <w:i/>
          <w:sz w:val="20"/>
        </w:rPr>
        <w:t>Improvements to Employee Share-Based Payment Accounting (Topic 718)</w:t>
      </w:r>
      <w:r>
        <w:rPr>
          <w:rFonts w:ascii="TimesNewRoman;Times New Roman;Times;Baskerville;Georgia;serif" w:hAnsi="TimesNewRoman;Times New Roman;Times;Baskerville;Georgia;serif"/>
          <w:sz w:val="20"/>
        </w:rPr>
        <w:t xml:space="preserve">, the Company has elected not to establish a forfeiture rate, as stock-based compensation expense related to forfeitures of unvested equity awards is reversed at the time of forfeiture.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Income taxes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(see Note 11). The Company is subject to income tax examinations by major taxing authorities for all tax years since 2020 and for previous periods as it relates to the Company’s net operating loss carryforwards.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Earnings Per Common Share</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Basic earnings per common share are computed by dividing net income or loss attributable to common stockholders by the weighted average number of shares of common stock outstanding during the period. Diluted earnings per common share are calculated by dividing net income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and upon the vesting of RSUs. Potentially dilutive common stock in the diluted net earnings per common share computation is excluded to the extent that it would be anti-dilutive. For the years ended December 31, 2025 and 2024, basic and diluted earnings per common share are calculated as follows: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5265"/>
        <w:gridCol w:w="90"/>
        <w:gridCol w:w="170"/>
        <w:gridCol w:w="1250"/>
        <w:gridCol w:w="90"/>
        <w:gridCol w:w="90"/>
        <w:gridCol w:w="170"/>
        <w:gridCol w:w="1250"/>
        <w:gridCol w:w="90"/>
        <w:gridCol w:w="90"/>
        <w:gridCol w:w="170"/>
        <w:gridCol w:w="1250"/>
        <w:gridCol w:w="230"/>
      </w:tblGrid>
      <w:tr>
        <w:trPr/>
        <w:tc>
          <w:tcPr>
            <w:tcW w:w="5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4620" w:type="dxa"/>
            <w:gridSpan w:val="10"/>
            <w:tcBorders/>
            <w:vAlign w:val="center"/>
          </w:tcPr>
          <w:p>
            <w:pPr>
              <w:pStyle w:val="TableContents"/>
              <w:bidi w:val="0"/>
              <w:spacing w:before="0" w:after="283"/>
              <w:jc w:val="center"/>
              <w:rPr/>
            </w:pPr>
            <w:r>
              <w:rPr>
                <w:b/>
                <w:spacing w:val="0"/>
              </w:rPr>
              <w:t>Year ended December 31,</w:t>
            </w:r>
            <w:r>
              <w:rPr/>
              <w:t xml:space="preserve"> </w:t>
            </w:r>
          </w:p>
        </w:tc>
        <w:tc>
          <w:tcPr>
            <w:tcW w:w="230" w:type="dxa"/>
            <w:tcBorders/>
            <w:vAlign w:val="center"/>
          </w:tcPr>
          <w:p>
            <w:pPr>
              <w:pStyle w:val="TableContents"/>
              <w:bidi w:val="0"/>
              <w:spacing w:before="0" w:after="283"/>
              <w:jc w:val="center"/>
              <w:rPr/>
            </w:pPr>
            <w:r>
              <w:rPr/>
              <w:t> </w:t>
            </w:r>
          </w:p>
        </w:tc>
      </w:tr>
      <w:tr>
        <w:trPr/>
        <w:tc>
          <w:tcPr>
            <w:tcW w:w="5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230" w:type="dxa"/>
            <w:tcBorders/>
            <w:vAlign w:val="center"/>
          </w:tcPr>
          <w:p>
            <w:pPr>
              <w:pStyle w:val="TableContents"/>
              <w:bidi w:val="0"/>
              <w:spacing w:before="0" w:after="283"/>
              <w:jc w:val="center"/>
              <w:rPr/>
            </w:pPr>
            <w:r>
              <w:rPr/>
              <w:t> </w:t>
            </w:r>
          </w:p>
        </w:tc>
      </w:tr>
      <w:tr>
        <w:trPr/>
        <w:tc>
          <w:tcPr>
            <w:tcW w:w="5265" w:type="dxa"/>
            <w:tcBorders/>
            <w:shd w:fill="CCEEFF" w:val="clear"/>
            <w:vAlign w:val="center"/>
          </w:tcPr>
          <w:p>
            <w:pPr>
              <w:pStyle w:val="TableContents"/>
              <w:bidi w:val="0"/>
              <w:spacing w:before="0" w:after="0"/>
              <w:ind w:left="0" w:right="0" w:hanging="144"/>
              <w:jc w:val="left"/>
              <w:rPr/>
            </w:pPr>
            <w:r>
              <w:rPr/>
              <w:t xml:space="preserve">Net income (loss) available to common stockholders ($000's) (numerator)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146,930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197,673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(28,239</w:t>
            </w:r>
          </w:p>
        </w:tc>
        <w:tc>
          <w:tcPr>
            <w:tcW w:w="230" w:type="dxa"/>
            <w:tcBorders/>
            <w:shd w:fill="CCEEFF" w:val="clear"/>
            <w:vAlign w:val="center"/>
          </w:tcPr>
          <w:p>
            <w:pPr>
              <w:pStyle w:val="TableContents"/>
              <w:bidi w:val="0"/>
              <w:spacing w:before="0" w:after="283"/>
              <w:jc w:val="left"/>
              <w:rPr/>
            </w:pPr>
            <w:r>
              <w:rPr/>
              <w:t>) </w:t>
            </w:r>
          </w:p>
        </w:tc>
      </w:tr>
      <w:tr>
        <w:trPr/>
        <w:tc>
          <w:tcPr>
            <w:tcW w:w="5265" w:type="dxa"/>
            <w:tcBorders/>
            <w:vAlign w:val="center"/>
          </w:tcPr>
          <w:p>
            <w:pPr>
              <w:pStyle w:val="TableContents"/>
              <w:bidi w:val="0"/>
              <w:spacing w:before="0" w:after="0"/>
              <w:ind w:left="0" w:right="0" w:hanging="144"/>
              <w:jc w:val="left"/>
              <w:rPr/>
            </w:pPr>
            <w:r>
              <w:rPr/>
              <w:t xml:space="preserve">Weighted-average number of common shares (denominator)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238,299,024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233,084,236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223,977,315</w:t>
            </w:r>
          </w:p>
        </w:tc>
        <w:tc>
          <w:tcPr>
            <w:tcW w:w="230" w:type="dxa"/>
            <w:tcBorders/>
            <w:vAlign w:val="center"/>
          </w:tcPr>
          <w:p>
            <w:pPr>
              <w:pStyle w:val="TableContents"/>
              <w:bidi w:val="0"/>
              <w:spacing w:before="0" w:after="283"/>
              <w:jc w:val="left"/>
              <w:rPr/>
            </w:pPr>
            <w:r>
              <w:rPr/>
              <w:t> </w:t>
            </w:r>
          </w:p>
        </w:tc>
      </w:tr>
      <w:tr>
        <w:trPr/>
        <w:tc>
          <w:tcPr>
            <w:tcW w:w="5265" w:type="dxa"/>
            <w:tcBorders/>
            <w:shd w:fill="CCEEFF" w:val="clear"/>
            <w:vAlign w:val="center"/>
          </w:tcPr>
          <w:p>
            <w:pPr>
              <w:pStyle w:val="TableContents"/>
              <w:bidi w:val="0"/>
              <w:spacing w:before="0" w:after="0"/>
              <w:ind w:left="0" w:right="0" w:hanging="144"/>
              <w:jc w:val="left"/>
              <w:rPr/>
            </w:pPr>
            <w:r>
              <w:rPr/>
              <w:t xml:space="preserve">Basic earnings (loss) per common share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0.62</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0.85</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(0.13</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5265" w:type="dxa"/>
            <w:tcBorders/>
            <w:shd w:fill="CCEEFF" w:val="clear"/>
            <w:vAlign w:val="center"/>
          </w:tcPr>
          <w:p>
            <w:pPr>
              <w:pStyle w:val="TableContents"/>
              <w:bidi w:val="0"/>
              <w:spacing w:before="0" w:after="0"/>
              <w:ind w:left="0" w:right="0" w:hanging="144"/>
              <w:jc w:val="left"/>
              <w:rPr/>
            </w:pPr>
            <w:r>
              <w:rPr/>
              <w:t xml:space="preserve">Weighted-average number of common shares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238,299,024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233,084,236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223,977,315</w:t>
            </w:r>
          </w:p>
        </w:tc>
        <w:tc>
          <w:tcPr>
            <w:tcW w:w="230" w:type="dxa"/>
            <w:tcBorders/>
            <w:shd w:fill="CCEEFF" w:val="clear"/>
            <w:vAlign w:val="center"/>
          </w:tcPr>
          <w:p>
            <w:pPr>
              <w:pStyle w:val="TableContents"/>
              <w:bidi w:val="0"/>
              <w:spacing w:before="0" w:after="283"/>
              <w:jc w:val="left"/>
              <w:rPr/>
            </w:pPr>
            <w:r>
              <w:rPr/>
              <w:t> </w:t>
            </w:r>
          </w:p>
        </w:tc>
      </w:tr>
      <w:tr>
        <w:trPr/>
        <w:tc>
          <w:tcPr>
            <w:tcW w:w="5265" w:type="dxa"/>
            <w:tcBorders/>
            <w:vAlign w:val="center"/>
          </w:tcPr>
          <w:p>
            <w:pPr>
              <w:pStyle w:val="TableContents"/>
              <w:bidi w:val="0"/>
              <w:spacing w:before="0" w:after="0"/>
              <w:ind w:left="0" w:right="0" w:hanging="144"/>
              <w:jc w:val="left"/>
              <w:rPr/>
            </w:pPr>
            <w:r>
              <w:rPr/>
              <w:t xml:space="preserve">Potential shares of common stock arising from outstanding stock options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3,545,197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4,150,584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xml:space="preserve">         </w:t>
            </w:r>
            <w:r>
              <w:rPr/>
              <w:t xml:space="preserve">- </w:t>
            </w:r>
          </w:p>
        </w:tc>
        <w:tc>
          <w:tcPr>
            <w:tcW w:w="230" w:type="dxa"/>
            <w:tcBorders/>
            <w:vAlign w:val="center"/>
          </w:tcPr>
          <w:p>
            <w:pPr>
              <w:pStyle w:val="TableContents"/>
              <w:bidi w:val="0"/>
              <w:spacing w:before="0" w:after="283"/>
              <w:jc w:val="left"/>
              <w:rPr/>
            </w:pPr>
            <w:r>
              <w:rPr/>
              <w:t> </w:t>
            </w:r>
          </w:p>
        </w:tc>
      </w:tr>
      <w:tr>
        <w:trPr/>
        <w:tc>
          <w:tcPr>
            <w:tcW w:w="5265" w:type="dxa"/>
            <w:tcBorders/>
            <w:shd w:fill="CCEEFF" w:val="clear"/>
            <w:vAlign w:val="center"/>
          </w:tcPr>
          <w:p>
            <w:pPr>
              <w:pStyle w:val="TableContents"/>
              <w:bidi w:val="0"/>
              <w:spacing w:before="0" w:after="0"/>
              <w:ind w:left="0" w:right="0" w:hanging="144"/>
              <w:jc w:val="left"/>
              <w:rPr/>
            </w:pPr>
            <w:r>
              <w:rPr/>
              <w:t xml:space="preserve">Potential shares of common stock arising from outstanding warrants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11,772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3,085,640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xml:space="preserve">         </w:t>
            </w:r>
            <w:r>
              <w:rPr/>
              <w:t xml:space="preserve">- </w:t>
            </w:r>
          </w:p>
        </w:tc>
        <w:tc>
          <w:tcPr>
            <w:tcW w:w="230" w:type="dxa"/>
            <w:tcBorders/>
            <w:shd w:fill="CCEEFF" w:val="clear"/>
            <w:vAlign w:val="center"/>
          </w:tcPr>
          <w:p>
            <w:pPr>
              <w:pStyle w:val="TableContents"/>
              <w:bidi w:val="0"/>
              <w:spacing w:before="0" w:after="283"/>
              <w:jc w:val="left"/>
              <w:rPr/>
            </w:pPr>
            <w:r>
              <w:rPr/>
              <w:t> </w:t>
            </w:r>
          </w:p>
        </w:tc>
      </w:tr>
      <w:tr>
        <w:trPr/>
        <w:tc>
          <w:tcPr>
            <w:tcW w:w="5265" w:type="dxa"/>
            <w:tcBorders/>
            <w:vAlign w:val="center"/>
          </w:tcPr>
          <w:p>
            <w:pPr>
              <w:pStyle w:val="TableContents"/>
              <w:bidi w:val="0"/>
              <w:spacing w:before="0" w:after="0"/>
              <w:ind w:left="0" w:right="0" w:hanging="144"/>
              <w:jc w:val="left"/>
              <w:rPr/>
            </w:pPr>
            <w:r>
              <w:rPr/>
              <w:t xml:space="preserve">Potential shares of common stock arising from outstanding RSUs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3,048,647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3,022,006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 xml:space="preserve">         </w:t>
            </w:r>
            <w:r>
              <w:rPr/>
              <w:t xml:space="preserve">- </w:t>
            </w:r>
          </w:p>
        </w:tc>
        <w:tc>
          <w:tcPr>
            <w:tcW w:w="230" w:type="dxa"/>
            <w:tcBorders/>
            <w:vAlign w:val="center"/>
          </w:tcPr>
          <w:p>
            <w:pPr>
              <w:pStyle w:val="TableContents"/>
              <w:bidi w:val="0"/>
              <w:spacing w:before="0" w:after="283"/>
              <w:jc w:val="left"/>
              <w:rPr/>
            </w:pPr>
            <w:r>
              <w:rPr/>
              <w:t> </w:t>
            </w:r>
          </w:p>
        </w:tc>
      </w:tr>
      <w:tr>
        <w:trPr/>
        <w:tc>
          <w:tcPr>
            <w:tcW w:w="5265" w:type="dxa"/>
            <w:tcBorders/>
            <w:shd w:fill="CCEEFF" w:val="clear"/>
            <w:vAlign w:val="center"/>
          </w:tcPr>
          <w:p>
            <w:pPr>
              <w:pStyle w:val="TableContents"/>
              <w:bidi w:val="0"/>
              <w:spacing w:before="0" w:after="0"/>
              <w:ind w:left="0" w:right="0" w:hanging="144"/>
              <w:jc w:val="left"/>
              <w:rPr/>
            </w:pPr>
            <w:r>
              <w:rPr/>
              <w:t xml:space="preserve">Total shares - diluted (denominator)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244,904,640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243,342,466</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223,977,315</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265" w:type="dxa"/>
            <w:tcBorders/>
            <w:vAlign w:val="center"/>
          </w:tcPr>
          <w:p>
            <w:pPr>
              <w:pStyle w:val="TableContents"/>
              <w:bidi w:val="0"/>
              <w:spacing w:before="0" w:after="0"/>
              <w:ind w:left="0" w:right="0" w:hanging="144"/>
              <w:jc w:val="left"/>
              <w:rPr/>
            </w:pPr>
            <w:r>
              <w:rPr/>
              <w:t xml:space="preserve">Diluted earnings (loss) per common share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tcMar>
              <w:bottom w:w="28" w:type="dxa"/>
            </w:tcMar>
            <w:vAlign w:val="center"/>
          </w:tcPr>
          <w:p>
            <w:pPr>
              <w:pStyle w:val="TableContents"/>
              <w:bidi w:val="0"/>
              <w:spacing w:before="0" w:after="283"/>
              <w:jc w:val="right"/>
              <w:rPr/>
            </w:pPr>
            <w:r>
              <w:rPr/>
              <w:t>0.60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tcMar>
              <w:bottom w:w="28" w:type="dxa"/>
            </w:tcMar>
            <w:vAlign w:val="center"/>
          </w:tcPr>
          <w:p>
            <w:pPr>
              <w:pStyle w:val="TableContents"/>
              <w:bidi w:val="0"/>
              <w:spacing w:before="0" w:after="283"/>
              <w:jc w:val="right"/>
              <w:rPr/>
            </w:pPr>
            <w:r>
              <w:rPr/>
              <w:t>0.81</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tcMar>
              <w:bottom w:w="28" w:type="dxa"/>
            </w:tcMar>
            <w:vAlign w:val="center"/>
          </w:tcPr>
          <w:p>
            <w:pPr>
              <w:pStyle w:val="TableContents"/>
              <w:bidi w:val="0"/>
              <w:spacing w:before="0" w:after="283"/>
              <w:jc w:val="right"/>
              <w:rPr/>
            </w:pPr>
            <w:r>
              <w:rPr/>
              <w:t>(0.13</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During the years ended December 31, 2025 and 2024, there were no shares with an anti-dilutive effect that needed to be excluded from the earnings per share computation. For the year ended December 31, 2023, the following securities were excluded from the calculation of diluted loss per common share because of their anti-dilutive effects: </w:t>
      </w:r>
    </w:p>
    <w:p>
      <w:pPr>
        <w:pStyle w:val="TextBody"/>
        <w:bidi w:val="0"/>
        <w:spacing w:before="0" w:after="0"/>
        <w:jc w:val="left"/>
        <w:rPr/>
      </w:pPr>
      <w:r>
        <w:rPr/>
        <w:t xml:space="preserve">  </w:t>
      </w:r>
    </w:p>
    <w:tbl>
      <w:tblPr>
        <w:tblW w:w="5214" w:type="dxa"/>
        <w:jc w:val="left"/>
        <w:tblInd w:w="0" w:type="dxa"/>
        <w:tblLayout w:type="fixed"/>
        <w:tblCellMar>
          <w:top w:w="0" w:type="dxa"/>
          <w:left w:w="0" w:type="dxa"/>
          <w:bottom w:w="0" w:type="dxa"/>
          <w:right w:w="0" w:type="dxa"/>
        </w:tblCellMar>
      </w:tblPr>
      <w:tblGrid>
        <w:gridCol w:w="2240"/>
        <w:gridCol w:w="90"/>
        <w:gridCol w:w="202"/>
        <w:gridCol w:w="2547"/>
        <w:gridCol w:w="135"/>
      </w:tblGrid>
      <w:tr>
        <w:trPr/>
        <w:tc>
          <w:tcPr>
            <w:tcW w:w="2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749" w:type="dxa"/>
            <w:gridSpan w:val="2"/>
            <w:tcBorders/>
            <w:vAlign w:val="center"/>
          </w:tcPr>
          <w:p>
            <w:pPr>
              <w:pStyle w:val="TableContents"/>
              <w:bidi w:val="0"/>
              <w:spacing w:before="0" w:after="283"/>
              <w:jc w:val="center"/>
              <w:rPr/>
            </w:pPr>
            <w:r>
              <w:rPr>
                <w:b/>
              </w:rPr>
              <w:t>Year ended December 31,</w:t>
            </w:r>
            <w:r>
              <w:rPr/>
              <w:t xml:space="preserve"> </w:t>
            </w:r>
          </w:p>
        </w:tc>
        <w:tc>
          <w:tcPr>
            <w:tcW w:w="135" w:type="dxa"/>
            <w:tcBorders/>
            <w:vAlign w:val="center"/>
          </w:tcPr>
          <w:p>
            <w:pPr>
              <w:pStyle w:val="TableContents"/>
              <w:bidi w:val="0"/>
              <w:spacing w:before="0" w:after="283"/>
              <w:jc w:val="center"/>
              <w:rPr/>
            </w:pPr>
            <w:r>
              <w:rPr/>
              <w:t> </w:t>
            </w:r>
          </w:p>
        </w:tc>
      </w:tr>
      <w:tr>
        <w:trPr/>
        <w:tc>
          <w:tcPr>
            <w:tcW w:w="2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0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547" w:type="dxa"/>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135" w:type="dxa"/>
            <w:tcBorders/>
            <w:vAlign w:val="center"/>
          </w:tcPr>
          <w:p>
            <w:pPr>
              <w:pStyle w:val="TableContents"/>
              <w:bidi w:val="0"/>
              <w:spacing w:before="0" w:after="283"/>
              <w:jc w:val="center"/>
              <w:rPr/>
            </w:pPr>
            <w:r>
              <w:rPr/>
              <w:t> </w:t>
            </w:r>
          </w:p>
        </w:tc>
      </w:tr>
      <w:tr>
        <w:trPr/>
        <w:tc>
          <w:tcPr>
            <w:tcW w:w="2240" w:type="dxa"/>
            <w:tcBorders/>
            <w:shd w:fill="CCEEFF" w:val="clear"/>
            <w:vAlign w:val="center"/>
          </w:tcPr>
          <w:p>
            <w:pPr>
              <w:pStyle w:val="TableContents"/>
              <w:bidi w:val="0"/>
              <w:spacing w:before="0" w:after="0"/>
              <w:ind w:left="0" w:right="0" w:hanging="144"/>
              <w:jc w:val="left"/>
              <w:rPr/>
            </w:pPr>
            <w:r>
              <w:rPr/>
              <w:t xml:space="preserve">Stock Options </w:t>
            </w:r>
          </w:p>
        </w:tc>
        <w:tc>
          <w:tcPr>
            <w:tcW w:w="90"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2547" w:type="dxa"/>
            <w:tcBorders/>
            <w:shd w:fill="CCEEFF" w:val="clear"/>
            <w:vAlign w:val="center"/>
          </w:tcPr>
          <w:p>
            <w:pPr>
              <w:pStyle w:val="TableContents"/>
              <w:bidi w:val="0"/>
              <w:spacing w:before="0" w:after="283"/>
              <w:jc w:val="right"/>
              <w:rPr/>
            </w:pPr>
            <w:r>
              <w:rPr/>
              <w:t>5,906,184</w:t>
            </w:r>
          </w:p>
        </w:tc>
        <w:tc>
          <w:tcPr>
            <w:tcW w:w="13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ind w:left="0" w:right="0" w:hanging="144"/>
              <w:jc w:val="left"/>
              <w:rPr/>
            </w:pPr>
            <w:r>
              <w:rPr/>
              <w:t xml:space="preserve">Restricted Stock Units </w:t>
            </w:r>
          </w:p>
        </w:tc>
        <w:tc>
          <w:tcPr>
            <w:tcW w:w="90"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2547" w:type="dxa"/>
            <w:tcBorders/>
            <w:vAlign w:val="center"/>
          </w:tcPr>
          <w:p>
            <w:pPr>
              <w:pStyle w:val="TableContents"/>
              <w:bidi w:val="0"/>
              <w:spacing w:before="0" w:after="283"/>
              <w:jc w:val="right"/>
              <w:rPr/>
            </w:pPr>
            <w:r>
              <w:rPr/>
              <w:t>4,657,297</w:t>
            </w:r>
          </w:p>
        </w:tc>
        <w:tc>
          <w:tcPr>
            <w:tcW w:w="13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144"/>
              <w:jc w:val="left"/>
              <w:rPr/>
            </w:pPr>
            <w:r>
              <w:rPr/>
              <w:t xml:space="preserve">Warrants </w:t>
            </w:r>
          </w:p>
        </w:tc>
        <w:tc>
          <w:tcPr>
            <w:tcW w:w="90" w:type="dxa"/>
            <w:tcBorders/>
            <w:shd w:fill="CCEEFF" w:val="clear"/>
            <w:vAlign w:val="center"/>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47" w:type="dxa"/>
            <w:tcBorders>
              <w:bottom w:val="single" w:sz="12" w:space="0" w:color="000000"/>
            </w:tcBorders>
            <w:shd w:fill="CCEEFF" w:val="clear"/>
            <w:tcMar>
              <w:bottom w:w="28" w:type="dxa"/>
            </w:tcMar>
            <w:vAlign w:val="center"/>
          </w:tcPr>
          <w:p>
            <w:pPr>
              <w:pStyle w:val="TableContents"/>
              <w:bidi w:val="0"/>
              <w:spacing w:before="0" w:after="283"/>
              <w:jc w:val="right"/>
              <w:rPr/>
            </w:pPr>
            <w:r>
              <w:rPr/>
              <w:t>12,502,906</w:t>
            </w:r>
          </w:p>
        </w:tc>
        <w:tc>
          <w:tcPr>
            <w:tcW w:w="13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pPr>
            <w:r>
              <w:rPr/>
              <w:t xml:space="preserve">Total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02" w:type="dxa"/>
            <w:tcBorders>
              <w:bottom w:val="double" w:sz="8" w:space="0" w:color="000000"/>
            </w:tcBorders>
            <w:tcMar>
              <w:bottom w:w="28" w:type="dxa"/>
            </w:tcMar>
            <w:vAlign w:val="center"/>
          </w:tcPr>
          <w:p>
            <w:pPr>
              <w:pStyle w:val="TableContents"/>
              <w:bidi w:val="0"/>
              <w:spacing w:before="0" w:after="283"/>
              <w:jc w:val="left"/>
              <w:rPr/>
            </w:pPr>
            <w:r>
              <w:rPr/>
              <w:t> </w:t>
            </w:r>
          </w:p>
        </w:tc>
        <w:tc>
          <w:tcPr>
            <w:tcW w:w="2547" w:type="dxa"/>
            <w:tcBorders>
              <w:bottom w:val="double" w:sz="8" w:space="0" w:color="000000"/>
            </w:tcBorders>
            <w:tcMar>
              <w:bottom w:w="28" w:type="dxa"/>
            </w:tcMar>
            <w:vAlign w:val="center"/>
          </w:tcPr>
          <w:p>
            <w:pPr>
              <w:pStyle w:val="TableContents"/>
              <w:bidi w:val="0"/>
              <w:spacing w:before="0" w:after="283"/>
              <w:jc w:val="right"/>
              <w:rPr/>
            </w:pPr>
            <w:r>
              <w:rPr/>
              <w:t>23,066,387</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Fair value of financial instruments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notes payable (see Note 7) also approximates fair value, based on a Level 3 classification under the fair value hierarchy, due to the variable interest rate on this debt.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Recent Accounting Pronouncements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December 2025, the FASB issued ASU 2025-10, </w:t>
      </w:r>
      <w:r>
        <w:rPr>
          <w:rFonts w:ascii="TimesNewRoman;Times New Roman;Times;Baskerville;Georgia;serif" w:hAnsi="TimesNewRoman;Times New Roman;Times;Baskerville;Georgia;serif"/>
          <w:i/>
          <w:sz w:val="20"/>
        </w:rPr>
        <w:t>Government Grants (Topic 832): Accounting for Government Grants Received by Business Entities</w:t>
      </w:r>
      <w:r>
        <w:rPr>
          <w:rFonts w:ascii="TimesNewRoman;Times New Roman;Times;Baskerville;Georgia;serif" w:hAnsi="TimesNewRoman;Times New Roman;Times;Baskerville;Georgia;serif"/>
          <w:sz w:val="20"/>
        </w:rPr>
        <w:t xml:space="preserve">,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No material impact is expected upon adoption of this authoritative guidance.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December 2025, the FASB issued ASU 2025-11, </w:t>
      </w:r>
      <w:r>
        <w:rPr>
          <w:rFonts w:ascii="TimesNewRoman;Times New Roman;Times;Baskerville;Georgia;serif" w:hAnsi="TimesNewRoman;Times New Roman;Times;Baskerville;Georgia;serif"/>
          <w:i/>
          <w:sz w:val="20"/>
        </w:rPr>
        <w:t>Interim Reporting (Topic 270): Narrow-Scope Improvements</w:t>
      </w:r>
      <w:r>
        <w:rPr>
          <w:rFonts w:ascii="TimesNewRoman;Times New Roman;Times;Baskerville;Georgia;serif" w:hAnsi="TimesNewRoman;Times New Roman;Times;Baskerville;Georgia;serif"/>
          <w:sz w:val="20"/>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November 2024, the Financial Accounting Standards Board (“FASB”) issued Accounting Standards Update (“ASU”) 2024-03, </w:t>
      </w:r>
      <w:r>
        <w:rPr>
          <w:rFonts w:ascii="TimesNewRoman;Times New Roman;Times;Baskerville;Georgia;serif" w:hAnsi="TimesNewRoman;Times New Roman;Times;Baskerville;Georgia;serif"/>
          <w:i/>
          <w:sz w:val="20"/>
        </w:rPr>
        <w:t>Income Statement-Reporting Comprehensive Income-Expense Disaggregation Disclosures (Subtopic 220-40): Disaggregation of Income Statement Expenses</w:t>
      </w:r>
      <w:r>
        <w:rPr>
          <w:rFonts w:ascii="TimesNewRoman;Times New Roman;Times;Baskerville;Georgia;serif" w:hAnsi="TimesNewRoman;Times New Roman;Times;Baskerville;Georgia;serif"/>
          <w:sz w:val="20"/>
        </w:rPr>
        <w:t xml:space="preserve">,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w:t>
      </w:r>
    </w:p>
    <w:p>
      <w:pPr>
        <w:pStyle w:val="TextBody"/>
        <w:bidi w:val="0"/>
        <w:spacing w:before="0" w:after="0"/>
        <w:jc w:val="left"/>
        <w:rPr/>
      </w:pPr>
      <w:r>
        <w:rPr/>
        <w:t xml:space="preserve">  </w:t>
      </w:r>
    </w:p>
    <w:p>
      <w:pPr>
        <w:pStyle w:val="TextBody"/>
        <w:bidi w:val="0"/>
        <w:spacing w:before="0" w:after="0"/>
        <w:ind w:left="0" w:right="0" w:firstLine="720"/>
        <w:jc w:val="both"/>
        <w:rPr/>
      </w:pPr>
      <w:r>
        <w:rPr/>
        <w:t> </w:t>
      </w:r>
      <w:r>
        <w:rPr>
          <w:rFonts w:ascii="TimesNewRoman;Times New Roman;Times;Baskerville;Georgia;serif" w:hAnsi="TimesNewRoman;Times New Roman;Times;Baskerville;Georgia;serif"/>
          <w:sz w:val="20"/>
        </w:rPr>
        <w:t xml:space="preserve">In December 2023, the FASB issued ASU 2023-09, </w:t>
      </w:r>
      <w:r>
        <w:rPr>
          <w:rFonts w:ascii="TimesNewRoman;Times New Roman;Times;Baskerville;Georgia;serif" w:hAnsi="TimesNewRoman;Times New Roman;Times;Baskerville;Georgia;serif"/>
          <w:i/>
          <w:sz w:val="20"/>
        </w:rPr>
        <w:t>Income Taxes (Topic 740): Improvements to Income Tax Disclosures</w:t>
      </w:r>
      <w:r>
        <w:rPr>
          <w:rFonts w:ascii="TimesNewRoman;Times New Roman;Times;Baskerville;Georgia;serif" w:hAnsi="TimesNewRoman;Times New Roman;Times;Baskerville;Georgia;serif"/>
          <w:sz w:val="20"/>
        </w:rPr>
        <w:t xml:space="preserve">,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adopted ASU 2023-09 for the year ended December 31, 2025, and applied the new disclosure requirements prospectively to the current annual period. Prior period disclosures have not been adjusted to reflect the new disclosure requirements. See Note 11 for further details. </w:t>
      </w:r>
    </w:p>
    <w:p>
      <w:pPr>
        <w:pStyle w:val="TextBody"/>
        <w:bidi w:val="0"/>
        <w:spacing w:before="0" w:after="0"/>
        <w:jc w:val="left"/>
        <w:rPr/>
      </w:pPr>
      <w:r>
        <w:rPr/>
        <w:t> </w:t>
      </w:r>
    </w:p>
    <w:p>
      <w:pPr>
        <w:pStyle w:val="TextBody"/>
        <w:bidi w:val="0"/>
        <w:spacing w:lineRule="atLeast" w:line="259" w:before="0" w:after="0"/>
        <w:ind w:left="0" w:right="0" w:hanging="540"/>
        <w:jc w:val="left"/>
        <w:rPr>
          <w:rFonts w:ascii="Aptos" w:hAnsi="Aptos"/>
          <w:sz w:val="20"/>
        </w:rPr>
      </w:pPr>
      <w:r>
        <w:rPr>
          <w:rFonts w:ascii="Times New Roman" w:hAnsi="Times New Roman"/>
          <w:b/>
          <w:sz w:val="20"/>
          <w:u w:val="single"/>
        </w:rPr>
        <w:t>INVENTORIES</w:t>
      </w:r>
      <w:r>
        <w:rPr>
          <w:rFonts w:ascii="Aptos" w:hAnsi="Aptos"/>
          <w:sz w:val="20"/>
        </w:rPr>
        <w:t xml:space="preserve"> </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342900" cy="175260"/>
                <wp:effectExtent l="0" t="0" r="0" b="0"/>
                <wp:wrapSquare wrapText="right"/>
                <wp:docPr id="211" name="Frame20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3.</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3.</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provides the components of inventories: </w:t>
      </w:r>
    </w:p>
    <w:p>
      <w:pPr>
        <w:pStyle w:val="TextBody"/>
        <w:bidi w:val="0"/>
        <w:spacing w:before="0" w:after="0"/>
        <w:jc w:val="left"/>
        <w:rPr/>
      </w:pPr>
      <w:r>
        <w:rPr/>
        <w:t xml:space="preserve">  </w:t>
      </w:r>
    </w:p>
    <w:tbl>
      <w:tblPr>
        <w:tblW w:w="5533" w:type="dxa"/>
        <w:jc w:val="left"/>
        <w:tblInd w:w="0" w:type="dxa"/>
        <w:tblLayout w:type="fixed"/>
        <w:tblCellMar>
          <w:top w:w="0" w:type="dxa"/>
          <w:left w:w="0" w:type="dxa"/>
          <w:bottom w:w="0" w:type="dxa"/>
          <w:right w:w="0" w:type="dxa"/>
        </w:tblCellMar>
      </w:tblPr>
      <w:tblGrid>
        <w:gridCol w:w="2120"/>
        <w:gridCol w:w="90"/>
        <w:gridCol w:w="255"/>
        <w:gridCol w:w="1249"/>
        <w:gridCol w:w="90"/>
        <w:gridCol w:w="90"/>
        <w:gridCol w:w="255"/>
        <w:gridCol w:w="1249"/>
        <w:gridCol w:w="135"/>
      </w:tblGrid>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December 31, </w:t>
              <w:b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December 31, </w:t>
              <w:br/>
              <w:t>2024</w:t>
            </w:r>
            <w:r>
              <w:rPr/>
              <w:t xml:space="preserve"> </w:t>
            </w:r>
          </w:p>
        </w:tc>
        <w:tc>
          <w:tcPr>
            <w:tcW w:w="135" w:type="dxa"/>
            <w:tcBorders/>
            <w:vAlign w:val="center"/>
          </w:tcPr>
          <w:p>
            <w:pPr>
              <w:pStyle w:val="TableContents"/>
              <w:bidi w:val="0"/>
              <w:spacing w:before="0" w:after="283"/>
              <w:jc w:val="center"/>
              <w:rPr/>
            </w:pPr>
            <w:r>
              <w:rPr/>
              <w:t> </w:t>
            </w:r>
          </w:p>
        </w:tc>
      </w:tr>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23" w:type="dxa"/>
            <w:gridSpan w:val="7"/>
            <w:tcBorders/>
            <w:vAlign w:val="center"/>
          </w:tcPr>
          <w:p>
            <w:pPr>
              <w:pStyle w:val="TableContents"/>
              <w:bidi w:val="0"/>
              <w:spacing w:before="0" w:after="283"/>
              <w:jc w:val="center"/>
              <w:rPr/>
            </w:pPr>
            <w:r>
              <w:rPr>
                <w:i/>
              </w:rPr>
              <w:t>(in thousands)</w:t>
            </w:r>
            <w:r>
              <w:rPr/>
              <w:t xml:space="preserve"> </w:t>
            </w:r>
          </w:p>
        </w:tc>
      </w:tr>
      <w:tr>
        <w:trPr/>
        <w:tc>
          <w:tcPr>
            <w:tcW w:w="2120" w:type="dxa"/>
            <w:tcBorders/>
            <w:shd w:fill="CCEEFF" w:val="clear"/>
            <w:vAlign w:val="center"/>
          </w:tcPr>
          <w:p>
            <w:pPr>
              <w:pStyle w:val="TableContents"/>
              <w:bidi w:val="0"/>
              <w:spacing w:before="0" w:after="0"/>
              <w:ind w:left="0" w:right="0" w:hanging="144"/>
              <w:jc w:val="left"/>
              <w:rPr/>
            </w:pPr>
            <w:r>
              <w:rPr/>
              <w:t xml:space="preserve">Raw materials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96,612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60,473</w:t>
            </w:r>
          </w:p>
        </w:tc>
        <w:tc>
          <w:tcPr>
            <w:tcW w:w="135"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ind w:left="0" w:right="0" w:hanging="144"/>
              <w:jc w:val="left"/>
              <w:rPr/>
            </w:pPr>
            <w:r>
              <w:rPr/>
              <w:t xml:space="preserve">Work-in-process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57,798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61,641</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0" w:right="0" w:hanging="144"/>
              <w:jc w:val="left"/>
              <w:rPr/>
            </w:pPr>
            <w:r>
              <w:rPr/>
              <w:t xml:space="preserve">Finished goods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52,055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48,121</w:t>
            </w:r>
          </w:p>
        </w:tc>
        <w:tc>
          <w:tcPr>
            <w:tcW w:w="135"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ind w:left="0" w:right="0" w:hanging="144"/>
              <w:jc w:val="left"/>
              <w:rPr/>
            </w:pPr>
            <w:r>
              <w:rPr/>
              <w:t xml:space="preserve">Total inventories, net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55" w:type="dxa"/>
            <w:tcBorders>
              <w:bottom w:val="double" w:sz="8" w:space="0" w:color="000000"/>
            </w:tcBorders>
            <w:tcMar>
              <w:bottom w:w="28" w:type="dxa"/>
            </w:tcMar>
            <w:vAlign w:val="center"/>
          </w:tcPr>
          <w:p>
            <w:pPr>
              <w:pStyle w:val="TableContents"/>
              <w:bidi w:val="0"/>
              <w:spacing w:before="0" w:after="283"/>
              <w:jc w:val="left"/>
              <w:rPr/>
            </w:pPr>
            <w:r>
              <w:rPr/>
              <w:t>$</w:t>
            </w:r>
          </w:p>
        </w:tc>
        <w:tc>
          <w:tcPr>
            <w:tcW w:w="1249" w:type="dxa"/>
            <w:tcBorders>
              <w:bottom w:val="double" w:sz="8" w:space="0" w:color="000000"/>
            </w:tcBorders>
            <w:tcMar>
              <w:bottom w:w="28" w:type="dxa"/>
            </w:tcMar>
            <w:vAlign w:val="center"/>
          </w:tcPr>
          <w:p>
            <w:pPr>
              <w:pStyle w:val="TableContents"/>
              <w:bidi w:val="0"/>
              <w:spacing w:before="0" w:after="283"/>
              <w:jc w:val="right"/>
              <w:rPr/>
            </w:pPr>
            <w:r>
              <w:rPr/>
              <w:t>206,465</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55" w:type="dxa"/>
            <w:tcBorders>
              <w:bottom w:val="double" w:sz="8" w:space="0" w:color="000000"/>
            </w:tcBorders>
            <w:tcMar>
              <w:bottom w:w="28" w:type="dxa"/>
            </w:tcMar>
            <w:vAlign w:val="center"/>
          </w:tcPr>
          <w:p>
            <w:pPr>
              <w:pStyle w:val="TableContents"/>
              <w:bidi w:val="0"/>
              <w:spacing w:before="0" w:after="283"/>
              <w:jc w:val="left"/>
              <w:rPr/>
            </w:pPr>
            <w:r>
              <w:rPr/>
              <w:t>$</w:t>
            </w:r>
          </w:p>
        </w:tc>
        <w:tc>
          <w:tcPr>
            <w:tcW w:w="1249" w:type="dxa"/>
            <w:tcBorders>
              <w:bottom w:val="double" w:sz="8" w:space="0" w:color="000000"/>
            </w:tcBorders>
            <w:tcMar>
              <w:bottom w:w="28" w:type="dxa"/>
            </w:tcMar>
            <w:vAlign w:val="center"/>
          </w:tcPr>
          <w:p>
            <w:pPr>
              <w:pStyle w:val="TableContents"/>
              <w:bidi w:val="0"/>
              <w:spacing w:before="0" w:after="283"/>
              <w:jc w:val="right"/>
              <w:rPr/>
            </w:pPr>
            <w:r>
              <w:rPr/>
              <w:t>170,235</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Raw materials includes plasma and other materials expected to be used in the production of ASCENIV, BIVIGAM and Nabi-HB. These materials will be consumed in the production of products expected to be available for sale or otherwise have alternative uses that provide a probable future benefit.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Work-in-process inventory primarily consists of the Company’s IVIG products that are manufactured to the bulk drug substance and unlabeled filled vials stage of production.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Finished goods inventory is comprised of the Company’s immunoglobulin products that have reached the filled, labeled and serialized vial stage of production and related intermediates that are available for commercial sale, as well as plasma collected at the Company’s plasma collection centers which is expected to be sold to third-party customers.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F-15</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PROPERTY AND EQUIPMENT</w:t>
      </w:r>
      <w:r>
        <w:rPr>
          <w:rFonts w:ascii="Aptos" w:hAnsi="Aptos"/>
          <w:sz w:val="20"/>
        </w:rPr>
        <w:t xml:space="preserve"> </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342900" cy="175260"/>
                <wp:effectExtent l="0" t="0" r="0" b="0"/>
                <wp:wrapSquare wrapText="right"/>
                <wp:docPr id="212" name="Frame20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4.</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Property and equipment at December 31, 2025 and 2024 is summarized as follows: </w:t>
      </w:r>
    </w:p>
    <w:p>
      <w:pPr>
        <w:pStyle w:val="TextBody"/>
        <w:bidi w:val="0"/>
        <w:spacing w:before="0" w:after="0"/>
        <w:jc w:val="left"/>
        <w:rPr/>
      </w:pPr>
      <w:r>
        <w:rPr/>
        <w:t xml:space="preserve">  </w:t>
      </w:r>
    </w:p>
    <w:tbl>
      <w:tblPr>
        <w:tblW w:w="8587" w:type="dxa"/>
        <w:jc w:val="left"/>
        <w:tblInd w:w="0" w:type="dxa"/>
        <w:tblLayout w:type="fixed"/>
        <w:tblCellMar>
          <w:top w:w="0" w:type="dxa"/>
          <w:left w:w="0" w:type="dxa"/>
          <w:bottom w:w="0" w:type="dxa"/>
          <w:right w:w="0" w:type="dxa"/>
        </w:tblCellMar>
      </w:tblPr>
      <w:tblGrid>
        <w:gridCol w:w="3995"/>
        <w:gridCol w:w="90"/>
        <w:gridCol w:w="346"/>
        <w:gridCol w:w="1698"/>
        <w:gridCol w:w="185"/>
        <w:gridCol w:w="175"/>
        <w:gridCol w:w="331"/>
        <w:gridCol w:w="1537"/>
        <w:gridCol w:w="230"/>
      </w:tblGrid>
      <w:tr>
        <w:trPr/>
        <w:tc>
          <w:tcPr>
            <w:tcW w:w="3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185" w:type="dxa"/>
            <w:tcBorders/>
            <w:vAlign w:val="center"/>
          </w:tcPr>
          <w:p>
            <w:pPr>
              <w:pStyle w:val="TableContents"/>
              <w:bidi w:val="0"/>
              <w:spacing w:before="0" w:after="283"/>
              <w:jc w:val="center"/>
              <w:rPr/>
            </w:pPr>
            <w:r>
              <w:rPr/>
              <w:t> </w:t>
            </w:r>
          </w:p>
        </w:tc>
        <w:tc>
          <w:tcPr>
            <w:tcW w:w="2043" w:type="dxa"/>
            <w:gridSpan w:val="3"/>
            <w:tcBorders>
              <w:bottom w:val="single" w:sz="12" w:space="0" w:color="000000"/>
            </w:tcBorders>
            <w:tcMar>
              <w:bottom w:w="28" w:type="dxa"/>
            </w:tcMar>
            <w:vAlign w:val="center"/>
          </w:tcPr>
          <w:p>
            <w:pPr>
              <w:pStyle w:val="TableContents"/>
              <w:bidi w:val="0"/>
              <w:spacing w:before="0" w:after="283"/>
              <w:jc w:val="center"/>
              <w:rPr/>
            </w:pPr>
            <w:r>
              <w:rPr>
                <w:b/>
              </w:rPr>
              <w:t>December 31, 2024</w:t>
            </w:r>
            <w:r>
              <w:rPr/>
              <w:t xml:space="preserve"> </w:t>
            </w:r>
          </w:p>
        </w:tc>
        <w:tc>
          <w:tcPr>
            <w:tcW w:w="230" w:type="dxa"/>
            <w:tcBorders/>
            <w:vAlign w:val="center"/>
          </w:tcPr>
          <w:p>
            <w:pPr>
              <w:pStyle w:val="TableContents"/>
              <w:bidi w:val="0"/>
              <w:spacing w:before="0" w:after="283"/>
              <w:jc w:val="center"/>
              <w:rPr/>
            </w:pPr>
            <w:r>
              <w:rPr/>
              <w:t> </w:t>
            </w:r>
          </w:p>
        </w:tc>
      </w:tr>
      <w:tr>
        <w:trPr/>
        <w:tc>
          <w:tcPr>
            <w:tcW w:w="3995" w:type="dxa"/>
            <w:tcBorders/>
            <w:vAlign w:val="center"/>
          </w:tcPr>
          <w:p>
            <w:pPr>
              <w:pStyle w:val="TableContents"/>
              <w:bidi w:val="0"/>
              <w:spacing w:before="0" w:after="283"/>
              <w:jc w:val="left"/>
              <w:rPr/>
            </w:pPr>
            <w:r>
              <w:rPr/>
              <w:t> </w:t>
            </w:r>
          </w:p>
        </w:tc>
        <w:tc>
          <w:tcPr>
            <w:tcW w:w="4592" w:type="dxa"/>
            <w:gridSpan w:val="8"/>
            <w:tcBorders/>
            <w:vAlign w:val="center"/>
          </w:tcPr>
          <w:p>
            <w:pPr>
              <w:pStyle w:val="TableContents"/>
              <w:bidi w:val="0"/>
              <w:spacing w:before="0" w:after="283"/>
              <w:jc w:val="center"/>
              <w:rPr/>
            </w:pPr>
            <w:r>
              <w:rPr>
                <w:i/>
              </w:rPr>
              <w:t>(in thousands)</w:t>
            </w:r>
            <w:r>
              <w:rPr/>
              <w:t xml:space="preserve"> </w:t>
            </w:r>
          </w:p>
        </w:tc>
      </w:tr>
      <w:tr>
        <w:trPr/>
        <w:tc>
          <w:tcPr>
            <w:tcW w:w="3995" w:type="dxa"/>
            <w:tcBorders/>
            <w:shd w:fill="CCEEFF" w:val="clear"/>
            <w:vAlign w:val="center"/>
          </w:tcPr>
          <w:p>
            <w:pPr>
              <w:pStyle w:val="TableContents"/>
              <w:bidi w:val="0"/>
              <w:spacing w:before="0" w:after="0"/>
              <w:ind w:left="0" w:right="0" w:hanging="144"/>
              <w:jc w:val="left"/>
              <w:rPr/>
            </w:pPr>
            <w:r>
              <w:rPr/>
              <w:t xml:space="preserve">Manufacturing and laboratory equipment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left"/>
              <w:rPr/>
            </w:pPr>
            <w:r>
              <w:rPr/>
              <w:t>$</w:t>
            </w:r>
          </w:p>
        </w:tc>
        <w:tc>
          <w:tcPr>
            <w:tcW w:w="1698" w:type="dxa"/>
            <w:tcBorders/>
            <w:shd w:fill="CCEEFF" w:val="clear"/>
            <w:vAlign w:val="center"/>
          </w:tcPr>
          <w:p>
            <w:pPr>
              <w:pStyle w:val="TableContents"/>
              <w:bidi w:val="0"/>
              <w:spacing w:before="0" w:after="283"/>
              <w:jc w:val="right"/>
              <w:rPr/>
            </w:pPr>
            <w:r>
              <w:rPr/>
              <w:t>28,119</w:t>
            </w:r>
          </w:p>
        </w:tc>
        <w:tc>
          <w:tcPr>
            <w:tcW w:w="18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right"/>
              <w:rPr/>
            </w:pPr>
            <w:r>
              <w:rPr/>
              <w:t> </w:t>
            </w:r>
          </w:p>
        </w:tc>
        <w:tc>
          <w:tcPr>
            <w:tcW w:w="331" w:type="dxa"/>
            <w:tcBorders/>
            <w:shd w:fill="CCEEFF" w:val="clear"/>
            <w:vAlign w:val="center"/>
          </w:tcPr>
          <w:p>
            <w:pPr>
              <w:pStyle w:val="TableContents"/>
              <w:bidi w:val="0"/>
              <w:spacing w:before="0" w:after="283"/>
              <w:jc w:val="left"/>
              <w:rPr/>
            </w:pPr>
            <w:r>
              <w:rPr/>
              <w:t>$</w:t>
            </w:r>
          </w:p>
        </w:tc>
        <w:tc>
          <w:tcPr>
            <w:tcW w:w="1537" w:type="dxa"/>
            <w:tcBorders/>
            <w:shd w:fill="CCEEFF" w:val="clear"/>
            <w:vAlign w:val="center"/>
          </w:tcPr>
          <w:p>
            <w:pPr>
              <w:pStyle w:val="TableContents"/>
              <w:bidi w:val="0"/>
              <w:spacing w:before="0" w:after="283"/>
              <w:jc w:val="right"/>
              <w:rPr/>
            </w:pPr>
            <w:r>
              <w:rPr/>
              <w:t>21,305</w:t>
            </w:r>
          </w:p>
        </w:tc>
        <w:tc>
          <w:tcPr>
            <w:tcW w:w="230" w:type="dxa"/>
            <w:tcBorders/>
            <w:shd w:fill="CCEEFF" w:val="cle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ind w:left="0" w:right="0" w:hanging="144"/>
              <w:jc w:val="left"/>
              <w:rPr/>
            </w:pPr>
            <w:r>
              <w:rPr/>
              <w:t xml:space="preserve">Office equipment and computer software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right"/>
              <w:rPr/>
            </w:pPr>
            <w:r>
              <w:rPr/>
              <w:t>6,307</w:t>
            </w:r>
          </w:p>
        </w:tc>
        <w:tc>
          <w:tcPr>
            <w:tcW w:w="18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right"/>
              <w:rPr/>
            </w:pPr>
            <w:r>
              <w:rPr/>
              <w:t> </w:t>
            </w:r>
          </w:p>
        </w:tc>
        <w:tc>
          <w:tcPr>
            <w:tcW w:w="331"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right"/>
              <w:rPr/>
            </w:pPr>
            <w:r>
              <w:rPr/>
              <w:t>5,772</w:t>
            </w:r>
          </w:p>
        </w:tc>
        <w:tc>
          <w:tcPr>
            <w:tcW w:w="23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144"/>
              <w:jc w:val="left"/>
              <w:rPr/>
            </w:pPr>
            <w:r>
              <w:rPr/>
              <w:t xml:space="preserve">Furniture and fixtures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5,614</w:t>
            </w:r>
          </w:p>
        </w:tc>
        <w:tc>
          <w:tcPr>
            <w:tcW w:w="18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right"/>
              <w:rPr/>
            </w:pPr>
            <w:r>
              <w:rPr/>
              <w:t> </w:t>
            </w:r>
          </w:p>
        </w:tc>
        <w:tc>
          <w:tcPr>
            <w:tcW w:w="331"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5,840</w:t>
            </w:r>
          </w:p>
        </w:tc>
        <w:tc>
          <w:tcPr>
            <w:tcW w:w="230" w:type="dxa"/>
            <w:tcBorders/>
            <w:shd w:fill="CCEEFF" w:val="cle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ind w:left="0" w:right="0" w:hanging="144"/>
              <w:jc w:val="left"/>
              <w:rPr/>
            </w:pPr>
            <w:r>
              <w:rPr/>
              <w:t xml:space="preserve">Construction in process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right"/>
              <w:rPr/>
            </w:pPr>
            <w:r>
              <w:rPr/>
              <w:t>8,457</w:t>
            </w:r>
          </w:p>
        </w:tc>
        <w:tc>
          <w:tcPr>
            <w:tcW w:w="18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right"/>
              <w:rPr/>
            </w:pPr>
            <w:r>
              <w:rPr/>
              <w:t> </w:t>
            </w:r>
          </w:p>
        </w:tc>
        <w:tc>
          <w:tcPr>
            <w:tcW w:w="331"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right"/>
              <w:rPr/>
            </w:pPr>
            <w:r>
              <w:rPr/>
              <w:t>8,149</w:t>
            </w:r>
          </w:p>
        </w:tc>
        <w:tc>
          <w:tcPr>
            <w:tcW w:w="23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144"/>
              <w:jc w:val="left"/>
              <w:rPr/>
            </w:pPr>
            <w:r>
              <w:rPr/>
              <w:t xml:space="preserve">Leasehold improvements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14,983</w:t>
            </w:r>
          </w:p>
        </w:tc>
        <w:tc>
          <w:tcPr>
            <w:tcW w:w="18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right"/>
              <w:rPr/>
            </w:pPr>
            <w:r>
              <w:rPr/>
              <w:t> </w:t>
            </w:r>
          </w:p>
        </w:tc>
        <w:tc>
          <w:tcPr>
            <w:tcW w:w="331"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21,066</w:t>
            </w:r>
          </w:p>
        </w:tc>
        <w:tc>
          <w:tcPr>
            <w:tcW w:w="230" w:type="dxa"/>
            <w:tcBorders/>
            <w:shd w:fill="CCEEFF" w:val="cle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ind w:left="0" w:right="0" w:hanging="144"/>
              <w:jc w:val="left"/>
              <w:rPr/>
            </w:pPr>
            <w:r>
              <w:rPr/>
              <w:t xml:space="preserve">Land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right"/>
              <w:rPr/>
            </w:pPr>
            <w:r>
              <w:rPr/>
              <w:t>13,039</w:t>
            </w:r>
          </w:p>
        </w:tc>
        <w:tc>
          <w:tcPr>
            <w:tcW w:w="18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right"/>
              <w:rPr/>
            </w:pPr>
            <w:r>
              <w:rPr/>
              <w:t> </w:t>
            </w:r>
          </w:p>
        </w:tc>
        <w:tc>
          <w:tcPr>
            <w:tcW w:w="331"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right"/>
              <w:rPr/>
            </w:pPr>
            <w:r>
              <w:rPr/>
              <w:t>4,339</w:t>
            </w:r>
          </w:p>
        </w:tc>
        <w:tc>
          <w:tcPr>
            <w:tcW w:w="23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144"/>
              <w:jc w:val="left"/>
              <w:rPr/>
            </w:pPr>
            <w:r>
              <w:rPr/>
              <w:t xml:space="preserve">Buildings and building improvements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8" w:type="dxa"/>
            <w:tcBorders>
              <w:bottom w:val="single" w:sz="12" w:space="0" w:color="000000"/>
            </w:tcBorders>
            <w:shd w:fill="CCEEFF" w:val="clear"/>
            <w:tcMar>
              <w:bottom w:w="28" w:type="dxa"/>
            </w:tcMar>
            <w:vAlign w:val="center"/>
          </w:tcPr>
          <w:p>
            <w:pPr>
              <w:pStyle w:val="TableContents"/>
              <w:bidi w:val="0"/>
              <w:spacing w:before="0" w:after="283"/>
              <w:jc w:val="right"/>
              <w:rPr/>
            </w:pPr>
            <w:r>
              <w:rPr/>
              <w:t>26,886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37" w:type="dxa"/>
            <w:tcBorders>
              <w:bottom w:val="single" w:sz="12" w:space="0" w:color="000000"/>
            </w:tcBorders>
            <w:shd w:fill="CCEEFF" w:val="clear"/>
            <w:tcMar>
              <w:bottom w:w="28" w:type="dxa"/>
            </w:tcMar>
            <w:vAlign w:val="center"/>
          </w:tcPr>
          <w:p>
            <w:pPr>
              <w:pStyle w:val="TableContents"/>
              <w:bidi w:val="0"/>
              <w:spacing w:before="0" w:after="283"/>
              <w:jc w:val="right"/>
              <w:rPr/>
            </w:pPr>
            <w:r>
              <w:rPr/>
              <w:t>21,788</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right"/>
              <w:rPr/>
            </w:pPr>
            <w:r>
              <w:rPr/>
              <w:t>103,405</w:t>
            </w:r>
          </w:p>
        </w:tc>
        <w:tc>
          <w:tcPr>
            <w:tcW w:w="18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right"/>
              <w:rPr/>
            </w:pPr>
            <w:r>
              <w:rPr/>
              <w:t> </w:t>
            </w:r>
          </w:p>
        </w:tc>
        <w:tc>
          <w:tcPr>
            <w:tcW w:w="331"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right"/>
              <w:rPr/>
            </w:pPr>
            <w:r>
              <w:rPr/>
              <w:t>88,259</w:t>
            </w:r>
          </w:p>
        </w:tc>
        <w:tc>
          <w:tcPr>
            <w:tcW w:w="23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144"/>
              <w:jc w:val="left"/>
              <w:rPr/>
            </w:pPr>
            <w:r>
              <w:rPr/>
              <w:t xml:space="preserve">Less: Accumulated depreciation </w:t>
            </w:r>
          </w:p>
        </w:tc>
        <w:tc>
          <w:tcPr>
            <w:tcW w:w="90" w:type="dxa"/>
            <w:tcBorders/>
            <w:shd w:fill="CCEEFF" w:val="clear"/>
            <w:vAlign w:val="center"/>
          </w:tcPr>
          <w:p>
            <w:pPr>
              <w:pStyle w:val="TableContents"/>
              <w:bidi w:val="0"/>
              <w:spacing w:before="0" w:after="283"/>
              <w:jc w:val="right"/>
              <w:rPr/>
            </w:pPr>
            <w:r>
              <w:rPr/>
              <w:t> </w:t>
            </w:r>
          </w:p>
        </w:tc>
        <w:tc>
          <w:tcPr>
            <w:tcW w:w="3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8" w:type="dxa"/>
            <w:tcBorders>
              <w:bottom w:val="single" w:sz="12" w:space="0" w:color="000000"/>
            </w:tcBorders>
            <w:shd w:fill="CCEEFF" w:val="clear"/>
            <w:tcMar>
              <w:bottom w:w="28" w:type="dxa"/>
            </w:tcMar>
            <w:vAlign w:val="center"/>
          </w:tcPr>
          <w:p>
            <w:pPr>
              <w:pStyle w:val="TableContents"/>
              <w:bidi w:val="0"/>
              <w:spacing w:before="0" w:after="283"/>
              <w:jc w:val="right"/>
              <w:rPr/>
            </w:pPr>
            <w:r>
              <w:rPr/>
              <w:t>(38,348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right"/>
              <w:rPr/>
            </w:pPr>
            <w:r>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37" w:type="dxa"/>
            <w:tcBorders>
              <w:bottom w:val="single" w:sz="12" w:space="0" w:color="000000"/>
            </w:tcBorders>
            <w:shd w:fill="CCEEFF" w:val="clear"/>
            <w:tcMar>
              <w:bottom w:w="28" w:type="dxa"/>
            </w:tcMar>
            <w:vAlign w:val="center"/>
          </w:tcPr>
          <w:p>
            <w:pPr>
              <w:pStyle w:val="TableContents"/>
              <w:bidi w:val="0"/>
              <w:spacing w:before="0" w:after="283"/>
              <w:jc w:val="right"/>
              <w:rPr/>
            </w:pPr>
            <w:r>
              <w:rPr/>
              <w:t>(33,552</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ind w:left="0" w:right="0" w:hanging="144"/>
              <w:jc w:val="left"/>
              <w:rPr/>
            </w:pPr>
            <w:r>
              <w:rPr/>
              <w:t xml:space="preserve">Total property and equipment, net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346" w:type="dxa"/>
            <w:tcBorders>
              <w:bottom w:val="double" w:sz="8" w:space="0" w:color="000000"/>
            </w:tcBorders>
            <w:tcMar>
              <w:bottom w:w="28" w:type="dxa"/>
            </w:tcMar>
            <w:vAlign w:val="center"/>
          </w:tcPr>
          <w:p>
            <w:pPr>
              <w:pStyle w:val="TableContents"/>
              <w:bidi w:val="0"/>
              <w:spacing w:before="0" w:after="283"/>
              <w:jc w:val="left"/>
              <w:rPr/>
            </w:pPr>
            <w:r>
              <w:rPr/>
              <w:t>$</w:t>
            </w:r>
          </w:p>
        </w:tc>
        <w:tc>
          <w:tcPr>
            <w:tcW w:w="1698" w:type="dxa"/>
            <w:tcBorders>
              <w:bottom w:val="double" w:sz="8" w:space="0" w:color="000000"/>
            </w:tcBorders>
            <w:tcMar>
              <w:bottom w:w="28" w:type="dxa"/>
            </w:tcMar>
            <w:vAlign w:val="center"/>
          </w:tcPr>
          <w:p>
            <w:pPr>
              <w:pStyle w:val="TableContents"/>
              <w:bidi w:val="0"/>
              <w:spacing w:before="0" w:after="283"/>
              <w:jc w:val="right"/>
              <w:rPr/>
            </w:pPr>
            <w:r>
              <w:rPr/>
              <w:t>65,057</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175" w:type="dxa"/>
            <w:tcBorders>
              <w:bottom w:val="double" w:sz="8" w:space="0" w:color="000000"/>
            </w:tcBorders>
            <w:tcMar>
              <w:bottom w:w="28" w:type="dxa"/>
            </w:tcMar>
            <w:vAlign w:val="center"/>
          </w:tcPr>
          <w:p>
            <w:pPr>
              <w:pStyle w:val="TableContents"/>
              <w:bidi w:val="0"/>
              <w:spacing w:before="0" w:after="283"/>
              <w:jc w:val="right"/>
              <w:rPr/>
            </w:pPr>
            <w:r>
              <w:rPr/>
              <w:t> </w:t>
            </w:r>
          </w:p>
        </w:tc>
        <w:tc>
          <w:tcPr>
            <w:tcW w:w="331" w:type="dxa"/>
            <w:tcBorders>
              <w:bottom w:val="double" w:sz="8" w:space="0" w:color="000000"/>
            </w:tcBorders>
            <w:tcMar>
              <w:bottom w:w="28" w:type="dxa"/>
            </w:tcMar>
            <w:vAlign w:val="center"/>
          </w:tcPr>
          <w:p>
            <w:pPr>
              <w:pStyle w:val="TableContents"/>
              <w:bidi w:val="0"/>
              <w:spacing w:before="0" w:after="283"/>
              <w:jc w:val="left"/>
              <w:rPr/>
            </w:pPr>
            <w:r>
              <w:rPr/>
              <w:t>$</w:t>
            </w:r>
          </w:p>
        </w:tc>
        <w:tc>
          <w:tcPr>
            <w:tcW w:w="1537" w:type="dxa"/>
            <w:tcBorders>
              <w:bottom w:val="double" w:sz="8" w:space="0" w:color="000000"/>
            </w:tcBorders>
            <w:tcMar>
              <w:bottom w:w="28" w:type="dxa"/>
            </w:tcMar>
            <w:vAlign w:val="center"/>
          </w:tcPr>
          <w:p>
            <w:pPr>
              <w:pStyle w:val="TableContents"/>
              <w:bidi w:val="0"/>
              <w:spacing w:before="0" w:after="283"/>
              <w:jc w:val="right"/>
              <w:rPr/>
            </w:pPr>
            <w:r>
              <w:rPr/>
              <w:t>54,707</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recorded depreciation expense on property and equipment of $8.0 million, $7.7 million and $7.6 million for the years ended December 31, 2025, 2024 and 2023, respectively. </w:t>
      </w:r>
    </w:p>
    <w:p>
      <w:pPr>
        <w:pStyle w:val="TextBody"/>
        <w:bidi w:val="0"/>
        <w:spacing w:before="0" w:after="0"/>
        <w:jc w:val="left"/>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ASSETS AND LIABILITIES HELD FOR SALE</w:t>
      </w:r>
      <w:r>
        <w:rPr>
          <w:rFonts w:ascii="Aptos" w:hAnsi="Aptos"/>
          <w:sz w:val="20"/>
        </w:rPr>
        <w:t xml:space="preserve"> </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342900" cy="175260"/>
                <wp:effectExtent l="0" t="0" r="0" b="0"/>
                <wp:wrapSquare wrapText="right"/>
                <wp:docPr id="213" name="Frame21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5.</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5.</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December 31, 2025, the Company signed an Asset Purchase Agreement with a third party pursuant to which the Company agreed to sell its plasma collection centers located in Maryville, Tennessee (“Maryville Center”), Knoxville, Tennessee (“Knoxville Center”), and Laurel, Maryland (“Laurel Center” and, collectively with the Maryville Center and Knoxville Center, the “Disposal Group”), for an aggregate purchase price equal to $12.0 million, with fifty percent (50%) of such consideration in the form of a one-year secured promissory note with a ten percent (10%) interest rate, and the remaining fifty percent (50%) payable in cash. On December 31, 2025, the purchaser paid the Company a cash deposit in the amount of $1.0 million, recorded in accrued expenses and other current liabilities, to be applied towards the consideration paid at the closing of the sale of the Maryville Center. </w:t>
      </w:r>
    </w:p>
    <w:p>
      <w:pPr>
        <w:pStyle w:val="TextBody"/>
        <w:bidi w:val="0"/>
        <w:spacing w:lineRule="atLeast" w:line="240" w:before="0" w:after="0"/>
        <w:jc w:val="both"/>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the Disposal Group met the criteria to be classified as held for sale under ASC 360, </w:t>
      </w:r>
      <w:r>
        <w:rPr>
          <w:rFonts w:ascii="TimesNewRoman;Times New Roman;Times;Baskerville;Georgia;serif" w:hAnsi="TimesNewRoman;Times New Roman;Times;Baskerville;Georgia;serif"/>
          <w:i/>
          <w:sz w:val="20"/>
        </w:rPr>
        <w:t>Property, Plant, and Equipment</w:t>
      </w:r>
      <w:r>
        <w:rPr>
          <w:rFonts w:ascii="TimesNewRoman;Times New Roman;Times;Baskerville;Georgia;serif" w:hAnsi="TimesNewRoman;Times New Roman;Times;Baskerville;Georgia;serif"/>
          <w:sz w:val="20"/>
        </w:rPr>
        <w:t xml:space="preserve">, as management approved and initiated an active program to locate a buyer, the assets are available for immediate sale in their present condition, and the sale is probable and expected to be completed within one year. Assets and liabilities classified as held for sale are measured at the lower of their carrying amount or estimated fair value less costs to sell. </w:t>
      </w:r>
    </w:p>
    <w:p>
      <w:pPr>
        <w:pStyle w:val="TextBody"/>
        <w:bidi w:val="0"/>
        <w:spacing w:lineRule="atLeast" w:line="240" w:before="0" w:after="0"/>
        <w:jc w:val="both"/>
        <w:rPr/>
      </w:pPr>
      <w:r>
        <w:rPr/>
        <w:t xml:space="preserve">  </w:t>
      </w:r>
    </w:p>
    <w:p>
      <w:pPr>
        <w:pStyle w:val="TextBody"/>
        <w:bidi w:val="0"/>
        <w:spacing w:lineRule="atLeast" w:line="240"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Assets held for sale as of December 31, 2025 are as follows: </w:t>
      </w:r>
    </w:p>
    <w:p>
      <w:pPr>
        <w:pStyle w:val="TextBody"/>
        <w:bidi w:val="0"/>
        <w:spacing w:lineRule="atLeast" w:line="240" w:before="0" w:after="0"/>
        <w:jc w:val="both"/>
        <w:rPr/>
      </w:pPr>
      <w:r>
        <w:rPr/>
        <w:t xml:space="preserve">  </w:t>
      </w:r>
    </w:p>
    <w:tbl>
      <w:tblPr>
        <w:tblW w:w="5063" w:type="dxa"/>
        <w:jc w:val="left"/>
        <w:tblInd w:w="0" w:type="dxa"/>
        <w:tblLayout w:type="fixed"/>
        <w:tblCellMar>
          <w:top w:w="0" w:type="dxa"/>
          <w:left w:w="0" w:type="dxa"/>
          <w:bottom w:w="0" w:type="dxa"/>
          <w:right w:w="0" w:type="dxa"/>
        </w:tblCellMar>
      </w:tblPr>
      <w:tblGrid>
        <w:gridCol w:w="1501"/>
        <w:gridCol w:w="1293"/>
        <w:gridCol w:w="90"/>
        <w:gridCol w:w="213"/>
        <w:gridCol w:w="1831"/>
        <w:gridCol w:w="135"/>
      </w:tblGrid>
      <w:tr>
        <w:trPr/>
        <w:tc>
          <w:tcPr>
            <w:tcW w:w="1501"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83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135" w:type="dxa"/>
            <w:tcBorders/>
            <w:vAlign w:val="center"/>
          </w:tcPr>
          <w:p>
            <w:pPr>
              <w:pStyle w:val="TableContents"/>
              <w:bidi w:val="0"/>
              <w:spacing w:before="0" w:after="283"/>
              <w:jc w:val="center"/>
              <w:rPr/>
            </w:pPr>
            <w:r>
              <w:rPr/>
              <w:t> </w:t>
            </w:r>
          </w:p>
        </w:tc>
      </w:tr>
      <w:tr>
        <w:trPr/>
        <w:tc>
          <w:tcPr>
            <w:tcW w:w="279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13" w:type="dxa"/>
            <w:tcBorders/>
            <w:vAlign w:val="center"/>
          </w:tcPr>
          <w:p>
            <w:pPr>
              <w:pStyle w:val="TableContents"/>
              <w:bidi w:val="0"/>
              <w:spacing w:before="0" w:after="283"/>
              <w:jc w:val="center"/>
              <w:rPr/>
            </w:pPr>
            <w:r>
              <w:rPr/>
              <w:t> </w:t>
            </w:r>
          </w:p>
        </w:tc>
        <w:tc>
          <w:tcPr>
            <w:tcW w:w="1831" w:type="dxa"/>
            <w:tcBorders/>
            <w:vAlign w:val="center"/>
          </w:tcPr>
          <w:p>
            <w:pPr>
              <w:pStyle w:val="TableContents"/>
              <w:bidi w:val="0"/>
              <w:spacing w:before="0" w:after="283"/>
              <w:jc w:val="center"/>
              <w:rPr/>
            </w:pPr>
            <w:r>
              <w:rPr>
                <w:i/>
              </w:rPr>
              <w:t>(in thousands)</w:t>
            </w:r>
            <w:r>
              <w:rPr/>
              <w:t xml:space="preserve"> </w:t>
            </w:r>
          </w:p>
        </w:tc>
        <w:tc>
          <w:tcPr>
            <w:tcW w:w="135" w:type="dxa"/>
            <w:tcBorders/>
            <w:vAlign w:val="center"/>
          </w:tcPr>
          <w:p>
            <w:pPr>
              <w:pStyle w:val="TableContents"/>
              <w:bidi w:val="0"/>
              <w:spacing w:before="0" w:after="283"/>
              <w:jc w:val="center"/>
              <w:rPr/>
            </w:pPr>
            <w:r>
              <w:rPr/>
              <w:t> </w:t>
            </w:r>
          </w:p>
        </w:tc>
      </w:tr>
      <w:tr>
        <w:trPr/>
        <w:tc>
          <w:tcPr>
            <w:tcW w:w="2794" w:type="dxa"/>
            <w:gridSpan w:val="2"/>
            <w:tcBorders/>
            <w:vAlign w:val="center"/>
          </w:tcPr>
          <w:p>
            <w:pPr>
              <w:pStyle w:val="TableContents"/>
              <w:bidi w:val="0"/>
              <w:spacing w:before="0" w:after="0"/>
              <w:ind w:left="0" w:right="0" w:hanging="144"/>
              <w:jc w:val="left"/>
              <w:rPr/>
            </w:pPr>
            <w:r>
              <w:rPr>
                <w:b/>
              </w:rPr>
              <w:t>Assets held for sale:</w:t>
            </w:r>
            <w:r>
              <w:rPr/>
              <w:t xml:space="preserve">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83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94" w:type="dxa"/>
            <w:gridSpan w:val="2"/>
            <w:tcBorders/>
            <w:shd w:fill="CCEEFF" w:val="clear"/>
            <w:vAlign w:val="center"/>
          </w:tcPr>
          <w:p>
            <w:pPr>
              <w:pStyle w:val="TableContents"/>
              <w:bidi w:val="0"/>
              <w:spacing w:before="0" w:after="0"/>
              <w:jc w:val="left"/>
              <w:rPr/>
            </w:pPr>
            <w:r>
              <w:rPr/>
              <w:t xml:space="preserve">Right-of-use assets </w:t>
            </w:r>
          </w:p>
        </w:tc>
        <w:tc>
          <w:tcPr>
            <w:tcW w:w="90" w:type="dxa"/>
            <w:tcBorders/>
            <w:shd w:fill="CCEEFF" w:val="clear"/>
            <w:vAlign w:val="center"/>
          </w:tcPr>
          <w:p>
            <w:pPr>
              <w:pStyle w:val="TableContents"/>
              <w:bidi w:val="0"/>
              <w:spacing w:before="0" w:after="283"/>
              <w:jc w:val="right"/>
              <w:rPr/>
            </w:pPr>
            <w:r>
              <w:rPr/>
              <w:t> </w:t>
            </w:r>
          </w:p>
        </w:tc>
        <w:tc>
          <w:tcPr>
            <w:tcW w:w="213" w:type="dxa"/>
            <w:tcBorders/>
            <w:shd w:fill="CCEEFF" w:val="clear"/>
            <w:vAlign w:val="center"/>
          </w:tcPr>
          <w:p>
            <w:pPr>
              <w:pStyle w:val="TableContents"/>
              <w:bidi w:val="0"/>
              <w:spacing w:before="0" w:after="283"/>
              <w:jc w:val="left"/>
              <w:rPr/>
            </w:pPr>
            <w:r>
              <w:rPr/>
              <w:t>$</w:t>
            </w:r>
          </w:p>
        </w:tc>
        <w:tc>
          <w:tcPr>
            <w:tcW w:w="1831" w:type="dxa"/>
            <w:tcBorders/>
            <w:shd w:fill="CCEEFF" w:val="clear"/>
            <w:vAlign w:val="center"/>
          </w:tcPr>
          <w:p>
            <w:pPr>
              <w:pStyle w:val="TableContents"/>
              <w:bidi w:val="0"/>
              <w:spacing w:before="0" w:after="283"/>
              <w:jc w:val="right"/>
              <w:rPr/>
            </w:pPr>
            <w:r>
              <w:rPr/>
              <w:t>2,238</w:t>
            </w:r>
          </w:p>
        </w:tc>
        <w:tc>
          <w:tcPr>
            <w:tcW w:w="135" w:type="dxa"/>
            <w:tcBorders/>
            <w:shd w:fill="CCEEFF" w:val="clear"/>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0"/>
              <w:jc w:val="left"/>
              <w:rPr/>
            </w:pPr>
            <w:r>
              <w:rPr/>
              <w:t xml:space="preserve">Property and equipment, net </w:t>
            </w:r>
          </w:p>
        </w:tc>
        <w:tc>
          <w:tcPr>
            <w:tcW w:w="90" w:type="dxa"/>
            <w:tcBorders/>
            <w:vAlign w:val="center"/>
          </w:tcPr>
          <w:p>
            <w:pPr>
              <w:pStyle w:val="TableContents"/>
              <w:bidi w:val="0"/>
              <w:spacing w:before="0" w:after="283"/>
              <w:jc w:val="right"/>
              <w:rPr/>
            </w:pPr>
            <w:r>
              <w:rPr/>
              <w:t> </w:t>
            </w:r>
          </w:p>
        </w:tc>
        <w:tc>
          <w:tcPr>
            <w:tcW w:w="213" w:type="dxa"/>
            <w:tcBorders/>
            <w:vAlign w:val="center"/>
          </w:tcPr>
          <w:p>
            <w:pPr>
              <w:pStyle w:val="TableContents"/>
              <w:bidi w:val="0"/>
              <w:spacing w:before="0" w:after="283"/>
              <w:jc w:val="left"/>
              <w:rPr/>
            </w:pPr>
            <w:r>
              <w:rPr/>
              <w:t> </w:t>
            </w:r>
          </w:p>
        </w:tc>
        <w:tc>
          <w:tcPr>
            <w:tcW w:w="1831" w:type="dxa"/>
            <w:tcBorders/>
            <w:vAlign w:val="center"/>
          </w:tcPr>
          <w:p>
            <w:pPr>
              <w:pStyle w:val="TableContents"/>
              <w:bidi w:val="0"/>
              <w:spacing w:before="0" w:after="283"/>
              <w:jc w:val="right"/>
              <w:rPr/>
            </w:pPr>
            <w:r>
              <w:rPr/>
              <w:t>4,233</w:t>
            </w:r>
          </w:p>
        </w:tc>
        <w:tc>
          <w:tcPr>
            <w:tcW w:w="135" w:type="dxa"/>
            <w:tcBorders/>
            <w:vAlign w:val="center"/>
          </w:tcPr>
          <w:p>
            <w:pPr>
              <w:pStyle w:val="TableContents"/>
              <w:bidi w:val="0"/>
              <w:spacing w:before="0" w:after="283"/>
              <w:jc w:val="left"/>
              <w:rPr/>
            </w:pPr>
            <w:r>
              <w:rPr/>
              <w:t> </w:t>
            </w:r>
          </w:p>
        </w:tc>
      </w:tr>
      <w:tr>
        <w:trPr/>
        <w:tc>
          <w:tcPr>
            <w:tcW w:w="2794" w:type="dxa"/>
            <w:gridSpan w:val="2"/>
            <w:tcBorders/>
            <w:shd w:fill="CCEEFF" w:val="clear"/>
            <w:vAlign w:val="center"/>
          </w:tcPr>
          <w:p>
            <w:pPr>
              <w:pStyle w:val="TableContents"/>
              <w:bidi w:val="0"/>
              <w:spacing w:before="0" w:after="0"/>
              <w:jc w:val="left"/>
              <w:rPr/>
            </w:pPr>
            <w:r>
              <w:rPr/>
              <w:t xml:space="preserve">Other assets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31" w:type="dxa"/>
            <w:tcBorders>
              <w:bottom w:val="single" w:sz="12" w:space="0" w:color="000000"/>
            </w:tcBorders>
            <w:shd w:fill="CCEEFF" w:val="clear"/>
            <w:tcMar>
              <w:bottom w:w="28" w:type="dxa"/>
            </w:tcMar>
            <w:vAlign w:val="center"/>
          </w:tcPr>
          <w:p>
            <w:pPr>
              <w:pStyle w:val="TableContents"/>
              <w:bidi w:val="0"/>
              <w:spacing w:before="0" w:after="283"/>
              <w:jc w:val="right"/>
              <w:rPr/>
            </w:pPr>
            <w:r>
              <w:rPr/>
              <w:t>59</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0"/>
              <w:jc w:val="left"/>
              <w:rPr/>
            </w:pPr>
            <w:r>
              <w:rPr/>
              <w:t xml:space="preserve">Total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13" w:type="dxa"/>
            <w:tcBorders>
              <w:bottom w:val="double" w:sz="8" w:space="0" w:color="000000"/>
            </w:tcBorders>
            <w:tcMar>
              <w:bottom w:w="28" w:type="dxa"/>
            </w:tcMar>
            <w:vAlign w:val="center"/>
          </w:tcPr>
          <w:p>
            <w:pPr>
              <w:pStyle w:val="TableContents"/>
              <w:bidi w:val="0"/>
              <w:spacing w:before="0" w:after="283"/>
              <w:jc w:val="left"/>
              <w:rPr/>
            </w:pPr>
            <w:r>
              <w:rPr/>
              <w:t>$</w:t>
            </w:r>
          </w:p>
        </w:tc>
        <w:tc>
          <w:tcPr>
            <w:tcW w:w="1831" w:type="dxa"/>
            <w:tcBorders>
              <w:bottom w:val="double" w:sz="8" w:space="0" w:color="000000"/>
            </w:tcBorders>
            <w:tcMar>
              <w:bottom w:w="28" w:type="dxa"/>
            </w:tcMar>
            <w:vAlign w:val="center"/>
          </w:tcPr>
          <w:p>
            <w:pPr>
              <w:pStyle w:val="TableContents"/>
              <w:bidi w:val="0"/>
              <w:spacing w:before="0" w:after="283"/>
              <w:jc w:val="right"/>
              <w:rPr/>
            </w:pPr>
            <w:r>
              <w:rPr/>
              <w:t>6,530</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0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3" w:type="dxa"/>
            <w:tcBorders/>
            <w:shd w:fill="CCEEFF" w:val="clear"/>
            <w:vAlign w:val="center"/>
          </w:tcPr>
          <w:p>
            <w:pPr>
              <w:pStyle w:val="TableContents"/>
              <w:bidi w:val="0"/>
              <w:spacing w:before="0" w:after="283"/>
              <w:jc w:val="right"/>
              <w:rPr/>
            </w:pPr>
            <w:r>
              <w:rPr/>
              <w:t> </w:t>
            </w:r>
          </w:p>
        </w:tc>
        <w:tc>
          <w:tcPr>
            <w:tcW w:w="183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right"/>
              <w:rPr/>
            </w:pPr>
            <w:r>
              <w:rPr/>
              <w:t> </w:t>
            </w:r>
          </w:p>
        </w:tc>
      </w:tr>
      <w:tr>
        <w:trPr/>
        <w:tc>
          <w:tcPr>
            <w:tcW w:w="2794" w:type="dxa"/>
            <w:gridSpan w:val="2"/>
            <w:tcBorders/>
            <w:vAlign w:val="center"/>
          </w:tcPr>
          <w:p>
            <w:pPr>
              <w:pStyle w:val="TableContents"/>
              <w:bidi w:val="0"/>
              <w:spacing w:before="0" w:after="0"/>
              <w:ind w:left="0" w:right="0" w:hanging="144"/>
              <w:jc w:val="left"/>
              <w:rPr/>
            </w:pPr>
            <w:r>
              <w:rPr>
                <w:b/>
              </w:rPr>
              <w:t>Liabilities held for sale:</w:t>
            </w:r>
            <w:r>
              <w:rPr/>
              <w:t xml:space="preserve"> </w:t>
            </w:r>
          </w:p>
        </w:tc>
        <w:tc>
          <w:tcPr>
            <w:tcW w:w="90" w:type="dxa"/>
            <w:tcBorders/>
            <w:vAlign w:val="center"/>
          </w:tcPr>
          <w:p>
            <w:pPr>
              <w:pStyle w:val="TableContents"/>
              <w:bidi w:val="0"/>
              <w:spacing w:before="0" w:after="283"/>
              <w:jc w:val="right"/>
              <w:rPr/>
            </w:pPr>
            <w:r>
              <w:rPr/>
              <w:t> </w:t>
            </w:r>
          </w:p>
        </w:tc>
        <w:tc>
          <w:tcPr>
            <w:tcW w:w="213" w:type="dxa"/>
            <w:tcBorders/>
            <w:vAlign w:val="center"/>
          </w:tcPr>
          <w:p>
            <w:pPr>
              <w:pStyle w:val="TableContents"/>
              <w:bidi w:val="0"/>
              <w:spacing w:before="0" w:after="283"/>
              <w:jc w:val="right"/>
              <w:rPr/>
            </w:pPr>
            <w:r>
              <w:rPr/>
              <w:t> </w:t>
            </w:r>
          </w:p>
        </w:tc>
        <w:tc>
          <w:tcPr>
            <w:tcW w:w="183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right"/>
              <w:rPr/>
            </w:pPr>
            <w:r>
              <w:rPr/>
              <w:t> </w:t>
            </w:r>
          </w:p>
        </w:tc>
      </w:tr>
      <w:tr>
        <w:trPr/>
        <w:tc>
          <w:tcPr>
            <w:tcW w:w="2794" w:type="dxa"/>
            <w:gridSpan w:val="2"/>
            <w:tcBorders/>
            <w:shd w:fill="CCEEFF" w:val="clear"/>
            <w:vAlign w:val="center"/>
          </w:tcPr>
          <w:p>
            <w:pPr>
              <w:pStyle w:val="TableContents"/>
              <w:bidi w:val="0"/>
              <w:spacing w:before="0" w:after="0"/>
              <w:jc w:val="left"/>
              <w:rPr/>
            </w:pPr>
            <w:r>
              <w:rPr/>
              <w:t xml:space="preserve">Lease obligations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831" w:type="dxa"/>
            <w:tcBorders>
              <w:bottom w:val="single" w:sz="12" w:space="0" w:color="000000"/>
            </w:tcBorders>
            <w:shd w:fill="CCEEFF" w:val="clear"/>
            <w:tcMar>
              <w:bottom w:w="28" w:type="dxa"/>
            </w:tcMar>
            <w:vAlign w:val="center"/>
          </w:tcPr>
          <w:p>
            <w:pPr>
              <w:pStyle w:val="TableContents"/>
              <w:bidi w:val="0"/>
              <w:spacing w:before="0" w:after="283"/>
              <w:jc w:val="right"/>
              <w:rPr/>
            </w:pPr>
            <w:r>
              <w:rPr/>
              <w:t>2,647</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0"/>
              <w:jc w:val="left"/>
              <w:rPr/>
            </w:pPr>
            <w:r>
              <w:rPr/>
              <w:t xml:space="preserve">Total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13" w:type="dxa"/>
            <w:tcBorders>
              <w:bottom w:val="double" w:sz="8" w:space="0" w:color="000000"/>
            </w:tcBorders>
            <w:tcMar>
              <w:bottom w:w="28" w:type="dxa"/>
            </w:tcMar>
            <w:vAlign w:val="center"/>
          </w:tcPr>
          <w:p>
            <w:pPr>
              <w:pStyle w:val="TableContents"/>
              <w:bidi w:val="0"/>
              <w:spacing w:before="0" w:after="283"/>
              <w:jc w:val="left"/>
              <w:rPr/>
            </w:pPr>
            <w:r>
              <w:rPr/>
              <w:t>$</w:t>
            </w:r>
          </w:p>
        </w:tc>
        <w:tc>
          <w:tcPr>
            <w:tcW w:w="1831" w:type="dxa"/>
            <w:tcBorders>
              <w:bottom w:val="double" w:sz="8" w:space="0" w:color="000000"/>
            </w:tcBorders>
            <w:tcMar>
              <w:bottom w:w="28" w:type="dxa"/>
            </w:tcMar>
            <w:vAlign w:val="center"/>
          </w:tcPr>
          <w:p>
            <w:pPr>
              <w:pStyle w:val="TableContents"/>
              <w:bidi w:val="0"/>
              <w:spacing w:before="0" w:after="283"/>
              <w:jc w:val="right"/>
              <w:rPr/>
            </w:pPr>
            <w:r>
              <w:rPr/>
              <w:t>2,647</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tLeast" w:line="240" w:before="0" w:after="0"/>
        <w:jc w:val="left"/>
        <w:rPr/>
      </w:pPr>
      <w:r>
        <w:rPr/>
        <w:t xml:space="preserve">  </w:t>
      </w:r>
    </w:p>
    <w:p>
      <w:pPr>
        <w:pStyle w:val="TextBody"/>
        <w:bidi w:val="0"/>
        <w:spacing w:lineRule="atLeast" w:line="240"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There were no assets held for sale as of December 31, 2024. </w:t>
      </w:r>
    </w:p>
    <w:p>
      <w:pPr>
        <w:pStyle w:val="TextBody"/>
        <w:bidi w:val="0"/>
        <w:spacing w:lineRule="atLeast" w:line="240" w:before="0" w:after="0"/>
        <w:jc w:val="left"/>
        <w:rPr/>
      </w:pPr>
      <w:r>
        <w:rPr/>
        <w:t xml:space="preserve">  </w:t>
      </w:r>
    </w:p>
    <w:p>
      <w:pPr>
        <w:pStyle w:val="TextBody"/>
        <w:bidi w:val="0"/>
        <w:spacing w:lineRule="atLeast" w:line="240"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Assets and liabilities held for sale are reflected in Plasma Collection Centers segment in Note 13 and are classified as current based on the expectation that the sale of the disposal group will be completed in 2026.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F-16</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ind w:left="720" w:right="0" w:hanging="0"/>
        <w:jc w:val="left"/>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ACCRUED EXPENSES AND OTHER LIABILITIES</w:t>
      </w:r>
      <w:r>
        <w:rPr>
          <w:rFonts w:ascii="Aptos" w:hAnsi="Aptos"/>
          <w:sz w:val="20"/>
        </w:rPr>
        <w:t xml:space="preserve"> </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342900" cy="175260"/>
                <wp:effectExtent l="0" t="0" r="0" b="0"/>
                <wp:wrapSquare wrapText="right"/>
                <wp:docPr id="214" name="Frame21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6.</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6.</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Accrued expenses and other current liabilities at December 31, 2025 and 2024 are as follows: </w:t>
      </w:r>
    </w:p>
    <w:p>
      <w:pPr>
        <w:pStyle w:val="TextBody"/>
        <w:bidi w:val="0"/>
        <w:spacing w:before="0" w:after="0"/>
        <w:jc w:val="left"/>
        <w:rPr/>
      </w:pPr>
      <w:r>
        <w:rPr/>
        <w:t xml:space="preserve">  </w:t>
      </w:r>
    </w:p>
    <w:tbl>
      <w:tblPr>
        <w:tblW w:w="9387" w:type="dxa"/>
        <w:jc w:val="left"/>
        <w:tblInd w:w="0" w:type="dxa"/>
        <w:tblLayout w:type="fixed"/>
        <w:tblCellMar>
          <w:top w:w="0" w:type="dxa"/>
          <w:left w:w="0" w:type="dxa"/>
          <w:bottom w:w="0" w:type="dxa"/>
          <w:right w:w="0" w:type="dxa"/>
        </w:tblCellMar>
      </w:tblPr>
      <w:tblGrid>
        <w:gridCol w:w="2631"/>
        <w:gridCol w:w="2263"/>
        <w:gridCol w:w="90"/>
        <w:gridCol w:w="393"/>
        <w:gridCol w:w="1651"/>
        <w:gridCol w:w="90"/>
        <w:gridCol w:w="90"/>
        <w:gridCol w:w="393"/>
        <w:gridCol w:w="1651"/>
        <w:gridCol w:w="135"/>
      </w:tblGrid>
      <w:tr>
        <w:trPr/>
        <w:tc>
          <w:tcPr>
            <w:tcW w:w="2631" w:type="dxa"/>
            <w:tcBorders/>
            <w:vAlign w:val="center"/>
          </w:tcPr>
          <w:p>
            <w:pPr>
              <w:pStyle w:val="TableContents"/>
              <w:bidi w:val="0"/>
              <w:spacing w:before="0" w:after="283"/>
              <w:jc w:val="left"/>
              <w:rPr/>
            </w:pPr>
            <w:r>
              <w:rPr/>
              <w:t> </w:t>
            </w:r>
          </w:p>
        </w:tc>
        <w:tc>
          <w:tcPr>
            <w:tcW w:w="22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2024</w:t>
            </w:r>
            <w:r>
              <w:rPr/>
              <w:t xml:space="preserve"> </w:t>
            </w:r>
          </w:p>
        </w:tc>
        <w:tc>
          <w:tcPr>
            <w:tcW w:w="135" w:type="dxa"/>
            <w:tcBorders/>
            <w:vAlign w:val="center"/>
          </w:tcPr>
          <w:p>
            <w:pPr>
              <w:pStyle w:val="TableContents"/>
              <w:bidi w:val="0"/>
              <w:spacing w:before="0" w:after="283"/>
              <w:jc w:val="center"/>
              <w:rPr/>
            </w:pPr>
            <w:r>
              <w:rPr/>
              <w:t> </w:t>
            </w:r>
          </w:p>
        </w:tc>
      </w:tr>
      <w:tr>
        <w:trPr/>
        <w:tc>
          <w:tcPr>
            <w:tcW w:w="2631" w:type="dxa"/>
            <w:tcBorders/>
            <w:vAlign w:val="center"/>
          </w:tcPr>
          <w:p>
            <w:pPr>
              <w:pStyle w:val="TableContents"/>
              <w:bidi w:val="0"/>
              <w:spacing w:before="0" w:after="283"/>
              <w:jc w:val="left"/>
              <w:rPr/>
            </w:pPr>
            <w:r>
              <w:rPr/>
              <w:t> </w:t>
            </w:r>
          </w:p>
        </w:tc>
        <w:tc>
          <w:tcPr>
            <w:tcW w:w="2263" w:type="dxa"/>
            <w:tcBorders/>
            <w:vAlign w:val="center"/>
          </w:tcPr>
          <w:p>
            <w:pPr>
              <w:pStyle w:val="TableContents"/>
              <w:bidi w:val="0"/>
              <w:spacing w:before="0" w:after="283"/>
              <w:jc w:val="left"/>
              <w:rPr/>
            </w:pPr>
            <w:r>
              <w:rPr/>
              <w:t> </w:t>
            </w:r>
          </w:p>
        </w:tc>
        <w:tc>
          <w:tcPr>
            <w:tcW w:w="4493" w:type="dxa"/>
            <w:gridSpan w:val="8"/>
            <w:tcBorders/>
            <w:vAlign w:val="center"/>
          </w:tcPr>
          <w:p>
            <w:pPr>
              <w:pStyle w:val="TableContents"/>
              <w:bidi w:val="0"/>
              <w:spacing w:before="0" w:after="283"/>
              <w:jc w:val="center"/>
              <w:rPr/>
            </w:pPr>
            <w:r>
              <w:rPr>
                <w:i/>
              </w:rPr>
              <w:t>(in thousands)</w:t>
            </w:r>
            <w:r>
              <w:rPr/>
              <w:t xml:space="preserve"> </w:t>
            </w:r>
          </w:p>
        </w:tc>
      </w:tr>
      <w:tr>
        <w:trPr/>
        <w:tc>
          <w:tcPr>
            <w:tcW w:w="4894" w:type="dxa"/>
            <w:gridSpan w:val="2"/>
            <w:tcBorders/>
            <w:shd w:fill="CCEEFF" w:val="clear"/>
            <w:vAlign w:val="center"/>
          </w:tcPr>
          <w:p>
            <w:pPr>
              <w:pStyle w:val="TableContents"/>
              <w:bidi w:val="0"/>
              <w:spacing w:before="0" w:after="0"/>
              <w:ind w:left="0" w:right="0" w:hanging="144"/>
              <w:jc w:val="left"/>
              <w:rPr/>
            </w:pPr>
            <w:r>
              <w:rPr/>
              <w:t xml:space="preserve">Accrued rebates </w:t>
            </w:r>
          </w:p>
        </w:tc>
        <w:tc>
          <w:tcPr>
            <w:tcW w:w="90"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w:t>
            </w:r>
          </w:p>
        </w:tc>
        <w:tc>
          <w:tcPr>
            <w:tcW w:w="1651" w:type="dxa"/>
            <w:tcBorders/>
            <w:shd w:fill="CCEEFF" w:val="clear"/>
            <w:vAlign w:val="center"/>
          </w:tcPr>
          <w:p>
            <w:pPr>
              <w:pStyle w:val="TableContents"/>
              <w:bidi w:val="0"/>
              <w:spacing w:before="0" w:after="283"/>
              <w:jc w:val="right"/>
              <w:rPr/>
            </w:pPr>
            <w:r>
              <w:rPr/>
              <w:t>5,758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w:t>
            </w:r>
          </w:p>
        </w:tc>
        <w:tc>
          <w:tcPr>
            <w:tcW w:w="1651" w:type="dxa"/>
            <w:tcBorders/>
            <w:shd w:fill="CCEEFF" w:val="clear"/>
            <w:vAlign w:val="center"/>
          </w:tcPr>
          <w:p>
            <w:pPr>
              <w:pStyle w:val="TableContents"/>
              <w:bidi w:val="0"/>
              <w:spacing w:before="0" w:after="283"/>
              <w:jc w:val="right"/>
              <w:rPr/>
            </w:pPr>
            <w:r>
              <w:rPr/>
              <w:t>4,155</w:t>
            </w:r>
          </w:p>
        </w:tc>
        <w:tc>
          <w:tcPr>
            <w:tcW w:w="135" w:type="dxa"/>
            <w:tcBorders/>
            <w:shd w:fill="CCEEFF" w:val="clear"/>
            <w:vAlign w:val="center"/>
          </w:tcPr>
          <w:p>
            <w:pPr>
              <w:pStyle w:val="TableContents"/>
              <w:bidi w:val="0"/>
              <w:spacing w:before="0" w:after="283"/>
              <w:jc w:val="left"/>
              <w:rPr/>
            </w:pPr>
            <w:r>
              <w:rPr/>
              <w:t> </w:t>
            </w:r>
          </w:p>
        </w:tc>
      </w:tr>
      <w:tr>
        <w:trPr/>
        <w:tc>
          <w:tcPr>
            <w:tcW w:w="4894" w:type="dxa"/>
            <w:gridSpan w:val="2"/>
            <w:tcBorders/>
            <w:vAlign w:val="center"/>
          </w:tcPr>
          <w:p>
            <w:pPr>
              <w:pStyle w:val="TableContents"/>
              <w:bidi w:val="0"/>
              <w:spacing w:before="0" w:after="0"/>
              <w:ind w:left="0" w:right="0" w:hanging="144"/>
              <w:jc w:val="left"/>
              <w:rPr/>
            </w:pPr>
            <w:r>
              <w:rPr/>
              <w:t xml:space="preserve">Accrued distribution fees </w:t>
            </w:r>
          </w:p>
        </w:tc>
        <w:tc>
          <w:tcPr>
            <w:tcW w:w="90" w:type="dxa"/>
            <w:tcBorders/>
            <w:vAlign w:val="center"/>
          </w:tcPr>
          <w:p>
            <w:pPr>
              <w:pStyle w:val="TableContents"/>
              <w:bidi w:val="0"/>
              <w:spacing w:before="0" w:after="283"/>
              <w:jc w:val="right"/>
              <w:rPr/>
            </w:pPr>
            <w:r>
              <w:rPr/>
              <w:t> </w:t>
            </w:r>
          </w:p>
        </w:tc>
        <w:tc>
          <w:tcPr>
            <w:tcW w:w="393"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right"/>
              <w:rPr/>
            </w:pPr>
            <w:r>
              <w:rPr/>
              <w:t>14,808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93" w:type="dxa"/>
            <w:tcBorders/>
            <w:vAlign w:val="center"/>
          </w:tcPr>
          <w:p>
            <w:pPr>
              <w:pStyle w:val="TableContents"/>
              <w:bidi w:val="0"/>
              <w:spacing w:before="0" w:after="283"/>
              <w:jc w:val="left"/>
              <w:rPr/>
            </w:pPr>
            <w:r>
              <w:rPr/>
              <w:t>$</w:t>
            </w:r>
          </w:p>
        </w:tc>
        <w:tc>
          <w:tcPr>
            <w:tcW w:w="1651" w:type="dxa"/>
            <w:tcBorders/>
            <w:vAlign w:val="center"/>
          </w:tcPr>
          <w:p>
            <w:pPr>
              <w:pStyle w:val="TableContents"/>
              <w:bidi w:val="0"/>
              <w:spacing w:before="0" w:after="283"/>
              <w:jc w:val="right"/>
              <w:rPr/>
            </w:pPr>
            <w:r>
              <w:rPr/>
              <w:t>11,565</w:t>
            </w:r>
          </w:p>
        </w:tc>
        <w:tc>
          <w:tcPr>
            <w:tcW w:w="135" w:type="dxa"/>
            <w:tcBorders/>
            <w:vAlign w:val="center"/>
          </w:tcPr>
          <w:p>
            <w:pPr>
              <w:pStyle w:val="TableContents"/>
              <w:bidi w:val="0"/>
              <w:spacing w:before="0" w:after="283"/>
              <w:jc w:val="left"/>
              <w:rPr/>
            </w:pPr>
            <w:r>
              <w:rPr/>
              <w:t> </w:t>
            </w:r>
          </w:p>
        </w:tc>
      </w:tr>
      <w:tr>
        <w:trPr/>
        <w:tc>
          <w:tcPr>
            <w:tcW w:w="4894" w:type="dxa"/>
            <w:gridSpan w:val="2"/>
            <w:tcBorders/>
            <w:shd w:fill="CCEEFF" w:val="clear"/>
            <w:vAlign w:val="center"/>
          </w:tcPr>
          <w:p>
            <w:pPr>
              <w:pStyle w:val="TableContents"/>
              <w:bidi w:val="0"/>
              <w:spacing w:before="0" w:after="0"/>
              <w:ind w:left="0" w:right="0" w:hanging="144"/>
              <w:jc w:val="left"/>
              <w:rPr/>
            </w:pPr>
            <w:r>
              <w:rPr/>
              <w:t xml:space="preserve">Accrued incentives </w:t>
            </w:r>
          </w:p>
        </w:tc>
        <w:tc>
          <w:tcPr>
            <w:tcW w:w="90"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6,005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w:t>
            </w:r>
          </w:p>
        </w:tc>
        <w:tc>
          <w:tcPr>
            <w:tcW w:w="1651" w:type="dxa"/>
            <w:tcBorders/>
            <w:shd w:fill="CCEEFF" w:val="clear"/>
            <w:vAlign w:val="center"/>
          </w:tcPr>
          <w:p>
            <w:pPr>
              <w:pStyle w:val="TableContents"/>
              <w:bidi w:val="0"/>
              <w:spacing w:before="0" w:after="283"/>
              <w:jc w:val="right"/>
              <w:rPr/>
            </w:pPr>
            <w:r>
              <w:rPr/>
              <w:t>5,892</w:t>
            </w:r>
          </w:p>
        </w:tc>
        <w:tc>
          <w:tcPr>
            <w:tcW w:w="135" w:type="dxa"/>
            <w:tcBorders/>
            <w:shd w:fill="CCEEFF" w:val="clear"/>
            <w:vAlign w:val="center"/>
          </w:tcPr>
          <w:p>
            <w:pPr>
              <w:pStyle w:val="TableContents"/>
              <w:bidi w:val="0"/>
              <w:spacing w:before="0" w:after="283"/>
              <w:jc w:val="left"/>
              <w:rPr/>
            </w:pPr>
            <w:r>
              <w:rPr/>
              <w:t> </w:t>
            </w:r>
          </w:p>
        </w:tc>
      </w:tr>
      <w:tr>
        <w:trPr/>
        <w:tc>
          <w:tcPr>
            <w:tcW w:w="4894" w:type="dxa"/>
            <w:gridSpan w:val="2"/>
            <w:tcBorders/>
            <w:vAlign w:val="center"/>
          </w:tcPr>
          <w:p>
            <w:pPr>
              <w:pStyle w:val="TableContents"/>
              <w:bidi w:val="0"/>
              <w:spacing w:before="0" w:after="0"/>
              <w:ind w:left="0" w:right="0" w:hanging="144"/>
              <w:jc w:val="left"/>
              <w:rPr/>
            </w:pPr>
            <w:r>
              <w:rPr/>
              <w:t xml:space="preserve">Accrued interest </w:t>
            </w:r>
          </w:p>
        </w:tc>
        <w:tc>
          <w:tcPr>
            <w:tcW w:w="90" w:type="dxa"/>
            <w:tcBorders/>
            <w:vAlign w:val="center"/>
          </w:tcPr>
          <w:p>
            <w:pPr>
              <w:pStyle w:val="TableContents"/>
              <w:bidi w:val="0"/>
              <w:spacing w:before="0" w:after="283"/>
              <w:jc w:val="right"/>
              <w:rPr/>
            </w:pPr>
            <w:r>
              <w:rPr/>
              <w:t> </w:t>
            </w:r>
          </w:p>
        </w:tc>
        <w:tc>
          <w:tcPr>
            <w:tcW w:w="393"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right"/>
              <w:rPr/>
            </w:pPr>
            <w:r>
              <w:rPr/>
              <w:t>172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93" w:type="dxa"/>
            <w:tcBorders/>
            <w:vAlign w:val="center"/>
          </w:tcPr>
          <w:p>
            <w:pPr>
              <w:pStyle w:val="TableContents"/>
              <w:bidi w:val="0"/>
              <w:spacing w:before="0" w:after="283"/>
              <w:jc w:val="left"/>
              <w:rPr/>
            </w:pPr>
            <w:r>
              <w:rPr/>
              <w:t>$</w:t>
            </w:r>
          </w:p>
        </w:tc>
        <w:tc>
          <w:tcPr>
            <w:tcW w:w="1651" w:type="dxa"/>
            <w:tcBorders/>
            <w:vAlign w:val="center"/>
          </w:tcPr>
          <w:p>
            <w:pPr>
              <w:pStyle w:val="TableContents"/>
              <w:bidi w:val="0"/>
              <w:spacing w:before="0" w:after="283"/>
              <w:jc w:val="right"/>
              <w:rPr/>
            </w:pPr>
            <w:r>
              <w:rPr/>
              <w:t>2,857</w:t>
            </w:r>
          </w:p>
        </w:tc>
        <w:tc>
          <w:tcPr>
            <w:tcW w:w="135" w:type="dxa"/>
            <w:tcBorders/>
            <w:vAlign w:val="center"/>
          </w:tcPr>
          <w:p>
            <w:pPr>
              <w:pStyle w:val="TableContents"/>
              <w:bidi w:val="0"/>
              <w:spacing w:before="0" w:after="283"/>
              <w:jc w:val="left"/>
              <w:rPr/>
            </w:pPr>
            <w:r>
              <w:rPr/>
              <w:t> </w:t>
            </w:r>
          </w:p>
        </w:tc>
      </w:tr>
      <w:tr>
        <w:trPr/>
        <w:tc>
          <w:tcPr>
            <w:tcW w:w="4894" w:type="dxa"/>
            <w:gridSpan w:val="2"/>
            <w:tcBorders/>
            <w:shd w:fill="CCEEFF" w:val="clear"/>
            <w:vAlign w:val="center"/>
          </w:tcPr>
          <w:p>
            <w:pPr>
              <w:pStyle w:val="TableContents"/>
              <w:bidi w:val="0"/>
              <w:spacing w:before="0" w:after="0"/>
              <w:ind w:left="0" w:right="0" w:hanging="144"/>
              <w:jc w:val="left"/>
              <w:rPr/>
            </w:pPr>
            <w:r>
              <w:rPr/>
              <w:t xml:space="preserve">Accrued testing </w:t>
            </w:r>
          </w:p>
        </w:tc>
        <w:tc>
          <w:tcPr>
            <w:tcW w:w="90"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130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w:t>
            </w:r>
          </w:p>
        </w:tc>
        <w:tc>
          <w:tcPr>
            <w:tcW w:w="1651" w:type="dxa"/>
            <w:tcBorders/>
            <w:shd w:fill="CCEEFF" w:val="clear"/>
            <w:vAlign w:val="center"/>
          </w:tcPr>
          <w:p>
            <w:pPr>
              <w:pStyle w:val="TableContents"/>
              <w:bidi w:val="0"/>
              <w:spacing w:before="0" w:after="283"/>
              <w:jc w:val="right"/>
              <w:rPr/>
            </w:pPr>
            <w:r>
              <w:rPr/>
              <w:t>827</w:t>
            </w:r>
          </w:p>
        </w:tc>
        <w:tc>
          <w:tcPr>
            <w:tcW w:w="135" w:type="dxa"/>
            <w:tcBorders/>
            <w:shd w:fill="CCEEFF" w:val="clear"/>
            <w:vAlign w:val="center"/>
          </w:tcPr>
          <w:p>
            <w:pPr>
              <w:pStyle w:val="TableContents"/>
              <w:bidi w:val="0"/>
              <w:spacing w:before="0" w:after="283"/>
              <w:jc w:val="left"/>
              <w:rPr/>
            </w:pPr>
            <w:r>
              <w:rPr/>
              <w:t> </w:t>
            </w:r>
          </w:p>
        </w:tc>
      </w:tr>
      <w:tr>
        <w:trPr/>
        <w:tc>
          <w:tcPr>
            <w:tcW w:w="4894" w:type="dxa"/>
            <w:gridSpan w:val="2"/>
            <w:tcBorders/>
            <w:vAlign w:val="center"/>
          </w:tcPr>
          <w:p>
            <w:pPr>
              <w:pStyle w:val="TableContents"/>
              <w:bidi w:val="0"/>
              <w:spacing w:before="0" w:after="0"/>
              <w:ind w:left="0" w:right="0" w:hanging="144"/>
              <w:jc w:val="left"/>
              <w:rPr/>
            </w:pPr>
            <w:r>
              <w:rPr/>
              <w:t xml:space="preserve">Accrued payroll and other compensation </w:t>
            </w:r>
          </w:p>
        </w:tc>
        <w:tc>
          <w:tcPr>
            <w:tcW w:w="90" w:type="dxa"/>
            <w:tcBorders/>
            <w:vAlign w:val="center"/>
          </w:tcPr>
          <w:p>
            <w:pPr>
              <w:pStyle w:val="TableContents"/>
              <w:bidi w:val="0"/>
              <w:spacing w:before="0" w:after="283"/>
              <w:jc w:val="right"/>
              <w:rPr/>
            </w:pPr>
            <w:r>
              <w:rPr/>
              <w:t> </w:t>
            </w:r>
          </w:p>
        </w:tc>
        <w:tc>
          <w:tcPr>
            <w:tcW w:w="393"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right"/>
              <w:rPr/>
            </w:pPr>
            <w:r>
              <w:rPr/>
              <w:t>809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93" w:type="dxa"/>
            <w:tcBorders/>
            <w:vAlign w:val="center"/>
          </w:tcPr>
          <w:p>
            <w:pPr>
              <w:pStyle w:val="TableContents"/>
              <w:bidi w:val="0"/>
              <w:spacing w:before="0" w:after="283"/>
              <w:jc w:val="left"/>
              <w:rPr/>
            </w:pPr>
            <w:r>
              <w:rPr/>
              <w:t>$</w:t>
            </w:r>
          </w:p>
        </w:tc>
        <w:tc>
          <w:tcPr>
            <w:tcW w:w="1651" w:type="dxa"/>
            <w:tcBorders/>
            <w:vAlign w:val="center"/>
          </w:tcPr>
          <w:p>
            <w:pPr>
              <w:pStyle w:val="TableContents"/>
              <w:bidi w:val="0"/>
              <w:spacing w:before="0" w:after="283"/>
              <w:jc w:val="right"/>
              <w:rPr/>
            </w:pPr>
            <w:r>
              <w:rPr/>
              <w:t>3,332</w:t>
            </w:r>
          </w:p>
        </w:tc>
        <w:tc>
          <w:tcPr>
            <w:tcW w:w="135" w:type="dxa"/>
            <w:tcBorders/>
            <w:vAlign w:val="center"/>
          </w:tcPr>
          <w:p>
            <w:pPr>
              <w:pStyle w:val="TableContents"/>
              <w:bidi w:val="0"/>
              <w:spacing w:before="0" w:after="283"/>
              <w:jc w:val="left"/>
              <w:rPr/>
            </w:pPr>
            <w:r>
              <w:rPr/>
              <w:t> </w:t>
            </w:r>
          </w:p>
        </w:tc>
      </w:tr>
      <w:tr>
        <w:trPr/>
        <w:tc>
          <w:tcPr>
            <w:tcW w:w="4894" w:type="dxa"/>
            <w:gridSpan w:val="2"/>
            <w:tcBorders/>
            <w:shd w:fill="CCEEFF" w:val="clear"/>
            <w:vAlign w:val="center"/>
          </w:tcPr>
          <w:p>
            <w:pPr>
              <w:pStyle w:val="TableContents"/>
              <w:bidi w:val="0"/>
              <w:spacing w:before="0" w:after="0"/>
              <w:ind w:left="0" w:right="0" w:hanging="144"/>
              <w:jc w:val="left"/>
              <w:rPr/>
            </w:pPr>
            <w:r>
              <w:rPr/>
              <w:t xml:space="preserve">Income taxes payable </w:t>
            </w:r>
          </w:p>
        </w:tc>
        <w:tc>
          <w:tcPr>
            <w:tcW w:w="90"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8,616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w:t>
            </w:r>
          </w:p>
        </w:tc>
        <w:tc>
          <w:tcPr>
            <w:tcW w:w="1651" w:type="dxa"/>
            <w:tcBorders/>
            <w:shd w:fill="CCEEFF" w:val="clear"/>
            <w:vAlign w:val="center"/>
          </w:tcPr>
          <w:p>
            <w:pPr>
              <w:pStyle w:val="TableContents"/>
              <w:bidi w:val="0"/>
              <w:spacing w:before="0" w:after="283"/>
              <w:jc w:val="right"/>
              <w:rPr/>
            </w:pPr>
            <w:r>
              <w:rPr/>
              <w:t>3,481</w:t>
            </w:r>
          </w:p>
        </w:tc>
        <w:tc>
          <w:tcPr>
            <w:tcW w:w="135" w:type="dxa"/>
            <w:tcBorders/>
            <w:shd w:fill="CCEEFF" w:val="clear"/>
            <w:vAlign w:val="center"/>
          </w:tcPr>
          <w:p>
            <w:pPr>
              <w:pStyle w:val="TableContents"/>
              <w:bidi w:val="0"/>
              <w:spacing w:before="0" w:after="283"/>
              <w:jc w:val="left"/>
              <w:rPr/>
            </w:pPr>
            <w:r>
              <w:rPr/>
              <w:t> </w:t>
            </w:r>
          </w:p>
        </w:tc>
      </w:tr>
      <w:tr>
        <w:trPr/>
        <w:tc>
          <w:tcPr>
            <w:tcW w:w="4894" w:type="dxa"/>
            <w:gridSpan w:val="2"/>
            <w:tcBorders/>
            <w:vAlign w:val="center"/>
          </w:tcPr>
          <w:p>
            <w:pPr>
              <w:pStyle w:val="TableContents"/>
              <w:bidi w:val="0"/>
              <w:spacing w:before="0" w:after="0"/>
              <w:ind w:left="0" w:right="0" w:hanging="144"/>
              <w:jc w:val="left"/>
              <w:rPr/>
            </w:pPr>
            <w:r>
              <w:rPr/>
              <w:t xml:space="preserve">Other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3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51" w:type="dxa"/>
            <w:tcBorders>
              <w:bottom w:val="single" w:sz="12" w:space="0" w:color="000000"/>
            </w:tcBorders>
            <w:tcMar>
              <w:bottom w:w="28" w:type="dxa"/>
            </w:tcMar>
            <w:vAlign w:val="center"/>
          </w:tcPr>
          <w:p>
            <w:pPr>
              <w:pStyle w:val="TableContents"/>
              <w:bidi w:val="0"/>
              <w:spacing w:before="0" w:after="283"/>
              <w:jc w:val="right"/>
              <w:rPr/>
            </w:pPr>
            <w:r>
              <w:rPr/>
              <w:t>4,168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93" w:type="dxa"/>
            <w:tcBorders>
              <w:bottom w:val="single" w:sz="12" w:space="0" w:color="000000"/>
            </w:tcBorders>
            <w:tcMar>
              <w:bottom w:w="28" w:type="dxa"/>
            </w:tcMar>
            <w:vAlign w:val="center"/>
          </w:tcPr>
          <w:p>
            <w:pPr>
              <w:pStyle w:val="TableContents"/>
              <w:bidi w:val="0"/>
              <w:spacing w:before="0" w:after="283"/>
              <w:jc w:val="left"/>
              <w:rPr/>
            </w:pPr>
            <w:r>
              <w:rPr/>
              <w:t>$</w:t>
            </w:r>
          </w:p>
        </w:tc>
        <w:tc>
          <w:tcPr>
            <w:tcW w:w="1651" w:type="dxa"/>
            <w:tcBorders>
              <w:bottom w:val="single" w:sz="12" w:space="0" w:color="000000"/>
            </w:tcBorders>
            <w:tcMar>
              <w:bottom w:w="28" w:type="dxa"/>
            </w:tcMar>
            <w:vAlign w:val="center"/>
          </w:tcPr>
          <w:p>
            <w:pPr>
              <w:pStyle w:val="TableContents"/>
              <w:bidi w:val="0"/>
              <w:spacing w:before="0" w:after="283"/>
              <w:jc w:val="right"/>
              <w:rPr/>
            </w:pPr>
            <w:r>
              <w:rPr/>
              <w:t>1,996</w:t>
            </w:r>
          </w:p>
        </w:tc>
        <w:tc>
          <w:tcPr>
            <w:tcW w:w="135" w:type="dxa"/>
            <w:tcBorders/>
            <w:vAlign w:val="center"/>
          </w:tcPr>
          <w:p>
            <w:pPr>
              <w:pStyle w:val="TableContents"/>
              <w:bidi w:val="0"/>
              <w:spacing w:before="0" w:after="283"/>
              <w:jc w:val="left"/>
              <w:rPr/>
            </w:pPr>
            <w:r>
              <w:rPr/>
              <w:t> </w:t>
            </w:r>
          </w:p>
        </w:tc>
      </w:tr>
      <w:tr>
        <w:trPr/>
        <w:tc>
          <w:tcPr>
            <w:tcW w:w="4894" w:type="dxa"/>
            <w:gridSpan w:val="2"/>
            <w:tcBorders/>
            <w:shd w:fill="CCEEFF" w:val="clear"/>
            <w:vAlign w:val="center"/>
          </w:tcPr>
          <w:p>
            <w:pPr>
              <w:pStyle w:val="TableContents"/>
              <w:bidi w:val="0"/>
              <w:spacing w:before="0" w:after="0"/>
              <w:ind w:left="0" w:right="0" w:hanging="144"/>
              <w:jc w:val="left"/>
              <w:rPr/>
            </w:pPr>
            <w:r>
              <w:rPr/>
              <w:t xml:space="preserve">Total accrued expenses and other current liabilities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393"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651" w:type="dxa"/>
            <w:tcBorders>
              <w:bottom w:val="double" w:sz="8" w:space="0" w:color="000000"/>
            </w:tcBorders>
            <w:shd w:fill="CCEEFF" w:val="clear"/>
            <w:tcMar>
              <w:bottom w:w="28" w:type="dxa"/>
            </w:tcMar>
            <w:vAlign w:val="center"/>
          </w:tcPr>
          <w:p>
            <w:pPr>
              <w:pStyle w:val="TableContents"/>
              <w:bidi w:val="0"/>
              <w:spacing w:before="0" w:after="283"/>
              <w:jc w:val="right"/>
              <w:rPr/>
            </w:pPr>
            <w:r>
              <w:rPr/>
              <w:t>40,466</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393"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651" w:type="dxa"/>
            <w:tcBorders>
              <w:bottom w:val="double" w:sz="8" w:space="0" w:color="000000"/>
            </w:tcBorders>
            <w:shd w:fill="CCEEFF" w:val="clear"/>
            <w:tcMar>
              <w:bottom w:w="28" w:type="dxa"/>
            </w:tcMar>
            <w:vAlign w:val="center"/>
          </w:tcPr>
          <w:p>
            <w:pPr>
              <w:pStyle w:val="TableContents"/>
              <w:bidi w:val="0"/>
              <w:spacing w:before="0" w:after="283"/>
              <w:jc w:val="right"/>
              <w:rPr/>
            </w:pPr>
            <w:r>
              <w:rPr/>
              <w:t>34,105</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NOTES PAYABLE</w:t>
      </w:r>
      <w:r>
        <w:rPr>
          <w:rFonts w:ascii="Aptos" w:hAnsi="Aptos"/>
          <w:sz w:val="20"/>
        </w:rPr>
        <w:t xml:space="preserve"> </w: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342900" cy="175260"/>
                <wp:effectExtent l="0" t="0" r="0" b="0"/>
                <wp:wrapSquare wrapText="right"/>
                <wp:docPr id="215" name="Frame21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7.</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7.</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p>
      <w:pPr>
        <w:pStyle w:val="TextBody"/>
        <w:bidi w:val="0"/>
        <w:spacing w:before="0" w:after="0"/>
        <w:ind w:left="36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summary of outstanding senior notes payable is as follows: </w:t>
      </w:r>
    </w:p>
    <w:p>
      <w:pPr>
        <w:pStyle w:val="TextBody"/>
        <w:bidi w:val="0"/>
        <w:spacing w:before="0" w:after="0"/>
        <w:jc w:val="left"/>
        <w:rPr/>
      </w:pPr>
      <w:r>
        <w:rPr/>
        <w:t xml:space="preserve">  </w:t>
      </w:r>
    </w:p>
    <w:tbl>
      <w:tblPr>
        <w:tblW w:w="8468" w:type="dxa"/>
        <w:jc w:val="left"/>
        <w:tblInd w:w="0" w:type="dxa"/>
        <w:tblLayout w:type="fixed"/>
        <w:tblCellMar>
          <w:top w:w="0" w:type="dxa"/>
          <w:left w:w="0" w:type="dxa"/>
          <w:bottom w:w="0" w:type="dxa"/>
          <w:right w:w="0" w:type="dxa"/>
        </w:tblCellMar>
      </w:tblPr>
      <w:tblGrid>
        <w:gridCol w:w="3785"/>
        <w:gridCol w:w="90"/>
        <w:gridCol w:w="290"/>
        <w:gridCol w:w="1754"/>
        <w:gridCol w:w="185"/>
        <w:gridCol w:w="90"/>
        <w:gridCol w:w="290"/>
        <w:gridCol w:w="1754"/>
        <w:gridCol w:w="230"/>
      </w:tblGrid>
      <w:tr>
        <w:trPr/>
        <w:tc>
          <w:tcPr>
            <w:tcW w:w="3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2024</w:t>
            </w:r>
            <w:r>
              <w:rPr/>
              <w:t xml:space="preserve"> </w:t>
            </w:r>
          </w:p>
        </w:tc>
        <w:tc>
          <w:tcPr>
            <w:tcW w:w="230" w:type="dxa"/>
            <w:tcBorders/>
            <w:vAlign w:val="center"/>
          </w:tcPr>
          <w:p>
            <w:pPr>
              <w:pStyle w:val="TableContents"/>
              <w:bidi w:val="0"/>
              <w:spacing w:before="0" w:after="283"/>
              <w:jc w:val="center"/>
              <w:rPr/>
            </w:pPr>
            <w:r>
              <w:rPr/>
              <w:t> </w:t>
            </w:r>
          </w:p>
        </w:tc>
      </w:tr>
      <w:tr>
        <w:trPr/>
        <w:tc>
          <w:tcPr>
            <w:tcW w:w="3785" w:type="dxa"/>
            <w:tcBorders/>
            <w:vAlign w:val="center"/>
          </w:tcPr>
          <w:p>
            <w:pPr>
              <w:pStyle w:val="TableContents"/>
              <w:bidi w:val="0"/>
              <w:spacing w:before="0" w:after="283"/>
              <w:jc w:val="left"/>
              <w:rPr/>
            </w:pPr>
            <w:r>
              <w:rPr/>
              <w:t> </w:t>
            </w:r>
          </w:p>
        </w:tc>
        <w:tc>
          <w:tcPr>
            <w:tcW w:w="4683" w:type="dxa"/>
            <w:gridSpan w:val="8"/>
            <w:tcBorders/>
            <w:vAlign w:val="center"/>
          </w:tcPr>
          <w:p>
            <w:pPr>
              <w:pStyle w:val="TableContents"/>
              <w:bidi w:val="0"/>
              <w:spacing w:before="0" w:after="283"/>
              <w:jc w:val="center"/>
              <w:rPr/>
            </w:pPr>
            <w:r>
              <w:rPr>
                <w:i/>
              </w:rPr>
              <w:t>(in thousands)</w:t>
            </w:r>
            <w:r>
              <w:rPr/>
              <w:t xml:space="preserve"> </w:t>
            </w:r>
          </w:p>
        </w:tc>
      </w:tr>
      <w:tr>
        <w:trPr/>
        <w:tc>
          <w:tcPr>
            <w:tcW w:w="3785" w:type="dxa"/>
            <w:tcBorders/>
            <w:shd w:fill="CCEEFF" w:val="clear"/>
            <w:vAlign w:val="center"/>
          </w:tcPr>
          <w:p>
            <w:pPr>
              <w:pStyle w:val="TableContents"/>
              <w:bidi w:val="0"/>
              <w:spacing w:before="0" w:after="0"/>
              <w:ind w:left="0" w:right="0" w:hanging="144"/>
              <w:jc w:val="left"/>
              <w:rPr/>
            </w:pPr>
            <w:r>
              <w:rPr/>
              <w:t xml:space="preserve">Ares term loan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w:t>
            </w:r>
          </w:p>
        </w:tc>
        <w:tc>
          <w:tcPr>
            <w:tcW w:w="1754"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w:t>
            </w:r>
          </w:p>
        </w:tc>
        <w:tc>
          <w:tcPr>
            <w:tcW w:w="1754" w:type="dxa"/>
            <w:tcBorders/>
            <w:shd w:fill="CCEEFF" w:val="clear"/>
            <w:vAlign w:val="center"/>
          </w:tcPr>
          <w:p>
            <w:pPr>
              <w:pStyle w:val="TableContents"/>
              <w:bidi w:val="0"/>
              <w:spacing w:before="0" w:after="283"/>
              <w:jc w:val="right"/>
              <w:rPr/>
            </w:pPr>
            <w:r>
              <w:rPr/>
              <w:t>32,500</w:t>
            </w:r>
          </w:p>
        </w:tc>
        <w:tc>
          <w:tcPr>
            <w:tcW w:w="23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ind w:left="0" w:right="0" w:hanging="144"/>
              <w:jc w:val="left"/>
              <w:rPr/>
            </w:pPr>
            <w:r>
              <w:rPr/>
              <w:t xml:space="preserve">Ares revolving credit facility </w:t>
            </w:r>
          </w:p>
        </w:tc>
        <w:tc>
          <w:tcPr>
            <w:tcW w:w="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right"/>
              <w:rPr/>
            </w:pPr>
            <w:r>
              <w:rPr/>
              <w:t>42,500</w:t>
            </w:r>
          </w:p>
        </w:tc>
        <w:tc>
          <w:tcPr>
            <w:tcW w:w="23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144"/>
              <w:jc w:val="left"/>
              <w:rPr/>
            </w:pPr>
            <w:r>
              <w:rPr/>
              <w:t xml:space="preserve">JPM term loan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pPr>
            <w:r>
              <w:rPr/>
              <w:t>74,063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pPr>
            <w:r>
              <w:rPr/>
              <w:t>              </w:t>
            </w:r>
            <w:r>
              <w:rPr/>
              <w:t xml:space="preserve">- </w:t>
            </w:r>
          </w:p>
        </w:tc>
        <w:tc>
          <w:tcPr>
            <w:tcW w:w="23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pPr>
            <w:r>
              <w:rPr/>
              <w:t xml:space="preserve">Less: Debt discount and issuance costs </w:t>
            </w:r>
          </w:p>
        </w:tc>
        <w:tc>
          <w:tcPr>
            <w:tcW w:w="90" w:type="dxa"/>
            <w:tcBorders/>
            <w:vAlign w:val="center"/>
          </w:tcPr>
          <w:p>
            <w:pPr>
              <w:pStyle w:val="TableContents"/>
              <w:bidi w:val="0"/>
              <w:spacing w:before="0" w:after="283"/>
              <w:jc w:val="righ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54" w:type="dxa"/>
            <w:tcBorders>
              <w:bottom w:val="single" w:sz="12" w:space="0" w:color="000000"/>
            </w:tcBorders>
            <w:tcMar>
              <w:bottom w:w="28" w:type="dxa"/>
            </w:tcMar>
            <w:vAlign w:val="center"/>
          </w:tcPr>
          <w:p>
            <w:pPr>
              <w:pStyle w:val="TableContents"/>
              <w:bidi w:val="0"/>
              <w:spacing w:before="0" w:after="283"/>
              <w:jc w:val="right"/>
              <w:rPr/>
            </w:pPr>
            <w:r>
              <w:rPr/>
              <w:t>(1,920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54" w:type="dxa"/>
            <w:tcBorders>
              <w:bottom w:val="single" w:sz="12" w:space="0" w:color="000000"/>
            </w:tcBorders>
            <w:tcMar>
              <w:bottom w:w="28" w:type="dxa"/>
            </w:tcMar>
            <w:vAlign w:val="center"/>
          </w:tcPr>
          <w:p>
            <w:pPr>
              <w:pStyle w:val="TableContents"/>
              <w:bidi w:val="0"/>
              <w:spacing w:before="0" w:after="283"/>
              <w:jc w:val="right"/>
              <w:rPr/>
            </w:pPr>
            <w:r>
              <w:rPr/>
              <w:t>(2,663</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144"/>
              <w:jc w:val="left"/>
              <w:rPr/>
            </w:pPr>
            <w:r>
              <w:rPr/>
              <w:t xml:space="preserve">Total debt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4" w:type="dxa"/>
            <w:tcBorders>
              <w:bottom w:val="single" w:sz="12" w:space="0" w:color="000000"/>
            </w:tcBorders>
            <w:shd w:fill="CCEEFF" w:val="clear"/>
            <w:tcMar>
              <w:bottom w:w="28" w:type="dxa"/>
            </w:tcMar>
            <w:vAlign w:val="center"/>
          </w:tcPr>
          <w:p>
            <w:pPr>
              <w:pStyle w:val="TableContents"/>
              <w:bidi w:val="0"/>
              <w:spacing w:before="0" w:after="283"/>
              <w:jc w:val="right"/>
              <w:rPr/>
            </w:pPr>
            <w:r>
              <w:rPr/>
              <w:t>72,143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4" w:type="dxa"/>
            <w:tcBorders>
              <w:bottom w:val="single" w:sz="12" w:space="0" w:color="000000"/>
            </w:tcBorders>
            <w:shd w:fill="CCEEFF" w:val="clear"/>
            <w:tcMar>
              <w:bottom w:w="28" w:type="dxa"/>
            </w:tcMar>
            <w:vAlign w:val="center"/>
          </w:tcPr>
          <w:p>
            <w:pPr>
              <w:pStyle w:val="TableContents"/>
              <w:bidi w:val="0"/>
              <w:spacing w:before="0" w:after="283"/>
              <w:jc w:val="right"/>
              <w:rPr/>
            </w:pPr>
            <w:r>
              <w:rPr/>
              <w:t>72,337</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pPr>
            <w:r>
              <w:rPr/>
              <w:t xml:space="preserve">Less: current portion of long-term debt </w:t>
            </w:r>
          </w:p>
        </w:tc>
        <w:tc>
          <w:tcPr>
            <w:tcW w:w="90" w:type="dxa"/>
            <w:tcBorders/>
            <w:vAlign w:val="center"/>
          </w:tcPr>
          <w:p>
            <w:pPr>
              <w:pStyle w:val="TableContents"/>
              <w:bidi w:val="0"/>
              <w:spacing w:before="0" w:after="283"/>
              <w:jc w:val="righ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54" w:type="dxa"/>
            <w:tcBorders>
              <w:bottom w:val="single" w:sz="12" w:space="0" w:color="000000"/>
            </w:tcBorders>
            <w:tcMar>
              <w:bottom w:w="28" w:type="dxa"/>
            </w:tcMar>
            <w:vAlign w:val="center"/>
          </w:tcPr>
          <w:p>
            <w:pPr>
              <w:pStyle w:val="TableContents"/>
              <w:bidi w:val="0"/>
              <w:spacing w:before="0" w:after="283"/>
              <w:jc w:val="right"/>
              <w:rPr/>
            </w:pPr>
            <w:r>
              <w:rPr/>
              <w:t>(2,813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54"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23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144"/>
              <w:jc w:val="left"/>
              <w:rPr/>
            </w:pPr>
            <w:r>
              <w:rPr/>
              <w:t xml:space="preserve">Long-term debt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754" w:type="dxa"/>
            <w:tcBorders>
              <w:bottom w:val="double" w:sz="8" w:space="0" w:color="000000"/>
            </w:tcBorders>
            <w:shd w:fill="CCEEFF" w:val="clear"/>
            <w:tcMar>
              <w:bottom w:w="28" w:type="dxa"/>
            </w:tcMar>
            <w:vAlign w:val="center"/>
          </w:tcPr>
          <w:p>
            <w:pPr>
              <w:pStyle w:val="TableContents"/>
              <w:bidi w:val="0"/>
              <w:spacing w:before="0" w:after="283"/>
              <w:jc w:val="right"/>
              <w:rPr/>
            </w:pPr>
            <w:r>
              <w:rPr/>
              <w:t>69,330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754" w:type="dxa"/>
            <w:tcBorders>
              <w:bottom w:val="double" w:sz="8" w:space="0" w:color="000000"/>
            </w:tcBorders>
            <w:shd w:fill="CCEEFF" w:val="clear"/>
            <w:tcMar>
              <w:bottom w:w="28" w:type="dxa"/>
            </w:tcMar>
            <w:vAlign w:val="center"/>
          </w:tcPr>
          <w:p>
            <w:pPr>
              <w:pStyle w:val="TableContents"/>
              <w:bidi w:val="0"/>
              <w:spacing w:before="0" w:after="283"/>
              <w:jc w:val="right"/>
              <w:rPr/>
            </w:pPr>
            <w:r>
              <w:rPr/>
              <w:t>72,337</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lineRule="atLeast" w:line="240" w:before="0" w:after="0"/>
        <w:jc w:val="center"/>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Ares Credit Agreement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December 18, 2023 (the “Ares Closing Date”), the Company and all of its subsidiaries entered into a new senior secured credit facility (the “Ares Credit Agreement”) with Ares Capital Corporation and certain credit funds affiliated with Ares Capital Corporation (collectively, “Ares”). The Ares Credit Agreement provided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had a maturity date of December 20, 2027 (the “Ares Maturity Date”). On the Ares Closing Date, the Company used the proceeds from the Ares Loans, along with a portion of its existing cash on hand, to terminate and pay in full all of the outstanding obligations under the Company’s previous senior credit facility (the “Hayfin Credit Facility”) with Hayfin Services LLP (“Hayfin”) including the outstanding principal in the amount of $158.6 million, a prepayment penalty in the amount $11.1 million, an exit fee of $1.6 million, all accrued and unpaid interest outstanding on the Hayfin Credit Facility as of the Ares Closing date, as well as certain fees and expenses related thereto. In connection with the payoff and termination of the Hayfin Credit Facility, the Company also wrote off $15.0 million of unamortized debt discount related to the Hayfin Credit Facility. As a result of this transaction, during the year ended December 31, 2023, the Company recorded a total loss on the extinguishment in the amount of $26.2 million.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August 14, 2024, the Company repaid $30.0 million against the Ares revolving credit facility and the outstanding balance on the Ares revolving credit facility as of December 31, 2024, was $42.5 million, with an additional $30.0 million of availability through the Ares Maturity Date. The Company was required to pay an unused commitment fee of 0.5% per annum for this availability.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F-17</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December 19, 2024, the Company repaid $30.0 million against the Ares term loan and the outstanding balance on the Ares term loan as of December 31, 2024 was $32.5 million. In connection with the repayment against the term loan, during the year ended December 31, 2024, the Company recognized a loss on extinguishment of debt in the approximate amount of $1.2 million, which is comprised of a prepayment penalty in the amount of $0.5 million and a partial write-off of unamortized discount attributable to the term loan in the amount of $0.8 million.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Borrowings under the Ares term loan bore interest at the adjusted Term SOFR for a three</w:t>
        <w:noBreakHyphen/>
        <w:t>month tenor in effect on the day that is two business days prior to the first day of the applicable calendar quarter plus 6.50% (the “Initial SOFR Term Loan Applicable Margin”). Borrowings under the Ares revolving facility bore interest at the adjusted Term SOFR for a three</w:t>
        <w:noBreakHyphen/>
        <w:t xml:space="preserve">month tenor in effect on the day that is two business days prior to the first day of the applicable calendar quarter plus 3.75% (the “SOFR Revolving Facility Applicable Margin”). As of December 31, 2024, the interest rate on the Ares term loan was approximately 10.85%, and the interest rate on the Ares revolving facility was approximately 8.34%.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the Ares Maturity Date, the Company was required to pay Ares the entire outstanding principal amount underlying the Ares term loan and revolving loan (together, the “Ares Loans”) and any accrued and unpaid interest thereon. Prior to the Ares Maturity Date, there were no scheduled principal payments on the Ares Loans. The Ares Credit Agreement permitted prepayment of the outstanding principal under the revolving facility, together with any accrued but unpaid interest on the prepaid principal amount, at any time and from time to time upon three business days’ prior written notice with no prepayment premium. However, in the event the Company paid down an aggregate amount under the revolving facility that is greater than 50% of the $72.5 million commitment amount, or $36,250,000, the Company was still required to pay an amount of interest on the revolving facility that would have been payable had $36,250,000 been outstanding, through the Ares Maturity Date. The Ares Credit Agreement permitted prepayment of the outstanding principal on the term loan, together with any accrued but unpaid interest on the prepaid principal amount, at any time and from time to time upon three business days’ prior written notice, subject to the payment to Ares of a prepayment premium equal to (i) 1.5% of the prepaid principal amount, if prepaid after the first anniversary of the Ares Closing Date and on or prior to the second anniversary of the Ares Closing Date or (ii) 1.0% of the prepaid principal amount, if prepaid on or prior to the third anniversary of the Ares Closing Date.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May 2025, the Company repaid $30.0 million against the Ares term loan using a draw of $30.0 million against the Ares revolving credit facility made in May 2025. In August 2025, the Company repaid all obligations outstanding under the Ares Credit Agreement using the proceeds from the JPM Credit Agreement, defined below. As a result of the aforementioned transactions, during the year ended December 31, 2025, the Company recognized debt extinguishment losses of $3.3 million. </w:t>
      </w:r>
    </w:p>
    <w:p>
      <w:pPr>
        <w:pStyle w:val="TextBody"/>
        <w:bidi w:val="0"/>
        <w:spacing w:before="0" w:after="0"/>
        <w:ind w:left="360" w:right="0" w:hanging="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JPM Credit Agreement</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August 5, 2025 (the “JPM Closing Date”), the Company and all of the Company’s subsidiaries entered into a Credit Agreement (the “JPM Credit Agreement”) with the lenders party thereto and JPMorgan Chase Bank, N.A., as administrative agent. The JPM Credit Agreement provides for $300 million of senior secured credit facilities, consisting of (a) a term loan in the aggregate principal amount of $75 million (the “JPM Term Loan Facility”), which was drawn in full on the JPM Closing Date, and (b) a revolving credit facility in the aggregate principal amount of $225 million (the “JPM Revolving Facility”). The Company may also request, subject to customary conditions, additional incremental revolving commitments or term loans in an aggregate principal amount not to exceed $100 million (together with the JPM Term Loan Facility and the JPM Revolving Facility, the “JPM Credit Facilities”). The JPM Term Loan Facility has a maturity date of August 5, 2028 (the “JPM Term Maturity Date”) and the JPM Revolving Facility has a maturity date of August 5, 2028 or any earlier date on which the commitments under the JPM Revolving Facility are reduced to zero or otherwise terminated pursuant to the terms of the JPM Credit Agreement (the “JPM Revolving Maturity Date”).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F-18</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Interest on borrowings under the JPM Credit Facilities accrues at an applicable rate equal to (i) an alternate base rate plus an applicable spread (each such borrowing, an “ABR Borrowing”) or (ii) Term SOFR plus an applicable spread (each such borrowing, a “Term Benchmark Borrowing”), in each case based on the lower of the applicable rates set forth in the JPM Credit Agreement, which are based on the Company’s total leverage ratio. These applicable spreads range from 150 basis points to 200 basis points over the alternate base rate and 250 basis points to 300 basis points over Term SOFR, in each case, as determined in accordance with the provisions of the JPM Credit Agreement. The Company has agreed to pay a commitment fee at specified rates set forth in the JPM Credit Agreement, which, based on the Company’s total leverage ratio, ranges from 30 basis points to 35 basis points on the daily amount of the undrawn portion of the aggregate commitments of the lenders under the JPM Revolving Facility. At the Company’s request, each borrowing initially shall be either an ABR Borrowing or a Term Benchmark Borrowing, and the Company may thereafter elect to convert any such borrowing to a different type. During the occurrence and continuance of an Event of Default (as defined in the JPM Credit Agreement), all borrowings shall accrue interest at a rate per annum equal to 2% plus the applicable rate. As of December 31, 2025, the interest rate on the JPM Term Loan Facility was approximately 6.42%. No borrowings were outstanding under the JPM Revolving Facility as of December 31, 2025.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the JPM Revolving Maturity Date, the Company will repay the unpaid principal amount outstanding under the JPM Revolving Facility. Under the JPM Term Loan Facility, the Company will make principal payments in accordance with and on the dates specified in the amortization schedule set forth in the JPM Credit Agreement, with the remaining unpaid principal amount to be paid in full on the JPM Term Maturity Date. The Company may prepay at any time and from time to time any borrowing in whole or in part, without premium or penalty (other than, if applicable, any break funding expenses), subject to customary notice requirements.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of the Company’s obligations under the JPM Credit Agreement are secured by a first-priority lien and security interest in substantially all of the tangible and intangible assets, including intellectual property and equity interests, of the Company and all of its subsidiaries.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JPM Credit Agreement contains certain representations and warranties, affirmative covenants, negative covenants and conditions that are customarily required for similar debt financings. The negative covenants include certain financial covenants, including a maximum total leverage ratio of 2.50 to 1.00 and a minimum fixed charge coverage ratio of 1.20 to 1.00. The negative covenants also restrict or limit the Company’s ability and the ability of the Company’s subsidiaries to, among other things and subject to certain exceptions contained in the JPM Credit Agreement, incur new indebtedness; create liens on assets; engage in certain fundamental corporate changes; make certain investments; dispose of certain assets; engage in sale and leaseback transactions or swap agreements; make dividend payments and other certain Restricted Payments (as defined in the JPM Credit Agreement); engage in certain affiliate transactions; enter into any other agreements that have the impact of restricting the Company’s ability to make loan repayments under the JPM Credit Agreement; or amend certain material documents.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Debt maturities over the next five years are as follows (</w:t>
      </w:r>
      <w:r>
        <w:rPr>
          <w:rFonts w:ascii="TimesNewRoman;Times New Roman;Times;Baskerville;Georgia;serif" w:hAnsi="TimesNewRoman;Times New Roman;Times;Baskerville;Georgia;serif"/>
          <w:i/>
          <w:sz w:val="20"/>
        </w:rPr>
        <w:t>in thousands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tbl>
      <w:tblPr>
        <w:tblW w:w="2394" w:type="dxa"/>
        <w:jc w:val="left"/>
        <w:tblInd w:w="0" w:type="dxa"/>
        <w:tblLayout w:type="fixed"/>
        <w:tblCellMar>
          <w:top w:w="0" w:type="dxa"/>
          <w:left w:w="0" w:type="dxa"/>
          <w:bottom w:w="28" w:type="dxa"/>
          <w:right w:w="0" w:type="dxa"/>
        </w:tblCellMar>
      </w:tblPr>
      <w:tblGrid>
        <w:gridCol w:w="1220"/>
        <w:gridCol w:w="90"/>
        <w:gridCol w:w="182"/>
        <w:gridCol w:w="767"/>
        <w:gridCol w:w="135"/>
      </w:tblGrid>
      <w:tr>
        <w:trPr/>
        <w:tc>
          <w:tcPr>
            <w:tcW w:w="1220" w:type="dxa"/>
            <w:tcBorders>
              <w:bottom w:val="single" w:sz="12" w:space="0" w:color="000000"/>
            </w:tcBorders>
            <w:vAlign w:val="center"/>
          </w:tcPr>
          <w:p>
            <w:pPr>
              <w:pStyle w:val="TableContents"/>
              <w:bidi w:val="0"/>
              <w:spacing w:before="0" w:after="0"/>
              <w:ind w:left="0" w:right="0" w:hanging="144"/>
              <w:jc w:val="left"/>
              <w:rPr/>
            </w:pPr>
            <w:r>
              <w:rPr>
                <w:b/>
              </w:rPr>
              <w:t>Fiscal year</w:t>
            </w:r>
            <w:r>
              <w:rPr/>
              <w:t xml:space="preserve"> </w:t>
            </w:r>
          </w:p>
        </w:tc>
        <w:tc>
          <w:tcPr>
            <w:tcW w:w="90" w:type="dxa"/>
            <w:tcBorders/>
            <w:tcMar>
              <w:bottom w:w="0" w:type="dxa"/>
            </w:tcMar>
            <w:vAlign w:val="center"/>
          </w:tcPr>
          <w:p>
            <w:pPr>
              <w:pStyle w:val="TableContents"/>
              <w:bidi w:val="0"/>
              <w:spacing w:before="0" w:after="283"/>
              <w:jc w:val="center"/>
              <w:rPr/>
            </w:pPr>
            <w:r>
              <w:rPr/>
              <w:t> </w:t>
            </w:r>
          </w:p>
        </w:tc>
        <w:tc>
          <w:tcPr>
            <w:tcW w:w="949" w:type="dxa"/>
            <w:gridSpan w:val="2"/>
            <w:tcBorders>
              <w:bottom w:val="single" w:sz="12" w:space="0" w:color="000000"/>
            </w:tcBorders>
            <w:vAlign w:val="center"/>
          </w:tcPr>
          <w:p>
            <w:pPr>
              <w:pStyle w:val="TableContents"/>
              <w:bidi w:val="0"/>
              <w:spacing w:before="0" w:after="283"/>
              <w:jc w:val="center"/>
              <w:rPr/>
            </w:pPr>
            <w:r>
              <w:rPr>
                <w:b/>
              </w:rPr>
              <w:t>Amount</w:t>
            </w:r>
            <w:r>
              <w:rPr/>
              <w:t xml:space="preserve"> </w:t>
            </w:r>
          </w:p>
        </w:tc>
        <w:tc>
          <w:tcPr>
            <w:tcW w:w="135" w:type="dxa"/>
            <w:tcBorders/>
            <w:tcMar>
              <w:bottom w:w="0" w:type="dxa"/>
            </w:tcMar>
            <w:vAlign w:val="center"/>
          </w:tcPr>
          <w:p>
            <w:pPr>
              <w:pStyle w:val="TableContents"/>
              <w:bidi w:val="0"/>
              <w:spacing w:before="0" w:after="283"/>
              <w:jc w:val="center"/>
              <w:rPr/>
            </w:pPr>
            <w:r>
              <w:rPr/>
              <w:t> </w:t>
            </w:r>
          </w:p>
        </w:tc>
      </w:tr>
      <w:tr>
        <w:trPr/>
        <w:tc>
          <w:tcPr>
            <w:tcW w:w="1220" w:type="dxa"/>
            <w:tcBorders/>
            <w:shd w:fill="CCEEFF" w:val="clear"/>
            <w:tcMar>
              <w:bottom w:w="0" w:type="dxa"/>
            </w:tcMar>
            <w:vAlign w:val="center"/>
          </w:tcPr>
          <w:p>
            <w:pPr>
              <w:pStyle w:val="TableContents"/>
              <w:bidi w:val="0"/>
              <w:spacing w:before="0" w:after="0"/>
              <w:ind w:left="0" w:right="0" w:hanging="144"/>
              <w:jc w:val="left"/>
              <w:rPr/>
            </w:pPr>
            <w:r>
              <w:rPr/>
              <w:t xml:space="preserve">2026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767" w:type="dxa"/>
            <w:tcBorders/>
            <w:shd w:fill="CCEEFF" w:val="clear"/>
            <w:tcMar>
              <w:bottom w:w="0" w:type="dxa"/>
            </w:tcMar>
            <w:vAlign w:val="center"/>
          </w:tcPr>
          <w:p>
            <w:pPr>
              <w:pStyle w:val="TableContents"/>
              <w:bidi w:val="0"/>
              <w:spacing w:before="0" w:after="283"/>
              <w:jc w:val="right"/>
              <w:rPr/>
            </w:pPr>
            <w:r>
              <w:rPr/>
              <w:t>2,813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0"/>
              <w:ind w:left="0" w:right="0" w:hanging="144"/>
              <w:jc w:val="left"/>
              <w:rPr/>
            </w:pPr>
            <w:r>
              <w:rPr/>
              <w:t xml:space="preserve">2027 </w:t>
            </w:r>
          </w:p>
        </w:tc>
        <w:tc>
          <w:tcPr>
            <w:tcW w:w="90" w:type="dxa"/>
            <w:tcBorders/>
            <w:tcMar>
              <w:bottom w:w="0" w:type="dxa"/>
            </w:tcMar>
            <w:vAlign w:val="center"/>
          </w:tcPr>
          <w:p>
            <w:pPr>
              <w:pStyle w:val="TableContents"/>
              <w:bidi w:val="0"/>
              <w:spacing w:before="0" w:after="283"/>
              <w:jc w:val="right"/>
              <w:rPr/>
            </w:pPr>
            <w:r>
              <w:rPr/>
              <w:t> </w:t>
            </w:r>
          </w:p>
        </w:tc>
        <w:tc>
          <w:tcPr>
            <w:tcW w:w="182" w:type="dxa"/>
            <w:tcBorders/>
            <w:tcMar>
              <w:bottom w:w="0" w:type="dxa"/>
            </w:tcMar>
            <w:vAlign w:val="center"/>
          </w:tcPr>
          <w:p>
            <w:pPr>
              <w:pStyle w:val="TableContents"/>
              <w:bidi w:val="0"/>
              <w:spacing w:before="0" w:after="283"/>
              <w:jc w:val="left"/>
              <w:rPr/>
            </w:pPr>
            <w:r>
              <w:rPr/>
              <w:t> </w:t>
            </w:r>
          </w:p>
        </w:tc>
        <w:tc>
          <w:tcPr>
            <w:tcW w:w="767" w:type="dxa"/>
            <w:tcBorders/>
            <w:tcMar>
              <w:bottom w:w="0" w:type="dxa"/>
            </w:tcMar>
            <w:vAlign w:val="center"/>
          </w:tcPr>
          <w:p>
            <w:pPr>
              <w:pStyle w:val="TableContents"/>
              <w:bidi w:val="0"/>
              <w:spacing w:before="0" w:after="283"/>
              <w:jc w:val="right"/>
              <w:rPr/>
            </w:pPr>
            <w:r>
              <w:rPr/>
              <w:t>4,688</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0"/>
              <w:ind w:left="0" w:right="0" w:hanging="144"/>
              <w:jc w:val="left"/>
              <w:rPr/>
            </w:pPr>
            <w:r>
              <w:rPr/>
              <w:t xml:space="preserve">2028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right"/>
              <w:rPr/>
            </w:pPr>
            <w:r>
              <w:rPr/>
              <w:t>66,562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0"/>
              <w:ind w:left="0" w:right="0" w:hanging="144"/>
              <w:jc w:val="left"/>
              <w:rPr/>
            </w:pPr>
            <w:r>
              <w:rPr/>
              <w:t xml:space="preserve">2029 </w:t>
            </w:r>
          </w:p>
        </w:tc>
        <w:tc>
          <w:tcPr>
            <w:tcW w:w="90" w:type="dxa"/>
            <w:tcBorders/>
            <w:tcMar>
              <w:bottom w:w="0" w:type="dxa"/>
            </w:tcMar>
            <w:vAlign w:val="center"/>
          </w:tcPr>
          <w:p>
            <w:pPr>
              <w:pStyle w:val="TableContents"/>
              <w:bidi w:val="0"/>
              <w:spacing w:before="0" w:after="283"/>
              <w:jc w:val="right"/>
              <w:rPr/>
            </w:pPr>
            <w:r>
              <w:rPr/>
              <w:t> </w:t>
            </w:r>
          </w:p>
        </w:tc>
        <w:tc>
          <w:tcPr>
            <w:tcW w:w="182" w:type="dxa"/>
            <w:tcBorders/>
            <w:tcMar>
              <w:bottom w:w="0" w:type="dxa"/>
            </w:tcMar>
            <w:vAlign w:val="center"/>
          </w:tcPr>
          <w:p>
            <w:pPr>
              <w:pStyle w:val="TableContents"/>
              <w:bidi w:val="0"/>
              <w:spacing w:before="0" w:after="283"/>
              <w:jc w:val="left"/>
              <w:rPr/>
            </w:pPr>
            <w:r>
              <w:rPr/>
              <w:t> </w:t>
            </w:r>
          </w:p>
        </w:tc>
        <w:tc>
          <w:tcPr>
            <w:tcW w:w="767" w:type="dxa"/>
            <w:tcBorders/>
            <w:tcMar>
              <w:bottom w:w="0" w:type="dxa"/>
            </w:tcMar>
            <w:vAlign w:val="center"/>
          </w:tcPr>
          <w:p>
            <w:pPr>
              <w:pStyle w:val="TableContents"/>
              <w:bidi w:val="0"/>
              <w:spacing w:before="0" w:after="283"/>
              <w:jc w:val="right"/>
              <w:rPr/>
            </w:pPr>
            <w:r>
              <w:rPr/>
              <w:t>        </w:t>
            </w:r>
            <w:r>
              <w:rPr/>
              <w:t xml:space="preserve">- </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0"/>
              <w:ind w:left="0" w:right="0" w:hanging="144"/>
              <w:jc w:val="left"/>
              <w:rPr/>
            </w:pPr>
            <w:r>
              <w:rPr/>
              <w:t xml:space="preserve">2030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82" w:type="dxa"/>
            <w:tcBorders>
              <w:bottom w:val="single" w:sz="12" w:space="0" w:color="000000"/>
            </w:tcBorders>
            <w:shd w:fill="CCEEFF" w:val="clear"/>
            <w:vAlign w:val="center"/>
          </w:tcPr>
          <w:p>
            <w:pPr>
              <w:pStyle w:val="TableContents"/>
              <w:bidi w:val="0"/>
              <w:spacing w:before="0" w:after="283"/>
              <w:jc w:val="left"/>
              <w:rPr/>
            </w:pPr>
            <w:r>
              <w:rPr/>
              <w:t> </w:t>
            </w:r>
          </w:p>
        </w:tc>
        <w:tc>
          <w:tcPr>
            <w:tcW w:w="767" w:type="dxa"/>
            <w:tcBorders>
              <w:bottom w:val="single" w:sz="12" w:space="0" w:color="000000"/>
            </w:tcBorders>
            <w:shd w:fill="CCEEFF" w:val="clear"/>
            <w:vAlign w:val="center"/>
          </w:tcPr>
          <w:p>
            <w:pPr>
              <w:pStyle w:val="TableContents"/>
              <w:bidi w:val="0"/>
              <w:spacing w:before="0" w:after="283"/>
              <w:jc w:val="right"/>
              <w:rPr/>
            </w:pPr>
            <w:r>
              <w:rPr/>
              <w:t>        </w:t>
            </w:r>
            <w:r>
              <w:rPr/>
              <w:t xml:space="preserve">-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0"/>
              <w:ind w:left="0" w:right="0" w:hanging="144"/>
              <w:jc w:val="left"/>
              <w:rPr/>
            </w:pPr>
            <w:r>
              <w:rPr/>
              <w:t xml:space="preserve">Total </w:t>
            </w:r>
          </w:p>
        </w:tc>
        <w:tc>
          <w:tcPr>
            <w:tcW w:w="90" w:type="dxa"/>
            <w:tcBorders>
              <w:bottom w:val="single" w:sz="12" w:space="0" w:color="000000"/>
            </w:tcBorders>
            <w:vAlign w:val="center"/>
          </w:tcPr>
          <w:p>
            <w:pPr>
              <w:pStyle w:val="TableContents"/>
              <w:bidi w:val="0"/>
              <w:spacing w:before="0" w:after="283"/>
              <w:jc w:val="right"/>
              <w:rPr/>
            </w:pPr>
            <w:r>
              <w:rPr/>
              <w:t> </w:t>
            </w:r>
          </w:p>
        </w:tc>
        <w:tc>
          <w:tcPr>
            <w:tcW w:w="182" w:type="dxa"/>
            <w:tcBorders>
              <w:bottom w:val="double" w:sz="8" w:space="0" w:color="000000"/>
            </w:tcBorders>
            <w:vAlign w:val="center"/>
          </w:tcPr>
          <w:p>
            <w:pPr>
              <w:pStyle w:val="TableContents"/>
              <w:bidi w:val="0"/>
              <w:spacing w:before="0" w:after="283"/>
              <w:jc w:val="left"/>
              <w:rPr/>
            </w:pPr>
            <w:r>
              <w:rPr/>
              <w:t>$</w:t>
            </w:r>
          </w:p>
        </w:tc>
        <w:tc>
          <w:tcPr>
            <w:tcW w:w="767" w:type="dxa"/>
            <w:tcBorders>
              <w:bottom w:val="double" w:sz="8" w:space="0" w:color="000000"/>
            </w:tcBorders>
            <w:vAlign w:val="center"/>
          </w:tcPr>
          <w:p>
            <w:pPr>
              <w:pStyle w:val="TableContents"/>
              <w:bidi w:val="0"/>
              <w:spacing w:before="0" w:after="283"/>
              <w:jc w:val="right"/>
              <w:rPr/>
            </w:pPr>
            <w:r>
              <w:rPr/>
              <w:t>74,063</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the Company was in compliance with all of its debt covenants in the JPM Credit Agreement. </w:t>
      </w:r>
    </w:p>
    <w:p>
      <w:pPr>
        <w:pStyle w:val="TextBody"/>
        <w:bidi w:val="0"/>
        <w:spacing w:before="0" w:after="0"/>
        <w:jc w:val="left"/>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STOCKHOLDERS’ EQUITY</w:t>
      </w:r>
      <w:r>
        <w:rPr>
          <w:rFonts w:ascii="Aptos" w:hAnsi="Aptos"/>
          <w:sz w:val="20"/>
        </w:rPr>
        <w:t xml:space="preserve"> </w: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342900" cy="175260"/>
                <wp:effectExtent l="0" t="0" r="0" b="0"/>
                <wp:wrapSquare wrapText="right"/>
                <wp:docPr id="216" name="Frame21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8.</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8.</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Treasury Stock</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May 2025, the Company’s board of directors (the “Board”) authorized a share repurchase program of up to $500.0 million of the Company’s outstanding shares of common stock (the “Repurchase Program”). The Repurchase Program does not obligate the Company to acquire any particular amount of its common stock, and may be modified, suspended, or terminated at any time at the Company’s discretion. The Repurchase Program has no expiration date. A summary of common stock repurchase activity under the Repurchase Program is as follows: </w:t>
      </w:r>
    </w:p>
    <w:p>
      <w:pPr>
        <w:pStyle w:val="TextBody"/>
        <w:bidi w:val="0"/>
        <w:spacing w:before="0" w:after="0"/>
        <w:jc w:val="both"/>
        <w:rPr/>
      </w:pPr>
      <w:r>
        <w:rPr/>
        <w:t xml:space="preserve">  </w:t>
      </w:r>
    </w:p>
    <w:tbl>
      <w:tblPr>
        <w:tblW w:w="6216" w:type="dxa"/>
        <w:jc w:val="left"/>
        <w:tblInd w:w="0" w:type="dxa"/>
        <w:tblLayout w:type="fixed"/>
        <w:tblCellMar>
          <w:top w:w="0" w:type="dxa"/>
          <w:left w:w="0" w:type="dxa"/>
          <w:bottom w:w="0" w:type="dxa"/>
          <w:right w:w="0" w:type="dxa"/>
        </w:tblCellMar>
      </w:tblPr>
      <w:tblGrid>
        <w:gridCol w:w="1159"/>
        <w:gridCol w:w="996"/>
        <w:gridCol w:w="998"/>
        <w:gridCol w:w="90"/>
        <w:gridCol w:w="312"/>
        <w:gridCol w:w="1305"/>
        <w:gridCol w:w="165"/>
        <w:gridCol w:w="165"/>
        <w:gridCol w:w="165"/>
        <w:gridCol w:w="726"/>
        <w:gridCol w:w="135"/>
      </w:tblGrid>
      <w:tr>
        <w:trPr/>
        <w:tc>
          <w:tcPr>
            <w:tcW w:w="115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15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838"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Years ended December 31,</w:t>
            </w:r>
            <w:r>
              <w:rPr/>
              <w:t xml:space="preserve"> </w:t>
            </w:r>
          </w:p>
        </w:tc>
        <w:tc>
          <w:tcPr>
            <w:tcW w:w="135" w:type="dxa"/>
            <w:tcBorders/>
            <w:vAlign w:val="center"/>
          </w:tcPr>
          <w:p>
            <w:pPr>
              <w:pStyle w:val="TableContents"/>
              <w:bidi w:val="0"/>
              <w:spacing w:before="0" w:after="283"/>
              <w:jc w:val="center"/>
              <w:rPr/>
            </w:pPr>
            <w:r>
              <w:rPr/>
              <w:t> </w:t>
            </w:r>
          </w:p>
        </w:tc>
      </w:tr>
      <w:tr>
        <w:trPr/>
        <w:tc>
          <w:tcPr>
            <w:tcW w:w="115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617"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65" w:type="dxa"/>
            <w:tcBorders/>
            <w:vAlign w:val="center"/>
          </w:tcPr>
          <w:p>
            <w:pPr>
              <w:pStyle w:val="TableContents"/>
              <w:bidi w:val="0"/>
              <w:spacing w:before="0" w:after="283"/>
              <w:jc w:val="center"/>
              <w:rPr/>
            </w:pPr>
            <w:r>
              <w:rPr/>
              <w:t> </w:t>
            </w:r>
          </w:p>
        </w:tc>
        <w:tc>
          <w:tcPr>
            <w:tcW w:w="165" w:type="dxa"/>
            <w:tcBorders/>
            <w:vAlign w:val="center"/>
          </w:tcPr>
          <w:p>
            <w:pPr>
              <w:pStyle w:val="TableContents"/>
              <w:bidi w:val="0"/>
              <w:spacing w:before="0" w:after="283"/>
              <w:jc w:val="center"/>
              <w:rPr/>
            </w:pPr>
            <w:r>
              <w:rPr/>
              <w:t> </w:t>
            </w:r>
          </w:p>
        </w:tc>
        <w:tc>
          <w:tcPr>
            <w:tcW w:w="891"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135" w:type="dxa"/>
            <w:tcBorders/>
            <w:vAlign w:val="center"/>
          </w:tcPr>
          <w:p>
            <w:pPr>
              <w:pStyle w:val="TableContents"/>
              <w:bidi w:val="0"/>
              <w:spacing w:before="0" w:after="283"/>
              <w:jc w:val="center"/>
              <w:rPr/>
            </w:pPr>
            <w:r>
              <w:rPr/>
              <w:t> </w:t>
            </w:r>
          </w:p>
        </w:tc>
      </w:tr>
      <w:tr>
        <w:trPr/>
        <w:tc>
          <w:tcPr>
            <w:tcW w:w="3153" w:type="dxa"/>
            <w:gridSpan w:val="3"/>
            <w:tcBorders/>
            <w:vAlign w:val="center"/>
          </w:tcPr>
          <w:p>
            <w:pPr>
              <w:pStyle w:val="TableContents"/>
              <w:bidi w:val="0"/>
              <w:spacing w:before="0" w:after="0"/>
              <w:ind w:left="0" w:right="0" w:hanging="144"/>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53" w:type="dxa"/>
            <w:gridSpan w:val="3"/>
            <w:tcBorders/>
            <w:shd w:fill="CCEEFF" w:val="clear"/>
            <w:vAlign w:val="center"/>
          </w:tcPr>
          <w:p>
            <w:pPr>
              <w:pStyle w:val="TableContents"/>
              <w:bidi w:val="0"/>
              <w:spacing w:before="0" w:after="0"/>
              <w:ind w:left="0" w:right="0" w:hanging="144"/>
              <w:jc w:val="left"/>
              <w:rPr/>
            </w:pPr>
            <w:r>
              <w:rPr/>
              <w:t xml:space="preserve">Shares repurchased </w:t>
            </w:r>
          </w:p>
        </w:tc>
        <w:tc>
          <w:tcPr>
            <w:tcW w:w="90" w:type="dxa"/>
            <w:tcBorders/>
            <w:shd w:fill="CCEEFF" w:val="clear"/>
            <w:vAlign w:val="center"/>
          </w:tcPr>
          <w:p>
            <w:pPr>
              <w:pStyle w:val="TableContents"/>
              <w:bidi w:val="0"/>
              <w:spacing w:before="0" w:after="283"/>
              <w:jc w:val="right"/>
              <w:rPr/>
            </w:pPr>
            <w:r>
              <w:rPr/>
              <w:t> </w:t>
            </w:r>
          </w:p>
        </w:tc>
        <w:tc>
          <w:tcPr>
            <w:tcW w:w="312"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1,919</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xml:space="preserve">n/a </w:t>
            </w:r>
          </w:p>
        </w:tc>
        <w:tc>
          <w:tcPr>
            <w:tcW w:w="135" w:type="dxa"/>
            <w:tcBorders/>
            <w:shd w:fill="CCEEFF" w:val="clear"/>
            <w:vAlign w:val="center"/>
          </w:tcPr>
          <w:p>
            <w:pPr>
              <w:pStyle w:val="TableContents"/>
              <w:bidi w:val="0"/>
              <w:spacing w:before="0" w:after="283"/>
              <w:jc w:val="left"/>
              <w:rPr/>
            </w:pPr>
            <w:r>
              <w:rPr/>
              <w:t> </w:t>
            </w:r>
          </w:p>
        </w:tc>
      </w:tr>
      <w:tr>
        <w:trPr/>
        <w:tc>
          <w:tcPr>
            <w:tcW w:w="3153" w:type="dxa"/>
            <w:gridSpan w:val="3"/>
            <w:tcBorders/>
            <w:vAlign w:val="center"/>
          </w:tcPr>
          <w:p>
            <w:pPr>
              <w:pStyle w:val="TableContents"/>
              <w:bidi w:val="0"/>
              <w:spacing w:before="0" w:after="0"/>
              <w:ind w:left="0" w:right="0" w:hanging="144"/>
              <w:jc w:val="left"/>
              <w:rPr/>
            </w:pPr>
            <w:r>
              <w:rPr/>
              <w:t xml:space="preserve">Total cost of shares repurchased </w:t>
            </w:r>
          </w:p>
        </w:tc>
        <w:tc>
          <w:tcPr>
            <w:tcW w:w="90" w:type="dxa"/>
            <w:tcBorders/>
            <w:vAlign w:val="center"/>
          </w:tcPr>
          <w:p>
            <w:pPr>
              <w:pStyle w:val="TableContents"/>
              <w:bidi w:val="0"/>
              <w:spacing w:before="0" w:after="283"/>
              <w:jc w:val="right"/>
              <w:rPr/>
            </w:pPr>
            <w:r>
              <w:rPr/>
              <w:t> </w:t>
            </w:r>
          </w:p>
        </w:tc>
        <w:tc>
          <w:tcPr>
            <w:tcW w:w="312" w:type="dxa"/>
            <w:tcBorders/>
            <w:vAlign w:val="center"/>
          </w:tcPr>
          <w:p>
            <w:pPr>
              <w:pStyle w:val="TableContents"/>
              <w:bidi w:val="0"/>
              <w:spacing w:before="0" w:after="283"/>
              <w:jc w:val="left"/>
              <w:rPr/>
            </w:pPr>
            <w:r>
              <w:rPr/>
              <w:t>$</w:t>
            </w:r>
          </w:p>
        </w:tc>
        <w:tc>
          <w:tcPr>
            <w:tcW w:w="1305" w:type="dxa"/>
            <w:tcBorders/>
            <w:vAlign w:val="center"/>
          </w:tcPr>
          <w:p>
            <w:pPr>
              <w:pStyle w:val="TableContents"/>
              <w:bidi w:val="0"/>
              <w:spacing w:before="0" w:after="283"/>
              <w:jc w:val="right"/>
              <w:rPr/>
            </w:pPr>
            <w:r>
              <w:rPr/>
              <w:t>32,090</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xml:space="preserve">n/a </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F-19</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repurchased shares are recorded at the repurchase cost in treasury stock in the Company’s consolidated balance sheet and are available for reissuance. </w:t>
      </w:r>
    </w:p>
    <w:p>
      <w:pPr>
        <w:pStyle w:val="TextBody"/>
        <w:bidi w:val="0"/>
        <w:spacing w:before="0" w:after="0"/>
        <w:jc w:val="both"/>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Preferred Stock</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is currently authorized to issue up to 10 million shares of preferred stock, $0.0001 par value per share. There were no shares of preferred stock outstanding at December 31, 2025 and 2024.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Common Stock</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and 2024, the Company was authorized to issue 300,000,000 shares of its common stock, $0.0001 par value per share, and 237,874,496 and 236,620,545 shares of common stock were outstanding as of December 31, 2025 and 2024, respectively. After giving effect to shares reserved for the issuance of warrants and for awards issued under the Company’s equity incentive plans, 38,703,218 shares of common stock were available for issuance as of December 31, 2025.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Warrants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During the year ended December 31, 2025, affiliates of a former noteholder of the Company exercised warrants to purchase an aggregate of 966,554 shares of common stock on a cashless basis, and the Company issued 866,302 shares of common stock to these entities.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During the year ended December 31, 2024, several of the Company’s former noteholders exercised an aggregate of 11,308,702 warrants in cashless exercise transactions resulting in the Company issuing 7,224,892 shares of its common stock. Also during the year ended December 31, 2024, warrants to purchase 227,650 shares of common stock that had been issued to former noteholders of the Company expired in accordance with their terms.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During the year ended December 31, 2023, various entities affiliated with Hayfin exercised warrants to purchase an aggregate of 3,388,686 shares of common stock in a cashless exercise transaction, resulting in the Company issuing 1,967,847 shares of its common stock to such entities. Also during the year ended December 31, 2023, warrants to purchase 2,391,244 shares of common stock were issued to the Company’s former noteholders.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F-20</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summarizes information about warrants outstanding as of December 31, 2025, 2024 and 2023: </w:t>
      </w:r>
    </w:p>
    <w:p>
      <w:pPr>
        <w:pStyle w:val="TextBody"/>
        <w:bidi w:val="0"/>
        <w:spacing w:before="0" w:after="0"/>
        <w:jc w:val="both"/>
        <w:rPr/>
      </w:pPr>
      <w:r>
        <w:rPr/>
        <w:t xml:space="preserve">  </w:t>
      </w:r>
    </w:p>
    <w:tbl>
      <w:tblPr>
        <w:tblW w:w="7639" w:type="dxa"/>
        <w:jc w:val="left"/>
        <w:tblInd w:w="0" w:type="dxa"/>
        <w:tblLayout w:type="fixed"/>
        <w:tblCellMar>
          <w:top w:w="0" w:type="dxa"/>
          <w:left w:w="0" w:type="dxa"/>
          <w:bottom w:w="0" w:type="dxa"/>
          <w:right w:w="0" w:type="dxa"/>
        </w:tblCellMar>
      </w:tblPr>
      <w:tblGrid>
        <w:gridCol w:w="4295"/>
        <w:gridCol w:w="90"/>
        <w:gridCol w:w="90"/>
        <w:gridCol w:w="1205"/>
        <w:gridCol w:w="185"/>
        <w:gridCol w:w="90"/>
        <w:gridCol w:w="314"/>
        <w:gridCol w:w="1235"/>
        <w:gridCol w:w="135"/>
      </w:tblGrid>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49"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Weighted </w:t>
              <w:br/>
              <w:t xml:space="preserve">Average </w:t>
              <w:br/>
              <w:t>Exercise Price</w:t>
            </w:r>
            <w:r>
              <w:rPr/>
              <w:t xml:space="preserve"> </w:t>
            </w:r>
          </w:p>
        </w:tc>
        <w:tc>
          <w:tcPr>
            <w:tcW w:w="135" w:type="dxa"/>
            <w:tcBorders/>
            <w:vAlign w:val="center"/>
          </w:tcPr>
          <w:p>
            <w:pPr>
              <w:pStyle w:val="TableContents"/>
              <w:bidi w:val="0"/>
              <w:spacing w:before="0" w:after="283"/>
              <w:jc w:val="center"/>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Warrants outstanding at December 31, 2022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13,525,148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1.99</w:t>
            </w:r>
          </w:p>
        </w:tc>
        <w:tc>
          <w:tcPr>
            <w:tcW w:w="13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Expired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(24,800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4"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6.37</w:t>
            </w:r>
          </w:p>
        </w:tc>
        <w:tc>
          <w:tcPr>
            <w:tcW w:w="13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Granted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2,391,244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3.26</w:t>
            </w:r>
          </w:p>
        </w:tc>
        <w:tc>
          <w:tcPr>
            <w:tcW w:w="13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Exercised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(3,388,686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4"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1.65</w:t>
            </w:r>
          </w:p>
        </w:tc>
        <w:tc>
          <w:tcPr>
            <w:tcW w:w="13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Warrants outstanding at December 31, 2023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12,502,906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2.32</w:t>
            </w:r>
          </w:p>
        </w:tc>
        <w:tc>
          <w:tcPr>
            <w:tcW w:w="13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Expired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(227,650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4"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4.21</w:t>
            </w:r>
          </w:p>
        </w:tc>
        <w:tc>
          <w:tcPr>
            <w:tcW w:w="13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Granted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         </w:t>
            </w: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Exercised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(11,308,702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4"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2.31</w:t>
            </w:r>
          </w:p>
        </w:tc>
        <w:tc>
          <w:tcPr>
            <w:tcW w:w="13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Warrants outstanding at December 31, 2024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966,554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1.98</w:t>
            </w:r>
          </w:p>
        </w:tc>
        <w:tc>
          <w:tcPr>
            <w:tcW w:w="13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Expired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xml:space="preserve">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4"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         </w:t>
            </w:r>
            <w:r>
              <w:rPr/>
              <w:t xml:space="preserve">- </w:t>
            </w:r>
          </w:p>
        </w:tc>
        <w:tc>
          <w:tcPr>
            <w:tcW w:w="13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Granted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         </w:t>
            </w: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0" w:right="0" w:hanging="144"/>
              <w:jc w:val="left"/>
              <w:rPr/>
            </w:pPr>
            <w:r>
              <w:rPr/>
              <w:t xml:space="preserve">Exercised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(966,554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4"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1.98</w:t>
            </w:r>
          </w:p>
        </w:tc>
        <w:tc>
          <w:tcPr>
            <w:tcW w:w="13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144"/>
              <w:jc w:val="left"/>
              <w:rPr/>
            </w:pPr>
            <w:r>
              <w:rPr/>
              <w:t xml:space="preserve">Warrants outstanding at December 31, 2025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8" w:space="0" w:color="000000"/>
            </w:tcBorders>
            <w:shd w:fill="CCEEFF" w:val="clear"/>
            <w:tcMar>
              <w:bottom w:w="28" w:type="dxa"/>
            </w:tcMar>
            <w:vAlign w:val="center"/>
          </w:tcPr>
          <w:p>
            <w:pPr>
              <w:pStyle w:val="TableContents"/>
              <w:bidi w:val="0"/>
              <w:spacing w:before="0" w:after="283"/>
              <w:jc w:val="right"/>
              <w:rPr/>
            </w:pPr>
            <w:r>
              <w:rPr/>
              <w:t xml:space="preserve">           </w:t>
            </w:r>
            <w:r>
              <w:rPr/>
              <w:t xml:space="preserve">- </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         </w:t>
            </w:r>
            <w:r>
              <w:rPr/>
              <w:t xml:space="preserve">- </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Equity Incentive Plans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2022, the Company’s stockholders approved the ADMA Biologics, Inc. 2022 Compensation Plan (the “2022 Equity Plan”), which replaced the Company’s Amended and Restated 2014 Omnibus Incentive Compensation Plan (the “2014 Plan”). Approval of the 2022 Equity Plan resulted in approximately 18 million additional shares of the Company’s common stock being reserved for future awards. The 2022 Equity Plan provides for the Company’s Board of Directors (the “Board”) or a Committee of the Board (the “Committee”) to grant awards to grantees and to determine the exercise price, vesting term, expiration date and all other terms and conditions of the awards, including acceleration of the vesting of an award at any time. Any options granted under the 2022 Equity Plan are intended to be Incentive Stock Options (“ISOs”), unless specified by the Committee to be Non-Qualified Options (“NQOs”) as defined by the Internal Revenue Code. ISOs and NQOs may be granted to employees, consultants or Board members at an option price not less than the fair market value of the common stock subject to the stock option agreement. Shares issued in connection with the exercise of stock options or the vesting of RSUs are newly issued shares.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Options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fair value of stock options granted is determined on the date of grant using the Black-Scholes model. To determine the risk-free interest rate, the Company utilizes the U.S. Treasury yield curve in effect at the time of the grant with a term consistent with the term of the awards granted by the Company. The expected term of all options granted is in accordance with Staff Accounting Bulletins 107 and 110, which is based on the average between vesting terms and contractual terms as the Company had a limited history of option exercises prior to the middle of fiscal 2023. The expected dividend yield reflects the Company’s current and expected future policy for dividends on the Company’s common stock. For the years ended December 31, 2025, 2024 and 2023, the expected stock price volatility for the Company’s stock options was calculated by examining the historical volatility of the Company’s common stock since the stock became publicly traded in the fourth quarter of 2013.   </w:t>
      </w:r>
    </w:p>
    <w:p>
      <w:pPr>
        <w:pStyle w:val="TextBody"/>
        <w:bidi w:val="0"/>
        <w:spacing w:before="0" w:after="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grant date fair values of stock options awarded during the years ended December 31, 2025, 2024 and 2023 were determined using the Black-Scholes option pricing model with the following assumptions: </w:t>
      </w:r>
    </w:p>
    <w:p>
      <w:pPr>
        <w:pStyle w:val="TextBody"/>
        <w:bidi w:val="0"/>
        <w:spacing w:before="0" w:after="0"/>
        <w:ind w:left="0" w:right="0" w:firstLine="720"/>
        <w:jc w:val="left"/>
        <w:rPr/>
      </w:pPr>
      <w:r>
        <w:rPr/>
        <w:t xml:space="preserve">  </w:t>
      </w:r>
    </w:p>
    <w:tbl>
      <w:tblPr>
        <w:tblW w:w="7835" w:type="dxa"/>
        <w:jc w:val="left"/>
        <w:tblInd w:w="0" w:type="dxa"/>
        <w:tblLayout w:type="fixed"/>
        <w:tblCellMar>
          <w:top w:w="0" w:type="dxa"/>
          <w:left w:w="0" w:type="dxa"/>
          <w:bottom w:w="0" w:type="dxa"/>
          <w:right w:w="0" w:type="dxa"/>
        </w:tblCellMar>
      </w:tblPr>
      <w:tblGrid>
        <w:gridCol w:w="2135"/>
        <w:gridCol w:w="90"/>
        <w:gridCol w:w="90"/>
        <w:gridCol w:w="1460"/>
        <w:gridCol w:w="245"/>
        <w:gridCol w:w="90"/>
        <w:gridCol w:w="90"/>
        <w:gridCol w:w="1460"/>
        <w:gridCol w:w="245"/>
        <w:gridCol w:w="90"/>
        <w:gridCol w:w="90"/>
        <w:gridCol w:w="1460"/>
        <w:gridCol w:w="290"/>
      </w:tblGrid>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320" w:type="dxa"/>
            <w:gridSpan w:val="10"/>
            <w:tcBorders/>
            <w:vAlign w:val="center"/>
          </w:tcPr>
          <w:p>
            <w:pPr>
              <w:pStyle w:val="TableContents"/>
              <w:bidi w:val="0"/>
              <w:spacing w:before="0" w:after="283"/>
              <w:jc w:val="center"/>
              <w:rPr/>
            </w:pPr>
            <w:r>
              <w:rPr>
                <w:b/>
                <w:spacing w:val="0"/>
              </w:rPr>
              <w:t>Year ended December 31,</w:t>
            </w:r>
            <w:r>
              <w:rPr/>
              <w:t xml:space="preserve"> </w:t>
            </w:r>
          </w:p>
        </w:tc>
        <w:tc>
          <w:tcPr>
            <w:tcW w:w="290" w:type="dxa"/>
            <w:tcBorders/>
            <w:vAlign w:val="center"/>
          </w:tcPr>
          <w:p>
            <w:pPr>
              <w:pStyle w:val="TableContents"/>
              <w:bidi w:val="0"/>
              <w:spacing w:before="0" w:after="283"/>
              <w:jc w:val="center"/>
              <w:rPr/>
            </w:pPr>
            <w:r>
              <w:rPr/>
              <w:t> </w:t>
            </w:r>
          </w:p>
        </w:tc>
      </w:tr>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290" w:type="dxa"/>
            <w:tcBorders/>
            <w:vAlign w:val="center"/>
          </w:tcPr>
          <w:p>
            <w:pPr>
              <w:pStyle w:val="TableContents"/>
              <w:bidi w:val="0"/>
              <w:spacing w:before="0" w:after="283"/>
              <w:jc w:val="center"/>
              <w:rPr/>
            </w:pPr>
            <w:r>
              <w:rPr/>
              <w:t> </w:t>
            </w:r>
          </w:p>
        </w:tc>
      </w:tr>
      <w:tr>
        <w:trPr/>
        <w:tc>
          <w:tcPr>
            <w:tcW w:w="2135" w:type="dxa"/>
            <w:tcBorders/>
            <w:vAlign w:val="center"/>
          </w:tcPr>
          <w:p>
            <w:pPr>
              <w:pStyle w:val="TableContents"/>
              <w:bidi w:val="0"/>
              <w:spacing w:before="0" w:after="0"/>
              <w:ind w:left="0" w:right="0" w:hanging="144"/>
              <w:jc w:val="left"/>
              <w:rPr/>
            </w:pPr>
            <w:r>
              <w:rPr/>
              <w:t xml:space="preserve">Expected term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60" w:type="dxa"/>
            <w:tcBorders/>
            <w:vAlign w:val="center"/>
          </w:tcPr>
          <w:p>
            <w:pPr>
              <w:pStyle w:val="TableContents"/>
              <w:bidi w:val="0"/>
              <w:spacing w:before="0" w:after="283"/>
              <w:jc w:val="center"/>
              <w:rPr/>
            </w:pPr>
            <w:r>
              <w:rPr/>
              <w:t xml:space="preserve">5.5 - 6.3 years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60" w:type="dxa"/>
            <w:tcBorders/>
            <w:vAlign w:val="center"/>
          </w:tcPr>
          <w:p>
            <w:pPr>
              <w:pStyle w:val="TableContents"/>
              <w:bidi w:val="0"/>
              <w:spacing w:before="0" w:after="283"/>
              <w:jc w:val="center"/>
              <w:rPr/>
            </w:pPr>
            <w:r>
              <w:rPr/>
              <w:t xml:space="preserve">5.5 - 6.3 years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60" w:type="dxa"/>
            <w:tcBorders/>
            <w:vAlign w:val="center"/>
          </w:tcPr>
          <w:p>
            <w:pPr>
              <w:pStyle w:val="TableContents"/>
              <w:bidi w:val="0"/>
              <w:spacing w:before="0" w:after="283"/>
              <w:jc w:val="center"/>
              <w:rPr/>
            </w:pPr>
            <w:r>
              <w:rPr/>
              <w:t xml:space="preserve">5.5 - 6.3 years </w:t>
            </w:r>
          </w:p>
        </w:tc>
        <w:tc>
          <w:tcPr>
            <w:tcW w:w="290" w:type="dxa"/>
            <w:tcBorders/>
            <w:vAlign w:val="center"/>
          </w:tcPr>
          <w:p>
            <w:pPr>
              <w:pStyle w:val="TableContents"/>
              <w:bidi w:val="0"/>
              <w:spacing w:before="0" w:after="283"/>
              <w:jc w:val="center"/>
              <w:rPr/>
            </w:pPr>
            <w:r>
              <w:rPr/>
              <w:t> </w:t>
            </w:r>
          </w:p>
        </w:tc>
      </w:tr>
      <w:tr>
        <w:trPr/>
        <w:tc>
          <w:tcPr>
            <w:tcW w:w="2135" w:type="dxa"/>
            <w:tcBorders/>
            <w:shd w:fill="CCEEFF" w:val="clear"/>
            <w:vAlign w:val="center"/>
          </w:tcPr>
          <w:p>
            <w:pPr>
              <w:pStyle w:val="TableContents"/>
              <w:bidi w:val="0"/>
              <w:spacing w:before="0" w:after="0"/>
              <w:ind w:left="0" w:right="0" w:hanging="144"/>
              <w:jc w:val="left"/>
              <w:rPr/>
            </w:pPr>
            <w:r>
              <w:rPr/>
              <w:t xml:space="preserve">Volatility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66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66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68</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0"/>
              <w:ind w:left="0" w:right="0" w:hanging="144"/>
              <w:jc w:val="left"/>
              <w:rPr/>
            </w:pPr>
            <w:r>
              <w:rPr/>
              <w:t xml:space="preserve">Dividend yield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144"/>
              <w:jc w:val="left"/>
              <w:rPr/>
            </w:pPr>
            <w:r>
              <w:rPr/>
              <w:t xml:space="preserve">Risk-free interest rate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460" w:type="dxa"/>
            <w:tcBorders/>
            <w:shd w:fill="CCEEFF" w:val="clear"/>
            <w:vAlign w:val="center"/>
          </w:tcPr>
          <w:p>
            <w:pPr>
              <w:pStyle w:val="TableContents"/>
              <w:bidi w:val="0"/>
              <w:spacing w:before="0" w:after="283"/>
              <w:jc w:val="center"/>
              <w:rPr/>
            </w:pPr>
            <w:r>
              <w:rPr/>
              <w:t xml:space="preserve">3.86-4.41% </w:t>
            </w:r>
          </w:p>
        </w:tc>
        <w:tc>
          <w:tcPr>
            <w:tcW w:w="24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460" w:type="dxa"/>
            <w:tcBorders/>
            <w:shd w:fill="CCEEFF" w:val="clear"/>
            <w:vAlign w:val="center"/>
          </w:tcPr>
          <w:p>
            <w:pPr>
              <w:pStyle w:val="TableContents"/>
              <w:bidi w:val="0"/>
              <w:spacing w:before="0" w:after="283"/>
              <w:jc w:val="center"/>
              <w:rPr/>
            </w:pPr>
            <w:r>
              <w:rPr/>
              <w:t xml:space="preserve">4.16-4.39% </w:t>
            </w:r>
          </w:p>
        </w:tc>
        <w:tc>
          <w:tcPr>
            <w:tcW w:w="24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460" w:type="dxa"/>
            <w:tcBorders/>
            <w:shd w:fill="CCEEFF" w:val="clear"/>
            <w:vAlign w:val="center"/>
          </w:tcPr>
          <w:p>
            <w:pPr>
              <w:pStyle w:val="TableContents"/>
              <w:bidi w:val="0"/>
              <w:spacing w:before="0" w:after="283"/>
              <w:jc w:val="center"/>
              <w:rPr/>
            </w:pPr>
            <w:r>
              <w:rPr/>
              <w:t xml:space="preserve">4.20-4.62% </w:t>
            </w:r>
          </w:p>
        </w:tc>
        <w:tc>
          <w:tcPr>
            <w:tcW w:w="290" w:type="dxa"/>
            <w:tcBorders/>
            <w:shd w:fill="CCEEFF" w:val="clear"/>
            <w:vAlign w:val="center"/>
          </w:tcPr>
          <w:p>
            <w:pPr>
              <w:pStyle w:val="TableContents"/>
              <w:bidi w:val="0"/>
              <w:spacing w:before="0" w:after="283"/>
              <w:jc w:val="center"/>
              <w:rPr/>
            </w:pPr>
            <w:r>
              <w:rPr/>
              <w:t> </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summarizes information about the Company’s stock options for the years ended December 31, 2025, 2024 and 2023: </w:t>
      </w:r>
    </w:p>
    <w:p>
      <w:pPr>
        <w:pStyle w:val="TextBody"/>
        <w:bidi w:val="0"/>
        <w:spacing w:before="0" w:after="0"/>
        <w:ind w:left="0" w:right="0" w:hanging="0"/>
        <w:jc w:val="left"/>
        <w:rPr/>
      </w:pPr>
      <w:r>
        <w:rPr/>
        <w:t xml:space="preserve">  </w:t>
      </w:r>
    </w:p>
    <w:tbl>
      <w:tblPr>
        <w:tblW w:w="10114" w:type="dxa"/>
        <w:jc w:val="left"/>
        <w:tblInd w:w="0" w:type="dxa"/>
        <w:tblLayout w:type="fixed"/>
        <w:tblCellMar>
          <w:top w:w="0" w:type="dxa"/>
          <w:left w:w="0" w:type="dxa"/>
          <w:bottom w:w="0" w:type="dxa"/>
          <w:right w:w="0" w:type="dxa"/>
        </w:tblCellMar>
      </w:tblPr>
      <w:tblGrid>
        <w:gridCol w:w="6890"/>
        <w:gridCol w:w="90"/>
        <w:gridCol w:w="90"/>
        <w:gridCol w:w="1085"/>
        <w:gridCol w:w="185"/>
        <w:gridCol w:w="90"/>
        <w:gridCol w:w="346"/>
        <w:gridCol w:w="1203"/>
        <w:gridCol w:w="135"/>
      </w:tblGrid>
      <w:tr>
        <w:trPr/>
        <w:tc>
          <w:tcPr>
            <w:tcW w:w="6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49" w:type="dxa"/>
            <w:gridSpan w:val="2"/>
            <w:tcBorders>
              <w:bottom w:val="single" w:sz="12" w:space="0" w:color="000000"/>
            </w:tcBorders>
            <w:tcMar>
              <w:bottom w:w="28" w:type="dxa"/>
            </w:tcMar>
            <w:vAlign w:val="center"/>
          </w:tcPr>
          <w:p>
            <w:pPr>
              <w:pStyle w:val="TableContents"/>
              <w:bidi w:val="0"/>
              <w:spacing w:before="0" w:after="283"/>
              <w:jc w:val="center"/>
              <w:rPr/>
            </w:pPr>
            <w:r>
              <w:rPr>
                <w:b/>
              </w:rPr>
              <w:t>Weighted-</w:t>
              <w:br/>
              <w:t xml:space="preserve">Average </w:t>
              <w:br/>
              <w:t>Exercise Price</w:t>
            </w:r>
            <w:r>
              <w:rPr/>
              <w:t xml:space="preserve"> </w:t>
            </w:r>
          </w:p>
        </w:tc>
        <w:tc>
          <w:tcPr>
            <w:tcW w:w="135" w:type="dxa"/>
            <w:tcBorders/>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0"/>
              <w:ind w:left="0" w:right="0" w:hanging="144"/>
              <w:jc w:val="left"/>
              <w:rPr/>
            </w:pPr>
            <w:r>
              <w:rPr/>
              <w:t xml:space="preserve">Options outstanding, vested and expected to vest at December 31, 2022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8,256,211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3.37</w:t>
            </w:r>
          </w:p>
        </w:tc>
        <w:tc>
          <w:tcPr>
            <w:tcW w:w="135"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ind w:left="0" w:right="0" w:hanging="144"/>
              <w:jc w:val="left"/>
              <w:rPr/>
            </w:pPr>
            <w:r>
              <w:rPr/>
              <w:t xml:space="preserve">Forfeited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(99,345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283"/>
              <w:jc w:val="right"/>
              <w:rPr/>
            </w:pPr>
            <w:r>
              <w:rPr/>
              <w:t>2.73</w:t>
            </w:r>
          </w:p>
        </w:tc>
        <w:tc>
          <w:tcPr>
            <w:tcW w:w="135"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ind w:left="0" w:right="0" w:hanging="144"/>
              <w:jc w:val="left"/>
              <w:rPr/>
            </w:pPr>
            <w:r>
              <w:rPr/>
              <w:t xml:space="preserve">Expired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(262,940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6.42</w:t>
            </w:r>
          </w:p>
        </w:tc>
        <w:tc>
          <w:tcPr>
            <w:tcW w:w="135"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ind w:left="0" w:right="0" w:hanging="144"/>
              <w:jc w:val="left"/>
              <w:rPr/>
            </w:pPr>
            <w:r>
              <w:rPr/>
              <w:t xml:space="preserve">Granted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1,826,380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283"/>
              <w:jc w:val="right"/>
              <w:rPr/>
            </w:pPr>
            <w:r>
              <w:rPr/>
              <w:t>3.36</w:t>
            </w:r>
          </w:p>
        </w:tc>
        <w:tc>
          <w:tcPr>
            <w:tcW w:w="135"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ind w:left="0" w:right="0" w:hanging="144"/>
              <w:jc w:val="left"/>
              <w:rPr/>
            </w:pPr>
            <w:r>
              <w:rPr/>
              <w:t xml:space="preserve">Exercised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(3,814,122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3.15</w:t>
            </w:r>
          </w:p>
        </w:tc>
        <w:tc>
          <w:tcPr>
            <w:tcW w:w="135"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ind w:left="0" w:right="0" w:hanging="144"/>
              <w:jc w:val="left"/>
              <w:rPr/>
            </w:pPr>
            <w:r>
              <w:rPr/>
              <w:t xml:space="preserve">Options outstanding, vested and expected to vest at December 31, 2023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5,906,184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283"/>
              <w:jc w:val="right"/>
              <w:rPr/>
            </w:pPr>
            <w:r>
              <w:rPr/>
              <w:t>3.38</w:t>
            </w:r>
          </w:p>
        </w:tc>
        <w:tc>
          <w:tcPr>
            <w:tcW w:w="135"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ind w:left="0" w:right="0" w:hanging="144"/>
              <w:jc w:val="left"/>
              <w:rPr/>
            </w:pPr>
            <w:r>
              <w:rPr/>
              <w:t xml:space="preserve">Forfeited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(30,094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3.36</w:t>
            </w:r>
          </w:p>
        </w:tc>
        <w:tc>
          <w:tcPr>
            <w:tcW w:w="135"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ind w:left="0" w:right="0" w:hanging="144"/>
              <w:jc w:val="left"/>
              <w:rPr/>
            </w:pPr>
            <w:r>
              <w:rPr/>
              <w:t xml:space="preserve">Expired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(246,067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283"/>
              <w:jc w:val="right"/>
              <w:rPr/>
            </w:pPr>
            <w:r>
              <w:rPr/>
              <w:t>7.01</w:t>
            </w:r>
          </w:p>
        </w:tc>
        <w:tc>
          <w:tcPr>
            <w:tcW w:w="135"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ind w:left="0" w:right="0" w:hanging="144"/>
              <w:jc w:val="left"/>
              <w:rPr/>
            </w:pPr>
            <w:r>
              <w:rPr/>
              <w:t xml:space="preserve">Granted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1,531,635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6.40</w:t>
            </w:r>
          </w:p>
        </w:tc>
        <w:tc>
          <w:tcPr>
            <w:tcW w:w="135"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ind w:left="0" w:right="0" w:hanging="144"/>
              <w:jc w:val="left"/>
              <w:rPr/>
            </w:pPr>
            <w:r>
              <w:rPr/>
              <w:t xml:space="preserve">Exercised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(2,020,142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283"/>
              <w:jc w:val="right"/>
              <w:rPr/>
            </w:pPr>
            <w:r>
              <w:rPr/>
              <w:t>3.90</w:t>
            </w:r>
          </w:p>
        </w:tc>
        <w:tc>
          <w:tcPr>
            <w:tcW w:w="135"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ind w:left="0" w:right="0" w:hanging="144"/>
              <w:jc w:val="left"/>
              <w:rPr/>
            </w:pPr>
            <w:r>
              <w:rPr/>
              <w:t xml:space="preserve">Options outstanding, vested and expected to vest at December 31, 2024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5,141,516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3.90</w:t>
            </w:r>
          </w:p>
        </w:tc>
        <w:tc>
          <w:tcPr>
            <w:tcW w:w="135"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ind w:left="0" w:right="0" w:hanging="144"/>
              <w:jc w:val="left"/>
              <w:rPr/>
            </w:pPr>
            <w:r>
              <w:rPr/>
              <w:t xml:space="preserve">Forfeited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(68,812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283"/>
              <w:jc w:val="right"/>
              <w:rPr/>
            </w:pPr>
            <w:r>
              <w:rPr/>
              <w:t>2.90</w:t>
            </w:r>
          </w:p>
        </w:tc>
        <w:tc>
          <w:tcPr>
            <w:tcW w:w="135"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ind w:left="0" w:right="0" w:hanging="144"/>
              <w:jc w:val="left"/>
              <w:rPr/>
            </w:pPr>
            <w:r>
              <w:rPr/>
              <w:t xml:space="preserve">Expired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(137,337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2.71</w:t>
            </w:r>
          </w:p>
        </w:tc>
        <w:tc>
          <w:tcPr>
            <w:tcW w:w="135"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ind w:left="0" w:right="0" w:hanging="144"/>
              <w:jc w:val="left"/>
              <w:rPr/>
            </w:pPr>
            <w:r>
              <w:rPr/>
              <w:t xml:space="preserve">Granted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774,886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283"/>
              <w:jc w:val="right"/>
              <w:rPr/>
            </w:pPr>
            <w:r>
              <w:rPr/>
              <w:t>16.46</w:t>
            </w:r>
          </w:p>
        </w:tc>
        <w:tc>
          <w:tcPr>
            <w:tcW w:w="135"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ind w:left="0" w:right="0" w:hanging="144"/>
              <w:jc w:val="left"/>
              <w:rPr/>
            </w:pPr>
            <w:r>
              <w:rPr/>
              <w:t xml:space="preserve">Exercised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(1,027,470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3.45</w:t>
            </w:r>
          </w:p>
        </w:tc>
        <w:tc>
          <w:tcPr>
            <w:tcW w:w="135"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ind w:left="0" w:right="0" w:hanging="144"/>
              <w:jc w:val="left"/>
              <w:rPr/>
            </w:pPr>
            <w:r>
              <w:rPr/>
              <w:t xml:space="preserve">Options outstanding, vested and expected to vest at December 31, 2025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085" w:type="dxa"/>
            <w:tcBorders>
              <w:bottom w:val="double" w:sz="8" w:space="0" w:color="000000"/>
            </w:tcBorders>
            <w:tcMar>
              <w:bottom w:w="28" w:type="dxa"/>
            </w:tcMar>
            <w:vAlign w:val="center"/>
          </w:tcPr>
          <w:p>
            <w:pPr>
              <w:pStyle w:val="TableContents"/>
              <w:bidi w:val="0"/>
              <w:spacing w:before="0" w:after="283"/>
              <w:jc w:val="right"/>
              <w:rPr/>
            </w:pPr>
            <w:r>
              <w:rPr/>
              <w:t>4,682,783</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283"/>
              <w:jc w:val="right"/>
              <w:rPr/>
            </w:pPr>
            <w:r>
              <w:rPr/>
              <w:t>6.13</w:t>
            </w:r>
          </w:p>
        </w:tc>
        <w:tc>
          <w:tcPr>
            <w:tcW w:w="135"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0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right"/>
              <w:rPr/>
            </w:pPr>
            <w:r>
              <w:rPr/>
              <w:t> </w:t>
            </w:r>
          </w:p>
        </w:tc>
        <w:tc>
          <w:tcPr>
            <w:tcW w:w="1203"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right"/>
              <w:rPr/>
            </w:pPr>
            <w:r>
              <w:rPr/>
              <w:t> </w:t>
            </w:r>
          </w:p>
        </w:tc>
      </w:tr>
      <w:tr>
        <w:trPr/>
        <w:tc>
          <w:tcPr>
            <w:tcW w:w="6890" w:type="dxa"/>
            <w:tcBorders/>
            <w:vAlign w:val="center"/>
          </w:tcPr>
          <w:p>
            <w:pPr>
              <w:pStyle w:val="TableContents"/>
              <w:bidi w:val="0"/>
              <w:spacing w:before="0" w:after="0"/>
              <w:ind w:left="0" w:right="0" w:hanging="144"/>
              <w:jc w:val="left"/>
              <w:rPr/>
            </w:pPr>
            <w:r>
              <w:rPr/>
              <w:t xml:space="preserve">Options exercisable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085" w:type="dxa"/>
            <w:tcBorders>
              <w:bottom w:val="double" w:sz="8" w:space="0" w:color="000000"/>
            </w:tcBorders>
            <w:tcMar>
              <w:bottom w:w="28" w:type="dxa"/>
            </w:tcMar>
            <w:vAlign w:val="center"/>
          </w:tcPr>
          <w:p>
            <w:pPr>
              <w:pStyle w:val="TableContents"/>
              <w:bidi w:val="0"/>
              <w:spacing w:before="0" w:after="283"/>
              <w:jc w:val="right"/>
              <w:rPr/>
            </w:pPr>
            <w:r>
              <w:rPr/>
              <w:t>2,762,135</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346" w:type="dxa"/>
            <w:tcBorders>
              <w:bottom w:val="double" w:sz="8" w:space="0" w:color="000000"/>
            </w:tcBorders>
            <w:tcMar>
              <w:bottom w:w="28" w:type="dxa"/>
            </w:tcMar>
            <w:vAlign w:val="center"/>
          </w:tcPr>
          <w:p>
            <w:pPr>
              <w:pStyle w:val="TableContents"/>
              <w:bidi w:val="0"/>
              <w:spacing w:before="0" w:after="283"/>
              <w:jc w:val="left"/>
              <w:rPr/>
            </w:pPr>
            <w:r>
              <w:rPr/>
              <w:t>$</w:t>
            </w:r>
          </w:p>
        </w:tc>
        <w:tc>
          <w:tcPr>
            <w:tcW w:w="1203" w:type="dxa"/>
            <w:tcBorders>
              <w:bottom w:val="double" w:sz="8" w:space="0" w:color="000000"/>
            </w:tcBorders>
            <w:tcMar>
              <w:bottom w:w="28" w:type="dxa"/>
            </w:tcMar>
            <w:vAlign w:val="center"/>
          </w:tcPr>
          <w:p>
            <w:pPr>
              <w:pStyle w:val="TableContents"/>
              <w:bidi w:val="0"/>
              <w:spacing w:before="0" w:after="283"/>
              <w:jc w:val="right"/>
              <w:rPr/>
            </w:pPr>
            <w:r>
              <w:rPr/>
              <w:t>3.98</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the Company had $10.0 million of unrecognized compensation expense related to stock options granted under the Company’s equity incentive plans, which is expected to be recognized over a weighted-average period of 2.7 years. The following table summarizes additional information regarding outstanding and exercisable options under the stock option plans at December 31, 2025: </w:t>
      </w:r>
    </w:p>
    <w:p>
      <w:pPr>
        <w:pStyle w:val="TextBody"/>
        <w:bidi w:val="0"/>
        <w:spacing w:before="0" w:after="0"/>
        <w:jc w:val="both"/>
        <w:rPr/>
      </w:pPr>
      <w:r>
        <w:rPr/>
        <w:t> </w:t>
      </w:r>
    </w:p>
    <w:tbl>
      <w:tblPr>
        <w:tblW w:w="10836" w:type="dxa"/>
        <w:jc w:val="left"/>
        <w:tblInd w:w="0" w:type="dxa"/>
        <w:tblLayout w:type="fixed"/>
        <w:tblCellMar>
          <w:top w:w="0" w:type="dxa"/>
          <w:left w:w="0" w:type="dxa"/>
          <w:bottom w:w="0" w:type="dxa"/>
          <w:right w:w="0" w:type="dxa"/>
        </w:tblCellMar>
      </w:tblPr>
      <w:tblGrid>
        <w:gridCol w:w="731"/>
        <w:gridCol w:w="90"/>
        <w:gridCol w:w="98"/>
        <w:gridCol w:w="1107"/>
        <w:gridCol w:w="90"/>
        <w:gridCol w:w="90"/>
        <w:gridCol w:w="234"/>
        <w:gridCol w:w="911"/>
        <w:gridCol w:w="90"/>
        <w:gridCol w:w="90"/>
        <w:gridCol w:w="215"/>
        <w:gridCol w:w="750"/>
        <w:gridCol w:w="90"/>
        <w:gridCol w:w="90"/>
        <w:gridCol w:w="200"/>
        <w:gridCol w:w="840"/>
        <w:gridCol w:w="90"/>
        <w:gridCol w:w="90"/>
        <w:gridCol w:w="98"/>
        <w:gridCol w:w="1107"/>
        <w:gridCol w:w="90"/>
        <w:gridCol w:w="194"/>
        <w:gridCol w:w="194"/>
        <w:gridCol w:w="757"/>
        <w:gridCol w:w="90"/>
        <w:gridCol w:w="90"/>
        <w:gridCol w:w="215"/>
        <w:gridCol w:w="750"/>
        <w:gridCol w:w="90"/>
        <w:gridCol w:w="90"/>
        <w:gridCol w:w="200"/>
        <w:gridCol w:w="840"/>
        <w:gridCol w:w="135"/>
      </w:tblGrid>
      <w:tr>
        <w:trPr/>
        <w:tc>
          <w:tcPr>
            <w:tcW w:w="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895" w:type="dxa"/>
            <w:gridSpan w:val="14"/>
            <w:tcBorders>
              <w:bottom w:val="single" w:sz="12" w:space="0" w:color="000000"/>
            </w:tcBorders>
            <w:tcMar>
              <w:bottom w:w="28" w:type="dxa"/>
            </w:tcMar>
            <w:vAlign w:val="center"/>
          </w:tcPr>
          <w:p>
            <w:pPr>
              <w:pStyle w:val="TableContents"/>
              <w:bidi w:val="0"/>
              <w:spacing w:before="0" w:after="283"/>
              <w:jc w:val="center"/>
              <w:rPr/>
            </w:pPr>
            <w:r>
              <w:rPr>
                <w:b/>
                <w:spacing w:val="0"/>
              </w:rPr>
              <w:t>Stock Options Outstanding</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805" w:type="dxa"/>
            <w:gridSpan w:val="14"/>
            <w:tcBorders>
              <w:bottom w:val="single" w:sz="12" w:space="0" w:color="000000"/>
            </w:tcBorders>
            <w:tcMar>
              <w:bottom w:w="28" w:type="dxa"/>
            </w:tcMar>
            <w:vAlign w:val="center"/>
          </w:tcPr>
          <w:p>
            <w:pPr>
              <w:pStyle w:val="TableContents"/>
              <w:bidi w:val="0"/>
              <w:spacing w:before="0" w:after="283"/>
              <w:jc w:val="center"/>
              <w:rPr/>
            </w:pPr>
            <w:r>
              <w:rPr>
                <w:b/>
                <w:spacing w:val="0"/>
              </w:rPr>
              <w:t>Stock Options Exercisable</w:t>
            </w:r>
            <w:r>
              <w:rPr/>
              <w:t xml:space="preserve"> </w:t>
            </w:r>
          </w:p>
        </w:tc>
        <w:tc>
          <w:tcPr>
            <w:tcW w:w="135" w:type="dxa"/>
            <w:tcBorders/>
            <w:vAlign w:val="center"/>
          </w:tcPr>
          <w:p>
            <w:pPr>
              <w:pStyle w:val="TableContents"/>
              <w:bidi w:val="0"/>
              <w:spacing w:before="0" w:after="283"/>
              <w:jc w:val="center"/>
              <w:rPr/>
            </w:pPr>
            <w:r>
              <w:rPr/>
              <w:t> </w:t>
            </w:r>
          </w:p>
        </w:tc>
      </w:tr>
      <w:tr>
        <w:trPr/>
        <w:tc>
          <w:tcPr>
            <w:tcW w:w="731" w:type="dxa"/>
            <w:tcBorders/>
            <w:vAlign w:val="center"/>
          </w:tcPr>
          <w:p>
            <w:pPr>
              <w:pStyle w:val="TableContents"/>
              <w:bidi w:val="0"/>
              <w:spacing w:before="0" w:after="0"/>
              <w:ind w:left="0" w:right="0" w:hanging="144"/>
              <w:jc w:val="center"/>
              <w:rPr/>
            </w:pPr>
            <w:r>
              <w:rPr/>
              <w:t xml:space="preserve">Range of </w:t>
              <w:br/>
              <w:t xml:space="preserve">Exercise Prices </w:t>
            </w:r>
          </w:p>
        </w:tc>
        <w:tc>
          <w:tcPr>
            <w:tcW w:w="9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0"/>
              <w:jc w:val="center"/>
              <w:rPr/>
            </w:pPr>
            <w:r>
              <w:rPr/>
              <w:t xml:space="preserve">Options </w:t>
              <w:br/>
              <w:t xml:space="preserve">Outstanding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0"/>
              <w:jc w:val="center"/>
              <w:rPr/>
            </w:pPr>
            <w:r>
              <w:rPr/>
              <w:t xml:space="preserve">Weighted Average </w:t>
              <w:br/>
              <w:t xml:space="preserve">Remaining Contractual </w:t>
              <w:br/>
              <w:t xml:space="preserve">Life (Years)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0"/>
              <w:jc w:val="center"/>
              <w:rPr/>
            </w:pPr>
            <w:r>
              <w:rPr/>
              <w:t xml:space="preserve">Weighted </w:t>
              <w:br/>
              <w:t xml:space="preserve">Average Exercise </w:t>
              <w:br/>
              <w:t xml:space="preserve">Price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pPr>
            <w:r>
              <w:rPr/>
              <w:t xml:space="preserve">Aggregate </w:t>
              <w:br/>
              <w:t xml:space="preserve">Intrinsic Value </w:t>
              <w:br/>
              <w:t xml:space="preserve">($000's)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0"/>
              <w:jc w:val="center"/>
              <w:rPr/>
            </w:pPr>
            <w:r>
              <w:rPr/>
              <w:t xml:space="preserve">Options </w:t>
              <w:br/>
              <w:t xml:space="preserve">Outstanding </w:t>
            </w:r>
          </w:p>
        </w:tc>
        <w:tc>
          <w:tcPr>
            <w:tcW w:w="90" w:type="dxa"/>
            <w:tcBorders/>
            <w:vAlign w:val="center"/>
          </w:tcPr>
          <w:p>
            <w:pPr>
              <w:pStyle w:val="TableContents"/>
              <w:bidi w:val="0"/>
              <w:spacing w:before="0" w:after="283"/>
              <w:jc w:val="center"/>
              <w:rPr/>
            </w:pPr>
            <w:r>
              <w:rPr/>
              <w:t> </w:t>
            </w:r>
          </w:p>
        </w:tc>
        <w:tc>
          <w:tcPr>
            <w:tcW w:w="1145" w:type="dxa"/>
            <w:gridSpan w:val="3"/>
            <w:tcBorders>
              <w:bottom w:val="single" w:sz="12" w:space="0" w:color="000000"/>
            </w:tcBorders>
            <w:tcMar>
              <w:bottom w:w="28" w:type="dxa"/>
            </w:tcMar>
            <w:vAlign w:val="center"/>
          </w:tcPr>
          <w:p>
            <w:pPr>
              <w:pStyle w:val="TableContents"/>
              <w:bidi w:val="0"/>
              <w:spacing w:before="0" w:after="0"/>
              <w:jc w:val="center"/>
              <w:rPr/>
            </w:pPr>
            <w:r>
              <w:rPr/>
              <w:t xml:space="preserve">Weighted Average </w:t>
              <w:br/>
              <w:t xml:space="preserve">Remaining Contractual </w:t>
              <w:br/>
              <w:t xml:space="preserve">Life (Years)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0"/>
              <w:jc w:val="center"/>
              <w:rPr/>
            </w:pPr>
            <w:r>
              <w:rPr/>
              <w:t xml:space="preserve">Weighted </w:t>
              <w:br/>
              <w:t xml:space="preserve">Average Exercise </w:t>
              <w:br/>
              <w:t xml:space="preserve">Price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pPr>
            <w:r>
              <w:rPr/>
              <w:t>Aggregate</w:t>
              <w:br/>
              <w:t>Intrinsic Value</w:t>
              <w:br/>
              <w:t xml:space="preserve">($000's) </w:t>
            </w:r>
          </w:p>
        </w:tc>
        <w:tc>
          <w:tcPr>
            <w:tcW w:w="135" w:type="dxa"/>
            <w:tcBorders/>
            <w:vAlign w:val="center"/>
          </w:tcPr>
          <w:p>
            <w:pPr>
              <w:pStyle w:val="TableContents"/>
              <w:bidi w:val="0"/>
              <w:spacing w:before="0" w:after="283"/>
              <w:jc w:val="center"/>
              <w:rPr/>
            </w:pPr>
            <w:r>
              <w:rPr/>
              <w:t> </w:t>
            </w:r>
          </w:p>
        </w:tc>
      </w:tr>
      <w:tr>
        <w:trPr/>
        <w:tc>
          <w:tcPr>
            <w:tcW w:w="731" w:type="dxa"/>
            <w:tcBorders/>
            <w:shd w:fill="CCEEFF" w:val="clear"/>
            <w:vAlign w:val="center"/>
          </w:tcPr>
          <w:p>
            <w:pPr>
              <w:pStyle w:val="TableContents"/>
              <w:bidi w:val="0"/>
              <w:spacing w:before="0" w:after="0"/>
              <w:ind w:left="0" w:right="0" w:hanging="144"/>
              <w:jc w:val="center"/>
              <w:rPr/>
            </w:pPr>
            <w:r>
              <w:rPr/>
              <w:t xml:space="preserve">$1.10 - $1.67 </w:t>
            </w:r>
          </w:p>
        </w:tc>
        <w:tc>
          <w:tcPr>
            <w:tcW w:w="9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713,790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1.58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10,599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636,185</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1.59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11,220</w:t>
            </w:r>
          </w:p>
        </w:tc>
        <w:tc>
          <w:tcPr>
            <w:tcW w:w="135" w:type="dxa"/>
            <w:tcBorders/>
            <w:shd w:fill="CCEEFF" w:val="clear"/>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144"/>
              <w:jc w:val="center"/>
              <w:rPr/>
            </w:pPr>
            <w:r>
              <w:rPr/>
              <w:t xml:space="preserve">$1.84 - $2.76 </w:t>
            </w:r>
          </w:p>
        </w:tc>
        <w:tc>
          <w:tcPr>
            <w:tcW w:w="90"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402,601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w:t>
            </w:r>
          </w:p>
        </w:tc>
        <w:tc>
          <w:tcPr>
            <w:tcW w:w="750" w:type="dxa"/>
            <w:tcBorders/>
            <w:vAlign w:val="center"/>
          </w:tcPr>
          <w:p>
            <w:pPr>
              <w:pStyle w:val="TableContents"/>
              <w:bidi w:val="0"/>
              <w:spacing w:before="0" w:after="283"/>
              <w:jc w:val="right"/>
              <w:rPr/>
            </w:pPr>
            <w:r>
              <w:rPr/>
              <w:t>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6,065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382,330</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w:t>
            </w:r>
          </w:p>
        </w:tc>
        <w:tc>
          <w:tcPr>
            <w:tcW w:w="750" w:type="dxa"/>
            <w:tcBorders/>
            <w:vAlign w:val="center"/>
          </w:tcPr>
          <w:p>
            <w:pPr>
              <w:pStyle w:val="TableContents"/>
              <w:bidi w:val="0"/>
              <w:spacing w:before="0" w:after="283"/>
              <w:jc w:val="right"/>
              <w:rPr/>
            </w:pPr>
            <w:r>
              <w:rPr/>
              <w:t>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6,387</w:t>
            </w:r>
          </w:p>
        </w:tc>
        <w:tc>
          <w:tcPr>
            <w:tcW w:w="135" w:type="dxa"/>
            <w:tcBorders/>
            <w:vAlign w:val="center"/>
          </w:tcPr>
          <w:p>
            <w:pPr>
              <w:pStyle w:val="TableContents"/>
              <w:bidi w:val="0"/>
              <w:spacing w:before="0" w:after="283"/>
              <w:jc w:val="left"/>
              <w:rPr/>
            </w:pPr>
            <w:r>
              <w:rPr/>
              <w:t> </w:t>
            </w:r>
          </w:p>
        </w:tc>
      </w:tr>
      <w:tr>
        <w:trPr/>
        <w:tc>
          <w:tcPr>
            <w:tcW w:w="731" w:type="dxa"/>
            <w:tcBorders/>
            <w:shd w:fill="CCEEFF" w:val="clear"/>
            <w:vAlign w:val="center"/>
          </w:tcPr>
          <w:p>
            <w:pPr>
              <w:pStyle w:val="TableContents"/>
              <w:bidi w:val="0"/>
              <w:spacing w:before="0" w:after="0"/>
              <w:ind w:left="0" w:right="0" w:hanging="144"/>
              <w:jc w:val="center"/>
              <w:rPr/>
            </w:pPr>
            <w:r>
              <w:rPr/>
              <w:t xml:space="preserve">$2.83 - $4.245 </w:t>
            </w:r>
          </w:p>
        </w:tc>
        <w:tc>
          <w:tcPr>
            <w:tcW w:w="9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1,368,176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3.45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14,345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970,193</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3.43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19,684</w:t>
            </w:r>
          </w:p>
        </w:tc>
        <w:tc>
          <w:tcPr>
            <w:tcW w:w="135" w:type="dxa"/>
            <w:tcBorders/>
            <w:shd w:fill="CCEEFF" w:val="clear"/>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144"/>
              <w:jc w:val="center"/>
              <w:rPr/>
            </w:pPr>
            <w:r>
              <w:rPr/>
              <w:t xml:space="preserve">$4.31 - $6.465 </w:t>
            </w:r>
          </w:p>
        </w:tc>
        <w:tc>
          <w:tcPr>
            <w:tcW w:w="90"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987,891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w:t>
            </w:r>
          </w:p>
        </w:tc>
        <w:tc>
          <w:tcPr>
            <w:tcW w:w="750" w:type="dxa"/>
            <w:tcBorders/>
            <w:vAlign w:val="center"/>
          </w:tcPr>
          <w:p>
            <w:pPr>
              <w:pStyle w:val="TableContents"/>
              <w:bidi w:val="0"/>
              <w:spacing w:before="0" w:after="283"/>
              <w:jc w:val="right"/>
              <w:rPr/>
            </w:pPr>
            <w:r>
              <w:rPr/>
              <w:t>5.34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6,528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506,126</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w:t>
            </w:r>
          </w:p>
        </w:tc>
        <w:tc>
          <w:tcPr>
            <w:tcW w:w="750" w:type="dxa"/>
            <w:tcBorders/>
            <w:vAlign w:val="center"/>
          </w:tcPr>
          <w:p>
            <w:pPr>
              <w:pStyle w:val="TableContents"/>
              <w:bidi w:val="0"/>
              <w:spacing w:before="0" w:after="283"/>
              <w:jc w:val="right"/>
              <w:rPr/>
            </w:pPr>
            <w:r>
              <w:rPr/>
              <w:t>5.37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12,718</w:t>
            </w:r>
          </w:p>
        </w:tc>
        <w:tc>
          <w:tcPr>
            <w:tcW w:w="135" w:type="dxa"/>
            <w:tcBorders/>
            <w:vAlign w:val="center"/>
          </w:tcPr>
          <w:p>
            <w:pPr>
              <w:pStyle w:val="TableContents"/>
              <w:bidi w:val="0"/>
              <w:spacing w:before="0" w:after="283"/>
              <w:jc w:val="left"/>
              <w:rPr/>
            </w:pPr>
            <w:r>
              <w:rPr/>
              <w:t> </w:t>
            </w:r>
          </w:p>
        </w:tc>
      </w:tr>
      <w:tr>
        <w:trPr/>
        <w:tc>
          <w:tcPr>
            <w:tcW w:w="731" w:type="dxa"/>
            <w:tcBorders/>
            <w:shd w:fill="CCEEFF" w:val="clear"/>
            <w:vAlign w:val="center"/>
          </w:tcPr>
          <w:p>
            <w:pPr>
              <w:pStyle w:val="TableContents"/>
              <w:bidi w:val="0"/>
              <w:spacing w:before="0" w:after="0"/>
              <w:ind w:left="0" w:right="0" w:hanging="144"/>
              <w:jc w:val="center"/>
              <w:rPr/>
            </w:pPr>
            <w:r>
              <w:rPr/>
              <w:t xml:space="preserve">$6.54 - $9.81 </w:t>
            </w:r>
          </w:p>
        </w:tc>
        <w:tc>
          <w:tcPr>
            <w:tcW w:w="9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300,328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6.54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1,464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125,136</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6.54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3,514</w:t>
            </w:r>
          </w:p>
        </w:tc>
        <w:tc>
          <w:tcPr>
            <w:tcW w:w="135" w:type="dxa"/>
            <w:tcBorders/>
            <w:shd w:fill="CCEEFF" w:val="clear"/>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144"/>
              <w:jc w:val="center"/>
              <w:rPr/>
            </w:pPr>
            <w:r>
              <w:rPr/>
              <w:t xml:space="preserve">$13.58 - $20.37 </w:t>
            </w:r>
          </w:p>
        </w:tc>
        <w:tc>
          <w:tcPr>
            <w:tcW w:w="90" w:type="dxa"/>
            <w:tcBorders/>
            <w:vAlign w:val="center"/>
          </w:tcPr>
          <w:p>
            <w:pPr>
              <w:pStyle w:val="TableContents"/>
              <w:bidi w:val="0"/>
              <w:spacing w:before="0" w:after="283"/>
              <w:jc w:val="righ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tcMar>
              <w:bottom w:w="28" w:type="dxa"/>
            </w:tcMar>
            <w:vAlign w:val="center"/>
          </w:tcPr>
          <w:p>
            <w:pPr>
              <w:pStyle w:val="TableContents"/>
              <w:bidi w:val="0"/>
              <w:spacing w:before="0" w:after="283"/>
              <w:jc w:val="right"/>
              <w:rPr/>
            </w:pPr>
            <w:r>
              <w:rPr/>
              <w:t>909,997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w:t>
            </w:r>
          </w:p>
        </w:tc>
        <w:tc>
          <w:tcPr>
            <w:tcW w:w="750" w:type="dxa"/>
            <w:tcBorders/>
            <w:vAlign w:val="center"/>
          </w:tcPr>
          <w:p>
            <w:pPr>
              <w:pStyle w:val="TableContents"/>
              <w:bidi w:val="0"/>
              <w:spacing w:before="0" w:after="283"/>
              <w:jc w:val="right"/>
              <w:rPr/>
            </w:pPr>
            <w:r>
              <w:rPr/>
              <w:t>15.56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382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tcMar>
              <w:bottom w:w="28" w:type="dxa"/>
            </w:tcMar>
            <w:vAlign w:val="center"/>
          </w:tcPr>
          <w:p>
            <w:pPr>
              <w:pStyle w:val="TableContents"/>
              <w:bidi w:val="0"/>
              <w:spacing w:before="0" w:after="283"/>
              <w:jc w:val="right"/>
              <w:rPr/>
            </w:pPr>
            <w:r>
              <w:rPr/>
              <w:t>142,165</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w:t>
            </w:r>
          </w:p>
        </w:tc>
        <w:tc>
          <w:tcPr>
            <w:tcW w:w="750" w:type="dxa"/>
            <w:tcBorders/>
            <w:vAlign w:val="center"/>
          </w:tcPr>
          <w:p>
            <w:pPr>
              <w:pStyle w:val="TableContents"/>
              <w:bidi w:val="0"/>
              <w:spacing w:before="0" w:after="283"/>
              <w:jc w:val="right"/>
              <w:rPr/>
            </w:pPr>
            <w:r>
              <w:rPr/>
              <w:t>16.12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2,035</w:t>
            </w:r>
          </w:p>
        </w:tc>
        <w:tc>
          <w:tcPr>
            <w:tcW w:w="135" w:type="dxa"/>
            <w:tcBorders/>
            <w:vAlign w:val="center"/>
          </w:tcPr>
          <w:p>
            <w:pPr>
              <w:pStyle w:val="TableContents"/>
              <w:bidi w:val="0"/>
              <w:spacing w:before="0" w:after="283"/>
              <w:jc w:val="left"/>
              <w:rPr/>
            </w:pPr>
            <w:r>
              <w:rPr/>
              <w:t> </w:t>
            </w:r>
          </w:p>
        </w:tc>
      </w:tr>
      <w:tr>
        <w:trPr/>
        <w:tc>
          <w:tcPr>
            <w:tcW w:w="731" w:type="dxa"/>
            <w:tcBorders/>
            <w:shd w:fill="CCEEFF" w:val="cle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98"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double" w:sz="8" w:space="0" w:color="000000"/>
            </w:tcBorders>
            <w:shd w:fill="CCEEFF" w:val="clear"/>
            <w:tcMar>
              <w:bottom w:w="28" w:type="dxa"/>
            </w:tcMar>
            <w:vAlign w:val="center"/>
          </w:tcPr>
          <w:p>
            <w:pPr>
              <w:pStyle w:val="TableContents"/>
              <w:bidi w:val="0"/>
              <w:spacing w:before="0" w:after="283"/>
              <w:jc w:val="right"/>
              <w:rPr/>
            </w:pPr>
            <w:r>
              <w:rPr/>
              <w:t>4,682,783</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3.98</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8" w:space="0" w:color="000000"/>
            </w:tcBorders>
            <w:shd w:fill="CCEEFF" w:val="clear"/>
            <w:tcMar>
              <w:bottom w:w="28" w:type="dxa"/>
            </w:tcMar>
            <w:vAlign w:val="center"/>
          </w:tcPr>
          <w:p>
            <w:pPr>
              <w:pStyle w:val="TableContents"/>
              <w:bidi w:val="0"/>
              <w:spacing w:before="0" w:after="283"/>
              <w:jc w:val="right"/>
              <w:rPr/>
            </w:pPr>
            <w:r>
              <w:rPr/>
              <w:t>39,383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24" w:space="0" w:color="000000"/>
            </w:tcBorders>
            <w:shd w:fill="CCEEFF" w:val="clear"/>
            <w:tcMar>
              <w:bottom w:w="28" w:type="dxa"/>
            </w:tcMar>
            <w:vAlign w:val="center"/>
          </w:tcPr>
          <w:p>
            <w:pPr>
              <w:pStyle w:val="TableContents"/>
              <w:bidi w:val="0"/>
              <w:spacing w:before="0" w:after="283"/>
              <w:jc w:val="right"/>
              <w:rPr/>
            </w:pPr>
            <w:r>
              <w:rPr/>
              <w:t> </w:t>
            </w:r>
          </w:p>
        </w:tc>
        <w:tc>
          <w:tcPr>
            <w:tcW w:w="98"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double" w:sz="8" w:space="0" w:color="000000"/>
            </w:tcBorders>
            <w:shd w:fill="CCEEFF" w:val="clear"/>
            <w:tcMar>
              <w:bottom w:w="28" w:type="dxa"/>
            </w:tcMar>
            <w:vAlign w:val="center"/>
          </w:tcPr>
          <w:p>
            <w:pPr>
              <w:pStyle w:val="TableContents"/>
              <w:bidi w:val="0"/>
              <w:spacing w:before="0" w:after="283"/>
              <w:jc w:val="right"/>
              <w:rPr/>
            </w:pPr>
            <w:r>
              <w:rPr/>
              <w:t>2,762,135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6.19</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8" w:space="0" w:color="000000"/>
            </w:tcBorders>
            <w:shd w:fill="CCEEFF" w:val="clear"/>
            <w:tcMar>
              <w:bottom w:w="28" w:type="dxa"/>
            </w:tcMar>
            <w:vAlign w:val="center"/>
          </w:tcPr>
          <w:p>
            <w:pPr>
              <w:pStyle w:val="TableContents"/>
              <w:bidi w:val="0"/>
              <w:spacing w:before="0" w:after="283"/>
              <w:jc w:val="right"/>
              <w:rPr/>
            </w:pPr>
            <w:r>
              <w:rPr/>
              <w:t>55,558</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Restricted Stock Units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grants RSUs to certain employees and consultants of the Company and to members of its Board. The RSUs generally vest annually over a period of four years for employees and semi-annually over a period of one year for directors.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summarizes information about the Company’s RSUs for the years ended December 31, 2025, 2024 and 2023: </w:t>
      </w:r>
    </w:p>
    <w:p>
      <w:pPr>
        <w:pStyle w:val="TextBody"/>
        <w:bidi w:val="0"/>
        <w:spacing w:before="0" w:after="0"/>
        <w:jc w:val="both"/>
        <w:rPr/>
      </w:pPr>
      <w:r>
        <w:rPr/>
        <w:t xml:space="preserve">  </w:t>
      </w:r>
    </w:p>
    <w:tbl>
      <w:tblPr>
        <w:tblW w:w="6469" w:type="dxa"/>
        <w:jc w:val="left"/>
        <w:tblInd w:w="0" w:type="dxa"/>
        <w:tblLayout w:type="fixed"/>
        <w:tblCellMar>
          <w:top w:w="0" w:type="dxa"/>
          <w:left w:w="0" w:type="dxa"/>
          <w:bottom w:w="0" w:type="dxa"/>
          <w:right w:w="0" w:type="dxa"/>
        </w:tblCellMar>
      </w:tblPr>
      <w:tblGrid>
        <w:gridCol w:w="3050"/>
        <w:gridCol w:w="90"/>
        <w:gridCol w:w="90"/>
        <w:gridCol w:w="1085"/>
        <w:gridCol w:w="185"/>
        <w:gridCol w:w="90"/>
        <w:gridCol w:w="390"/>
        <w:gridCol w:w="1354"/>
        <w:gridCol w:w="135"/>
      </w:tblGrid>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pPr>
            <w:r>
              <w:rPr>
                <w:b/>
              </w:rPr>
              <w:t>Weighted-</w:t>
              <w:br/>
              <w:t xml:space="preserve">Average Grant </w:t>
              <w:br/>
              <w:t>Date Fair Value</w:t>
            </w:r>
            <w:r>
              <w:rPr/>
              <w:t xml:space="preserve"> </w:t>
            </w:r>
          </w:p>
        </w:tc>
        <w:tc>
          <w:tcPr>
            <w:tcW w:w="135" w:type="dxa"/>
            <w:tcBorders/>
            <w:vAlign w:val="center"/>
          </w:tcPr>
          <w:p>
            <w:pPr>
              <w:pStyle w:val="TableContents"/>
              <w:bidi w:val="0"/>
              <w:spacing w:before="0" w:after="283"/>
              <w:jc w:val="center"/>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Balance at December 31, 2022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2,866,987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r>
              <w:rPr/>
              <w:t>1.59</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ind w:left="0" w:right="0" w:hanging="144"/>
              <w:jc w:val="left"/>
              <w:rPr/>
            </w:pPr>
            <w:r>
              <w:rPr/>
              <w:t xml:space="preserve">Granted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3,389,760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90" w:type="dxa"/>
            <w:tcBorders/>
            <w:vAlign w:val="center"/>
          </w:tcPr>
          <w:p>
            <w:pPr>
              <w:pStyle w:val="TableContents"/>
              <w:bidi w:val="0"/>
              <w:spacing w:before="0" w:after="283"/>
              <w:jc w:val="left"/>
              <w:rPr/>
            </w:pPr>
            <w:r>
              <w:rPr/>
              <w:t>$</w:t>
            </w:r>
          </w:p>
        </w:tc>
        <w:tc>
          <w:tcPr>
            <w:tcW w:w="1354" w:type="dxa"/>
            <w:tcBorders/>
            <w:vAlign w:val="center"/>
          </w:tcPr>
          <w:p>
            <w:pPr>
              <w:pStyle w:val="TableContents"/>
              <w:bidi w:val="0"/>
              <w:spacing w:before="0" w:after="283"/>
              <w:jc w:val="right"/>
              <w:rPr/>
            </w:pPr>
            <w:r>
              <w:rPr/>
              <w:t>3.42</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Vested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(1,199,445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r>
              <w:rPr/>
              <w:t>1.63</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ind w:left="0" w:right="0" w:hanging="144"/>
              <w:jc w:val="left"/>
              <w:rPr/>
            </w:pPr>
            <w:r>
              <w:rPr/>
              <w:t xml:space="preserve">Forfeited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(400,005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90" w:type="dxa"/>
            <w:tcBorders/>
            <w:vAlign w:val="center"/>
          </w:tcPr>
          <w:p>
            <w:pPr>
              <w:pStyle w:val="TableContents"/>
              <w:bidi w:val="0"/>
              <w:spacing w:before="0" w:after="283"/>
              <w:jc w:val="left"/>
              <w:rPr/>
            </w:pPr>
            <w:r>
              <w:rPr/>
              <w:t>$</w:t>
            </w:r>
          </w:p>
        </w:tc>
        <w:tc>
          <w:tcPr>
            <w:tcW w:w="1354" w:type="dxa"/>
            <w:tcBorders/>
            <w:vAlign w:val="center"/>
          </w:tcPr>
          <w:p>
            <w:pPr>
              <w:pStyle w:val="TableContents"/>
              <w:bidi w:val="0"/>
              <w:spacing w:before="0" w:after="283"/>
              <w:jc w:val="right"/>
              <w:rPr/>
            </w:pPr>
            <w:r>
              <w:rPr/>
              <w:t>2.71</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Balance at December 31, 2023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4,657,297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r>
              <w:rPr/>
              <w:t>2.81</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ind w:left="0" w:right="0" w:hanging="144"/>
              <w:jc w:val="left"/>
              <w:rPr/>
            </w:pPr>
            <w:r>
              <w:rPr/>
              <w:t xml:space="preserve">Granted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3,278,688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90" w:type="dxa"/>
            <w:tcBorders/>
            <w:vAlign w:val="center"/>
          </w:tcPr>
          <w:p>
            <w:pPr>
              <w:pStyle w:val="TableContents"/>
              <w:bidi w:val="0"/>
              <w:spacing w:before="0" w:after="283"/>
              <w:jc w:val="left"/>
              <w:rPr/>
            </w:pPr>
            <w:r>
              <w:rPr/>
              <w:t>$</w:t>
            </w:r>
          </w:p>
        </w:tc>
        <w:tc>
          <w:tcPr>
            <w:tcW w:w="1354" w:type="dxa"/>
            <w:tcBorders/>
            <w:vAlign w:val="center"/>
          </w:tcPr>
          <w:p>
            <w:pPr>
              <w:pStyle w:val="TableContents"/>
              <w:bidi w:val="0"/>
              <w:spacing w:before="0" w:after="283"/>
              <w:jc w:val="right"/>
              <w:rPr/>
            </w:pPr>
            <w:r>
              <w:rPr/>
              <w:t>7.44</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Vested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(1,886,463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r>
              <w:rPr/>
              <w:t>2.50</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ind w:left="0" w:right="0" w:hanging="144"/>
              <w:jc w:val="left"/>
              <w:rPr/>
            </w:pPr>
            <w:r>
              <w:rPr/>
              <w:t xml:space="preserve">Forfeited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(303,532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90" w:type="dxa"/>
            <w:tcBorders/>
            <w:vAlign w:val="center"/>
          </w:tcPr>
          <w:p>
            <w:pPr>
              <w:pStyle w:val="TableContents"/>
              <w:bidi w:val="0"/>
              <w:spacing w:before="0" w:after="283"/>
              <w:jc w:val="left"/>
              <w:rPr/>
            </w:pPr>
            <w:r>
              <w:rPr/>
              <w:t>$</w:t>
            </w:r>
          </w:p>
        </w:tc>
        <w:tc>
          <w:tcPr>
            <w:tcW w:w="1354" w:type="dxa"/>
            <w:tcBorders/>
            <w:vAlign w:val="center"/>
          </w:tcPr>
          <w:p>
            <w:pPr>
              <w:pStyle w:val="TableContents"/>
              <w:bidi w:val="0"/>
              <w:spacing w:before="0" w:after="283"/>
              <w:jc w:val="right"/>
              <w:rPr/>
            </w:pPr>
            <w:r>
              <w:rPr/>
              <w:t>3.92</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Balance at December 31, 2024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8" w:space="0" w:color="000000"/>
            </w:tcBorders>
            <w:shd w:fill="CCEEFF" w:val="clear"/>
            <w:tcMar>
              <w:bottom w:w="28" w:type="dxa"/>
            </w:tcMar>
            <w:vAlign w:val="center"/>
          </w:tcPr>
          <w:p>
            <w:pPr>
              <w:pStyle w:val="TableContents"/>
              <w:bidi w:val="0"/>
              <w:spacing w:before="0" w:after="283"/>
              <w:jc w:val="right"/>
              <w:rPr/>
            </w:pPr>
            <w:r>
              <w:rPr/>
              <w:t>5,745,990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r>
              <w:rPr/>
              <w:t>5.50</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ind w:left="0" w:right="0" w:hanging="144"/>
              <w:jc w:val="left"/>
              <w:rPr/>
            </w:pPr>
            <w:r>
              <w:rPr/>
              <w:t xml:space="preserve">Granted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1,943,884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90" w:type="dxa"/>
            <w:tcBorders/>
            <w:vAlign w:val="center"/>
          </w:tcPr>
          <w:p>
            <w:pPr>
              <w:pStyle w:val="TableContents"/>
              <w:bidi w:val="0"/>
              <w:spacing w:before="0" w:after="283"/>
              <w:jc w:val="left"/>
              <w:rPr/>
            </w:pPr>
            <w:r>
              <w:rPr/>
              <w:t>$</w:t>
            </w:r>
          </w:p>
        </w:tc>
        <w:tc>
          <w:tcPr>
            <w:tcW w:w="1354" w:type="dxa"/>
            <w:tcBorders/>
            <w:vAlign w:val="center"/>
          </w:tcPr>
          <w:p>
            <w:pPr>
              <w:pStyle w:val="TableContents"/>
              <w:bidi w:val="0"/>
              <w:spacing w:before="0" w:after="283"/>
              <w:jc w:val="right"/>
              <w:rPr/>
            </w:pPr>
            <w:r>
              <w:rPr/>
              <w:t>16.44</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Vested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(1,875,027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r>
              <w:rPr/>
              <w:t>5.24</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ind w:left="0" w:right="0" w:hanging="144"/>
              <w:jc w:val="left"/>
              <w:rPr/>
            </w:pPr>
            <w:r>
              <w:rPr/>
              <w:t xml:space="preserve">Forfeited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(670,344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90" w:type="dxa"/>
            <w:tcBorders/>
            <w:vAlign w:val="center"/>
          </w:tcPr>
          <w:p>
            <w:pPr>
              <w:pStyle w:val="TableContents"/>
              <w:bidi w:val="0"/>
              <w:spacing w:before="0" w:after="283"/>
              <w:jc w:val="left"/>
              <w:rPr/>
            </w:pPr>
            <w:r>
              <w:rPr/>
              <w:t>$</w:t>
            </w:r>
          </w:p>
        </w:tc>
        <w:tc>
          <w:tcPr>
            <w:tcW w:w="1354" w:type="dxa"/>
            <w:tcBorders/>
            <w:vAlign w:val="center"/>
          </w:tcPr>
          <w:p>
            <w:pPr>
              <w:pStyle w:val="TableContents"/>
              <w:bidi w:val="0"/>
              <w:spacing w:before="0" w:after="283"/>
              <w:jc w:val="right"/>
              <w:rPr/>
            </w:pPr>
            <w:r>
              <w:rPr/>
              <w:t>8.72</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Balance at December 31, 2025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8" w:space="0" w:color="000000"/>
            </w:tcBorders>
            <w:shd w:fill="CCEEFF" w:val="clear"/>
            <w:tcMar>
              <w:bottom w:w="28" w:type="dxa"/>
            </w:tcMar>
            <w:vAlign w:val="center"/>
          </w:tcPr>
          <w:p>
            <w:pPr>
              <w:pStyle w:val="TableContents"/>
              <w:bidi w:val="0"/>
              <w:spacing w:before="0" w:after="283"/>
              <w:jc w:val="right"/>
              <w:rPr/>
            </w:pPr>
            <w:r>
              <w:rPr/>
              <w:t>5,144,503</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r>
              <w:rPr/>
              <w:t>9.31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the Company had $37.0 million of unrecognized compensation expense related to unvested RSUs granted under the Company’s equity incentive plans, which is expected to be recognized over a weighted-average period of 2.8 years.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During the year ended December 31, 2024, three of the Company’s employees and one of the Company’s non-employee directors received modifications to their outstanding stock option and RSU awards in connection with their departure from the Company or transition from an employee to a consulting role (see Note 9). The modifications allowed, among other things, the former employees to continue to participate in the Company’s equity incentive plans with respect to certain of their outstanding awards when they would otherwise not be eligible to do so. In connection with these modifications, the Company recognized an aggregate of $2.5 million of additional compensation expense in the year ended December 31, 2024. Total stock-based compensation expense for all awards granted under the Company’s equity incentive plans for the years ended December 31, 2025, 2024 and 2023 was as follows (in thousands): </w:t>
      </w:r>
    </w:p>
    <w:p>
      <w:pPr>
        <w:pStyle w:val="TextBody"/>
        <w:bidi w:val="0"/>
        <w:spacing w:before="0" w:after="0"/>
        <w:jc w:val="both"/>
        <w:rPr/>
      </w:pPr>
      <w:r>
        <w:rPr/>
        <w:t xml:space="preserve">  </w:t>
      </w:r>
    </w:p>
    <w:tbl>
      <w:tblPr>
        <w:tblW w:w="7085" w:type="dxa"/>
        <w:jc w:val="left"/>
        <w:tblInd w:w="0" w:type="dxa"/>
        <w:tblLayout w:type="fixed"/>
        <w:tblCellMar>
          <w:top w:w="0" w:type="dxa"/>
          <w:left w:w="0" w:type="dxa"/>
          <w:bottom w:w="0" w:type="dxa"/>
          <w:right w:w="0" w:type="dxa"/>
        </w:tblCellMar>
      </w:tblPr>
      <w:tblGrid>
        <w:gridCol w:w="3980"/>
        <w:gridCol w:w="90"/>
        <w:gridCol w:w="170"/>
        <w:gridCol w:w="710"/>
        <w:gridCol w:w="90"/>
        <w:gridCol w:w="90"/>
        <w:gridCol w:w="170"/>
        <w:gridCol w:w="710"/>
        <w:gridCol w:w="90"/>
        <w:gridCol w:w="90"/>
        <w:gridCol w:w="170"/>
        <w:gridCol w:w="590"/>
        <w:gridCol w:w="135"/>
      </w:tblGrid>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880"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w:t>
            </w:r>
            <w:r>
              <w:rPr/>
              <w:t xml:space="preserve"> </w:t>
            </w:r>
          </w:p>
        </w:tc>
        <w:tc>
          <w:tcPr>
            <w:tcW w:w="135" w:type="dxa"/>
            <w:tcBorders/>
            <w:vAlign w:val="center"/>
          </w:tcPr>
          <w:p>
            <w:pPr>
              <w:pStyle w:val="TableContents"/>
              <w:bidi w:val="0"/>
              <w:spacing w:before="0" w:after="283"/>
              <w:jc w:val="center"/>
              <w:rPr/>
            </w:pPr>
            <w:r>
              <w:rPr/>
              <w:t> </w:t>
            </w:r>
          </w:p>
        </w:tc>
      </w:tr>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135" w:type="dxa"/>
            <w:tcBorders/>
            <w:vAlign w:val="center"/>
          </w:tcPr>
          <w:p>
            <w:pPr>
              <w:pStyle w:val="TableContents"/>
              <w:bidi w:val="0"/>
              <w:spacing w:before="0" w:after="283"/>
              <w:jc w:val="center"/>
              <w:rPr/>
            </w:pPr>
            <w:r>
              <w:rPr/>
              <w:t> </w:t>
            </w:r>
          </w:p>
        </w:tc>
      </w:tr>
      <w:tr>
        <w:trPr/>
        <w:tc>
          <w:tcPr>
            <w:tcW w:w="3980" w:type="dxa"/>
            <w:tcBorders/>
            <w:vAlign w:val="center"/>
          </w:tcPr>
          <w:p>
            <w:pPr>
              <w:pStyle w:val="TableContents"/>
              <w:bidi w:val="0"/>
              <w:spacing w:before="0" w:after="283"/>
              <w:jc w:val="left"/>
              <w:rPr/>
            </w:pPr>
            <w:r>
              <w:rPr/>
              <w:t> </w:t>
            </w:r>
          </w:p>
        </w:tc>
        <w:tc>
          <w:tcPr>
            <w:tcW w:w="3105" w:type="dxa"/>
            <w:gridSpan w:val="12"/>
            <w:tcBorders/>
            <w:vAlign w:val="center"/>
          </w:tcPr>
          <w:p>
            <w:pPr>
              <w:pStyle w:val="TableContents"/>
              <w:bidi w:val="0"/>
              <w:spacing w:before="0" w:after="283"/>
              <w:jc w:val="center"/>
              <w:rPr/>
            </w:pPr>
            <w:r>
              <w:rPr>
                <w:i/>
              </w:rPr>
              <w:t>(in thousands)</w:t>
            </w:r>
            <w:r>
              <w:rPr/>
              <w:t xml:space="preserve"> </w:t>
            </w:r>
          </w:p>
        </w:tc>
      </w:tr>
      <w:tr>
        <w:trPr/>
        <w:tc>
          <w:tcPr>
            <w:tcW w:w="3980" w:type="dxa"/>
            <w:tcBorders/>
            <w:shd w:fill="CCEEFF" w:val="clear"/>
            <w:vAlign w:val="center"/>
          </w:tcPr>
          <w:p>
            <w:pPr>
              <w:pStyle w:val="TableContents"/>
              <w:bidi w:val="0"/>
              <w:spacing w:before="0" w:after="0"/>
              <w:ind w:left="0" w:right="0" w:hanging="144"/>
              <w:jc w:val="left"/>
              <w:rPr/>
            </w:pPr>
            <w:r>
              <w:rPr/>
              <w:t xml:space="preserve">Research and development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40</w:t>
            </w:r>
          </w:p>
        </w:tc>
        <w:tc>
          <w:tcPr>
            <w:tcW w:w="13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ind w:left="0" w:right="0" w:hanging="144"/>
              <w:jc w:val="left"/>
              <w:rPr/>
            </w:pPr>
            <w:r>
              <w:rPr/>
              <w:t xml:space="preserve">Plasma center operating expenses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146</w:t>
            </w:r>
          </w:p>
        </w:tc>
        <w:tc>
          <w:tcPr>
            <w:tcW w:w="13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144"/>
              <w:jc w:val="left"/>
              <w:rPr/>
            </w:pPr>
            <w:r>
              <w:rPr/>
              <w:t xml:space="preserve">Selling, general and administrative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16,101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11,720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5,331</w:t>
            </w:r>
          </w:p>
        </w:tc>
        <w:tc>
          <w:tcPr>
            <w:tcW w:w="13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ind w:left="0" w:right="0" w:hanging="144"/>
              <w:jc w:val="left"/>
              <w:rPr/>
            </w:pPr>
            <w:r>
              <w:rPr/>
              <w:t xml:space="preserve">Cost of product revenue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3,304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1,614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670</w:t>
            </w:r>
          </w:p>
        </w:tc>
        <w:tc>
          <w:tcPr>
            <w:tcW w:w="13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pPr>
            <w:r>
              <w:rPr/>
              <w:t xml:space="preserve">Total stock-based compensation expense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20,026</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13,616</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8" w:space="0" w:color="000000"/>
            </w:tcBorders>
            <w:shd w:fill="CCEEFF" w:val="clear"/>
            <w:tcMar>
              <w:bottom w:w="28" w:type="dxa"/>
            </w:tcMar>
            <w:vAlign w:val="center"/>
          </w:tcPr>
          <w:p>
            <w:pPr>
              <w:pStyle w:val="TableContents"/>
              <w:bidi w:val="0"/>
              <w:spacing w:before="0" w:after="283"/>
              <w:jc w:val="right"/>
              <w:rPr/>
            </w:pPr>
            <w:r>
              <w:rPr/>
              <w:t>6,187</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RELATED PARTY TRANSACTIONS</w:t>
      </w:r>
      <w:r>
        <w:rPr>
          <w:rFonts w:ascii="Aptos" w:hAnsi="Aptos"/>
          <w:sz w:val="20"/>
        </w:rPr>
        <w:t xml:space="preserve"> </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342900" cy="175260"/>
                <wp:effectExtent l="0" t="0" r="0" b="0"/>
                <wp:wrapSquare wrapText="right"/>
                <wp:docPr id="217" name="Frame21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9.</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9.</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leases an office building and equipment from Areth, LLC (“Areth”) pursuant to an agreement for services effective as of January 1, 2016, as amended from time to time, and pays monthly rent on this facility in the amount of $10,000. On October 18, 2022, the Company amended the agreement to extend its term to December 31, 2026, with automatic successive one-year renewals thereafter. Either party may terminate the agreement by providing the other party with one year’s prior written notice. Rent expense for the years ended December 31, 2025, 2024 and 2023 amounted to $0.1 million. Areth is a company controlled by Dr. Jerrold B. Grossman, the Vice Chairman of the Board, and Adam S. Grossman, the Company’s President and Chief Executive Officer. The Company also reimburses Areth for office, warehousing and building related (common area) expenses, equipment and certain other operational expenses, which were not material to the consolidated financial statements for the years ended December 31, 2025, 2024, 2023.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During the years ended December 31, 2025, 2024 and 2023, the Company purchased certain specialized equipment and repair services used for the collection and processing of source plasma from GenesisBPS and its affiliates (“Genesis”) in the amount of $0.1 million, $0.2 million and $0.4 million, respectively. Genesis was owned by Dr. Grossman and Adam Grossman until September 30, 2025.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November 19, 2024, the Company entered into an agreement with Bryant Fong whereby the Company agreed, in conjunction with Mr. Fong’s resignation from the Board, to immediately vest all of Mr. Fong’s 12,020 unvested RSUs. The agreement also extended the post-termination exercise period for his vested stock options from 90 days to two years (or earlier, if such options’ 10-year expiration date occurs sooner than November 19, 2026). All of Mr. Fong’s unvested stock options were forfeited in accordance with the terms of the 2022 Equity Plan. In connection with this modification of Mr. Fong’s equity awards, the Company recorded additional compensation expense of $0.3 million (see Note 8) in the year ended December 31, 2024.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April 1, 2024, the Company entered into a consulting agreement with Brian Lenz, the Company’s former Executive Vice President, Chief Financial Officer and General Manager, ADMA BioCenters, whereby Mr. Lenz’s outstanding equity awards were modified in connection with his transition to a consulting role. Under the terms of the consulting agreement, Mr. Lenz remained eligible to participate in the Company’s equity compensation plans with respect to continued vesting of the subject awards as set forth in the agreement. In addition, the post-termination exercise period for Mr. Lenz’s vested stock options was extended from 90 days to two years from the date of the consulting agreement (or earlier, if such options’ 10-year expiration date occurs sooner than March 31, 2026). In connection with this modification, the Company recorded $1.6 million of additional compensation expense for the year ended December 31, 2024.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August 15, 2023, two of the Company’s executive officers exercised options to purchase 2,909,721 shares of the Company’s common stock on a cashless basis, and 688,657 shares of common stock were issued to these executive officers, net of 257,867 shares of common stock to cover a portion of their tax liabilities. </w:t>
      </w:r>
    </w:p>
    <w:p>
      <w:pPr>
        <w:pStyle w:val="TextBody"/>
        <w:bidi w:val="0"/>
        <w:spacing w:before="0" w:after="0"/>
        <w:jc w:val="left"/>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COMMITMENTS AND CONTINGENCIES</w:t>
      </w:r>
      <w:r>
        <w:rPr>
          <w:rFonts w:ascii="Aptos" w:hAnsi="Aptos"/>
          <w:sz w:val="20"/>
        </w:rPr>
        <w:t xml:space="preserve"> </w: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342900" cy="175260"/>
                <wp:effectExtent l="0" t="0" r="0" b="0"/>
                <wp:wrapSquare wrapText="right"/>
                <wp:docPr id="218" name="Frame21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10.</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10.</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General Legal Matters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IT Systems Disruption</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June 19, 2023, the Company experienced an IT systems disruption, which rendered certain of the Company’s IT technology systems inaccessible for less than one week. The Company’s investigation of the disruption was completed with the assistance of third-party consultants, and no definitive root cause was identified. At the time of the disruption, the Company was in production of two batches of BIVIGAM, and after a prolonged hold time, it was deemed to be a prudent GMP quality decision to discard these two in-process production batches as these batches were no longer viable for further production or had any alternative use. As a result, the Company recorded a one-time, non-recurring charge of $2.1 million in the second quarter of 2023 for this inventory, which is reflected in Cost of product revenue in the accompanying consolidated statement of operations for the year ended December 31, 2023. In addition, the Company’s Plasma center operating expenses were adversely impacted by approximately $0.7 million due to the temporary closing of the Company’s plasma collection centers while their IT systems were restored.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carries appropriate insurance for these types of instances. During each of the years ended December 31, 2024 and 2023, the Company’s cybersecurity insurer paid the Company an aggregate of $0.2 million for approved restoration-related costs. During the first quarter of 2025, the Company’s cybersecurity insurer paid the Company $0.4 million in business interruption loss coverage.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Vendor Commitments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Pursuant to the terms of a Plasma Purchase Agreement dated as of November 17, 2011 (the “2011 Plasma Purchase Agreement”), the Company agreed to purchase from its former contract manufacturer an annual minimum volume of source plasma containing antibodies to RSV to be used in the manufacture of ASCENIV. The Company must purchase a to-be-determined and agreed upon annual minimum volume from the counterparty, and under the original 2011 Plasma Purchase Agreement the Company was permitted to also collect high-titer plasma from up to five wholly owned ADMA plasma collection facilities. During 2015, the Company amended the 2011 Plasma Purchase Agreement to (i) allow the Company to collect its raw material high-titer plasma from any number of wholly owned ADMA plasma collection facilities and (ii) allow the Company to purchase its raw material high-titer plasma from other third-party collection organizations, in each case, provided that the annual minimum volumes from the Company’s former contract manufacturer were met, thus allowing the Company to expand its reach for raw material supply as it executes its commercialization plans for ASCENIV. On December 10, 2018, the Company’s former contract manufacturer assigned its rights and obligations under the 2011 Plasma Purchase Agreement to Grifols Worldwide Operations Limited (“Grifols”) as its successor-in-interest, effective January 1, 2019. Effective October 1, 2024, the Company entered into an Amended and Restated Plasma Purchase Agreement with Grifols (the “A&amp;R Grifols Agreement”) with a term expiring in September 2039, after which it may be renewed for two additional multi-year periods if agreed to by the parties. Pursuant to the A&amp;R Grifols Agreement, Grifols supplies, on a non-exclusive basis, to ADMA BioManufacturing a minimum of 35,000 liters of RSV plasma annually to be used in the manufacture of ASCENIV, with an escalating price per liter depending on the volume supplied in a given 12-month period, with a minimum annual price increase every 12 months. Additionally, Grifols will be entitled to receive a fixed bonus payment in the event that a specified liter amount of high-titer plasma is supplied to the Company in any 12-month period during the term of the A&amp;R Grifols Agreement.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Effective August 6, 2024, the Company entered into a Plasma Purchase Agreement with KEDPlasma LLC (“KEDPlasma”) with a term expiring in July 2031, after which it may be renewed for an additional five-year period if agreed to by the parties (the “KEDPlasma Agreement”). Pursuant to the KEDPlasma Agreement, KEDPlasma supplies, on a non-exclusive basis, to ADMA BioManufacturing a minimum of 35,000 liters of RSV plasma annually commencing with the 12-month period ending July 31, 2026, with an escalating price per liter depending on the volume supplied in a given 12-month period. The price per liter of high-titer plasma supplied pursuant to the KEDPlasma Agreement is also scheduled to increase on an annual basis. Additionally, KEDPlasma will be entitled to receive a fixed bonus payment in the event that a specified liter amount of RSV plasma is supplied to the Company in any 12-month period during the term of the KEDPlasma Agreement.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June 6, 2017, the Company entered into a Plasma Supply Agreement with its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10-year term. On July 19,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the counterparty, then the counterparty shall reimburse ADMA BioManufacturing for the difference in price ADMA BioManufacturing incurs. On December 10, 2018, the Company’s former contract manufacturer assigned its rights and obligations under the Plasma Supply Agreement to Grifols, effective January 1, 2019.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Post-Marketing Commitments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connection with the FDA approval of ASCENIV on April 1, 2019, the Company is required to perform a pediatric study to evaluate the safety and efficacy of ASCENIV in children and adolescents, for which patient enrollment has been successfully completed. For the years ended December 31, 2025, 2024 and 2023, the Company incurred expenses related to this study in the amounts of $0.9 million, $1.2 million and, $1.0 million, respectively.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connection with the FDA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were required to be completed by June 30, 2023. Both studies have been completed, and the study reports have been submitted to the FDA. ADMA had assumed the remaining obligations, and the costs of the studies were expensed as incurred as research and development expenses. The Company did not incur any expenses related to this commitment during the years ended December 31, 2025 and 2024, and incurred $1.7 million during the year ended December 31, 2023.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F-25</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u w:val="single"/>
        </w:rPr>
        <w:t>Other Commitments</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December 31, 2025. The Company does not anticipate recognizing any significant losses relating to these arrangements. </w:t>
      </w:r>
    </w:p>
    <w:p>
      <w:pPr>
        <w:pStyle w:val="TextBody"/>
        <w:bidi w:val="0"/>
        <w:spacing w:before="0" w:after="0"/>
        <w:jc w:val="left"/>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INCOME TAXES</w:t>
      </w:r>
      <w:r>
        <w:rPr>
          <w:rFonts w:ascii="Aptos" w:hAnsi="Aptos"/>
          <w:sz w:val="20"/>
        </w:rPr>
        <w:t xml:space="preserve"> </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342900" cy="175260"/>
                <wp:effectExtent l="0" t="0" r="0" b="0"/>
                <wp:wrapSquare wrapText="right"/>
                <wp:docPr id="219" name="Frame21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11.</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11.</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p>
      <w:pPr>
        <w:pStyle w:val="TextBody"/>
        <w:bidi w:val="0"/>
        <w:spacing w:before="0" w:after="0"/>
        <w:ind w:left="0" w:right="0" w:firstLine="525"/>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Income (loss) before provision for income taxes was as follows: </w:t>
      </w:r>
    </w:p>
    <w:p>
      <w:pPr>
        <w:pStyle w:val="TextBody"/>
        <w:bidi w:val="0"/>
        <w:spacing w:before="0" w:after="0"/>
        <w:jc w:val="left"/>
        <w:rPr/>
      </w:pPr>
      <w:r>
        <w:rPr/>
        <w:t xml:space="preserve">  </w:t>
      </w:r>
    </w:p>
    <w:tbl>
      <w:tblPr>
        <w:tblW w:w="6985" w:type="dxa"/>
        <w:jc w:val="left"/>
        <w:tblInd w:w="0" w:type="dxa"/>
        <w:tblLayout w:type="fixed"/>
        <w:tblCellMar>
          <w:top w:w="0" w:type="dxa"/>
          <w:left w:w="0" w:type="dxa"/>
          <w:bottom w:w="0" w:type="dxa"/>
          <w:right w:w="0" w:type="dxa"/>
        </w:tblCellMar>
      </w:tblPr>
      <w:tblGrid>
        <w:gridCol w:w="3350"/>
        <w:gridCol w:w="90"/>
        <w:gridCol w:w="170"/>
        <w:gridCol w:w="830"/>
        <w:gridCol w:w="90"/>
        <w:gridCol w:w="90"/>
        <w:gridCol w:w="170"/>
        <w:gridCol w:w="830"/>
        <w:gridCol w:w="90"/>
        <w:gridCol w:w="90"/>
        <w:gridCol w:w="170"/>
        <w:gridCol w:w="785"/>
        <w:gridCol w:w="230"/>
      </w:tblGrid>
      <w:tr>
        <w:trPr/>
        <w:tc>
          <w:tcPr>
            <w:tcW w:w="3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3315"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w:t>
            </w:r>
            <w:r>
              <w:rPr/>
              <w:t xml:space="preserve"> </w:t>
            </w:r>
          </w:p>
        </w:tc>
        <w:tc>
          <w:tcPr>
            <w:tcW w:w="230" w:type="dxa"/>
            <w:tcBorders/>
            <w:vAlign w:val="center"/>
          </w:tcPr>
          <w:p>
            <w:pPr>
              <w:pStyle w:val="TableContents"/>
              <w:bidi w:val="0"/>
              <w:spacing w:before="0" w:after="283"/>
              <w:jc w:val="center"/>
              <w:rPr/>
            </w:pPr>
            <w:r>
              <w:rPr/>
              <w:t> </w:t>
            </w:r>
          </w:p>
        </w:tc>
      </w:tr>
      <w:tr>
        <w:trPr/>
        <w:tc>
          <w:tcPr>
            <w:tcW w:w="3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230" w:type="dxa"/>
            <w:tcBorders/>
            <w:vAlign w:val="center"/>
          </w:tcPr>
          <w:p>
            <w:pPr>
              <w:pStyle w:val="TableContents"/>
              <w:bidi w:val="0"/>
              <w:spacing w:before="0" w:after="283"/>
              <w:jc w:val="center"/>
              <w:rPr/>
            </w:pPr>
            <w:r>
              <w:rPr/>
              <w:t> </w:t>
            </w:r>
          </w:p>
        </w:tc>
      </w:tr>
      <w:tr>
        <w:trPr/>
        <w:tc>
          <w:tcPr>
            <w:tcW w:w="3350" w:type="dxa"/>
            <w:tcBorders/>
            <w:vAlign w:val="center"/>
          </w:tcPr>
          <w:p>
            <w:pPr>
              <w:pStyle w:val="TableContents"/>
              <w:bidi w:val="0"/>
              <w:spacing w:before="0" w:after="283"/>
              <w:jc w:val="left"/>
              <w:rPr/>
            </w:pPr>
            <w:r>
              <w:rPr/>
              <w:t> </w:t>
            </w:r>
          </w:p>
        </w:tc>
        <w:tc>
          <w:tcPr>
            <w:tcW w:w="3635" w:type="dxa"/>
            <w:gridSpan w:val="12"/>
            <w:tcBorders/>
            <w:vAlign w:val="center"/>
          </w:tcPr>
          <w:p>
            <w:pPr>
              <w:pStyle w:val="TableContents"/>
              <w:bidi w:val="0"/>
              <w:spacing w:before="0" w:after="283"/>
              <w:jc w:val="center"/>
              <w:rPr/>
            </w:pPr>
            <w:r>
              <w:rPr>
                <w:i/>
              </w:rPr>
              <w:t>(in thousands)</w:t>
            </w:r>
            <w:r>
              <w:rPr/>
              <w:t xml:space="preserve"> </w:t>
            </w:r>
          </w:p>
        </w:tc>
      </w:tr>
      <w:tr>
        <w:trPr/>
        <w:tc>
          <w:tcPr>
            <w:tcW w:w="3350" w:type="dxa"/>
            <w:tcBorders/>
            <w:shd w:fill="CCEEFF" w:val="clear"/>
            <w:vAlign w:val="center"/>
          </w:tcPr>
          <w:p>
            <w:pPr>
              <w:pStyle w:val="TableContents"/>
              <w:bidi w:val="0"/>
              <w:spacing w:before="0" w:after="0"/>
              <w:ind w:left="0" w:right="0" w:hanging="144"/>
              <w:jc w:val="left"/>
              <w:rPr/>
            </w:pPr>
            <w:r>
              <w:rPr/>
              <w:t xml:space="preserve">Domestic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182,656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125,714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(28,239</w:t>
            </w:r>
          </w:p>
        </w:tc>
        <w:tc>
          <w:tcPr>
            <w:tcW w:w="23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ind w:left="0" w:right="0" w:hanging="144"/>
              <w:jc w:val="left"/>
              <w:rPr/>
            </w:pPr>
            <w:r>
              <w:rPr/>
              <w:t xml:space="preserve">Foreign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pPr>
            <w:r>
              <w:rPr/>
              <w:t xml:space="preserve">Income (loss) before income taxes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182,656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125,714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8" w:space="0" w:color="000000"/>
            </w:tcBorders>
            <w:shd w:fill="CCEEFF" w:val="clear"/>
            <w:tcMar>
              <w:bottom w:w="28" w:type="dxa"/>
            </w:tcMar>
            <w:vAlign w:val="center"/>
          </w:tcPr>
          <w:p>
            <w:pPr>
              <w:pStyle w:val="TableContents"/>
              <w:bidi w:val="0"/>
              <w:spacing w:before="0" w:after="283"/>
              <w:jc w:val="right"/>
              <w:rPr/>
            </w:pPr>
            <w:r>
              <w:rPr/>
              <w:t>(28,239</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components of the Company’s income tax expense (benefit) are as follows: </w:t>
      </w:r>
    </w:p>
    <w:p>
      <w:pPr>
        <w:pStyle w:val="TextBody"/>
        <w:bidi w:val="0"/>
        <w:spacing w:before="0" w:after="0"/>
        <w:jc w:val="left"/>
        <w:rPr/>
      </w:pPr>
      <w:r>
        <w:rPr/>
        <w:t xml:space="preserve">  </w:t>
      </w:r>
    </w:p>
    <w:tbl>
      <w:tblPr>
        <w:tblW w:w="6924" w:type="dxa"/>
        <w:jc w:val="left"/>
        <w:tblInd w:w="0" w:type="dxa"/>
        <w:tblLayout w:type="fixed"/>
        <w:tblCellMar>
          <w:top w:w="0" w:type="dxa"/>
          <w:left w:w="0" w:type="dxa"/>
          <w:bottom w:w="0" w:type="dxa"/>
          <w:right w:w="0" w:type="dxa"/>
        </w:tblCellMar>
      </w:tblPr>
      <w:tblGrid>
        <w:gridCol w:w="1828"/>
        <w:gridCol w:w="1566"/>
        <w:gridCol w:w="90"/>
        <w:gridCol w:w="170"/>
        <w:gridCol w:w="710"/>
        <w:gridCol w:w="90"/>
        <w:gridCol w:w="90"/>
        <w:gridCol w:w="170"/>
        <w:gridCol w:w="785"/>
        <w:gridCol w:w="185"/>
        <w:gridCol w:w="90"/>
        <w:gridCol w:w="170"/>
        <w:gridCol w:w="845"/>
        <w:gridCol w:w="135"/>
      </w:tblGrid>
      <w:tr>
        <w:trPr/>
        <w:tc>
          <w:tcPr>
            <w:tcW w:w="1828"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28"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3305"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w:t>
            </w:r>
            <w:r>
              <w:rPr/>
              <w:t xml:space="preserve"> </w:t>
            </w:r>
          </w:p>
        </w:tc>
        <w:tc>
          <w:tcPr>
            <w:tcW w:w="135" w:type="dxa"/>
            <w:tcBorders/>
            <w:vAlign w:val="center"/>
          </w:tcPr>
          <w:p>
            <w:pPr>
              <w:pStyle w:val="TableContents"/>
              <w:bidi w:val="0"/>
              <w:spacing w:before="0" w:after="283"/>
              <w:jc w:val="center"/>
              <w:rPr/>
            </w:pPr>
            <w:r>
              <w:rPr/>
              <w:t> </w:t>
            </w:r>
          </w:p>
        </w:tc>
      </w:tr>
      <w:tr>
        <w:trPr/>
        <w:tc>
          <w:tcPr>
            <w:tcW w:w="1828"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135" w:type="dxa"/>
            <w:tcBorders/>
            <w:vAlign w:val="center"/>
          </w:tcPr>
          <w:p>
            <w:pPr>
              <w:pStyle w:val="TableContents"/>
              <w:bidi w:val="0"/>
              <w:spacing w:before="0" w:after="283"/>
              <w:jc w:val="center"/>
              <w:rPr/>
            </w:pPr>
            <w:r>
              <w:rPr/>
              <w:t> </w:t>
            </w:r>
          </w:p>
        </w:tc>
      </w:tr>
      <w:tr>
        <w:trPr/>
        <w:tc>
          <w:tcPr>
            <w:tcW w:w="1828"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left"/>
              <w:rPr/>
            </w:pPr>
            <w:r>
              <w:rPr/>
              <w:t> </w:t>
            </w:r>
          </w:p>
        </w:tc>
        <w:tc>
          <w:tcPr>
            <w:tcW w:w="3530" w:type="dxa"/>
            <w:gridSpan w:val="12"/>
            <w:tcBorders/>
            <w:vAlign w:val="center"/>
          </w:tcPr>
          <w:p>
            <w:pPr>
              <w:pStyle w:val="TableContents"/>
              <w:bidi w:val="0"/>
              <w:spacing w:before="0" w:after="283"/>
              <w:jc w:val="center"/>
              <w:rPr/>
            </w:pPr>
            <w:r>
              <w:rPr>
                <w:i/>
              </w:rPr>
              <w:t>(in thousands)</w:t>
            </w:r>
            <w:r>
              <w:rPr/>
              <w:t xml:space="preserve"> </w:t>
            </w:r>
          </w:p>
        </w:tc>
      </w:tr>
      <w:tr>
        <w:trPr/>
        <w:tc>
          <w:tcPr>
            <w:tcW w:w="3394" w:type="dxa"/>
            <w:gridSpan w:val="2"/>
            <w:tcBorders/>
            <w:vAlign w:val="center"/>
          </w:tcPr>
          <w:p>
            <w:pPr>
              <w:pStyle w:val="TableContents"/>
              <w:bidi w:val="0"/>
              <w:spacing w:before="0" w:after="0"/>
              <w:ind w:left="0" w:right="0" w:hanging="144"/>
              <w:jc w:val="left"/>
              <w:rPr/>
            </w:pPr>
            <w:r>
              <w:rPr/>
              <w:t xml:space="preserve">Current: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394" w:type="dxa"/>
            <w:gridSpan w:val="2"/>
            <w:tcBorders/>
            <w:shd w:fill="CCEEFF" w:val="clear"/>
            <w:vAlign w:val="center"/>
          </w:tcPr>
          <w:p>
            <w:pPr>
              <w:pStyle w:val="TableContents"/>
              <w:bidi w:val="0"/>
              <w:spacing w:before="0" w:after="0"/>
              <w:jc w:val="left"/>
              <w:rPr/>
            </w:pPr>
            <w:r>
              <w:rPr/>
              <w:t xml:space="preserve">Federal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21,926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10,434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          </w:t>
            </w: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3394" w:type="dxa"/>
            <w:gridSpan w:val="2"/>
            <w:tcBorders/>
            <w:vAlign w:val="center"/>
          </w:tcPr>
          <w:p>
            <w:pPr>
              <w:pStyle w:val="TableContents"/>
              <w:bidi w:val="0"/>
              <w:spacing w:before="0" w:after="0"/>
              <w:jc w:val="left"/>
              <w:rPr/>
            </w:pPr>
            <w:r>
              <w:rPr/>
              <w:t xml:space="preserve">State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2,780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1,887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394" w:type="dxa"/>
            <w:gridSpan w:val="2"/>
            <w:tcBorders/>
            <w:shd w:fill="CCEEFF" w:val="clear"/>
            <w:vAlign w:val="center"/>
          </w:tcPr>
          <w:p>
            <w:pPr>
              <w:pStyle w:val="TableContents"/>
              <w:bidi w:val="0"/>
              <w:spacing w:before="0" w:after="0"/>
              <w:jc w:val="left"/>
              <w:rPr/>
            </w:pPr>
            <w:r>
              <w:rPr/>
              <w:t xml:space="preserve">Total current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24,706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12,321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3394" w:type="dxa"/>
            <w:gridSpan w:val="2"/>
            <w:tcBorders/>
            <w:vAlign w:val="center"/>
          </w:tcPr>
          <w:p>
            <w:pPr>
              <w:pStyle w:val="TableContents"/>
              <w:bidi w:val="0"/>
              <w:spacing w:before="0" w:after="0"/>
              <w:ind w:left="0" w:right="0" w:hanging="144"/>
              <w:jc w:val="left"/>
              <w:rPr/>
            </w:pPr>
            <w:r>
              <w:rPr/>
              <w:t xml:space="preserve">Deferred: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4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right"/>
              <w:rPr/>
            </w:pPr>
            <w:r>
              <w:rPr/>
              <w:t> </w:t>
            </w:r>
          </w:p>
        </w:tc>
      </w:tr>
      <w:tr>
        <w:trPr/>
        <w:tc>
          <w:tcPr>
            <w:tcW w:w="3394" w:type="dxa"/>
            <w:gridSpan w:val="2"/>
            <w:tcBorders/>
            <w:shd w:fill="CCEEFF" w:val="clear"/>
            <w:vAlign w:val="center"/>
          </w:tcPr>
          <w:p>
            <w:pPr>
              <w:pStyle w:val="TableContents"/>
              <w:bidi w:val="0"/>
              <w:spacing w:before="0" w:after="0"/>
              <w:jc w:val="left"/>
              <w:rPr/>
            </w:pPr>
            <w:r>
              <w:rPr/>
              <w:t xml:space="preserve">Federal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9,383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(72,858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3394" w:type="dxa"/>
            <w:gridSpan w:val="2"/>
            <w:tcBorders/>
            <w:vAlign w:val="center"/>
          </w:tcPr>
          <w:p>
            <w:pPr>
              <w:pStyle w:val="TableContents"/>
              <w:bidi w:val="0"/>
              <w:spacing w:before="0" w:after="0"/>
              <w:jc w:val="left"/>
              <w:rPr/>
            </w:pPr>
            <w:r>
              <w:rPr/>
              <w:t xml:space="preserve">State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1,637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(11,422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394" w:type="dxa"/>
            <w:gridSpan w:val="2"/>
            <w:tcBorders/>
            <w:shd w:fill="CCEEFF" w:val="clear"/>
            <w:vAlign w:val="center"/>
          </w:tcPr>
          <w:p>
            <w:pPr>
              <w:pStyle w:val="TableContents"/>
              <w:bidi w:val="0"/>
              <w:spacing w:before="0" w:after="0"/>
              <w:jc w:val="left"/>
              <w:rPr/>
            </w:pPr>
            <w:r>
              <w:rPr/>
              <w:t xml:space="preserve">Total deferred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11,020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(84,280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3394" w:type="dxa"/>
            <w:gridSpan w:val="2"/>
            <w:tcBorders/>
            <w:vAlign w:val="center"/>
          </w:tcPr>
          <w:p>
            <w:pPr>
              <w:pStyle w:val="TableContents"/>
              <w:bidi w:val="0"/>
              <w:spacing w:before="0" w:after="0"/>
              <w:ind w:left="0" w:right="0" w:hanging="144"/>
              <w:jc w:val="left"/>
              <w:rPr/>
            </w:pPr>
            <w:r>
              <w:rPr/>
              <w:t xml:space="preserve">Total income tax expense (benefit)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35,726</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85" w:type="dxa"/>
            <w:tcBorders>
              <w:bottom w:val="double" w:sz="8" w:space="0" w:color="000000"/>
            </w:tcBorders>
            <w:tcMar>
              <w:bottom w:w="28" w:type="dxa"/>
            </w:tcMar>
            <w:vAlign w:val="center"/>
          </w:tcPr>
          <w:p>
            <w:pPr>
              <w:pStyle w:val="TableContents"/>
              <w:bidi w:val="0"/>
              <w:spacing w:before="0" w:after="283"/>
              <w:jc w:val="right"/>
              <w:rPr/>
            </w:pPr>
            <w:r>
              <w:rPr/>
              <w:t>(71,959</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45" w:type="dxa"/>
            <w:tcBorders>
              <w:bottom w:val="double" w:sz="8" w:space="0" w:color="000000"/>
            </w:tcBorders>
            <w:tcMar>
              <w:bottom w:w="28" w:type="dxa"/>
            </w:tcMar>
            <w:vAlign w:val="center"/>
          </w:tcPr>
          <w:p>
            <w:pPr>
              <w:pStyle w:val="TableContents"/>
              <w:bidi w:val="0"/>
              <w:spacing w:before="0" w:after="283"/>
              <w:jc w:val="right"/>
              <w:rPr/>
            </w:pPr>
            <w:r>
              <w:rPr/>
              <w:t>          </w:t>
            </w:r>
            <w:r>
              <w:rPr/>
              <w:t xml:space="preserve">- </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is a reconciliation of the U.S. federal statutory rate to the Company’s effective rate for the year ended December 31, 2025 in accordance with the guidance in ASU No. 2023-09: </w:t>
      </w:r>
    </w:p>
    <w:p>
      <w:pPr>
        <w:pStyle w:val="TextBody"/>
        <w:bidi w:val="0"/>
        <w:spacing w:before="0" w:after="0"/>
        <w:jc w:val="left"/>
        <w:rPr/>
      </w:pPr>
      <w:r>
        <w:rPr/>
        <w:t xml:space="preserve">  </w:t>
      </w:r>
    </w:p>
    <w:tbl>
      <w:tblPr>
        <w:tblW w:w="8564" w:type="dxa"/>
        <w:jc w:val="left"/>
        <w:tblInd w:w="0" w:type="dxa"/>
        <w:tblLayout w:type="fixed"/>
        <w:tblCellMar>
          <w:top w:w="0" w:type="dxa"/>
          <w:left w:w="0" w:type="dxa"/>
          <w:bottom w:w="0" w:type="dxa"/>
          <w:right w:w="0" w:type="dxa"/>
        </w:tblCellMar>
      </w:tblPr>
      <w:tblGrid>
        <w:gridCol w:w="5390"/>
        <w:gridCol w:w="90"/>
        <w:gridCol w:w="170"/>
        <w:gridCol w:w="1460"/>
        <w:gridCol w:w="185"/>
        <w:gridCol w:w="90"/>
        <w:gridCol w:w="142"/>
        <w:gridCol w:w="747"/>
        <w:gridCol w:w="290"/>
      </w:tblGrid>
      <w:tr>
        <w:trPr/>
        <w:tc>
          <w:tcPr>
            <w:tcW w:w="5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0" w:type="dxa"/>
            <w:gridSpan w:val="2"/>
            <w:tcBorders>
              <w:bottom w:val="single" w:sz="12"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pPr>
            <w:r>
              <w:rPr>
                <w:b/>
              </w:rPr>
              <w:t>Percent</w:t>
            </w:r>
            <w:r>
              <w:rPr/>
              <w:t xml:space="preserve"> </w:t>
            </w:r>
          </w:p>
        </w:tc>
        <w:tc>
          <w:tcPr>
            <w:tcW w:w="290" w:type="dxa"/>
            <w:tcBorders/>
            <w:vAlign w:val="center"/>
          </w:tcPr>
          <w:p>
            <w:pPr>
              <w:pStyle w:val="TableContents"/>
              <w:bidi w:val="0"/>
              <w:spacing w:before="0" w:after="283"/>
              <w:jc w:val="center"/>
              <w:rPr/>
            </w:pPr>
            <w:r>
              <w:rPr/>
              <w:t> </w:t>
            </w:r>
          </w:p>
        </w:tc>
      </w:tr>
      <w:tr>
        <w:trPr/>
        <w:tc>
          <w:tcPr>
            <w:tcW w:w="5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460" w:type="dxa"/>
            <w:tcBorders/>
            <w:vAlign w:val="center"/>
          </w:tcPr>
          <w:p>
            <w:pPr>
              <w:pStyle w:val="TableContents"/>
              <w:bidi w:val="0"/>
              <w:spacing w:before="0" w:after="283"/>
              <w:jc w:val="center"/>
              <w:rPr/>
            </w:pPr>
            <w:r>
              <w:rPr>
                <w:i/>
              </w:rPr>
              <w:t>(in thousands)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center"/>
              <w:rPr/>
            </w:pPr>
            <w:r>
              <w:rPr/>
              <w:t> </w:t>
            </w:r>
          </w:p>
        </w:tc>
        <w:tc>
          <w:tcPr>
            <w:tcW w:w="747" w:type="dxa"/>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center"/>
              <w:rPr/>
            </w:pPr>
            <w:r>
              <w:rPr/>
              <w:t> </w:t>
            </w:r>
          </w:p>
        </w:tc>
      </w:tr>
      <w:tr>
        <w:trPr/>
        <w:tc>
          <w:tcPr>
            <w:tcW w:w="5390" w:type="dxa"/>
            <w:tcBorders/>
            <w:shd w:fill="CCEEFF" w:val="clear"/>
            <w:vAlign w:val="center"/>
          </w:tcPr>
          <w:p>
            <w:pPr>
              <w:pStyle w:val="TableContents"/>
              <w:bidi w:val="0"/>
              <w:spacing w:before="0" w:after="0"/>
              <w:ind w:left="0" w:right="0" w:hanging="144"/>
              <w:jc w:val="left"/>
              <w:rPr/>
            </w:pPr>
            <w:r>
              <w:rPr/>
              <w:t xml:space="preserve">Tax expense at U.S. federal statutory rate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38,358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w:t>
            </w:r>
          </w:p>
        </w:tc>
      </w:tr>
      <w:tr>
        <w:trPr/>
        <w:tc>
          <w:tcPr>
            <w:tcW w:w="5390" w:type="dxa"/>
            <w:tcBorders/>
            <w:vAlign w:val="center"/>
          </w:tcPr>
          <w:p>
            <w:pPr>
              <w:pStyle w:val="TableContents"/>
              <w:bidi w:val="0"/>
              <w:spacing w:before="0" w:after="0"/>
              <w:ind w:left="0" w:right="0" w:hanging="144"/>
              <w:jc w:val="left"/>
              <w:rPr/>
            </w:pPr>
            <w:r>
              <w:rPr/>
              <w:t>State taxes, net of federal benefit (1)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3,834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2.1</w:t>
            </w:r>
          </w:p>
        </w:tc>
        <w:tc>
          <w:tcPr>
            <w:tcW w:w="290" w:type="dxa"/>
            <w:tcBorders/>
            <w:vAlign w:val="center"/>
          </w:tcPr>
          <w:p>
            <w:pPr>
              <w:pStyle w:val="TableContents"/>
              <w:bidi w:val="0"/>
              <w:spacing w:before="0" w:after="283"/>
              <w:jc w:val="left"/>
              <w:rPr/>
            </w:pPr>
            <w:r>
              <w:rPr/>
              <w:t>%</w:t>
            </w:r>
          </w:p>
        </w:tc>
      </w:tr>
      <w:tr>
        <w:trPr/>
        <w:tc>
          <w:tcPr>
            <w:tcW w:w="5390" w:type="dxa"/>
            <w:tcBorders/>
            <w:shd w:fill="CCEEFF" w:val="clear"/>
            <w:vAlign w:val="center"/>
          </w:tcPr>
          <w:p>
            <w:pPr>
              <w:pStyle w:val="TableContents"/>
              <w:bidi w:val="0"/>
              <w:spacing w:before="0" w:after="0"/>
              <w:ind w:left="0" w:right="0" w:hanging="144"/>
              <w:jc w:val="left"/>
              <w:rPr/>
            </w:pPr>
            <w:r>
              <w:rPr/>
              <w:t xml:space="preserve">Nontaxable or Nondeductible Items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6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right"/>
              <w:rPr/>
            </w:pPr>
            <w:r>
              <w:rPr/>
              <w:t> </w:t>
            </w:r>
          </w:p>
        </w:tc>
        <w:tc>
          <w:tcPr>
            <w:tcW w:w="74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right"/>
              <w:rPr/>
            </w:pPr>
            <w:r>
              <w:rPr/>
              <w:t> </w:t>
            </w:r>
          </w:p>
        </w:tc>
      </w:tr>
      <w:tr>
        <w:trPr/>
        <w:tc>
          <w:tcPr>
            <w:tcW w:w="5390" w:type="dxa"/>
            <w:tcBorders/>
            <w:vAlign w:val="center"/>
          </w:tcPr>
          <w:p>
            <w:pPr>
              <w:pStyle w:val="TableContents"/>
              <w:bidi w:val="0"/>
              <w:spacing w:before="0" w:after="0"/>
              <w:jc w:val="left"/>
              <w:rPr/>
            </w:pPr>
            <w:r>
              <w:rPr/>
              <w:t xml:space="preserve">Nondeductible executive compensation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2,799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1.5</w:t>
            </w:r>
          </w:p>
        </w:tc>
        <w:tc>
          <w:tcPr>
            <w:tcW w:w="290" w:type="dxa"/>
            <w:tcBorders/>
            <w:vAlign w:val="center"/>
          </w:tcPr>
          <w:p>
            <w:pPr>
              <w:pStyle w:val="TableContents"/>
              <w:bidi w:val="0"/>
              <w:spacing w:before="0" w:after="283"/>
              <w:jc w:val="left"/>
              <w:rPr/>
            </w:pPr>
            <w:r>
              <w:rPr/>
              <w:t>%</w:t>
            </w:r>
          </w:p>
        </w:tc>
      </w:tr>
      <w:tr>
        <w:trPr/>
        <w:tc>
          <w:tcPr>
            <w:tcW w:w="5390" w:type="dxa"/>
            <w:tcBorders/>
            <w:shd w:fill="CCEEFF" w:val="clear"/>
            <w:vAlign w:val="center"/>
          </w:tcPr>
          <w:p>
            <w:pPr>
              <w:pStyle w:val="TableContents"/>
              <w:bidi w:val="0"/>
              <w:spacing w:before="0" w:after="0"/>
              <w:jc w:val="left"/>
              <w:rPr/>
            </w:pPr>
            <w:r>
              <w:rPr/>
              <w:t xml:space="preserve">Excess tax benefits related to stock-based compensation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(7,998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-4.3</w:t>
            </w:r>
          </w:p>
        </w:tc>
        <w:tc>
          <w:tcPr>
            <w:tcW w:w="290" w:type="dxa"/>
            <w:tcBorders/>
            <w:shd w:fill="CCEEFF" w:val="clear"/>
            <w:vAlign w:val="center"/>
          </w:tcPr>
          <w:p>
            <w:pPr>
              <w:pStyle w:val="TableContents"/>
              <w:bidi w:val="0"/>
              <w:spacing w:before="0" w:after="283"/>
              <w:jc w:val="left"/>
              <w:rPr/>
            </w:pPr>
            <w:r>
              <w:rPr/>
              <w:t>%</w:t>
            </w:r>
          </w:p>
        </w:tc>
      </w:tr>
      <w:tr>
        <w:trPr/>
        <w:tc>
          <w:tcPr>
            <w:tcW w:w="5390" w:type="dxa"/>
            <w:tcBorders/>
            <w:vAlign w:val="center"/>
          </w:tcPr>
          <w:p>
            <w:pPr>
              <w:pStyle w:val="TableContents"/>
              <w:bidi w:val="0"/>
              <w:spacing w:before="0" w:after="0"/>
              <w:ind w:left="0" w:right="0" w:hanging="144"/>
              <w:jc w:val="left"/>
              <w:rPr/>
            </w:pPr>
            <w:r>
              <w:rPr/>
              <w:t xml:space="preserve">Tax credits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(1,883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-1.0</w:t>
            </w:r>
          </w:p>
        </w:tc>
        <w:tc>
          <w:tcPr>
            <w:tcW w:w="290" w:type="dxa"/>
            <w:tcBorders/>
            <w:vAlign w:val="center"/>
          </w:tcPr>
          <w:p>
            <w:pPr>
              <w:pStyle w:val="TableContents"/>
              <w:bidi w:val="0"/>
              <w:spacing w:before="0" w:after="283"/>
              <w:jc w:val="left"/>
              <w:rPr/>
            </w:pPr>
            <w:r>
              <w:rPr/>
              <w:t>%</w:t>
            </w:r>
          </w:p>
        </w:tc>
      </w:tr>
      <w:tr>
        <w:trPr/>
        <w:tc>
          <w:tcPr>
            <w:tcW w:w="5390" w:type="dxa"/>
            <w:tcBorders/>
            <w:shd w:fill="CCEEFF" w:val="clear"/>
            <w:vAlign w:val="center"/>
          </w:tcPr>
          <w:p>
            <w:pPr>
              <w:pStyle w:val="TableContents"/>
              <w:bidi w:val="0"/>
              <w:spacing w:before="0" w:after="0"/>
              <w:ind w:left="0" w:right="0" w:hanging="144"/>
              <w:jc w:val="left"/>
              <w:rPr/>
            </w:pPr>
            <w:r>
              <w:rPr/>
              <w:t xml:space="preserve">Change in valuation allowance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w:t>
            </w:r>
          </w:p>
        </w:tc>
      </w:tr>
      <w:tr>
        <w:trPr/>
        <w:tc>
          <w:tcPr>
            <w:tcW w:w="5390" w:type="dxa"/>
            <w:tcBorders/>
            <w:vAlign w:val="center"/>
          </w:tcPr>
          <w:p>
            <w:pPr>
              <w:pStyle w:val="TableContents"/>
              <w:bidi w:val="0"/>
              <w:spacing w:before="0" w:after="0"/>
              <w:ind w:left="0" w:right="0" w:hanging="144"/>
              <w:jc w:val="left"/>
              <w:rPr/>
            </w:pPr>
            <w:r>
              <w:rPr/>
              <w:t xml:space="preserve">Other Adjustments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6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right"/>
              <w:rPr/>
            </w:pPr>
            <w:r>
              <w:rPr/>
              <w:t> </w:t>
            </w:r>
          </w:p>
        </w:tc>
        <w:tc>
          <w:tcPr>
            <w:tcW w:w="74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right"/>
              <w:rPr/>
            </w:pPr>
            <w:r>
              <w:rPr/>
              <w:t> </w:t>
            </w:r>
          </w:p>
        </w:tc>
      </w:tr>
      <w:tr>
        <w:trPr/>
        <w:tc>
          <w:tcPr>
            <w:tcW w:w="5390" w:type="dxa"/>
            <w:tcBorders/>
            <w:shd w:fill="CCEEFF" w:val="clear"/>
            <w:vAlign w:val="center"/>
          </w:tcPr>
          <w:p>
            <w:pPr>
              <w:pStyle w:val="TableContents"/>
              <w:bidi w:val="0"/>
              <w:spacing w:before="0" w:after="0"/>
              <w:jc w:val="left"/>
              <w:rPr/>
            </w:pPr>
            <w:r>
              <w:rPr/>
              <w:t xml:space="preserve">Other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pPr>
            <w:r>
              <w:rPr/>
              <w:t>616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7" w:type="dxa"/>
            <w:tcBorders>
              <w:bottom w:val="single" w:sz="12" w:space="0" w:color="000000"/>
            </w:tcBorders>
            <w:shd w:fill="CCEEFF" w:val="clear"/>
            <w:tcMar>
              <w:bottom w:w="28" w:type="dxa"/>
            </w:tcMar>
            <w:vAlign w:val="center"/>
          </w:tcPr>
          <w:p>
            <w:pPr>
              <w:pStyle w:val="TableContents"/>
              <w:bidi w:val="0"/>
              <w:spacing w:before="0" w:after="283"/>
              <w:jc w:val="right"/>
              <w:rPr/>
            </w:pPr>
            <w:r>
              <w:rPr/>
              <w:t>0.3</w:t>
            </w:r>
          </w:p>
        </w:tc>
        <w:tc>
          <w:tcPr>
            <w:tcW w:w="290" w:type="dxa"/>
            <w:tcBorders/>
            <w:shd w:fill="CCEEFF" w:val="clear"/>
            <w:vAlign w:val="center"/>
          </w:tcPr>
          <w:p>
            <w:pPr>
              <w:pStyle w:val="TableContents"/>
              <w:bidi w:val="0"/>
              <w:spacing w:before="0" w:after="283"/>
              <w:jc w:val="left"/>
              <w:rPr/>
            </w:pPr>
            <w:r>
              <w:rPr/>
              <w:t>%</w:t>
            </w:r>
          </w:p>
        </w:tc>
      </w:tr>
      <w:tr>
        <w:trPr/>
        <w:tc>
          <w:tcPr>
            <w:tcW w:w="5390" w:type="dxa"/>
            <w:tcBorders/>
            <w:vAlign w:val="center"/>
          </w:tcPr>
          <w:p>
            <w:pPr>
              <w:pStyle w:val="TableContents"/>
              <w:bidi w:val="0"/>
              <w:spacing w:before="0" w:after="0"/>
              <w:ind w:left="0" w:right="0" w:hanging="144"/>
              <w:jc w:val="left"/>
              <w:rPr/>
            </w:pPr>
            <w:r>
              <w:rPr/>
              <w:t xml:space="preserve">Income tax expense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460" w:type="dxa"/>
            <w:tcBorders>
              <w:bottom w:val="double" w:sz="8" w:space="0" w:color="000000"/>
            </w:tcBorders>
            <w:tcMar>
              <w:bottom w:w="28" w:type="dxa"/>
            </w:tcMar>
            <w:vAlign w:val="center"/>
          </w:tcPr>
          <w:p>
            <w:pPr>
              <w:pStyle w:val="TableContents"/>
              <w:bidi w:val="0"/>
              <w:spacing w:before="0" w:after="283"/>
              <w:jc w:val="right"/>
              <w:rPr/>
            </w:pPr>
            <w:r>
              <w:rPr/>
              <w:t>35,726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42" w:type="dxa"/>
            <w:tcBorders>
              <w:bottom w:val="double" w:sz="8" w:space="0" w:color="000000"/>
            </w:tcBorders>
            <w:tcMar>
              <w:bottom w:w="28" w:type="dxa"/>
            </w:tcMar>
            <w:vAlign w:val="center"/>
          </w:tcPr>
          <w:p>
            <w:pPr>
              <w:pStyle w:val="TableContents"/>
              <w:bidi w:val="0"/>
              <w:spacing w:before="0" w:after="283"/>
              <w:jc w:val="left"/>
              <w:rPr/>
            </w:pPr>
            <w:r>
              <w:rPr/>
              <w:t> </w:t>
            </w:r>
          </w:p>
        </w:tc>
        <w:tc>
          <w:tcPr>
            <w:tcW w:w="747" w:type="dxa"/>
            <w:tcBorders>
              <w:bottom w:val="double" w:sz="8" w:space="0" w:color="000000"/>
            </w:tcBorders>
            <w:tcMar>
              <w:bottom w:w="28" w:type="dxa"/>
            </w:tcMar>
            <w:vAlign w:val="center"/>
          </w:tcPr>
          <w:p>
            <w:pPr>
              <w:pStyle w:val="TableContents"/>
              <w:bidi w:val="0"/>
              <w:spacing w:before="0" w:after="283"/>
              <w:jc w:val="right"/>
              <w:rPr/>
            </w:pPr>
            <w:r>
              <w:rPr/>
              <w:t>19.6</w:t>
            </w:r>
          </w:p>
        </w:tc>
        <w:tc>
          <w:tcPr>
            <w:tcW w:w="290" w:type="dxa"/>
            <w:tcBorders>
              <w:bottom w:val="single" w:sz="12"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jc w:val="center"/>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State taxes in Florida, Georgia, Illinois and North Carolina made up the majority (greater than 50%) of the tax effect in this category. </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228600" cy="171450"/>
                <wp:effectExtent l="0" t="0" r="0" b="0"/>
                <wp:wrapSquare wrapText="right"/>
                <wp:docPr id="220" name="Frame217"/>
                <a:graphic xmlns:a="http://schemas.openxmlformats.org/drawingml/2006/main">
                  <a:graphicData uri="http://schemas.microsoft.com/office/word/2010/wordprocessingShape">
                    <wps:wsp>
                      <wps:cNvSpPr txBox="1"/>
                      <wps:spPr>
                        <a:xfrm>
                          <a:off x="0" y="0"/>
                          <a:ext cx="228600" cy="171450"/>
                        </a:xfrm>
                        <a:prstGeom prst="rect"/>
                        <a:solidFill>
                          <a:srgbClr val="FFFFFF"/>
                        </a:solidFill>
                      </wps:spPr>
                      <wps:txbx>
                        <w:txbxContent>
                          <w:p>
                            <w:pPr>
                              <w:pStyle w:val="TextBody"/>
                              <w:bidi w:val="0"/>
                              <w:spacing w:before="0" w:after="283"/>
                              <w:jc w:val="left"/>
                              <w:rPr>
                                <w:position w:val="7"/>
                                <w:sz w:val="16"/>
                                <w:sz w:val="20"/>
                              </w:rPr>
                            </w:pPr>
                            <w:r>
                              <w:rPr>
                                <w:position w:val="7"/>
                                <w:sz w:val="16"/>
                                <w:sz w:val="20"/>
                              </w:rPr>
                              <w:t xml:space="preserve">(1) </w:t>
                            </w:r>
                          </w:p>
                        </w:txbxContent>
                      </wps:txbx>
                      <wps:bodyPr anchor="t" lIns="0" tIns="0" rIns="0" bIns="0">
                        <a:noAutofit/>
                      </wps:bodyPr>
                    </wps:wsp>
                  </a:graphicData>
                </a:graphic>
              </wp:anchor>
            </w:drawing>
          </mc:Choice>
          <mc:Fallback>
            <w:pict>
              <v:rect style="position:absolute;rotation:-0;width:18pt;height: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osition w:val="7"/>
                          <w:sz w:val="16"/>
                          <w:sz w:val="20"/>
                        </w:rPr>
                      </w:pPr>
                      <w:r>
                        <w:rPr>
                          <w:position w:val="7"/>
                          <w:sz w:val="16"/>
                          <w:sz w:val="20"/>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F-26</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is a reconciliation of the U.S. federal statutory rate to the Company’s effective rate for the years ended December 31, 2024 and 2023 in accordance with the guidance prior to the adoption of ASU 2023-09: </w:t>
      </w:r>
    </w:p>
    <w:p>
      <w:pPr>
        <w:pStyle w:val="TextBody"/>
        <w:bidi w:val="0"/>
        <w:spacing w:before="0" w:after="0"/>
        <w:jc w:val="left"/>
        <w:rPr/>
      </w:pPr>
      <w:r>
        <w:rPr/>
        <w:t xml:space="preserve">  </w:t>
      </w:r>
    </w:p>
    <w:tbl>
      <w:tblPr>
        <w:tblW w:w="8607" w:type="dxa"/>
        <w:jc w:val="left"/>
        <w:tblInd w:w="0" w:type="dxa"/>
        <w:tblLayout w:type="fixed"/>
        <w:tblCellMar>
          <w:top w:w="0" w:type="dxa"/>
          <w:left w:w="0" w:type="dxa"/>
          <w:bottom w:w="0" w:type="dxa"/>
          <w:right w:w="0" w:type="dxa"/>
        </w:tblCellMar>
      </w:tblPr>
      <w:tblGrid>
        <w:gridCol w:w="5390"/>
        <w:gridCol w:w="90"/>
        <w:gridCol w:w="219"/>
        <w:gridCol w:w="1014"/>
        <w:gridCol w:w="238"/>
        <w:gridCol w:w="116"/>
        <w:gridCol w:w="219"/>
        <w:gridCol w:w="1091"/>
        <w:gridCol w:w="230"/>
      </w:tblGrid>
      <w:tr>
        <w:trPr/>
        <w:tc>
          <w:tcPr>
            <w:tcW w:w="5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7"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Years Ended December 31,</w:t>
            </w:r>
            <w:r>
              <w:rPr/>
              <w:t xml:space="preserve"> </w:t>
            </w:r>
          </w:p>
        </w:tc>
        <w:tc>
          <w:tcPr>
            <w:tcW w:w="230" w:type="dxa"/>
            <w:tcBorders/>
            <w:vAlign w:val="center"/>
          </w:tcPr>
          <w:p>
            <w:pPr>
              <w:pStyle w:val="TableContents"/>
              <w:bidi w:val="0"/>
              <w:spacing w:before="0" w:after="283"/>
              <w:jc w:val="center"/>
              <w:rPr/>
            </w:pPr>
            <w:r>
              <w:rPr/>
              <w:t> </w:t>
            </w:r>
          </w:p>
        </w:tc>
      </w:tr>
      <w:tr>
        <w:trPr/>
        <w:tc>
          <w:tcPr>
            <w:tcW w:w="5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4" w:type="dxa"/>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238" w:type="dxa"/>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center"/>
              <w:rPr/>
            </w:pPr>
            <w:r>
              <w:rPr/>
              <w:t> </w:t>
            </w:r>
          </w:p>
        </w:tc>
        <w:tc>
          <w:tcPr>
            <w:tcW w:w="219"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91" w:type="dxa"/>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230" w:type="dxa"/>
            <w:tcBorders/>
            <w:vAlign w:val="center"/>
          </w:tcPr>
          <w:p>
            <w:pPr>
              <w:pStyle w:val="TableContents"/>
              <w:bidi w:val="0"/>
              <w:spacing w:before="0" w:after="283"/>
              <w:jc w:val="center"/>
              <w:rPr/>
            </w:pPr>
            <w:r>
              <w:rPr/>
              <w:t> </w:t>
            </w:r>
          </w:p>
        </w:tc>
      </w:tr>
      <w:tr>
        <w:trPr/>
        <w:tc>
          <w:tcPr>
            <w:tcW w:w="5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27" w:type="dxa"/>
            <w:gridSpan w:val="7"/>
            <w:tcBorders/>
            <w:vAlign w:val="center"/>
          </w:tcPr>
          <w:p>
            <w:pPr>
              <w:pStyle w:val="TableContents"/>
              <w:bidi w:val="0"/>
              <w:spacing w:before="0" w:after="283"/>
              <w:jc w:val="center"/>
              <w:rPr/>
            </w:pPr>
            <w:r>
              <w:rPr>
                <w:i/>
              </w:rPr>
              <w:t>(in thousands)</w:t>
            </w:r>
            <w:r>
              <w:rPr/>
              <w:t xml:space="preserve"> </w:t>
            </w:r>
          </w:p>
        </w:tc>
      </w:tr>
      <w:tr>
        <w:trPr/>
        <w:tc>
          <w:tcPr>
            <w:tcW w:w="5390" w:type="dxa"/>
            <w:tcBorders/>
            <w:shd w:fill="CCEEFF" w:val="clear"/>
            <w:vAlign w:val="center"/>
          </w:tcPr>
          <w:p>
            <w:pPr>
              <w:pStyle w:val="TableContents"/>
              <w:bidi w:val="0"/>
              <w:spacing w:before="0" w:after="0"/>
              <w:ind w:left="0" w:right="0" w:hanging="144"/>
              <w:jc w:val="left"/>
              <w:rPr/>
            </w:pPr>
            <w:r>
              <w:rPr/>
              <w:t xml:space="preserve">Tax expense (benefit) at U.S. federal statutory rate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014" w:type="dxa"/>
            <w:tcBorders/>
            <w:shd w:fill="CCEEFF" w:val="clear"/>
            <w:vAlign w:val="center"/>
          </w:tcPr>
          <w:p>
            <w:pPr>
              <w:pStyle w:val="TableContents"/>
              <w:bidi w:val="0"/>
              <w:spacing w:before="0" w:after="283"/>
              <w:jc w:val="right"/>
              <w:rPr/>
            </w:pPr>
            <w:r>
              <w:rPr/>
              <w:t>26,400</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(5,930</w:t>
            </w:r>
          </w:p>
        </w:tc>
        <w:tc>
          <w:tcPr>
            <w:tcW w:w="23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0"/>
              <w:ind w:left="0" w:right="0" w:hanging="144"/>
              <w:jc w:val="left"/>
              <w:rPr/>
            </w:pPr>
            <w:r>
              <w:rPr/>
              <w:t xml:space="preserve">State taxes, net of federal benefit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(9,931</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(763</w:t>
            </w:r>
          </w:p>
        </w:tc>
        <w:tc>
          <w:tcPr>
            <w:tcW w:w="23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0"/>
              <w:ind w:left="0" w:right="0" w:hanging="144"/>
              <w:jc w:val="left"/>
              <w:rPr/>
            </w:pPr>
            <w:r>
              <w:rPr/>
              <w:t xml:space="preserve">Non-deductible executive compensation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4,340</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983</w:t>
            </w:r>
          </w:p>
        </w:tc>
        <w:tc>
          <w:tcPr>
            <w:tcW w:w="23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0"/>
              <w:ind w:left="0" w:right="0" w:hanging="144"/>
              <w:jc w:val="left"/>
              <w:rPr/>
            </w:pPr>
            <w:r>
              <w:rPr/>
              <w:t xml:space="preserve">Excess tax benefits related to stock-based compensation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(5,661</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           </w:t>
            </w:r>
            <w:r>
              <w:rPr/>
              <w:t xml:space="preserve">- </w:t>
            </w:r>
          </w:p>
        </w:tc>
        <w:tc>
          <w:tcPr>
            <w:tcW w:w="23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0"/>
              <w:ind w:left="0" w:right="0" w:hanging="144"/>
              <w:jc w:val="left"/>
              <w:rPr/>
            </w:pPr>
            <w:r>
              <w:rPr/>
              <w:t xml:space="preserve">Change in valuation allowance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(87,969</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4,696</w:t>
            </w:r>
          </w:p>
        </w:tc>
        <w:tc>
          <w:tcPr>
            <w:tcW w:w="23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0"/>
              <w:ind w:left="0" w:right="0" w:hanging="144"/>
              <w:jc w:val="left"/>
              <w:rPr/>
            </w:pPr>
            <w:r>
              <w:rPr/>
              <w:t xml:space="preserve">Other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4" w:type="dxa"/>
            <w:tcBorders>
              <w:bottom w:val="single" w:sz="12" w:space="0" w:color="000000"/>
            </w:tcBorders>
            <w:tcMar>
              <w:bottom w:w="28" w:type="dxa"/>
            </w:tcMar>
            <w:vAlign w:val="center"/>
          </w:tcPr>
          <w:p>
            <w:pPr>
              <w:pStyle w:val="TableContents"/>
              <w:bidi w:val="0"/>
              <w:spacing w:before="0" w:after="283"/>
              <w:jc w:val="right"/>
              <w:rPr/>
            </w:pPr>
            <w:r>
              <w:rPr/>
              <w:t>862</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1" w:type="dxa"/>
            <w:tcBorders>
              <w:bottom w:val="single" w:sz="12" w:space="0" w:color="000000"/>
            </w:tcBorders>
            <w:tcMar>
              <w:bottom w:w="28" w:type="dxa"/>
            </w:tcMar>
            <w:vAlign w:val="center"/>
          </w:tcPr>
          <w:p>
            <w:pPr>
              <w:pStyle w:val="TableContents"/>
              <w:bidi w:val="0"/>
              <w:spacing w:before="0" w:after="283"/>
              <w:jc w:val="right"/>
              <w:rPr/>
            </w:pPr>
            <w:r>
              <w:rPr/>
              <w:t>1,014</w:t>
            </w:r>
          </w:p>
        </w:tc>
        <w:tc>
          <w:tcPr>
            <w:tcW w:w="23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0"/>
              <w:ind w:left="0" w:right="0" w:hanging="144"/>
              <w:jc w:val="left"/>
              <w:rPr/>
            </w:pPr>
            <w:r>
              <w:rPr/>
              <w:t xml:space="preserve">Income tax benefit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19"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14" w:type="dxa"/>
            <w:tcBorders>
              <w:bottom w:val="double" w:sz="8" w:space="0" w:color="000000"/>
            </w:tcBorders>
            <w:shd w:fill="CCEEFF" w:val="clear"/>
            <w:tcMar>
              <w:bottom w:w="28" w:type="dxa"/>
            </w:tcMar>
            <w:vAlign w:val="center"/>
          </w:tcPr>
          <w:p>
            <w:pPr>
              <w:pStyle w:val="TableContents"/>
              <w:bidi w:val="0"/>
              <w:spacing w:before="0" w:after="283"/>
              <w:jc w:val="right"/>
              <w:rPr/>
            </w:pPr>
            <w:r>
              <w:rPr/>
              <w:t>(71,959</w:t>
            </w:r>
          </w:p>
        </w:tc>
        <w:tc>
          <w:tcPr>
            <w:tcW w:w="238"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19"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91"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ind w:left="0" w:right="0" w:firstLine="705"/>
        <w:jc w:val="left"/>
        <w:rPr>
          <w:rFonts w:ascii="TimesNewRoman;Times New Roman;Times;Baskerville;Georgia;serif" w:hAnsi="TimesNewRoman;Times New Roman;Times;Baskerville;Georgia;serif"/>
          <w:spacing w:val="0"/>
          <w:sz w:val="20"/>
        </w:rPr>
      </w:pPr>
      <w:r>
        <w:rPr>
          <w:rFonts w:ascii="TimesNewRoman;Times New Roman;Times;Baskerville;Georgia;serif" w:hAnsi="TimesNewRoman;Times New Roman;Times;Baskerville;Georgia;serif"/>
          <w:spacing w:val="0"/>
          <w:sz w:val="20"/>
        </w:rPr>
        <w:t>The amounts of cash income taxes paid by the Company during the year ended December 31, 2025 were as follows:</w:t>
      </w:r>
    </w:p>
    <w:p>
      <w:pPr>
        <w:pStyle w:val="TextBody"/>
        <w:bidi w:val="0"/>
        <w:spacing w:before="0" w:after="0"/>
        <w:jc w:val="center"/>
        <w:rPr/>
      </w:pPr>
      <w:r>
        <w:rPr/>
        <w:t> </w:t>
      </w:r>
    </w:p>
    <w:tbl>
      <w:tblPr>
        <w:tblW w:w="4674" w:type="dxa"/>
        <w:jc w:val="left"/>
        <w:tblInd w:w="0" w:type="dxa"/>
        <w:tblLayout w:type="fixed"/>
        <w:tblCellMar>
          <w:top w:w="0" w:type="dxa"/>
          <w:left w:w="0" w:type="dxa"/>
          <w:bottom w:w="0" w:type="dxa"/>
          <w:right w:w="0" w:type="dxa"/>
        </w:tblCellMar>
      </w:tblPr>
      <w:tblGrid>
        <w:gridCol w:w="1595"/>
        <w:gridCol w:w="90"/>
        <w:gridCol w:w="170"/>
        <w:gridCol w:w="1460"/>
        <w:gridCol w:w="90"/>
        <w:gridCol w:w="90"/>
        <w:gridCol w:w="116"/>
        <w:gridCol w:w="773"/>
        <w:gridCol w:w="290"/>
      </w:tblGrid>
      <w:tr>
        <w:trPr/>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630" w:type="dxa"/>
            <w:gridSpan w:val="2"/>
            <w:tcBorders>
              <w:bottom w:val="single" w:sz="12"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pPr>
            <w:r>
              <w:rPr>
                <w:b/>
              </w:rPr>
              <w:t>Percent</w:t>
            </w:r>
            <w:r>
              <w:rPr/>
              <w:t xml:space="preserve"> </w:t>
            </w:r>
          </w:p>
        </w:tc>
        <w:tc>
          <w:tcPr>
            <w:tcW w:w="290" w:type="dxa"/>
            <w:tcBorders/>
            <w:vAlign w:val="center"/>
          </w:tcPr>
          <w:p>
            <w:pPr>
              <w:pStyle w:val="TableContents"/>
              <w:bidi w:val="0"/>
              <w:spacing w:before="0" w:after="283"/>
              <w:jc w:val="center"/>
              <w:rPr/>
            </w:pPr>
            <w:r>
              <w:rPr/>
              <w:t> </w:t>
            </w:r>
          </w:p>
        </w:tc>
      </w:tr>
      <w:tr>
        <w:trPr/>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460" w:type="dxa"/>
            <w:tcBorders/>
            <w:vAlign w:val="center"/>
          </w:tcPr>
          <w:p>
            <w:pPr>
              <w:pStyle w:val="TableContents"/>
              <w:bidi w:val="0"/>
              <w:spacing w:before="0" w:after="283"/>
              <w:jc w:val="center"/>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center"/>
              <w:rPr/>
            </w:pPr>
            <w:r>
              <w:rPr/>
              <w:t> </w:t>
            </w:r>
          </w:p>
        </w:tc>
        <w:tc>
          <w:tcPr>
            <w:tcW w:w="773" w:type="dxa"/>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center"/>
              <w:rPr/>
            </w:pPr>
            <w:r>
              <w:rPr/>
              <w:t> </w:t>
            </w:r>
          </w:p>
        </w:tc>
      </w:tr>
      <w:tr>
        <w:trPr/>
        <w:tc>
          <w:tcPr>
            <w:tcW w:w="1595" w:type="dxa"/>
            <w:tcBorders/>
            <w:shd w:fill="CCEEFF" w:val="clear"/>
            <w:vAlign w:val="center"/>
          </w:tcPr>
          <w:p>
            <w:pPr>
              <w:pStyle w:val="TableContents"/>
              <w:bidi w:val="0"/>
              <w:spacing w:before="0" w:after="0"/>
              <w:ind w:left="0" w:right="0" w:hanging="144"/>
              <w:jc w:val="left"/>
              <w:rPr/>
            </w:pPr>
            <w:r>
              <w:rPr/>
              <w:t xml:space="preserve">Federal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17,590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89.4</w:t>
            </w:r>
          </w:p>
        </w:tc>
        <w:tc>
          <w:tcPr>
            <w:tcW w:w="290" w:type="dxa"/>
            <w:tcBorders/>
            <w:shd w:fill="CCEEFF" w:val="clear"/>
            <w:vAlign w:val="center"/>
          </w:tcPr>
          <w:p>
            <w:pPr>
              <w:pStyle w:val="TableContents"/>
              <w:bidi w:val="0"/>
              <w:spacing w:before="0" w:after="283"/>
              <w:jc w:val="left"/>
              <w:rPr/>
            </w:pPr>
            <w:r>
              <w:rPr/>
              <w:t>%</w:t>
            </w:r>
          </w:p>
        </w:tc>
      </w:tr>
      <w:tr>
        <w:trPr/>
        <w:tc>
          <w:tcPr>
            <w:tcW w:w="1595" w:type="dxa"/>
            <w:tcBorders/>
            <w:vAlign w:val="center"/>
          </w:tcPr>
          <w:p>
            <w:pPr>
              <w:pStyle w:val="TableContents"/>
              <w:bidi w:val="0"/>
              <w:spacing w:before="0" w:after="0"/>
              <w:ind w:left="0" w:right="0" w:hanging="144"/>
              <w:jc w:val="left"/>
              <w:rPr/>
            </w:pPr>
            <w:r>
              <w:rPr/>
              <w:t xml:space="preserve">State and Local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tcMar>
              <w:bottom w:w="28" w:type="dxa"/>
            </w:tcMar>
            <w:vAlign w:val="center"/>
          </w:tcPr>
          <w:p>
            <w:pPr>
              <w:pStyle w:val="TableContents"/>
              <w:bidi w:val="0"/>
              <w:spacing w:before="0" w:after="283"/>
              <w:jc w:val="right"/>
              <w:rPr/>
            </w:pPr>
            <w:r>
              <w:rPr/>
              <w:t>2,093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16" w:type="dxa"/>
            <w:tcBorders>
              <w:bottom w:val="single" w:sz="12" w:space="0" w:color="000000"/>
            </w:tcBorders>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tcMar>
              <w:bottom w:w="28" w:type="dxa"/>
            </w:tcMar>
            <w:vAlign w:val="center"/>
          </w:tcPr>
          <w:p>
            <w:pPr>
              <w:pStyle w:val="TableContents"/>
              <w:bidi w:val="0"/>
              <w:spacing w:before="0" w:after="283"/>
              <w:jc w:val="right"/>
              <w:rPr/>
            </w:pPr>
            <w:r>
              <w:rPr/>
              <w:t>10.6</w:t>
            </w:r>
          </w:p>
        </w:tc>
        <w:tc>
          <w:tcPr>
            <w:tcW w:w="290" w:type="dxa"/>
            <w:tcBorders/>
            <w:vAlign w:val="center"/>
          </w:tcPr>
          <w:p>
            <w:pPr>
              <w:pStyle w:val="TableContents"/>
              <w:bidi w:val="0"/>
              <w:spacing w:before="0" w:after="283"/>
              <w:jc w:val="left"/>
              <w:rPr/>
            </w:pPr>
            <w:r>
              <w:rPr/>
              <w:t>%</w:t>
            </w:r>
          </w:p>
        </w:tc>
      </w:tr>
      <w:tr>
        <w:trPr/>
        <w:tc>
          <w:tcPr>
            <w:tcW w:w="1595" w:type="dxa"/>
            <w:tcBorders/>
            <w:shd w:fill="CCEEFF" w:val="clear"/>
            <w:vAlign w:val="center"/>
          </w:tcPr>
          <w:p>
            <w:pPr>
              <w:pStyle w:val="TableContents"/>
              <w:bidi w:val="0"/>
              <w:spacing w:before="0" w:after="0"/>
              <w:jc w:val="left"/>
              <w:rPr/>
            </w:pPr>
            <w:r>
              <w:rPr/>
              <w:t xml:space="preserve">Total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460" w:type="dxa"/>
            <w:tcBorders>
              <w:bottom w:val="double" w:sz="8" w:space="0" w:color="000000"/>
            </w:tcBorders>
            <w:shd w:fill="CCEEFF" w:val="clear"/>
            <w:tcMar>
              <w:bottom w:w="28" w:type="dxa"/>
            </w:tcMar>
            <w:vAlign w:val="center"/>
          </w:tcPr>
          <w:p>
            <w:pPr>
              <w:pStyle w:val="TableContents"/>
              <w:bidi w:val="0"/>
              <w:spacing w:before="0" w:after="283"/>
              <w:jc w:val="right"/>
              <w:rPr/>
            </w:pPr>
            <w:r>
              <w:rPr/>
              <w:t>19,683</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1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double" w:sz="8" w:space="0" w:color="000000"/>
            </w:tcBorders>
            <w:shd w:fill="CCEEFF" w:val="clear"/>
            <w:tcMar>
              <w:bottom w:w="28" w:type="dxa"/>
            </w:tcMar>
            <w:vAlign w:val="center"/>
          </w:tcPr>
          <w:p>
            <w:pPr>
              <w:pStyle w:val="TableContents"/>
              <w:bidi w:val="0"/>
              <w:spacing w:before="0" w:after="283"/>
              <w:jc w:val="right"/>
              <w:rPr/>
            </w:pPr>
            <w:r>
              <w:rPr/>
              <w:t>100.0</w:t>
            </w:r>
          </w:p>
        </w:tc>
        <w:tc>
          <w:tcPr>
            <w:tcW w:w="29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jc w:val="center"/>
        <w:rPr/>
      </w:pPr>
      <w:r>
        <w:rPr/>
        <w:t>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significant components of the Company’s net deferred tax assets are as follows: </w:t>
      </w:r>
    </w:p>
    <w:p>
      <w:pPr>
        <w:pStyle w:val="TextBody"/>
        <w:bidi w:val="0"/>
        <w:spacing w:before="0" w:after="0"/>
        <w:jc w:val="left"/>
        <w:rPr/>
      </w:pPr>
      <w:r>
        <w:rPr/>
        <w:t xml:space="preserve">  </w:t>
      </w:r>
    </w:p>
    <w:tbl>
      <w:tblPr>
        <w:tblW w:w="7932" w:type="dxa"/>
        <w:jc w:val="left"/>
        <w:tblInd w:w="0" w:type="dxa"/>
        <w:tblLayout w:type="fixed"/>
        <w:tblCellMar>
          <w:top w:w="0" w:type="dxa"/>
          <w:left w:w="0" w:type="dxa"/>
          <w:bottom w:w="0" w:type="dxa"/>
          <w:right w:w="0" w:type="dxa"/>
        </w:tblCellMar>
      </w:tblPr>
      <w:tblGrid>
        <w:gridCol w:w="4805"/>
        <w:gridCol w:w="90"/>
        <w:gridCol w:w="234"/>
        <w:gridCol w:w="980"/>
        <w:gridCol w:w="255"/>
        <w:gridCol w:w="124"/>
        <w:gridCol w:w="234"/>
        <w:gridCol w:w="980"/>
        <w:gridCol w:w="230"/>
      </w:tblGrid>
      <w:tr>
        <w:trPr/>
        <w:tc>
          <w:tcPr>
            <w:tcW w:w="4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807"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w:t>
            </w:r>
            <w:r>
              <w:rPr/>
              <w:t xml:space="preserve"> </w:t>
            </w:r>
          </w:p>
        </w:tc>
        <w:tc>
          <w:tcPr>
            <w:tcW w:w="230" w:type="dxa"/>
            <w:tcBorders/>
            <w:vAlign w:val="center"/>
          </w:tcPr>
          <w:p>
            <w:pPr>
              <w:pStyle w:val="TableContents"/>
              <w:bidi w:val="0"/>
              <w:spacing w:before="0" w:after="283"/>
              <w:jc w:val="center"/>
              <w:rPr/>
            </w:pPr>
            <w:r>
              <w:rPr/>
              <w:t> </w:t>
            </w:r>
          </w:p>
        </w:tc>
      </w:tr>
      <w:tr>
        <w:trPr/>
        <w:tc>
          <w:tcPr>
            <w:tcW w:w="4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3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55" w:type="dxa"/>
            <w:tcBorders/>
            <w:vAlign w:val="center"/>
          </w:tcPr>
          <w:p>
            <w:pPr>
              <w:pStyle w:val="TableContents"/>
              <w:bidi w:val="0"/>
              <w:spacing w:before="0" w:after="283"/>
              <w:jc w:val="center"/>
              <w:rPr/>
            </w:pPr>
            <w:r>
              <w:rPr/>
              <w:t> </w:t>
            </w:r>
          </w:p>
        </w:tc>
        <w:tc>
          <w:tcPr>
            <w:tcW w:w="124" w:type="dxa"/>
            <w:tcBorders/>
            <w:vAlign w:val="center"/>
          </w:tcPr>
          <w:p>
            <w:pPr>
              <w:pStyle w:val="TableContents"/>
              <w:bidi w:val="0"/>
              <w:spacing w:before="0" w:after="283"/>
              <w:jc w:val="center"/>
              <w:rPr/>
            </w:pPr>
            <w:r>
              <w:rPr/>
              <w:t> </w:t>
            </w:r>
          </w:p>
        </w:tc>
        <w:tc>
          <w:tcPr>
            <w:tcW w:w="23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230" w:type="dxa"/>
            <w:tcBorders/>
            <w:vAlign w:val="center"/>
          </w:tcPr>
          <w:p>
            <w:pPr>
              <w:pStyle w:val="TableContents"/>
              <w:bidi w:val="0"/>
              <w:spacing w:before="0" w:after="283"/>
              <w:jc w:val="center"/>
              <w:rPr/>
            </w:pPr>
            <w:r>
              <w:rPr/>
              <w:t> </w:t>
            </w:r>
          </w:p>
        </w:tc>
      </w:tr>
      <w:tr>
        <w:trPr/>
        <w:tc>
          <w:tcPr>
            <w:tcW w:w="4805" w:type="dxa"/>
            <w:tcBorders/>
            <w:vAlign w:val="center"/>
          </w:tcPr>
          <w:p>
            <w:pPr>
              <w:pStyle w:val="TableContents"/>
              <w:bidi w:val="0"/>
              <w:spacing w:before="0" w:after="0"/>
              <w:ind w:left="0" w:right="0" w:hanging="144"/>
              <w:jc w:val="left"/>
              <w:rPr/>
            </w:pPr>
            <w:r>
              <w:rPr/>
              <w:t xml:space="preserve">Deferred tax assets: </w:t>
            </w:r>
          </w:p>
        </w:tc>
        <w:tc>
          <w:tcPr>
            <w:tcW w:w="3127" w:type="dxa"/>
            <w:gridSpan w:val="8"/>
            <w:tcBorders/>
            <w:vAlign w:val="center"/>
          </w:tcPr>
          <w:p>
            <w:pPr>
              <w:pStyle w:val="TableContents"/>
              <w:bidi w:val="0"/>
              <w:spacing w:before="0" w:after="283"/>
              <w:jc w:val="center"/>
              <w:rPr/>
            </w:pPr>
            <w:r>
              <w:rPr>
                <w:i/>
              </w:rPr>
              <w:t>(in thousands)</w:t>
            </w:r>
            <w:r>
              <w:rPr/>
              <w:t xml:space="preserve"> </w:t>
            </w:r>
          </w:p>
        </w:tc>
      </w:tr>
      <w:tr>
        <w:trPr/>
        <w:tc>
          <w:tcPr>
            <w:tcW w:w="4805" w:type="dxa"/>
            <w:tcBorders/>
            <w:shd w:fill="CCEEFF" w:val="clear"/>
            <w:vAlign w:val="center"/>
          </w:tcPr>
          <w:p>
            <w:pPr>
              <w:pStyle w:val="TableContents"/>
              <w:bidi w:val="0"/>
              <w:spacing w:before="0" w:after="0"/>
              <w:jc w:val="left"/>
              <w:rPr/>
            </w:pPr>
            <w:r>
              <w:rPr/>
              <w:t xml:space="preserve">Federal and state net operating loss carryforwards </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64,432</w:t>
            </w:r>
          </w:p>
        </w:tc>
        <w:tc>
          <w:tcPr>
            <w:tcW w:w="25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65,615</w:t>
            </w:r>
          </w:p>
        </w:tc>
        <w:tc>
          <w:tcPr>
            <w:tcW w:w="230"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0"/>
              <w:jc w:val="left"/>
              <w:rPr/>
            </w:pPr>
            <w:r>
              <w:rPr/>
              <w:t xml:space="preserve">Interest expense limitation carryforwards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3,328</w:t>
            </w:r>
          </w:p>
        </w:tc>
        <w:tc>
          <w:tcPr>
            <w:tcW w:w="255"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13,604</w:t>
            </w:r>
          </w:p>
        </w:tc>
        <w:tc>
          <w:tcPr>
            <w:tcW w:w="230"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jc w:val="left"/>
              <w:rPr/>
            </w:pPr>
            <w:r>
              <w:rPr/>
              <w:t xml:space="preserve">Inventory </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3,978</w:t>
            </w:r>
          </w:p>
        </w:tc>
        <w:tc>
          <w:tcPr>
            <w:tcW w:w="25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3,911</w:t>
            </w:r>
          </w:p>
        </w:tc>
        <w:tc>
          <w:tcPr>
            <w:tcW w:w="230"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0"/>
              <w:jc w:val="left"/>
              <w:rPr/>
            </w:pPr>
            <w:r>
              <w:rPr/>
              <w:t xml:space="preserve">Stock-based compensation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3,923</w:t>
            </w:r>
          </w:p>
        </w:tc>
        <w:tc>
          <w:tcPr>
            <w:tcW w:w="255"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2,523</w:t>
            </w:r>
          </w:p>
        </w:tc>
        <w:tc>
          <w:tcPr>
            <w:tcW w:w="230"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jc w:val="left"/>
              <w:rPr/>
            </w:pPr>
            <w:r>
              <w:rPr/>
              <w:t xml:space="preserve">Lease obligations </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2,392</w:t>
            </w:r>
          </w:p>
        </w:tc>
        <w:tc>
          <w:tcPr>
            <w:tcW w:w="25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2,549</w:t>
            </w:r>
          </w:p>
        </w:tc>
        <w:tc>
          <w:tcPr>
            <w:tcW w:w="230"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0"/>
              <w:jc w:val="left"/>
              <w:rPr/>
            </w:pPr>
            <w:r>
              <w:rPr/>
              <w:t xml:space="preserve">Accrued expenses and other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34"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4,316</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 w:type="dxa"/>
            <w:tcBorders>
              <w:bottom w:val="single" w:sz="12" w:space="0" w:color="000000"/>
            </w:tcBorders>
            <w:tcMar>
              <w:bottom w:w="28" w:type="dxa"/>
            </w:tcMar>
            <w:vAlign w:val="center"/>
          </w:tcPr>
          <w:p>
            <w:pPr>
              <w:pStyle w:val="TableContents"/>
              <w:bidi w:val="0"/>
              <w:spacing w:before="0" w:after="283"/>
              <w:jc w:val="left"/>
              <w:rPr/>
            </w:pPr>
            <w:r>
              <w:rPr/>
              <w:t> </w:t>
            </w:r>
          </w:p>
        </w:tc>
        <w:tc>
          <w:tcPr>
            <w:tcW w:w="234"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5,779</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jc w:val="left"/>
              <w:rPr/>
            </w:pPr>
            <w:r>
              <w:rPr/>
              <w:t xml:space="preserve">Total deferred tax assets </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82,369</w:t>
            </w:r>
          </w:p>
        </w:tc>
        <w:tc>
          <w:tcPr>
            <w:tcW w:w="25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93,981</w:t>
            </w:r>
          </w:p>
        </w:tc>
        <w:tc>
          <w:tcPr>
            <w:tcW w:w="230"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0"/>
              <w:ind w:left="0" w:right="0" w:hanging="144"/>
              <w:jc w:val="left"/>
              <w:rPr/>
            </w:pPr>
            <w:r>
              <w:rPr/>
              <w:t xml:space="preserve">Deferred tax liabilities: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jc w:val="left"/>
              <w:rPr/>
            </w:pPr>
            <w:r>
              <w:rPr/>
              <w:t xml:space="preserve">Depreciation of property and equipment </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(6,270</w:t>
            </w:r>
          </w:p>
        </w:tc>
        <w:tc>
          <w:tcPr>
            <w:tcW w:w="25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(6,166</w:t>
            </w:r>
          </w:p>
        </w:tc>
        <w:tc>
          <w:tcPr>
            <w:tcW w:w="230"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0"/>
              <w:jc w:val="left"/>
              <w:rPr/>
            </w:pPr>
            <w:r>
              <w:rPr/>
              <w:t xml:space="preserve">Right-of-use assets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(2,047</w:t>
            </w:r>
          </w:p>
        </w:tc>
        <w:tc>
          <w:tcPr>
            <w:tcW w:w="255"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(2,247</w:t>
            </w:r>
          </w:p>
        </w:tc>
        <w:tc>
          <w:tcPr>
            <w:tcW w:w="230"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jc w:val="left"/>
              <w:rPr/>
            </w:pPr>
            <w:r>
              <w:rPr/>
              <w:t xml:space="preserve">Other deferred tax liabilities </w:t>
            </w:r>
          </w:p>
        </w:tc>
        <w:tc>
          <w:tcPr>
            <w:tcW w:w="9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(791</w:t>
            </w:r>
          </w:p>
        </w:tc>
        <w:tc>
          <w:tcPr>
            <w:tcW w:w="25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(1,288</w:t>
            </w:r>
          </w:p>
        </w:tc>
        <w:tc>
          <w:tcPr>
            <w:tcW w:w="230"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0"/>
              <w:jc w:val="left"/>
              <w:rPr/>
            </w:pPr>
            <w:r>
              <w:rPr/>
              <w:t xml:space="preserve">Total deferred tax liabilities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34"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(9,108</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 w:type="dxa"/>
            <w:tcBorders>
              <w:bottom w:val="single" w:sz="12" w:space="0" w:color="000000"/>
            </w:tcBorders>
            <w:tcMar>
              <w:bottom w:w="28" w:type="dxa"/>
            </w:tcMar>
            <w:vAlign w:val="center"/>
          </w:tcPr>
          <w:p>
            <w:pPr>
              <w:pStyle w:val="TableContents"/>
              <w:bidi w:val="0"/>
              <w:spacing w:before="0" w:after="283"/>
              <w:jc w:val="left"/>
              <w:rPr/>
            </w:pPr>
            <w:r>
              <w:rPr/>
              <w:t> </w:t>
            </w:r>
          </w:p>
        </w:tc>
        <w:tc>
          <w:tcPr>
            <w:tcW w:w="234"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(9,701</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144"/>
              <w:jc w:val="left"/>
              <w:rPr/>
            </w:pPr>
            <w:r>
              <w:rPr/>
              <w:t xml:space="preserve">Net deferred tax assets </w:t>
            </w:r>
          </w:p>
        </w:tc>
        <w:tc>
          <w:tcPr>
            <w:tcW w:w="90" w:type="dxa"/>
            <w:tcBorders/>
            <w:shd w:fill="CCEEFF" w:val="clear"/>
            <w:vAlign w:val="center"/>
          </w:tcPr>
          <w:p>
            <w:pPr>
              <w:pStyle w:val="TableContents"/>
              <w:bidi w:val="0"/>
              <w:spacing w:before="0" w:after="283"/>
              <w:jc w:val="left"/>
              <w:rPr/>
            </w:pPr>
            <w:r>
              <w:rPr/>
              <w:t> </w:t>
            </w:r>
          </w:p>
        </w:tc>
        <w:tc>
          <w:tcPr>
            <w:tcW w:w="234"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8" w:space="0" w:color="000000"/>
            </w:tcBorders>
            <w:shd w:fill="CCEEFF" w:val="clear"/>
            <w:tcMar>
              <w:bottom w:w="28" w:type="dxa"/>
            </w:tcMar>
            <w:vAlign w:val="center"/>
          </w:tcPr>
          <w:p>
            <w:pPr>
              <w:pStyle w:val="TableContents"/>
              <w:bidi w:val="0"/>
              <w:spacing w:before="0" w:after="283"/>
              <w:jc w:val="right"/>
              <w:rPr/>
            </w:pPr>
            <w:r>
              <w:rPr/>
              <w:t>73,261</w:t>
            </w:r>
          </w:p>
        </w:tc>
        <w:tc>
          <w:tcPr>
            <w:tcW w:w="25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4"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8" w:space="0" w:color="000000"/>
            </w:tcBorders>
            <w:shd w:fill="CCEEFF" w:val="clear"/>
            <w:tcMar>
              <w:bottom w:w="28" w:type="dxa"/>
            </w:tcMar>
            <w:vAlign w:val="center"/>
          </w:tcPr>
          <w:p>
            <w:pPr>
              <w:pStyle w:val="TableContents"/>
              <w:bidi w:val="0"/>
              <w:spacing w:before="0" w:after="283"/>
              <w:jc w:val="right"/>
              <w:rPr/>
            </w:pPr>
            <w:r>
              <w:rPr/>
              <w:t>84,280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F-27</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As of December 31, 2025, the Company has federal and state (post-apportioned basis) net operating losses (“NOLs”) of $265.6 million and $176.9 million, respectively. Approximately $33.4 million and $46.8 million of the foregoing Federal and state NOLs, respectively, will expire at various dates beginning in 2029, if not limited by triggering events prior to such time. Under the provisions of the Internal Revenue Code, changes in ownership of the Company, in certain circumstances, would limit the amount of federal NOLs that can be utilized annually in the future to offset taxable income. In particular, Section 382 of the Internal Revenue Code (“Section 382”) imposes limitations on an entity’s ability to use NOLs upon certain changes in ownership. If the Company is limited in its ability to use its NOLs in future years in which it has taxable income, then the Company will pay more taxes than if it were otherwise able to fully utilize its NOLs. The Company may experience ownership changes in the future as a result of shifts in ownership of the Company’s capital stock that the Company cannot predict or control that could result in further limitations being placed on the Company’s ability to utilize its Federal NOLs. The annual amount of Federal NOLs that expire each year is as follows (</w:t>
      </w:r>
      <w:r>
        <w:rPr>
          <w:rFonts w:ascii="TimesNewRoman;Times New Roman;Times;Baskerville;Georgia;serif" w:hAnsi="TimesNewRoman;Times New Roman;Times;Baskerville;Georgia;serif"/>
          <w:i/>
          <w:sz w:val="20"/>
        </w:rPr>
        <w:t>in thousands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3969" w:type="dxa"/>
        <w:jc w:val="left"/>
        <w:tblInd w:w="0" w:type="dxa"/>
        <w:tblLayout w:type="fixed"/>
        <w:tblCellMar>
          <w:top w:w="0" w:type="dxa"/>
          <w:left w:w="0" w:type="dxa"/>
          <w:bottom w:w="28" w:type="dxa"/>
          <w:right w:w="0" w:type="dxa"/>
        </w:tblCellMar>
      </w:tblPr>
      <w:tblGrid>
        <w:gridCol w:w="1625"/>
        <w:gridCol w:w="90"/>
        <w:gridCol w:w="359"/>
        <w:gridCol w:w="1760"/>
        <w:gridCol w:w="135"/>
      </w:tblGrid>
      <w:tr>
        <w:trPr/>
        <w:tc>
          <w:tcPr>
            <w:tcW w:w="1625" w:type="dxa"/>
            <w:tcBorders>
              <w:bottom w:val="single" w:sz="12" w:space="0" w:color="000000"/>
            </w:tcBorders>
            <w:vAlign w:val="center"/>
          </w:tcPr>
          <w:p>
            <w:pPr>
              <w:pStyle w:val="TableContents"/>
              <w:bidi w:val="0"/>
              <w:spacing w:before="0" w:after="0"/>
              <w:ind w:left="0" w:right="0" w:hanging="144"/>
              <w:jc w:val="left"/>
              <w:rPr/>
            </w:pPr>
            <w:r>
              <w:rPr/>
              <w:t xml:space="preserve">Expiration Date </w:t>
            </w:r>
          </w:p>
        </w:tc>
        <w:tc>
          <w:tcPr>
            <w:tcW w:w="90" w:type="dxa"/>
            <w:tcBorders/>
            <w:tcMar>
              <w:bottom w:w="0" w:type="dxa"/>
            </w:tcMar>
            <w:vAlign w:val="center"/>
          </w:tcPr>
          <w:p>
            <w:pPr>
              <w:pStyle w:val="TableContents"/>
              <w:bidi w:val="0"/>
              <w:spacing w:before="0" w:after="283"/>
              <w:jc w:val="left"/>
              <w:rPr/>
            </w:pPr>
            <w:r>
              <w:rPr/>
              <w:t> </w:t>
            </w:r>
          </w:p>
        </w:tc>
        <w:tc>
          <w:tcPr>
            <w:tcW w:w="2119" w:type="dxa"/>
            <w:gridSpan w:val="2"/>
            <w:tcBorders>
              <w:bottom w:val="single" w:sz="12" w:space="0" w:color="000000"/>
            </w:tcBorders>
            <w:vAlign w:val="center"/>
          </w:tcPr>
          <w:p>
            <w:pPr>
              <w:pStyle w:val="TableContents"/>
              <w:bidi w:val="0"/>
              <w:spacing w:before="0" w:after="0"/>
              <w:jc w:val="center"/>
              <w:rPr/>
            </w:pPr>
            <w:r>
              <w:rPr/>
              <w:t xml:space="preserve">Remaining Available </w:t>
            </w:r>
          </w:p>
        </w:tc>
        <w:tc>
          <w:tcPr>
            <w:tcW w:w="135" w:type="dxa"/>
            <w:tcBorders/>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0"/>
              <w:ind w:left="0" w:right="0" w:hanging="144"/>
              <w:jc w:val="left"/>
              <w:rPr/>
            </w:pPr>
            <w:r>
              <w:rPr/>
              <w:t xml:space="preserve">2031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59" w:type="dxa"/>
            <w:tcBorders/>
            <w:shd w:fill="CCEEFF" w:val="clear"/>
            <w:tcMar>
              <w:bottom w:w="0" w:type="dxa"/>
            </w:tcMar>
            <w:vAlign w:val="center"/>
          </w:tcPr>
          <w:p>
            <w:pPr>
              <w:pStyle w:val="TableContents"/>
              <w:bidi w:val="0"/>
              <w:spacing w:before="0" w:after="283"/>
              <w:jc w:val="left"/>
              <w:rPr/>
            </w:pPr>
            <w:r>
              <w:rPr/>
              <w:t>$</w:t>
            </w:r>
          </w:p>
        </w:tc>
        <w:tc>
          <w:tcPr>
            <w:tcW w:w="1760" w:type="dxa"/>
            <w:tcBorders/>
            <w:shd w:fill="CCEEFF" w:val="clear"/>
            <w:tcMar>
              <w:bottom w:w="0" w:type="dxa"/>
            </w:tcMar>
            <w:vAlign w:val="center"/>
          </w:tcPr>
          <w:p>
            <w:pPr>
              <w:pStyle w:val="TableContents"/>
              <w:bidi w:val="0"/>
              <w:spacing w:before="0" w:after="283"/>
              <w:jc w:val="right"/>
              <w:rPr/>
            </w:pPr>
            <w:r>
              <w:rPr/>
              <w:t>2,409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0"/>
              <w:ind w:left="0" w:right="0" w:hanging="144"/>
              <w:jc w:val="left"/>
              <w:rPr/>
            </w:pPr>
            <w:r>
              <w:rPr/>
              <w:t xml:space="preserve">2032 </w:t>
            </w:r>
          </w:p>
        </w:tc>
        <w:tc>
          <w:tcPr>
            <w:tcW w:w="90" w:type="dxa"/>
            <w:tcBorders/>
            <w:tcMar>
              <w:bottom w:w="0" w:type="dxa"/>
            </w:tcMar>
            <w:vAlign w:val="center"/>
          </w:tcPr>
          <w:p>
            <w:pPr>
              <w:pStyle w:val="TableContents"/>
              <w:bidi w:val="0"/>
              <w:spacing w:before="0" w:after="283"/>
              <w:jc w:val="right"/>
              <w:rPr/>
            </w:pPr>
            <w:r>
              <w:rPr/>
              <w:t> </w:t>
            </w:r>
          </w:p>
        </w:tc>
        <w:tc>
          <w:tcPr>
            <w:tcW w:w="359"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right"/>
              <w:rPr/>
            </w:pPr>
            <w:r>
              <w:rPr/>
              <w:t>7,430</w:t>
            </w:r>
          </w:p>
        </w:tc>
        <w:tc>
          <w:tcPr>
            <w:tcW w:w="135" w:type="dxa"/>
            <w:tcBorders/>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0"/>
              <w:ind w:left="0" w:right="0" w:hanging="144"/>
              <w:jc w:val="left"/>
              <w:rPr/>
            </w:pPr>
            <w:r>
              <w:rPr/>
              <w:t xml:space="preserve">2033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59"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11,295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0"/>
              <w:ind w:left="0" w:right="0" w:hanging="144"/>
              <w:jc w:val="left"/>
              <w:rPr/>
            </w:pPr>
            <w:r>
              <w:rPr/>
              <w:t xml:space="preserve">2034 </w:t>
            </w:r>
          </w:p>
        </w:tc>
        <w:tc>
          <w:tcPr>
            <w:tcW w:w="90" w:type="dxa"/>
            <w:tcBorders/>
            <w:tcMar>
              <w:bottom w:w="0" w:type="dxa"/>
            </w:tcMar>
            <w:vAlign w:val="center"/>
          </w:tcPr>
          <w:p>
            <w:pPr>
              <w:pStyle w:val="TableContents"/>
              <w:bidi w:val="0"/>
              <w:spacing w:before="0" w:after="283"/>
              <w:jc w:val="right"/>
              <w:rPr/>
            </w:pPr>
            <w:r>
              <w:rPr/>
              <w:t> </w:t>
            </w:r>
          </w:p>
        </w:tc>
        <w:tc>
          <w:tcPr>
            <w:tcW w:w="359"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right"/>
              <w:rPr/>
            </w:pPr>
            <w:r>
              <w:rPr/>
              <w:t>1,025</w:t>
            </w:r>
          </w:p>
        </w:tc>
        <w:tc>
          <w:tcPr>
            <w:tcW w:w="135" w:type="dxa"/>
            <w:tcBorders/>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0"/>
              <w:ind w:left="0" w:right="0" w:hanging="144"/>
              <w:jc w:val="left"/>
              <w:rPr/>
            </w:pPr>
            <w:r>
              <w:rPr/>
              <w:t xml:space="preserve">2035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59"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1,025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0"/>
              <w:ind w:left="0" w:right="0" w:hanging="144"/>
              <w:jc w:val="left"/>
              <w:rPr/>
            </w:pPr>
            <w:r>
              <w:rPr/>
              <w:t xml:space="preserve">2036 </w:t>
            </w:r>
          </w:p>
        </w:tc>
        <w:tc>
          <w:tcPr>
            <w:tcW w:w="90" w:type="dxa"/>
            <w:tcBorders/>
            <w:tcMar>
              <w:bottom w:w="0" w:type="dxa"/>
            </w:tcMar>
            <w:vAlign w:val="center"/>
          </w:tcPr>
          <w:p>
            <w:pPr>
              <w:pStyle w:val="TableContents"/>
              <w:bidi w:val="0"/>
              <w:spacing w:before="0" w:after="283"/>
              <w:jc w:val="right"/>
              <w:rPr/>
            </w:pPr>
            <w:r>
              <w:rPr/>
              <w:t> </w:t>
            </w:r>
          </w:p>
        </w:tc>
        <w:tc>
          <w:tcPr>
            <w:tcW w:w="359"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right"/>
              <w:rPr/>
            </w:pPr>
            <w:r>
              <w:rPr/>
              <w:t>1,025</w:t>
            </w:r>
          </w:p>
        </w:tc>
        <w:tc>
          <w:tcPr>
            <w:tcW w:w="135" w:type="dxa"/>
            <w:tcBorders/>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0"/>
              <w:ind w:left="0" w:right="0" w:hanging="144"/>
              <w:jc w:val="left"/>
              <w:rPr/>
            </w:pPr>
            <w:r>
              <w:rPr/>
              <w:t xml:space="preserve">2037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59"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pPr>
            <w:r>
              <w:rPr/>
              <w:t>9,157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0"/>
              <w:ind w:left="0" w:right="0" w:hanging="144"/>
              <w:jc w:val="left"/>
              <w:rPr/>
            </w:pPr>
            <w:r>
              <w:rPr/>
              <w:t xml:space="preserve">Indefinite </w:t>
            </w:r>
          </w:p>
        </w:tc>
        <w:tc>
          <w:tcPr>
            <w:tcW w:w="90" w:type="dxa"/>
            <w:tcBorders/>
            <w:tcMar>
              <w:bottom w:w="0" w:type="dxa"/>
            </w:tcMar>
            <w:vAlign w:val="center"/>
          </w:tcPr>
          <w:p>
            <w:pPr>
              <w:pStyle w:val="TableContents"/>
              <w:bidi w:val="0"/>
              <w:spacing w:before="0" w:after="283"/>
              <w:jc w:val="right"/>
              <w:rPr/>
            </w:pPr>
            <w:r>
              <w:rPr/>
              <w:t> </w:t>
            </w:r>
          </w:p>
        </w:tc>
        <w:tc>
          <w:tcPr>
            <w:tcW w:w="359" w:type="dxa"/>
            <w:tcBorders>
              <w:bottom w:val="single" w:sz="12" w:space="0" w:color="000000"/>
            </w:tcBorders>
            <w:vAlign w:val="center"/>
          </w:tcPr>
          <w:p>
            <w:pPr>
              <w:pStyle w:val="TableContents"/>
              <w:bidi w:val="0"/>
              <w:spacing w:before="0" w:after="283"/>
              <w:jc w:val="left"/>
              <w:rPr/>
            </w:pPr>
            <w:r>
              <w:rPr/>
              <w:t> </w:t>
            </w:r>
          </w:p>
        </w:tc>
        <w:tc>
          <w:tcPr>
            <w:tcW w:w="1760" w:type="dxa"/>
            <w:tcBorders>
              <w:bottom w:val="single" w:sz="12" w:space="0" w:color="000000"/>
            </w:tcBorders>
            <w:vAlign w:val="center"/>
          </w:tcPr>
          <w:p>
            <w:pPr>
              <w:pStyle w:val="TableContents"/>
              <w:bidi w:val="0"/>
              <w:spacing w:before="0" w:after="283"/>
              <w:jc w:val="right"/>
              <w:rPr/>
            </w:pPr>
            <w:r>
              <w:rPr/>
              <w:t>232,240</w:t>
            </w:r>
          </w:p>
        </w:tc>
        <w:tc>
          <w:tcPr>
            <w:tcW w:w="135" w:type="dxa"/>
            <w:tcBorders/>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0"/>
              <w:ind w:left="0" w:right="0" w:hanging="144"/>
              <w:jc w:val="left"/>
              <w:rPr/>
            </w:pPr>
            <w:r>
              <w:rPr/>
              <w:t xml:space="preserve">Total </w:t>
            </w:r>
          </w:p>
        </w:tc>
        <w:tc>
          <w:tcPr>
            <w:tcW w:w="90" w:type="dxa"/>
            <w:tcBorders>
              <w:bottom w:val="double" w:sz="8" w:space="0" w:color="000000"/>
            </w:tcBorders>
            <w:shd w:fill="CCEEFF" w:val="clear"/>
            <w:vAlign w:val="center"/>
          </w:tcPr>
          <w:p>
            <w:pPr>
              <w:pStyle w:val="TableContents"/>
              <w:bidi w:val="0"/>
              <w:spacing w:before="0" w:after="283"/>
              <w:jc w:val="right"/>
              <w:rPr/>
            </w:pPr>
            <w:r>
              <w:rPr/>
              <w:t> </w:t>
            </w:r>
          </w:p>
        </w:tc>
        <w:tc>
          <w:tcPr>
            <w:tcW w:w="359" w:type="dxa"/>
            <w:tcBorders>
              <w:bottom w:val="double" w:sz="8" w:space="0" w:color="000000"/>
            </w:tcBorders>
            <w:shd w:fill="CCEEFF" w:val="clear"/>
            <w:vAlign w:val="center"/>
          </w:tcPr>
          <w:p>
            <w:pPr>
              <w:pStyle w:val="TableContents"/>
              <w:bidi w:val="0"/>
              <w:spacing w:before="0" w:after="283"/>
              <w:jc w:val="left"/>
              <w:rPr/>
            </w:pPr>
            <w:r>
              <w:rPr/>
              <w:t>$</w:t>
            </w:r>
          </w:p>
        </w:tc>
        <w:tc>
          <w:tcPr>
            <w:tcW w:w="1760" w:type="dxa"/>
            <w:tcBorders>
              <w:bottom w:val="double" w:sz="8" w:space="0" w:color="000000"/>
            </w:tcBorders>
            <w:shd w:fill="CCEEFF" w:val="clear"/>
            <w:vAlign w:val="center"/>
          </w:tcPr>
          <w:p>
            <w:pPr>
              <w:pStyle w:val="TableContents"/>
              <w:bidi w:val="0"/>
              <w:spacing w:before="0" w:after="283"/>
              <w:jc w:val="right"/>
              <w:rPr/>
            </w:pPr>
            <w:r>
              <w:rPr/>
              <w:t>265,606</w:t>
            </w:r>
          </w:p>
        </w:tc>
        <w:tc>
          <w:tcPr>
            <w:tcW w:w="135" w:type="dxa"/>
            <w:tcBorders>
              <w:bottom w:val="double" w:sz="8"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 valuation allowance, if needed, reduces deferred tax assets to the amount expected to be realized. When determining the amount of net deferred tax assets that are more likely than not to be realized, the Company assesses all available positive and negative evidence. This evidence includes, but is not limited to, prior earnings history, expected future earnings, carry-back and carry-forward periods and the feasibility of ongoing tax strategies that could potentially enhance the likelihood of the realization of a deferred tax asset. The weight given to the positive and negative evidence is commensurate with the extent the evidence may be objectively verified. </w:t>
      </w:r>
      <w:r>
        <w:rPr>
          <w:rFonts w:ascii="Times New Roman;serif" w:hAnsi="Times New Roman;serif"/>
          <w:sz w:val="20"/>
        </w:rPr>
        <w:t>As of December 31, 2025, the Company believes it is more-likely-than-not that the Company's federal and state deferred tax assets will be realized.</w:t>
      </w:r>
    </w:p>
    <w:p>
      <w:pPr>
        <w:pStyle w:val="TextBody"/>
        <w:bidi w:val="0"/>
        <w:spacing w:before="0" w:after="0"/>
        <w:jc w:val="left"/>
        <w:rPr/>
      </w:pPr>
      <w:r>
        <w:rPr/>
        <w:t xml:space="preserve">  </w:t>
      </w:r>
    </w:p>
    <w:p>
      <w:pPr>
        <w:pStyle w:val="TextBody"/>
        <w:bidi w:val="0"/>
        <w:spacing w:lineRule="auto" w:line="256"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does not have any unrecognized tax benefits as of December 31, 2025 and 2024 and does not anticipate a significant change in unrecognized tax benefits during the next 12 months. The Company files income tax returns in the U.S. federal and various state jurisdictions. All net operating losses and tax credits generated to date are subject to adjustment for U.S. federal and state income tax purposes. The Company’s income tax returns are open to examination for tax years 2007 through 2024. </w:t>
      </w:r>
    </w:p>
    <w:p>
      <w:pPr>
        <w:pStyle w:val="TextBody"/>
        <w:bidi w:val="0"/>
        <w:spacing w:before="0" w:after="0"/>
        <w:jc w:val="left"/>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LEASE OBLIGATIONS</w:t>
      </w:r>
      <w:r>
        <w:rPr>
          <w:rFonts w:ascii="Aptos" w:hAnsi="Aptos"/>
          <w:sz w:val="20"/>
        </w:rPr>
        <w:t xml:space="preserve"> </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342900" cy="175260"/>
                <wp:effectExtent l="0" t="0" r="0" b="0"/>
                <wp:wrapSquare wrapText="right"/>
                <wp:docPr id="221" name="Frame21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12.</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12.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 Upon adoption of ASU No. 2016-02, </w:t>
      </w:r>
      <w:r>
        <w:rPr>
          <w:rFonts w:ascii="TimesNewRoman;Times New Roman;Times;Baskerville;Georgia;serif" w:hAnsi="TimesNewRoman;Times New Roman;Times;Baskerville;Georgia;serif"/>
          <w:i/>
          <w:sz w:val="20"/>
        </w:rPr>
        <w:t xml:space="preserve">Leases (Topic 842) </w:t>
      </w:r>
      <w:r>
        <w:rPr>
          <w:rFonts w:ascii="TimesNewRoman;Times New Roman;Times;Baskerville;Georgia;serif" w:hAnsi="TimesNewRoman;Times New Roman;Times;Baskerville;Georgia;serif"/>
          <w:sz w:val="20"/>
        </w:rPr>
        <w:t xml:space="preserve">effective January 1, 2019, the Company elected the package of practical expedients, which permits the Company to not reassess under the new standard its prior conclusions about lease identification, lease classification and initial direct costs. In addition, the Company elected the short-term lease recognition exemption for qualifying leases. </w:t>
      </w:r>
    </w:p>
    <w:p>
      <w:pPr>
        <w:pStyle w:val="TextBody"/>
        <w:bidi w:val="0"/>
        <w:spacing w:before="0" w:after="0"/>
        <w:ind w:left="360" w:right="0" w:hanging="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determines if an arrangement is an operating lease or a financing lease at inception. Leases with an initial term of 12 months or less are not recorded on the balance sheet and lease expense for such leases are recognized on a straight-line basis over the lease term. All other leases are recorded on the balance sheet with assets representing the right to use the underlying asset for the lease term and lease liabilities representing the obligation to make lease payments arising from the lease. Right-of-use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estimated incremental borrowing rate as of the lease commencement date. There were no new material leases entered into during the years ended December 31, 2025 and December 31, 2024. For the lease liabilities recognized during the years ended December 31, 2023 and 2022, the Company used discount rates of 13% to 16%, representing a weighted average discount rate of 13.02%, to determine the present value of its lease obligations. The Company’s operating lease expense is recognized on a straight-line basis over the lease term and is reflected in plasma center operating expenses and selling, general and administrative expenses in the accompanying consolidated statements of operations. Aggregate lease expense for the Company’s operating leases for the years ended December 31, 2025, 2024 and 2023 was $2.4 million, $2.4 million and $2.4 million, respectively. Aggregate cash paid on these leases for the years ended December 31, 2025, 2024 and 2023 was $2.5 million, $2.4 million and $2.4 million, respectively.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F-28</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Company has aggregate lease liabilities of $7.7 million and $9.8 million as of December 31, 2025 and 2024, respectively, which are primarily comprised primarily of leases for the Company’s plasma collection centers. The Company’s operating leases have a weighted average remaining term of 5.77 years. Scheduled payments under the Company’s lease obligations are as follows (</w:t>
      </w:r>
      <w:r>
        <w:rPr>
          <w:rFonts w:ascii="TimesNewRoman;Times New Roman;Times;Baskerville;Georgia;serif" w:hAnsi="TimesNewRoman;Times New Roman;Times;Baskerville;Georgia;serif"/>
          <w:i/>
          <w:sz w:val="20"/>
        </w:rPr>
        <w:t>in thousands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tbl>
      <w:tblPr>
        <w:tblW w:w="4430" w:type="dxa"/>
        <w:jc w:val="left"/>
        <w:tblInd w:w="0" w:type="dxa"/>
        <w:tblLayout w:type="fixed"/>
        <w:tblCellMar>
          <w:top w:w="0" w:type="dxa"/>
          <w:left w:w="0" w:type="dxa"/>
          <w:bottom w:w="0" w:type="dxa"/>
          <w:right w:w="0" w:type="dxa"/>
        </w:tblCellMar>
      </w:tblPr>
      <w:tblGrid>
        <w:gridCol w:w="3230"/>
        <w:gridCol w:w="90"/>
        <w:gridCol w:w="170"/>
        <w:gridCol w:w="710"/>
        <w:gridCol w:w="230"/>
      </w:tblGrid>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xml:space="preserve">Year ending December 31, 2026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1,986</w:t>
            </w:r>
          </w:p>
        </w:tc>
        <w:tc>
          <w:tcPr>
            <w:tcW w:w="23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xml:space="preserve">2027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1,947</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xml:space="preserve">2028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1,972</w:t>
            </w:r>
          </w:p>
        </w:tc>
        <w:tc>
          <w:tcPr>
            <w:tcW w:w="23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xml:space="preserve">2029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1,896</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xml:space="preserve">2030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1,561</w:t>
            </w:r>
          </w:p>
        </w:tc>
        <w:tc>
          <w:tcPr>
            <w:tcW w:w="23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xml:space="preserve">2031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1,008</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xml:space="preserve">Thereafter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445</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xml:space="preserve">Total payments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10,815</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xml:space="preserve">Less: imputed interest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(3,073</w:t>
            </w:r>
          </w:p>
        </w:tc>
        <w:tc>
          <w:tcPr>
            <w:tcW w:w="23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xml:space="preserve">Current portion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(1,096</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xml:space="preserve">Balance at December 31, 2025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6,646</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righ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certain of the Company’s right-of-use assets and lease liabilities were classified as held for sale. Refer to Note 5 for more information.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F-29</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SEGMENTS</w:t>
      </w:r>
      <w:r>
        <w:rPr>
          <w:rFonts w:ascii="Aptos" w:hAnsi="Aptos"/>
          <w:sz w:val="20"/>
        </w:rPr>
        <w:t xml:space="preserve"> </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342900" cy="175260"/>
                <wp:effectExtent l="0" t="0" r="0" b="0"/>
                <wp:wrapSquare wrapText="right"/>
                <wp:docPr id="222" name="Frame21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13.</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13.</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is engaged in the manufacture, marketing and development of specialty plasma-derived biologics. The Company’s ADMA BioManufacturing operating segment reflects the Company’s immunoglobulin manufacturing, commercial and development operations in Boca Raton, FL. The Plasma Collection Centers operating segment consists of ten plasma collection facilities located throughout the United States, all of which are operational, collecting plasma and currently holding FDA licenses. The Company defines its operating segments as those business units whose operating results are regularly reviewed by the chief operating decision maker (“CODM”) to analyze performance and allocate resources. The Corporate information included in the reconciliations below generally consists of certain unallocated general and administrative overhead expenses and interest expense on the Company’s senior debt (see Note 7). The Company’s CODM is its President and Chief Executive Officer. For the Company’s two operating segments, the CODM uses income/loss before taxes as the measure of segment profit to determine the allocation of resources for each segment. Transactions between the two operating segments consist solely of the transfer of raw material plasma inventory at cost from the Plasma Collection Centers segment to the ADMA BioManufacturing segment with no markup or intercompany profit. Income tax benefit/expense is recorded in the Corporate entity and is not allocated to the operating segments. Summarized financial information concerning reportable segments is shown in the following tables: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28" w:type="dxa"/>
          <w:right w:w="0" w:type="dxa"/>
        </w:tblCellMar>
      </w:tblPr>
      <w:tblGrid>
        <w:gridCol w:w="4556"/>
        <w:gridCol w:w="90"/>
        <w:gridCol w:w="337"/>
        <w:gridCol w:w="1652"/>
        <w:gridCol w:w="185"/>
        <w:gridCol w:w="90"/>
        <w:gridCol w:w="269"/>
        <w:gridCol w:w="1519"/>
        <w:gridCol w:w="185"/>
        <w:gridCol w:w="90"/>
        <w:gridCol w:w="170"/>
        <w:gridCol w:w="830"/>
        <w:gridCol w:w="232"/>
      </w:tblGrid>
      <w:tr>
        <w:trPr/>
        <w:tc>
          <w:tcPr>
            <w:tcW w:w="9973" w:type="dxa"/>
            <w:gridSpan w:val="12"/>
            <w:tcBorders>
              <w:bottom w:val="single" w:sz="12" w:space="0" w:color="000000"/>
            </w:tcBorders>
            <w:vAlign w:val="center"/>
          </w:tcPr>
          <w:p>
            <w:pPr>
              <w:pStyle w:val="TableContents"/>
              <w:bidi w:val="0"/>
              <w:spacing w:before="0" w:after="283"/>
              <w:jc w:val="center"/>
              <w:rPr/>
            </w:pPr>
            <w:r>
              <w:rPr>
                <w:b/>
              </w:rPr>
              <w:t>Year Ended December 31, 2025</w:t>
            </w:r>
            <w:r>
              <w:rPr/>
              <w:t xml:space="preserve"> </w:t>
            </w:r>
          </w:p>
        </w:tc>
        <w:tc>
          <w:tcPr>
            <w:tcW w:w="232" w:type="dxa"/>
            <w:tcBorders/>
            <w:tcMar>
              <w:bottom w:w="0" w:type="dxa"/>
            </w:tcMar>
            <w:vAlign w:val="center"/>
          </w:tcPr>
          <w:p>
            <w:pPr>
              <w:pStyle w:val="TableContents"/>
              <w:bidi w:val="0"/>
              <w:spacing w:before="0" w:after="283"/>
              <w:jc w:val="center"/>
              <w:rPr/>
            </w:pPr>
            <w:r>
              <w:rPr/>
              <w:t> </w:t>
            </w:r>
          </w:p>
        </w:tc>
      </w:tr>
      <w:tr>
        <w:trPr/>
        <w:tc>
          <w:tcPr>
            <w:tcW w:w="4556" w:type="dxa"/>
            <w:tcBorders/>
            <w:tcMar>
              <w:bottom w:w="0" w:type="dxa"/>
            </w:tcMar>
            <w:vAlign w:val="center"/>
          </w:tcPr>
          <w:p>
            <w:pPr>
              <w:pStyle w:val="TableContents"/>
              <w:bidi w:val="0"/>
              <w:spacing w:before="0" w:after="283"/>
              <w:jc w:val="center"/>
              <w:rPr>
                <w:i/>
              </w:rPr>
            </w:pPr>
            <w:r>
              <w:rPr>
                <w:i/>
              </w:rPr>
              <w:t xml:space="preserve">(in thousands) </w:t>
            </w:r>
          </w:p>
        </w:tc>
        <w:tc>
          <w:tcPr>
            <w:tcW w:w="90" w:type="dxa"/>
            <w:tcBorders/>
            <w:tcMar>
              <w:bottom w:w="0" w:type="dxa"/>
            </w:tcMar>
            <w:vAlign w:val="center"/>
          </w:tcPr>
          <w:p>
            <w:pPr>
              <w:pStyle w:val="TableContents"/>
              <w:bidi w:val="0"/>
              <w:spacing w:before="0" w:after="283"/>
              <w:jc w:val="center"/>
              <w:rPr/>
            </w:pPr>
            <w:r>
              <w:rPr/>
              <w:t> </w:t>
            </w:r>
          </w:p>
        </w:tc>
        <w:tc>
          <w:tcPr>
            <w:tcW w:w="1989" w:type="dxa"/>
            <w:gridSpan w:val="2"/>
            <w:tcBorders>
              <w:bottom w:val="single" w:sz="12" w:space="0" w:color="000000"/>
            </w:tcBorders>
            <w:vAlign w:val="center"/>
          </w:tcPr>
          <w:p>
            <w:pPr>
              <w:pStyle w:val="TableContents"/>
              <w:bidi w:val="0"/>
              <w:spacing w:before="0" w:after="283"/>
              <w:jc w:val="center"/>
              <w:rPr>
                <w:b/>
              </w:rPr>
            </w:pPr>
            <w:r>
              <w:rPr>
                <w:b/>
              </w:rPr>
              <w:t xml:space="preserve">ADMA </w:t>
              <w:br/>
              <w:t xml:space="preserve">BioManufacturing </w:t>
            </w:r>
          </w:p>
        </w:tc>
        <w:tc>
          <w:tcPr>
            <w:tcW w:w="18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788" w:type="dxa"/>
            <w:gridSpan w:val="2"/>
            <w:tcBorders>
              <w:bottom w:val="single" w:sz="12" w:space="0" w:color="000000"/>
            </w:tcBorders>
            <w:vAlign w:val="center"/>
          </w:tcPr>
          <w:p>
            <w:pPr>
              <w:pStyle w:val="TableContents"/>
              <w:bidi w:val="0"/>
              <w:spacing w:before="0" w:after="283"/>
              <w:jc w:val="center"/>
              <w:rPr>
                <w:b/>
              </w:rPr>
            </w:pPr>
            <w:r>
              <w:rPr>
                <w:b/>
              </w:rPr>
              <w:t xml:space="preserve">Plasma Collection </w:t>
              <w:br/>
              <w:t xml:space="preserve">Centers </w:t>
            </w:r>
          </w:p>
        </w:tc>
        <w:tc>
          <w:tcPr>
            <w:tcW w:w="18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 xml:space="preserve">Total </w:t>
            </w:r>
          </w:p>
        </w:tc>
        <w:tc>
          <w:tcPr>
            <w:tcW w:w="232" w:type="dxa"/>
            <w:tcBorders/>
            <w:tcMar>
              <w:bottom w:w="0" w:type="dxa"/>
            </w:tcMar>
            <w:vAlign w:val="center"/>
          </w:tcPr>
          <w:p>
            <w:pPr>
              <w:pStyle w:val="TableContents"/>
              <w:bidi w:val="0"/>
              <w:spacing w:before="0" w:after="283"/>
              <w:jc w:val="center"/>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Revenues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37" w:type="dxa"/>
            <w:tcBorders/>
            <w:shd w:fill="CCEEFF" w:val="clear"/>
            <w:tcMar>
              <w:bottom w:w="0" w:type="dxa"/>
            </w:tcMar>
            <w:vAlign w:val="center"/>
          </w:tcPr>
          <w:p>
            <w:pPr>
              <w:pStyle w:val="TableContents"/>
              <w:bidi w:val="0"/>
              <w:spacing w:before="0" w:after="283"/>
              <w:jc w:val="left"/>
              <w:rPr/>
            </w:pPr>
            <w:r>
              <w:rPr/>
              <w:t>$</w:t>
            </w:r>
          </w:p>
        </w:tc>
        <w:tc>
          <w:tcPr>
            <w:tcW w:w="1652" w:type="dxa"/>
            <w:tcBorders/>
            <w:shd w:fill="CCEEFF" w:val="clear"/>
            <w:tcMar>
              <w:bottom w:w="0" w:type="dxa"/>
            </w:tcMar>
            <w:vAlign w:val="center"/>
          </w:tcPr>
          <w:p>
            <w:pPr>
              <w:pStyle w:val="TableContents"/>
              <w:bidi w:val="0"/>
              <w:spacing w:before="0" w:after="283"/>
              <w:jc w:val="right"/>
              <w:rPr/>
            </w:pPr>
            <w:r>
              <w:rPr/>
              <w:t>493,000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1519" w:type="dxa"/>
            <w:tcBorders/>
            <w:shd w:fill="CCEEFF" w:val="clear"/>
            <w:tcMar>
              <w:bottom w:w="0" w:type="dxa"/>
            </w:tcMar>
            <w:vAlign w:val="center"/>
          </w:tcPr>
          <w:p>
            <w:pPr>
              <w:pStyle w:val="TableContents"/>
              <w:bidi w:val="0"/>
              <w:spacing w:before="0" w:after="283"/>
              <w:jc w:val="right"/>
              <w:rPr/>
            </w:pPr>
            <w:r>
              <w:rPr/>
              <w:t>17,030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510,030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Cost of product revenue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right"/>
              <w:rPr/>
            </w:pPr>
            <w:r>
              <w:rPr/>
              <w:t>199,860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right"/>
              <w:rPr/>
            </w:pPr>
            <w:r>
              <w:rPr/>
              <w:t>17,548</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217,408</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Research and development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right"/>
              <w:rPr/>
            </w:pPr>
            <w:r>
              <w:rPr/>
              <w:t>4,762</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4,762</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Plasma center operating expenses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right"/>
              <w:rPr/>
            </w:pPr>
            <w:r>
              <w:rPr/>
              <w:t xml:space="preserve">              </w:t>
            </w:r>
            <w:r>
              <w:rPr/>
              <w:t xml:space="preserve">-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right"/>
              <w:rPr/>
            </w:pPr>
            <w:r>
              <w:rPr/>
              <w:t>4,836</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4,836</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Selling, marketing and distribution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right"/>
              <w:rPr/>
            </w:pPr>
            <w:r>
              <w:rPr/>
              <w:t>24,507</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24,507</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Depreciation and amortization expense</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right"/>
              <w:rPr/>
            </w:pPr>
            <w:r>
              <w:rPr/>
              <w:t>4,905</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right"/>
              <w:rPr/>
            </w:pPr>
            <w:r>
              <w:rPr/>
              <w:t>3,192</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8,097</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General and administrative expense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right"/>
              <w:rPr/>
            </w:pPr>
            <w:r>
              <w:rPr/>
              <w:t>32,879</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32,879</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Other expense, net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right"/>
              <w:rPr/>
            </w:pPr>
            <w:r>
              <w:rPr/>
              <w:t>(202</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right"/>
              <w:rPr/>
            </w:pPr>
            <w:r>
              <w:rPr/>
              <w:t>(10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(212</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Income (loss) before taxes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right"/>
              <w:rPr/>
            </w:pPr>
            <w:r>
              <w:rPr/>
              <w:t>230,646</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right"/>
              <w:rPr/>
            </w:pPr>
            <w:r>
              <w:rPr/>
              <w:t>(5,364</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225,282</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Expenditures for additions to long-lived assets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right"/>
              <w:rPr/>
            </w:pPr>
            <w:r>
              <w:rPr/>
              <w:t>22,384</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right"/>
              <w:rPr/>
            </w:pPr>
            <w:r>
              <w:rPr/>
              <w:t>507</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22,891</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0"/>
              <w:jc w:val="left"/>
              <w:rPr/>
            </w:pPr>
            <w:r>
              <w:rPr/>
              <w:t xml:space="preserve">Total assets </w:t>
            </w:r>
          </w:p>
        </w:tc>
        <w:tc>
          <w:tcPr>
            <w:tcW w:w="90" w:type="dxa"/>
            <w:tcBorders/>
            <w:tcMar>
              <w:bottom w:w="0" w:type="dxa"/>
            </w:tcMar>
            <w:vAlign w:val="center"/>
          </w:tcPr>
          <w:p>
            <w:pPr>
              <w:pStyle w:val="TableContents"/>
              <w:bidi w:val="0"/>
              <w:spacing w:before="0" w:after="283"/>
              <w:jc w:val="righ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right"/>
              <w:rPr/>
            </w:pPr>
            <w:r>
              <w:rPr/>
              <w:t>441,512</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right"/>
              <w:rPr/>
            </w:pPr>
            <w:r>
              <w:rPr/>
              <w:t>28,494</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470,006</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lef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0"/>
              <w:jc w:val="left"/>
              <w:rPr>
                <w:i/>
              </w:rPr>
            </w:pPr>
            <w:r>
              <w:rPr>
                <w:i/>
              </w:rPr>
              <w:t xml:space="preserve">Reconciliation of revenues: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Segment revenue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510,030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0"/>
              <w:jc w:val="left"/>
              <w:rPr/>
            </w:pPr>
            <w:r>
              <w:rPr/>
              <w:t xml:space="preserve">License revenue (see Note 2 - Revenue Recognition)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righ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143</w:t>
            </w:r>
          </w:p>
        </w:tc>
        <w:tc>
          <w:tcPr>
            <w:tcW w:w="232" w:type="dxa"/>
            <w:tcBorders>
              <w:bottom w:val="single" w:sz="12" w:space="0" w:color="000000"/>
            </w:tcBorders>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Consolidated revenues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vAlign w:val="center"/>
          </w:tcPr>
          <w:p>
            <w:pPr>
              <w:pStyle w:val="TableContents"/>
              <w:bidi w:val="0"/>
              <w:spacing w:before="0" w:after="283"/>
              <w:jc w:val="left"/>
              <w:rPr/>
            </w:pPr>
            <w:r>
              <w:rPr/>
              <w:t>$</w:t>
            </w:r>
          </w:p>
        </w:tc>
        <w:tc>
          <w:tcPr>
            <w:tcW w:w="830" w:type="dxa"/>
            <w:tcBorders>
              <w:bottom w:val="double" w:sz="8" w:space="0" w:color="000000"/>
            </w:tcBorders>
            <w:shd w:fill="CCEEFF" w:val="clear"/>
            <w:vAlign w:val="center"/>
          </w:tcPr>
          <w:p>
            <w:pPr>
              <w:pStyle w:val="TableContents"/>
              <w:bidi w:val="0"/>
              <w:spacing w:before="0" w:after="283"/>
              <w:jc w:val="right"/>
              <w:rPr/>
            </w:pPr>
            <w:r>
              <w:rPr/>
              <w:t>510,173</w:t>
            </w:r>
          </w:p>
        </w:tc>
        <w:tc>
          <w:tcPr>
            <w:tcW w:w="232" w:type="dxa"/>
            <w:tcBorders>
              <w:bottom w:val="double" w:sz="8" w:space="0" w:color="000000"/>
            </w:tcBorders>
            <w:shd w:fill="CCEEFF" w:val="cle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6820" w:type="dxa"/>
            <w:gridSpan w:val="5"/>
            <w:tcBorders/>
            <w:shd w:fill="CCEEFF" w:val="clear"/>
            <w:tcMar>
              <w:bottom w:w="0" w:type="dxa"/>
            </w:tcMar>
            <w:vAlign w:val="center"/>
          </w:tcPr>
          <w:p>
            <w:pPr>
              <w:pStyle w:val="TableContents"/>
              <w:bidi w:val="0"/>
              <w:spacing w:before="0" w:after="0"/>
              <w:jc w:val="left"/>
              <w:rPr>
                <w:i/>
              </w:rPr>
            </w:pPr>
            <w:r>
              <w:rPr>
                <w:i/>
              </w:rPr>
              <w:t xml:space="preserve">Reconciliation of selling, general and administrative expense: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lef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0"/>
              <w:jc w:val="left"/>
              <w:rPr/>
            </w:pPr>
            <w:r>
              <w:rPr/>
              <w:t xml:space="preserve">Segment selling, marketing and distribution expense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24,507</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Segment general and administrative expense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32,879</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0"/>
              <w:jc w:val="left"/>
              <w:rPr/>
            </w:pPr>
            <w:r>
              <w:rPr/>
              <w:t xml:space="preserve">Corporate general and administrative expense (a)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righ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34,194</w:t>
            </w:r>
          </w:p>
        </w:tc>
        <w:tc>
          <w:tcPr>
            <w:tcW w:w="232" w:type="dxa"/>
            <w:tcBorders>
              <w:bottom w:val="single" w:sz="12" w:space="0" w:color="000000"/>
            </w:tcBorders>
            <w:vAlign w:val="center"/>
          </w:tcPr>
          <w:p>
            <w:pPr>
              <w:pStyle w:val="TableContents"/>
              <w:bidi w:val="0"/>
              <w:spacing w:before="0" w:after="283"/>
              <w:jc w:val="left"/>
              <w:rPr/>
            </w:pPr>
            <w:r>
              <w:rPr/>
              <w:t> </w:t>
            </w:r>
          </w:p>
        </w:tc>
      </w:tr>
      <w:tr>
        <w:trPr/>
        <w:tc>
          <w:tcPr>
            <w:tcW w:w="6820" w:type="dxa"/>
            <w:gridSpan w:val="5"/>
            <w:tcBorders/>
            <w:shd w:fill="CCEEFF" w:val="clear"/>
            <w:tcMar>
              <w:bottom w:w="0" w:type="dxa"/>
            </w:tcMar>
            <w:vAlign w:val="center"/>
          </w:tcPr>
          <w:p>
            <w:pPr>
              <w:pStyle w:val="TableContents"/>
              <w:bidi w:val="0"/>
              <w:spacing w:before="0" w:after="0"/>
              <w:jc w:val="left"/>
              <w:rPr/>
            </w:pPr>
            <w:r>
              <w:rPr/>
              <w:t xml:space="preserve">Consolidated selling, general and administrative expense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vAlign w:val="center"/>
          </w:tcPr>
          <w:p>
            <w:pPr>
              <w:pStyle w:val="TableContents"/>
              <w:bidi w:val="0"/>
              <w:spacing w:before="0" w:after="283"/>
              <w:jc w:val="left"/>
              <w:rPr/>
            </w:pPr>
            <w:r>
              <w:rPr/>
              <w:t>$</w:t>
            </w:r>
          </w:p>
        </w:tc>
        <w:tc>
          <w:tcPr>
            <w:tcW w:w="830" w:type="dxa"/>
            <w:tcBorders>
              <w:bottom w:val="double" w:sz="8" w:space="0" w:color="000000"/>
            </w:tcBorders>
            <w:shd w:fill="CCEEFF" w:val="clear"/>
            <w:vAlign w:val="center"/>
          </w:tcPr>
          <w:p>
            <w:pPr>
              <w:pStyle w:val="TableContents"/>
              <w:bidi w:val="0"/>
              <w:spacing w:before="0" w:after="283"/>
              <w:jc w:val="right"/>
              <w:rPr/>
            </w:pPr>
            <w:r>
              <w:rPr/>
              <w:t>91,580</w:t>
            </w:r>
          </w:p>
        </w:tc>
        <w:tc>
          <w:tcPr>
            <w:tcW w:w="232" w:type="dxa"/>
            <w:tcBorders>
              <w:bottom w:val="double" w:sz="8" w:space="0" w:color="000000"/>
            </w:tcBorders>
            <w:shd w:fill="CCEEFF" w:val="cle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i/>
              </w:rPr>
            </w:pPr>
            <w:r>
              <w:rPr>
                <w:i/>
              </w:rPr>
              <w:t xml:space="preserve">Reconciliation of income before taxes: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lef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0"/>
              <w:jc w:val="left"/>
              <w:rPr/>
            </w:pPr>
            <w:r>
              <w:rPr/>
              <w:t xml:space="preserve">Segment income before taxes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225,282</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License revenue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143</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8883" w:type="dxa"/>
            <w:gridSpan w:val="9"/>
            <w:tcBorders/>
            <w:tcMar>
              <w:bottom w:w="0" w:type="dxa"/>
            </w:tcMar>
            <w:vAlign w:val="center"/>
          </w:tcPr>
          <w:p>
            <w:pPr>
              <w:pStyle w:val="TableContents"/>
              <w:bidi w:val="0"/>
              <w:spacing w:before="0" w:after="0"/>
              <w:jc w:val="left"/>
              <w:rPr/>
            </w:pPr>
            <w:r>
              <w:rPr/>
              <w:t xml:space="preserve">Unallocated interest expense, primarily related to interest on senior debt (see Note 7) </w:t>
            </w:r>
          </w:p>
        </w:tc>
        <w:tc>
          <w:tcPr>
            <w:tcW w:w="9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(7,110</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Loss on extinguishment of debt (see Note 7)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(3,336</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0"/>
              <w:jc w:val="left"/>
              <w:rPr/>
            </w:pPr>
            <w:r>
              <w:rPr/>
              <w:t xml:space="preserve">Unallocated interest income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1,871</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Corporate general and administrative expense (a)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(34,194</w:t>
            </w:r>
          </w:p>
        </w:tc>
        <w:tc>
          <w:tcPr>
            <w:tcW w:w="232"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0"/>
              <w:jc w:val="left"/>
              <w:rPr/>
            </w:pPr>
            <w:r>
              <w:rPr/>
              <w:t xml:space="preserve">Consolidated income before taxes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bottom w:val="double" w:sz="8" w:space="0" w:color="000000"/>
            </w:tcBorders>
            <w:vAlign w:val="center"/>
          </w:tcPr>
          <w:p>
            <w:pPr>
              <w:pStyle w:val="TableContents"/>
              <w:bidi w:val="0"/>
              <w:spacing w:before="0" w:after="283"/>
              <w:jc w:val="right"/>
              <w:rPr/>
            </w:pPr>
            <w:r>
              <w:rPr/>
              <w:t> </w:t>
            </w:r>
          </w:p>
        </w:tc>
        <w:tc>
          <w:tcPr>
            <w:tcW w:w="170" w:type="dxa"/>
            <w:tcBorders>
              <w:bottom w:val="double" w:sz="8" w:space="0" w:color="000000"/>
            </w:tcBorders>
            <w:vAlign w:val="center"/>
          </w:tcPr>
          <w:p>
            <w:pPr>
              <w:pStyle w:val="TableContents"/>
              <w:bidi w:val="0"/>
              <w:spacing w:before="0" w:after="283"/>
              <w:jc w:val="left"/>
              <w:rPr/>
            </w:pPr>
            <w:r>
              <w:rPr/>
              <w:t>$</w:t>
            </w:r>
          </w:p>
        </w:tc>
        <w:tc>
          <w:tcPr>
            <w:tcW w:w="830" w:type="dxa"/>
            <w:tcBorders>
              <w:bottom w:val="double" w:sz="8" w:space="0" w:color="000000"/>
            </w:tcBorders>
            <w:vAlign w:val="center"/>
          </w:tcPr>
          <w:p>
            <w:pPr>
              <w:pStyle w:val="TableContents"/>
              <w:bidi w:val="0"/>
              <w:spacing w:before="0" w:after="283"/>
              <w:jc w:val="right"/>
              <w:rPr/>
            </w:pPr>
            <w:r>
              <w:rPr/>
              <w:t>182,656</w:t>
            </w:r>
          </w:p>
        </w:tc>
        <w:tc>
          <w:tcPr>
            <w:tcW w:w="232" w:type="dxa"/>
            <w:tcBorders>
              <w:bottom w:val="double" w:sz="8" w:space="0" w:color="000000"/>
            </w:tcBorders>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lef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0"/>
              <w:jc w:val="left"/>
              <w:rPr>
                <w:i/>
              </w:rPr>
            </w:pPr>
            <w:r>
              <w:rPr>
                <w:i/>
              </w:rPr>
              <w:t xml:space="preserve">Reconciliation of total assets: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Total segment assets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470,006</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4556" w:type="dxa"/>
            <w:tcBorders/>
            <w:tcMar>
              <w:bottom w:w="0" w:type="dxa"/>
            </w:tcMar>
            <w:vAlign w:val="center"/>
          </w:tcPr>
          <w:p>
            <w:pPr>
              <w:pStyle w:val="TableContents"/>
              <w:bidi w:val="0"/>
              <w:spacing w:before="0" w:after="0"/>
              <w:jc w:val="left"/>
              <w:rPr/>
            </w:pPr>
            <w:r>
              <w:rPr/>
              <w:t xml:space="preserve">Corporate (b) </w:t>
            </w:r>
          </w:p>
        </w:tc>
        <w:tc>
          <w:tcPr>
            <w:tcW w:w="90"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1652"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154,236</w:t>
            </w:r>
          </w:p>
        </w:tc>
        <w:tc>
          <w:tcPr>
            <w:tcW w:w="232" w:type="dxa"/>
            <w:tcBorders/>
            <w:tcMar>
              <w:bottom w:w="0" w:type="dxa"/>
            </w:tcMar>
            <w:vAlign w:val="center"/>
          </w:tcPr>
          <w:p>
            <w:pPr>
              <w:pStyle w:val="TableContents"/>
              <w:bidi w:val="0"/>
              <w:spacing w:before="0" w:after="283"/>
              <w:jc w:val="left"/>
              <w:rPr/>
            </w:pPr>
            <w:r>
              <w:rPr/>
              <w:t> </w:t>
            </w:r>
          </w:p>
        </w:tc>
      </w:tr>
      <w:tr>
        <w:trPr/>
        <w:tc>
          <w:tcPr>
            <w:tcW w:w="4556" w:type="dxa"/>
            <w:tcBorders/>
            <w:shd w:fill="CCEEFF" w:val="clear"/>
            <w:tcMar>
              <w:bottom w:w="0" w:type="dxa"/>
            </w:tcMar>
            <w:vAlign w:val="center"/>
          </w:tcPr>
          <w:p>
            <w:pPr>
              <w:pStyle w:val="TableContents"/>
              <w:bidi w:val="0"/>
              <w:spacing w:before="0" w:after="0"/>
              <w:jc w:val="left"/>
              <w:rPr/>
            </w:pPr>
            <w:r>
              <w:rPr/>
              <w:t xml:space="preserve">Consolidated total assets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652"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51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vAlign w:val="center"/>
          </w:tcPr>
          <w:p>
            <w:pPr>
              <w:pStyle w:val="TableContents"/>
              <w:bidi w:val="0"/>
              <w:spacing w:before="0" w:after="283"/>
              <w:jc w:val="left"/>
              <w:rPr/>
            </w:pPr>
            <w:r>
              <w:rPr/>
              <w:t>$</w:t>
            </w:r>
          </w:p>
        </w:tc>
        <w:tc>
          <w:tcPr>
            <w:tcW w:w="830" w:type="dxa"/>
            <w:tcBorders>
              <w:bottom w:val="double" w:sz="8" w:space="0" w:color="000000"/>
            </w:tcBorders>
            <w:shd w:fill="CCEEFF" w:val="clear"/>
            <w:vAlign w:val="center"/>
          </w:tcPr>
          <w:p>
            <w:pPr>
              <w:pStyle w:val="TableContents"/>
              <w:bidi w:val="0"/>
              <w:spacing w:before="0" w:after="283"/>
              <w:jc w:val="right"/>
              <w:rPr/>
            </w:pPr>
            <w:r>
              <w:rPr/>
              <w:t>624,242</w:t>
            </w:r>
          </w:p>
        </w:tc>
        <w:tc>
          <w:tcPr>
            <w:tcW w:w="232" w:type="dxa"/>
            <w:tcBorders>
              <w:bottom w:val="double" w:sz="8"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57"/>
        <w:gridCol w:w="9848"/>
      </w:tblGrid>
      <w:tr>
        <w:trPr/>
        <w:tc>
          <w:tcPr>
            <w:tcW w:w="357" w:type="dxa"/>
            <w:tcBorders/>
            <w:vAlign w:val="center"/>
          </w:tcPr>
          <w:p>
            <w:pPr>
              <w:pStyle w:val="TableContents"/>
              <w:bidi w:val="0"/>
              <w:spacing w:before="0" w:after="283"/>
              <w:jc w:val="left"/>
              <w:rPr/>
            </w:pPr>
            <w:r>
              <w:rPr/>
              <w:t> </w:t>
            </w:r>
          </w:p>
        </w:tc>
        <w:tc>
          <w:tcPr>
            <w:tcW w:w="9848" w:type="dxa"/>
            <w:tcBorders/>
            <w:vAlign w:val="center"/>
          </w:tcPr>
          <w:p>
            <w:pPr>
              <w:pStyle w:val="TableContents"/>
              <w:bidi w:val="0"/>
              <w:spacing w:before="0" w:after="283"/>
              <w:jc w:val="left"/>
              <w:rPr/>
            </w:pPr>
            <w:r>
              <w:rPr/>
              <w:t> </w:t>
            </w:r>
          </w:p>
        </w:tc>
      </w:tr>
      <w:tr>
        <w:trPr/>
        <w:tc>
          <w:tcPr>
            <w:tcW w:w="357" w:type="dxa"/>
            <w:tcBorders/>
            <w:vAlign w:val="center"/>
          </w:tcPr>
          <w:p>
            <w:pPr>
              <w:pStyle w:val="TableContents"/>
              <w:bidi w:val="0"/>
              <w:spacing w:before="0" w:after="283"/>
              <w:jc w:val="left"/>
              <w:rPr/>
            </w:pPr>
            <w:r>
              <w:rPr>
                <w:spacing w:val="0"/>
              </w:rPr>
              <w:t>(a)</w:t>
            </w:r>
            <w:r>
              <w:rPr/>
              <w:t> </w:t>
            </w:r>
          </w:p>
        </w:tc>
        <w:tc>
          <w:tcPr>
            <w:tcW w:w="9848" w:type="dxa"/>
            <w:tcBorders/>
            <w:vAlign w:val="center"/>
          </w:tcPr>
          <w:p>
            <w:pPr>
              <w:pStyle w:val="TableContents"/>
              <w:bidi w:val="0"/>
              <w:spacing w:before="0" w:after="283"/>
              <w:jc w:val="left"/>
              <w:rPr>
                <w:spacing w:val="0"/>
              </w:rPr>
            </w:pPr>
            <w:r>
              <w:rPr>
                <w:spacing w:val="0"/>
              </w:rPr>
              <w:t>Primarily includes compensation expense, including stock-based compensation expense, for certain executive officers and consultants, insurance, legal and investor relations expenses and accounting and tax fees that are not allocated to the Company's operating segments.</w:t>
            </w:r>
          </w:p>
        </w:tc>
      </w:tr>
      <w:tr>
        <w:trPr/>
        <w:tc>
          <w:tcPr>
            <w:tcW w:w="357" w:type="dxa"/>
            <w:tcBorders/>
            <w:vAlign w:val="center"/>
          </w:tcPr>
          <w:p>
            <w:pPr>
              <w:pStyle w:val="TableContents"/>
              <w:bidi w:val="0"/>
              <w:spacing w:before="0" w:after="283"/>
              <w:jc w:val="left"/>
              <w:rPr/>
            </w:pPr>
            <w:r>
              <w:rPr/>
              <w:t> </w:t>
            </w:r>
          </w:p>
        </w:tc>
        <w:tc>
          <w:tcPr>
            <w:tcW w:w="9848" w:type="dxa"/>
            <w:tcBorders/>
            <w:vAlign w:val="center"/>
          </w:tcPr>
          <w:p>
            <w:pPr>
              <w:pStyle w:val="TableContents"/>
              <w:bidi w:val="0"/>
              <w:spacing w:before="0" w:after="283"/>
              <w:jc w:val="left"/>
              <w:rPr/>
            </w:pPr>
            <w:r>
              <w:rPr/>
              <w:t> </w:t>
            </w:r>
          </w:p>
        </w:tc>
      </w:tr>
      <w:tr>
        <w:trPr/>
        <w:tc>
          <w:tcPr>
            <w:tcW w:w="357" w:type="dxa"/>
            <w:tcBorders/>
            <w:vAlign w:val="center"/>
          </w:tcPr>
          <w:p>
            <w:pPr>
              <w:pStyle w:val="TableContents"/>
              <w:bidi w:val="0"/>
              <w:spacing w:before="0" w:after="283"/>
              <w:jc w:val="left"/>
              <w:rPr>
                <w:spacing w:val="0"/>
              </w:rPr>
            </w:pPr>
            <w:r>
              <w:rPr>
                <w:spacing w:val="0"/>
              </w:rPr>
              <w:t>(b)</w:t>
            </w:r>
          </w:p>
        </w:tc>
        <w:tc>
          <w:tcPr>
            <w:tcW w:w="9848" w:type="dxa"/>
            <w:tcBorders/>
            <w:vAlign w:val="center"/>
          </w:tcPr>
          <w:p>
            <w:pPr>
              <w:pStyle w:val="TableContents"/>
              <w:bidi w:val="0"/>
              <w:spacing w:before="0" w:after="283"/>
              <w:jc w:val="left"/>
              <w:rPr>
                <w:spacing w:val="0"/>
              </w:rPr>
            </w:pPr>
            <w:r>
              <w:rPr>
                <w:spacing w:val="0"/>
              </w:rPr>
              <w:t>Primarily consists of cash and deferred tax assets.</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F-30</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4426"/>
        <w:gridCol w:w="90"/>
        <w:gridCol w:w="338"/>
        <w:gridCol w:w="1659"/>
        <w:gridCol w:w="185"/>
        <w:gridCol w:w="90"/>
        <w:gridCol w:w="286"/>
        <w:gridCol w:w="1624"/>
        <w:gridCol w:w="185"/>
        <w:gridCol w:w="90"/>
        <w:gridCol w:w="170"/>
        <w:gridCol w:w="830"/>
        <w:gridCol w:w="232"/>
      </w:tblGrid>
      <w:tr>
        <w:trPr/>
        <w:tc>
          <w:tcPr>
            <w:tcW w:w="44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16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9973" w:type="dxa"/>
            <w:gridSpan w:val="12"/>
            <w:tcBorders>
              <w:bottom w:val="single" w:sz="12" w:space="0" w:color="000000"/>
            </w:tcBorders>
            <w:tcMar>
              <w:bottom w:w="28" w:type="dxa"/>
            </w:tcMar>
            <w:vAlign w:val="center"/>
          </w:tcPr>
          <w:p>
            <w:pPr>
              <w:pStyle w:val="TableContents"/>
              <w:bidi w:val="0"/>
              <w:spacing w:before="0" w:after="283"/>
              <w:jc w:val="center"/>
              <w:rPr/>
            </w:pPr>
            <w:r>
              <w:rPr>
                <w:b/>
              </w:rPr>
              <w:t>Year Ended December 31, 2024</w:t>
            </w:r>
            <w:r>
              <w:rPr/>
              <w:t xml:space="preserve"> </w:t>
            </w:r>
          </w:p>
        </w:tc>
        <w:tc>
          <w:tcPr>
            <w:tcW w:w="232" w:type="dxa"/>
            <w:tcBorders/>
            <w:vAlign w:val="center"/>
          </w:tcPr>
          <w:p>
            <w:pPr>
              <w:pStyle w:val="TableContents"/>
              <w:bidi w:val="0"/>
              <w:spacing w:before="0" w:after="283"/>
              <w:jc w:val="center"/>
              <w:rPr/>
            </w:pPr>
            <w:r>
              <w:rPr/>
              <w:t> </w:t>
            </w:r>
          </w:p>
        </w:tc>
      </w:tr>
      <w:tr>
        <w:trPr/>
        <w:tc>
          <w:tcPr>
            <w:tcW w:w="4426" w:type="dxa"/>
            <w:tcBorders/>
            <w:vAlign w:val="center"/>
          </w:tcPr>
          <w:p>
            <w:pPr>
              <w:pStyle w:val="TableContents"/>
              <w:bidi w:val="0"/>
              <w:spacing w:before="0" w:after="283"/>
              <w:jc w:val="center"/>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997"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ADMA </w:t>
              <w:br/>
              <w:t>BioManufacturing</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10"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Plasma Collection </w:t>
              <w:br/>
              <w:t>Centers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2" w:type="dxa"/>
            <w:tcBorders/>
            <w:vAlign w:val="center"/>
          </w:tcPr>
          <w:p>
            <w:pPr>
              <w:pStyle w:val="TableContents"/>
              <w:bidi w:val="0"/>
              <w:spacing w:before="0" w:after="283"/>
              <w:jc w:val="center"/>
              <w:rPr/>
            </w:pPr>
            <w:r>
              <w:rPr/>
              <w:t> </w:t>
            </w:r>
          </w:p>
        </w:tc>
      </w:tr>
      <w:tr>
        <w:trPr/>
        <w:tc>
          <w:tcPr>
            <w:tcW w:w="4426" w:type="dxa"/>
            <w:tcBorders/>
            <w:shd w:fill="CCEEFF" w:val="clear"/>
            <w:vAlign w:val="center"/>
          </w:tcPr>
          <w:p>
            <w:pPr>
              <w:pStyle w:val="TableContents"/>
              <w:bidi w:val="0"/>
              <w:spacing w:before="0" w:after="0"/>
              <w:ind w:left="0" w:right="0" w:hanging="144"/>
              <w:jc w:val="left"/>
              <w:rPr/>
            </w:pPr>
            <w:r>
              <w:rPr/>
              <w:t xml:space="preserve">Revenues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w:t>
            </w:r>
          </w:p>
        </w:tc>
        <w:tc>
          <w:tcPr>
            <w:tcW w:w="1659" w:type="dxa"/>
            <w:tcBorders/>
            <w:shd w:fill="CCEEFF" w:val="clear"/>
            <w:vAlign w:val="center"/>
          </w:tcPr>
          <w:p>
            <w:pPr>
              <w:pStyle w:val="TableContents"/>
              <w:bidi w:val="0"/>
              <w:spacing w:before="0" w:after="283"/>
              <w:jc w:val="right"/>
              <w:rPr/>
            </w:pPr>
            <w:r>
              <w:rPr/>
              <w:t>415,806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w:t>
            </w:r>
          </w:p>
        </w:tc>
        <w:tc>
          <w:tcPr>
            <w:tcW w:w="1624" w:type="dxa"/>
            <w:tcBorders/>
            <w:shd w:fill="CCEEFF" w:val="clear"/>
            <w:vAlign w:val="center"/>
          </w:tcPr>
          <w:p>
            <w:pPr>
              <w:pStyle w:val="TableContents"/>
              <w:bidi w:val="0"/>
              <w:spacing w:before="0" w:after="283"/>
              <w:jc w:val="right"/>
              <w:rPr/>
            </w:pPr>
            <w:r>
              <w:rPr/>
              <w:t>10,505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426,311</w:t>
            </w:r>
          </w:p>
        </w:tc>
        <w:tc>
          <w:tcPr>
            <w:tcW w:w="232" w:type="dxa"/>
            <w:tcBorders/>
            <w:shd w:fill="CCEEFF" w:val="cle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426" w:type="dxa"/>
            <w:tcBorders/>
            <w:shd w:fill="CCEEFF" w:val="clear"/>
            <w:vAlign w:val="center"/>
          </w:tcPr>
          <w:p>
            <w:pPr>
              <w:pStyle w:val="TableContents"/>
              <w:bidi w:val="0"/>
              <w:spacing w:before="0" w:after="0"/>
              <w:ind w:left="0" w:right="0" w:hanging="144"/>
              <w:jc w:val="left"/>
              <w:rPr/>
            </w:pPr>
            <w:r>
              <w:rPr/>
              <w:t xml:space="preserve">Cost of product revenue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195,605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11,296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206,901</w:t>
            </w:r>
          </w:p>
        </w:tc>
        <w:tc>
          <w:tcPr>
            <w:tcW w:w="232" w:type="dxa"/>
            <w:tcBorders/>
            <w:shd w:fill="CCEEFF" w:val="cle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426" w:type="dxa"/>
            <w:tcBorders/>
            <w:shd w:fill="CCEEFF" w:val="clear"/>
            <w:vAlign w:val="center"/>
          </w:tcPr>
          <w:p>
            <w:pPr>
              <w:pStyle w:val="TableContents"/>
              <w:bidi w:val="0"/>
              <w:spacing w:before="0" w:after="0"/>
              <w:ind w:left="0" w:right="0" w:hanging="144"/>
              <w:jc w:val="left"/>
              <w:rPr/>
            </w:pPr>
            <w:r>
              <w:rPr/>
              <w:t xml:space="preserve">Research and development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1,813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1,813</w:t>
            </w:r>
          </w:p>
        </w:tc>
        <w:tc>
          <w:tcPr>
            <w:tcW w:w="232" w:type="dxa"/>
            <w:tcBorders/>
            <w:shd w:fill="CCEEFF" w:val="cle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426" w:type="dxa"/>
            <w:tcBorders/>
            <w:shd w:fill="CCEEFF" w:val="clear"/>
            <w:vAlign w:val="center"/>
          </w:tcPr>
          <w:p>
            <w:pPr>
              <w:pStyle w:val="TableContents"/>
              <w:bidi w:val="0"/>
              <w:spacing w:before="0" w:after="0"/>
              <w:ind w:left="0" w:right="0" w:hanging="144"/>
              <w:jc w:val="left"/>
              <w:rPr/>
            </w:pPr>
            <w:r>
              <w:rPr/>
              <w:t xml:space="preserve">Plasma center operating expenses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4,245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4,245</w:t>
            </w:r>
          </w:p>
        </w:tc>
        <w:tc>
          <w:tcPr>
            <w:tcW w:w="232" w:type="dxa"/>
            <w:tcBorders/>
            <w:shd w:fill="CCEEFF" w:val="cle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426" w:type="dxa"/>
            <w:tcBorders/>
            <w:shd w:fill="CCEEFF" w:val="clear"/>
            <w:vAlign w:val="center"/>
          </w:tcPr>
          <w:p>
            <w:pPr>
              <w:pStyle w:val="TableContents"/>
              <w:bidi w:val="0"/>
              <w:spacing w:before="0" w:after="0"/>
              <w:ind w:left="0" w:right="0" w:hanging="144"/>
              <w:jc w:val="left"/>
              <w:rPr/>
            </w:pPr>
            <w:r>
              <w:rPr/>
              <w:t xml:space="preserve">Selling, marketing and distribution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18,683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18,683</w:t>
            </w:r>
          </w:p>
        </w:tc>
        <w:tc>
          <w:tcPr>
            <w:tcW w:w="232" w:type="dxa"/>
            <w:tcBorders/>
            <w:shd w:fill="CCEEFF" w:val="cle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426" w:type="dxa"/>
            <w:tcBorders/>
            <w:shd w:fill="CCEEFF" w:val="clear"/>
            <w:vAlign w:val="center"/>
          </w:tcPr>
          <w:p>
            <w:pPr>
              <w:pStyle w:val="TableContents"/>
              <w:bidi w:val="0"/>
              <w:spacing w:before="0" w:after="0"/>
              <w:ind w:left="0" w:right="0" w:hanging="144"/>
              <w:jc w:val="left"/>
              <w:rPr>
                <w:sz w:val="20"/>
              </w:rPr>
            </w:pPr>
            <w:r>
              <w:rPr>
                <w:sz w:val="20"/>
              </w:rPr>
              <w:t>Depreciation and amortization expense</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4,827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3,218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8,045</w:t>
            </w:r>
          </w:p>
        </w:tc>
        <w:tc>
          <w:tcPr>
            <w:tcW w:w="232" w:type="dxa"/>
            <w:tcBorders/>
            <w:shd w:fill="CCEEFF" w:val="cle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426" w:type="dxa"/>
            <w:tcBorders/>
            <w:shd w:fill="CCEEFF" w:val="clear"/>
            <w:vAlign w:val="center"/>
          </w:tcPr>
          <w:p>
            <w:pPr>
              <w:pStyle w:val="TableContents"/>
              <w:bidi w:val="0"/>
              <w:spacing w:before="0" w:after="0"/>
              <w:ind w:left="0" w:right="0" w:hanging="144"/>
              <w:jc w:val="left"/>
              <w:rPr/>
            </w:pPr>
            <w:r>
              <w:rPr/>
              <w:t xml:space="preserve">General and administrative expense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26,001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26,001</w:t>
            </w:r>
          </w:p>
        </w:tc>
        <w:tc>
          <w:tcPr>
            <w:tcW w:w="232" w:type="dxa"/>
            <w:tcBorders/>
            <w:shd w:fill="CCEEFF" w:val="cle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426" w:type="dxa"/>
            <w:tcBorders/>
            <w:shd w:fill="CCEEFF" w:val="clear"/>
            <w:vAlign w:val="center"/>
          </w:tcPr>
          <w:p>
            <w:pPr>
              <w:pStyle w:val="TableContents"/>
              <w:bidi w:val="0"/>
              <w:spacing w:before="0" w:after="0"/>
              <w:ind w:left="0" w:right="0" w:hanging="144"/>
              <w:jc w:val="left"/>
              <w:rPr/>
            </w:pPr>
            <w:r>
              <w:rPr/>
              <w:t xml:space="preserve">Other expense, net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(178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(183</w:t>
            </w:r>
          </w:p>
        </w:tc>
        <w:tc>
          <w:tcPr>
            <w:tcW w:w="232" w:type="dxa"/>
            <w:tcBorders/>
            <w:shd w:fill="CCEEFF" w:val="cle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426" w:type="dxa"/>
            <w:tcBorders/>
            <w:shd w:fill="CCEEFF" w:val="clear"/>
            <w:vAlign w:val="center"/>
          </w:tcPr>
          <w:p>
            <w:pPr>
              <w:pStyle w:val="TableContents"/>
              <w:bidi w:val="0"/>
              <w:spacing w:before="0" w:after="0"/>
              <w:ind w:left="0" w:right="0" w:hanging="144"/>
              <w:jc w:val="left"/>
              <w:rPr/>
            </w:pPr>
            <w:r>
              <w:rPr/>
              <w:t xml:space="preserve">Income (loss) before taxes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173,138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(5,041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168,097</w:t>
            </w:r>
          </w:p>
        </w:tc>
        <w:tc>
          <w:tcPr>
            <w:tcW w:w="232" w:type="dxa"/>
            <w:tcBorders/>
            <w:shd w:fill="CCEEFF" w:val="cle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426" w:type="dxa"/>
            <w:tcBorders/>
            <w:shd w:fill="CCEEFF" w:val="clear"/>
            <w:vAlign w:val="center"/>
          </w:tcPr>
          <w:p>
            <w:pPr>
              <w:pStyle w:val="TableContents"/>
              <w:bidi w:val="0"/>
              <w:spacing w:before="0" w:after="0"/>
              <w:ind w:left="0" w:right="0" w:hanging="144"/>
              <w:jc w:val="left"/>
              <w:rPr/>
            </w:pPr>
            <w:r>
              <w:rPr/>
              <w:t xml:space="preserve">Expenditures for additions to long-lived assets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8,352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223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8,575</w:t>
            </w:r>
          </w:p>
        </w:tc>
        <w:tc>
          <w:tcPr>
            <w:tcW w:w="232" w:type="dxa"/>
            <w:tcBorders/>
            <w:shd w:fill="CCEEFF" w:val="cle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0"/>
              <w:ind w:left="0" w:right="0" w:hanging="144"/>
              <w:jc w:val="left"/>
              <w:rPr/>
            </w:pPr>
            <w:r>
              <w:rPr/>
              <w:t xml:space="preserve">Total assets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left"/>
              <w:rPr/>
            </w:pPr>
            <w:r>
              <w:rPr/>
              <w:t> </w:t>
            </w:r>
          </w:p>
        </w:tc>
        <w:tc>
          <w:tcPr>
            <w:tcW w:w="1659" w:type="dxa"/>
            <w:tcBorders/>
            <w:vAlign w:val="center"/>
          </w:tcPr>
          <w:p>
            <w:pPr>
              <w:pStyle w:val="TableContents"/>
              <w:bidi w:val="0"/>
              <w:spacing w:before="0" w:after="283"/>
              <w:jc w:val="right"/>
              <w:rPr/>
            </w:pPr>
            <w:r>
              <w:rPr/>
              <w:t>289,297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right"/>
              <w:rPr/>
            </w:pPr>
            <w:r>
              <w:rPr/>
              <w:t>30,477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319,774</w:t>
            </w:r>
          </w:p>
        </w:tc>
        <w:tc>
          <w:tcPr>
            <w:tcW w:w="232" w:type="dxa"/>
            <w:tcBorders/>
            <w:vAlign w:val="center"/>
          </w:tcPr>
          <w:p>
            <w:pPr>
              <w:pStyle w:val="TableContents"/>
              <w:bidi w:val="0"/>
              <w:spacing w:before="0" w:after="283"/>
              <w:jc w:val="left"/>
              <w:rPr/>
            </w:pPr>
            <w:r>
              <w:rPr/>
              <w:t> </w:t>
            </w:r>
          </w:p>
        </w:tc>
      </w:tr>
      <w:tr>
        <w:trPr/>
        <w:tc>
          <w:tcPr>
            <w:tcW w:w="442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right"/>
              <w:rPr/>
            </w:pPr>
            <w:r>
              <w:rPr/>
              <w:t> </w:t>
            </w:r>
          </w:p>
        </w:tc>
      </w:tr>
      <w:tr>
        <w:trPr/>
        <w:tc>
          <w:tcPr>
            <w:tcW w:w="4426" w:type="dxa"/>
            <w:tcBorders/>
            <w:vAlign w:val="center"/>
          </w:tcPr>
          <w:p>
            <w:pPr>
              <w:pStyle w:val="TableContents"/>
              <w:bidi w:val="0"/>
              <w:spacing w:before="0" w:after="0"/>
              <w:ind w:left="0" w:right="0" w:hanging="144"/>
              <w:jc w:val="left"/>
              <w:rPr/>
            </w:pPr>
            <w:r>
              <w:rPr>
                <w:i/>
              </w:rPr>
              <w:t>Reconciliation of revenues:</w:t>
            </w:r>
            <w:r>
              <w:rPr/>
              <w:t xml:space="preserve">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426" w:type="dxa"/>
            <w:tcBorders/>
            <w:shd w:fill="CCEEFF" w:val="clear"/>
            <w:vAlign w:val="center"/>
          </w:tcPr>
          <w:p>
            <w:pPr>
              <w:pStyle w:val="TableContents"/>
              <w:bidi w:val="0"/>
              <w:spacing w:before="0" w:after="0"/>
              <w:jc w:val="left"/>
              <w:rPr/>
            </w:pPr>
            <w:r>
              <w:rPr/>
              <w:t xml:space="preserve">Segment revenue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426,311</w:t>
            </w:r>
          </w:p>
        </w:tc>
        <w:tc>
          <w:tcPr>
            <w:tcW w:w="232" w:type="dxa"/>
            <w:tcBorders/>
            <w:shd w:fill="CCEEFF" w:val="clear"/>
            <w:vAlign w:val="center"/>
          </w:tcPr>
          <w:p>
            <w:pPr>
              <w:pStyle w:val="TableContents"/>
              <w:bidi w:val="0"/>
              <w:spacing w:before="0" w:after="283"/>
              <w:jc w:val="left"/>
              <w:rPr/>
            </w:pPr>
            <w:r>
              <w:rPr/>
              <w:t> </w:t>
            </w:r>
          </w:p>
        </w:tc>
      </w:tr>
      <w:tr>
        <w:trPr/>
        <w:tc>
          <w:tcPr>
            <w:tcW w:w="6698" w:type="dxa"/>
            <w:gridSpan w:val="5"/>
            <w:tcBorders/>
            <w:vAlign w:val="center"/>
          </w:tcPr>
          <w:p>
            <w:pPr>
              <w:pStyle w:val="TableContents"/>
              <w:bidi w:val="0"/>
              <w:spacing w:before="0" w:after="0"/>
              <w:jc w:val="left"/>
              <w:rPr/>
            </w:pPr>
            <w:r>
              <w:rPr/>
              <w:t xml:space="preserve">License revenue (see Note 2 - Revenue Recognition)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143</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426" w:type="dxa"/>
            <w:tcBorders/>
            <w:shd w:fill="CCEEFF" w:val="clear"/>
            <w:vAlign w:val="center"/>
          </w:tcPr>
          <w:p>
            <w:pPr>
              <w:pStyle w:val="TableContents"/>
              <w:bidi w:val="0"/>
              <w:spacing w:before="0" w:after="0"/>
              <w:jc w:val="left"/>
              <w:rPr/>
            </w:pPr>
            <w:r>
              <w:rPr/>
              <w:t xml:space="preserve">Consolidated revenues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426,454</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6698" w:type="dxa"/>
            <w:gridSpan w:val="5"/>
            <w:tcBorders/>
            <w:shd w:fill="CCEEFF" w:val="clear"/>
            <w:vAlign w:val="center"/>
          </w:tcPr>
          <w:p>
            <w:pPr>
              <w:pStyle w:val="TableContents"/>
              <w:bidi w:val="0"/>
              <w:spacing w:before="0" w:after="0"/>
              <w:ind w:left="0" w:right="0" w:hanging="144"/>
              <w:jc w:val="left"/>
              <w:rPr/>
            </w:pPr>
            <w:r>
              <w:rPr>
                <w:i/>
              </w:rPr>
              <w:t>Reconciliation of selling, general and administrative expense:</w:t>
            </w:r>
            <w:r>
              <w:rPr/>
              <w:t xml:space="preserve">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right"/>
              <w:rPr/>
            </w:pPr>
            <w:r>
              <w:rPr/>
              <w:t> </w:t>
            </w:r>
          </w:p>
        </w:tc>
      </w:tr>
      <w:tr>
        <w:trPr/>
        <w:tc>
          <w:tcPr>
            <w:tcW w:w="6698" w:type="dxa"/>
            <w:gridSpan w:val="5"/>
            <w:tcBorders/>
            <w:vAlign w:val="center"/>
          </w:tcPr>
          <w:p>
            <w:pPr>
              <w:pStyle w:val="TableContents"/>
              <w:bidi w:val="0"/>
              <w:spacing w:before="0" w:after="0"/>
              <w:jc w:val="left"/>
              <w:rPr/>
            </w:pPr>
            <w:r>
              <w:rPr/>
              <w:t xml:space="preserve">Segment selling, marketing and distribution expense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18,683</w:t>
            </w:r>
          </w:p>
        </w:tc>
        <w:tc>
          <w:tcPr>
            <w:tcW w:w="232" w:type="dxa"/>
            <w:tcBorders/>
            <w:vAlign w:val="center"/>
          </w:tcPr>
          <w:p>
            <w:pPr>
              <w:pStyle w:val="TableContents"/>
              <w:bidi w:val="0"/>
              <w:spacing w:before="0" w:after="283"/>
              <w:jc w:val="left"/>
              <w:rPr/>
            </w:pPr>
            <w:r>
              <w:rPr/>
              <w:t> </w:t>
            </w:r>
          </w:p>
        </w:tc>
      </w:tr>
      <w:tr>
        <w:trPr/>
        <w:tc>
          <w:tcPr>
            <w:tcW w:w="6698" w:type="dxa"/>
            <w:gridSpan w:val="5"/>
            <w:tcBorders/>
            <w:shd w:fill="CCEEFF" w:val="clear"/>
            <w:vAlign w:val="center"/>
          </w:tcPr>
          <w:p>
            <w:pPr>
              <w:pStyle w:val="TableContents"/>
              <w:bidi w:val="0"/>
              <w:spacing w:before="0" w:after="0"/>
              <w:jc w:val="left"/>
              <w:rPr/>
            </w:pPr>
            <w:r>
              <w:rPr/>
              <w:t xml:space="preserve">Segment general and administrative expense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26,001</w:t>
            </w:r>
          </w:p>
        </w:tc>
        <w:tc>
          <w:tcPr>
            <w:tcW w:w="232" w:type="dxa"/>
            <w:tcBorders/>
            <w:shd w:fill="CCEEFF" w:val="clear"/>
            <w:vAlign w:val="center"/>
          </w:tcPr>
          <w:p>
            <w:pPr>
              <w:pStyle w:val="TableContents"/>
              <w:bidi w:val="0"/>
              <w:spacing w:before="0" w:after="283"/>
              <w:jc w:val="left"/>
              <w:rPr/>
            </w:pPr>
            <w:r>
              <w:rPr/>
              <w:t> </w:t>
            </w:r>
          </w:p>
        </w:tc>
      </w:tr>
      <w:tr>
        <w:trPr/>
        <w:tc>
          <w:tcPr>
            <w:tcW w:w="6698" w:type="dxa"/>
            <w:gridSpan w:val="5"/>
            <w:tcBorders/>
            <w:vAlign w:val="center"/>
          </w:tcPr>
          <w:p>
            <w:pPr>
              <w:pStyle w:val="TableContents"/>
              <w:bidi w:val="0"/>
              <w:spacing w:before="0" w:after="0"/>
              <w:jc w:val="left"/>
              <w:rPr/>
            </w:pPr>
            <w:r>
              <w:rPr/>
              <w:t xml:space="preserve">Corporate general and administrative expense (a)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29,440</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698" w:type="dxa"/>
            <w:gridSpan w:val="5"/>
            <w:tcBorders/>
            <w:shd w:fill="CCEEFF" w:val="clear"/>
            <w:vAlign w:val="center"/>
          </w:tcPr>
          <w:p>
            <w:pPr>
              <w:pStyle w:val="TableContents"/>
              <w:bidi w:val="0"/>
              <w:spacing w:before="0" w:after="0"/>
              <w:jc w:val="left"/>
              <w:rPr/>
            </w:pPr>
            <w:r>
              <w:rPr/>
              <w:t xml:space="preserve">Consolidated selling, general and administrative expense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74,124</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426" w:type="dxa"/>
            <w:tcBorders/>
            <w:shd w:fill="CCEEFF" w:val="clear"/>
            <w:vAlign w:val="center"/>
          </w:tcPr>
          <w:p>
            <w:pPr>
              <w:pStyle w:val="TableContents"/>
              <w:bidi w:val="0"/>
              <w:spacing w:before="0" w:after="0"/>
              <w:ind w:left="0" w:right="0" w:hanging="144"/>
              <w:jc w:val="left"/>
              <w:rPr/>
            </w:pPr>
            <w:r>
              <w:rPr>
                <w:i/>
              </w:rPr>
              <w:t>Reconciliation of income before taxes: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right"/>
              <w:rPr/>
            </w:pPr>
            <w:r>
              <w:rPr/>
              <w:t> </w:t>
            </w:r>
          </w:p>
        </w:tc>
      </w:tr>
      <w:tr>
        <w:trPr/>
        <w:tc>
          <w:tcPr>
            <w:tcW w:w="4426" w:type="dxa"/>
            <w:tcBorders/>
            <w:vAlign w:val="center"/>
          </w:tcPr>
          <w:p>
            <w:pPr>
              <w:pStyle w:val="TableContents"/>
              <w:bidi w:val="0"/>
              <w:spacing w:before="0" w:after="0"/>
              <w:jc w:val="left"/>
              <w:rPr/>
            </w:pPr>
            <w:r>
              <w:rPr/>
              <w:t xml:space="preserve">Segment income before taxes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168,097</w:t>
            </w:r>
          </w:p>
        </w:tc>
        <w:tc>
          <w:tcPr>
            <w:tcW w:w="232" w:type="dxa"/>
            <w:tcBorders/>
            <w:vAlign w:val="center"/>
          </w:tcPr>
          <w:p>
            <w:pPr>
              <w:pStyle w:val="TableContents"/>
              <w:bidi w:val="0"/>
              <w:spacing w:before="0" w:after="283"/>
              <w:jc w:val="left"/>
              <w:rPr/>
            </w:pPr>
            <w:r>
              <w:rPr/>
              <w:t> </w:t>
            </w:r>
          </w:p>
        </w:tc>
      </w:tr>
      <w:tr>
        <w:trPr/>
        <w:tc>
          <w:tcPr>
            <w:tcW w:w="4426" w:type="dxa"/>
            <w:tcBorders/>
            <w:shd w:fill="CCEEFF" w:val="clear"/>
            <w:vAlign w:val="center"/>
          </w:tcPr>
          <w:p>
            <w:pPr>
              <w:pStyle w:val="TableContents"/>
              <w:bidi w:val="0"/>
              <w:spacing w:before="0" w:after="0"/>
              <w:jc w:val="left"/>
              <w:rPr/>
            </w:pPr>
            <w:r>
              <w:rPr/>
              <w:t xml:space="preserve">License revenue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143</w:t>
            </w:r>
          </w:p>
        </w:tc>
        <w:tc>
          <w:tcPr>
            <w:tcW w:w="232" w:type="dxa"/>
            <w:tcBorders/>
            <w:shd w:fill="CCEEFF" w:val="clear"/>
            <w:vAlign w:val="center"/>
          </w:tcPr>
          <w:p>
            <w:pPr>
              <w:pStyle w:val="TableContents"/>
              <w:bidi w:val="0"/>
              <w:spacing w:before="0" w:after="283"/>
              <w:jc w:val="left"/>
              <w:rPr/>
            </w:pPr>
            <w:r>
              <w:rPr/>
              <w:t> </w:t>
            </w:r>
          </w:p>
        </w:tc>
      </w:tr>
      <w:tr>
        <w:trPr/>
        <w:tc>
          <w:tcPr>
            <w:tcW w:w="8883" w:type="dxa"/>
            <w:gridSpan w:val="9"/>
            <w:tcBorders/>
            <w:vAlign w:val="center"/>
          </w:tcPr>
          <w:p>
            <w:pPr>
              <w:pStyle w:val="TableContents"/>
              <w:bidi w:val="0"/>
              <w:spacing w:before="0" w:after="0"/>
              <w:jc w:val="left"/>
              <w:rPr/>
            </w:pPr>
            <w:r>
              <w:rPr/>
              <w:t xml:space="preserve">Unallocated interest expense, primarily related to interest on senior debt (see Note 7)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(13,930</w:t>
            </w:r>
          </w:p>
        </w:tc>
        <w:tc>
          <w:tcPr>
            <w:tcW w:w="232" w:type="dxa"/>
            <w:tcBorders/>
            <w:vAlign w:val="center"/>
          </w:tcPr>
          <w:p>
            <w:pPr>
              <w:pStyle w:val="TableContents"/>
              <w:bidi w:val="0"/>
              <w:spacing w:before="0" w:after="283"/>
              <w:jc w:val="left"/>
              <w:rPr/>
            </w:pPr>
            <w:r>
              <w:rPr/>
              <w:t>) </w:t>
            </w:r>
          </w:p>
        </w:tc>
      </w:tr>
      <w:tr>
        <w:trPr/>
        <w:tc>
          <w:tcPr>
            <w:tcW w:w="6698" w:type="dxa"/>
            <w:gridSpan w:val="5"/>
            <w:tcBorders/>
            <w:shd w:fill="CCEEFF" w:val="clear"/>
            <w:vAlign w:val="center"/>
          </w:tcPr>
          <w:p>
            <w:pPr>
              <w:pStyle w:val="TableContents"/>
              <w:bidi w:val="0"/>
              <w:spacing w:before="0" w:after="0"/>
              <w:jc w:val="left"/>
              <w:rPr/>
            </w:pPr>
            <w:r>
              <w:rPr/>
              <w:t xml:space="preserve">Loss on extinguishment of debt (see Note 7)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(1,243</w:t>
            </w:r>
          </w:p>
        </w:tc>
        <w:tc>
          <w:tcPr>
            <w:tcW w:w="232" w:type="dxa"/>
            <w:tcBorders/>
            <w:shd w:fill="CCEEFF" w:val="cle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0"/>
              <w:jc w:val="left"/>
              <w:rPr/>
            </w:pPr>
            <w:r>
              <w:rPr/>
              <w:t xml:space="preserve">Unallocated interest income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2,087</w:t>
            </w:r>
          </w:p>
        </w:tc>
        <w:tc>
          <w:tcPr>
            <w:tcW w:w="232" w:type="dxa"/>
            <w:tcBorders/>
            <w:vAlign w:val="center"/>
          </w:tcPr>
          <w:p>
            <w:pPr>
              <w:pStyle w:val="TableContents"/>
              <w:bidi w:val="0"/>
              <w:spacing w:before="0" w:after="283"/>
              <w:jc w:val="left"/>
              <w:rPr/>
            </w:pPr>
            <w:r>
              <w:rPr/>
              <w:t> </w:t>
            </w:r>
          </w:p>
        </w:tc>
      </w:tr>
      <w:tr>
        <w:trPr/>
        <w:tc>
          <w:tcPr>
            <w:tcW w:w="6698" w:type="dxa"/>
            <w:gridSpan w:val="5"/>
            <w:tcBorders/>
            <w:shd w:fill="CCEEFF" w:val="clear"/>
            <w:vAlign w:val="center"/>
          </w:tcPr>
          <w:p>
            <w:pPr>
              <w:pStyle w:val="TableContents"/>
              <w:bidi w:val="0"/>
              <w:spacing w:before="0" w:after="0"/>
              <w:jc w:val="left"/>
              <w:rPr/>
            </w:pPr>
            <w:r>
              <w:rPr/>
              <w:t xml:space="preserve">Corporate general and administrative expense (a)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(29,440</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698" w:type="dxa"/>
            <w:gridSpan w:val="5"/>
            <w:tcBorders/>
            <w:vAlign w:val="center"/>
          </w:tcPr>
          <w:p>
            <w:pPr>
              <w:pStyle w:val="TableContents"/>
              <w:bidi w:val="0"/>
              <w:spacing w:before="0" w:after="0"/>
              <w:ind w:left="0" w:right="0" w:hanging="144"/>
              <w:jc w:val="left"/>
              <w:rPr/>
            </w:pPr>
            <w:r>
              <w:rPr/>
              <w:t xml:space="preserve">Consolidated income before taxes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125,714</w:t>
            </w:r>
          </w:p>
        </w:tc>
        <w:tc>
          <w:tcPr>
            <w:tcW w:w="232"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442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right"/>
              <w:rPr/>
            </w:pPr>
            <w:r>
              <w:rPr/>
              <w:t> </w:t>
            </w:r>
          </w:p>
        </w:tc>
      </w:tr>
      <w:tr>
        <w:trPr/>
        <w:tc>
          <w:tcPr>
            <w:tcW w:w="4426" w:type="dxa"/>
            <w:tcBorders/>
            <w:vAlign w:val="center"/>
          </w:tcPr>
          <w:p>
            <w:pPr>
              <w:pStyle w:val="TableContents"/>
              <w:bidi w:val="0"/>
              <w:spacing w:before="0" w:after="0"/>
              <w:ind w:left="0" w:right="0" w:hanging="144"/>
              <w:jc w:val="left"/>
              <w:rPr/>
            </w:pPr>
            <w:r>
              <w:rPr>
                <w:i/>
              </w:rPr>
              <w:t>Reconciliation of total assets:</w:t>
            </w:r>
            <w:r>
              <w:rPr/>
              <w:t xml:space="preserve">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426" w:type="dxa"/>
            <w:tcBorders/>
            <w:shd w:fill="CCEEFF" w:val="clear"/>
            <w:vAlign w:val="center"/>
          </w:tcPr>
          <w:p>
            <w:pPr>
              <w:pStyle w:val="TableContents"/>
              <w:bidi w:val="0"/>
              <w:spacing w:before="0" w:after="0"/>
              <w:jc w:val="left"/>
              <w:rPr/>
            </w:pPr>
            <w:r>
              <w:rPr/>
              <w:t xml:space="preserve">Total segment assets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319,774</w:t>
            </w:r>
          </w:p>
        </w:tc>
        <w:tc>
          <w:tcPr>
            <w:tcW w:w="232" w:type="dxa"/>
            <w:tcBorders/>
            <w:shd w:fill="CCEEFF" w:val="clear"/>
            <w:vAlign w:val="center"/>
          </w:tcPr>
          <w:p>
            <w:pPr>
              <w:pStyle w:val="TableContents"/>
              <w:bidi w:val="0"/>
              <w:spacing w:before="0" w:after="283"/>
              <w:jc w:val="left"/>
              <w:rPr/>
            </w:pPr>
            <w:r>
              <w:rPr/>
              <w:t> </w:t>
            </w:r>
          </w:p>
        </w:tc>
      </w:tr>
      <w:tr>
        <w:trPr/>
        <w:tc>
          <w:tcPr>
            <w:tcW w:w="4426" w:type="dxa"/>
            <w:tcBorders/>
            <w:vAlign w:val="center"/>
          </w:tcPr>
          <w:p>
            <w:pPr>
              <w:pStyle w:val="TableContents"/>
              <w:bidi w:val="0"/>
              <w:spacing w:before="0" w:after="0"/>
              <w:jc w:val="left"/>
              <w:rPr/>
            </w:pPr>
            <w:r>
              <w:rPr/>
              <w:t xml:space="preserve">Corporate (b)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right"/>
              <w:rPr/>
            </w:pPr>
            <w:r>
              <w:rPr/>
              <w:t> </w:t>
            </w:r>
          </w:p>
        </w:tc>
        <w:tc>
          <w:tcPr>
            <w:tcW w:w="162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168,904</w:t>
            </w:r>
          </w:p>
        </w:tc>
        <w:tc>
          <w:tcPr>
            <w:tcW w:w="232" w:type="dxa"/>
            <w:tcBorders/>
            <w:vAlign w:val="center"/>
          </w:tcPr>
          <w:p>
            <w:pPr>
              <w:pStyle w:val="TableContents"/>
              <w:bidi w:val="0"/>
              <w:spacing w:before="0" w:after="283"/>
              <w:jc w:val="left"/>
              <w:rPr/>
            </w:pPr>
            <w:r>
              <w:rPr/>
              <w:t> </w:t>
            </w:r>
          </w:p>
        </w:tc>
      </w:tr>
      <w:tr>
        <w:trPr/>
        <w:tc>
          <w:tcPr>
            <w:tcW w:w="4426" w:type="dxa"/>
            <w:tcBorders/>
            <w:shd w:fill="CCEEFF" w:val="clear"/>
            <w:vAlign w:val="center"/>
          </w:tcPr>
          <w:p>
            <w:pPr>
              <w:pStyle w:val="TableContents"/>
              <w:bidi w:val="0"/>
              <w:spacing w:before="0" w:after="0"/>
              <w:jc w:val="left"/>
              <w:rPr/>
            </w:pPr>
            <w:r>
              <w:rPr/>
              <w:t xml:space="preserve">Consolidated total assets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right"/>
              <w:rPr/>
            </w:pPr>
            <w:r>
              <w:rPr/>
              <w:t> </w:t>
            </w:r>
          </w:p>
        </w:tc>
        <w:tc>
          <w:tcPr>
            <w:tcW w:w="16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488,678</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41"/>
        <w:gridCol w:w="9864"/>
      </w:tblGrid>
      <w:tr>
        <w:trPr/>
        <w:tc>
          <w:tcPr>
            <w:tcW w:w="341" w:type="dxa"/>
            <w:tcBorders/>
            <w:vAlign w:val="center"/>
          </w:tcPr>
          <w:p>
            <w:pPr>
              <w:pStyle w:val="TableContents"/>
              <w:bidi w:val="0"/>
              <w:spacing w:before="0" w:after="283"/>
              <w:jc w:val="left"/>
              <w:rPr/>
            </w:pPr>
            <w:r>
              <w:rPr/>
              <w:t> </w:t>
            </w:r>
          </w:p>
        </w:tc>
        <w:tc>
          <w:tcPr>
            <w:tcW w:w="9864" w:type="dxa"/>
            <w:tcBorders/>
            <w:vAlign w:val="center"/>
          </w:tcPr>
          <w:p>
            <w:pPr>
              <w:pStyle w:val="TableContents"/>
              <w:bidi w:val="0"/>
              <w:spacing w:before="0" w:after="283"/>
              <w:jc w:val="left"/>
              <w:rPr/>
            </w:pPr>
            <w:r>
              <w:rPr/>
              <w:t> </w:t>
            </w:r>
          </w:p>
        </w:tc>
      </w:tr>
      <w:tr>
        <w:trPr/>
        <w:tc>
          <w:tcPr>
            <w:tcW w:w="341" w:type="dxa"/>
            <w:tcBorders/>
            <w:vAlign w:val="center"/>
          </w:tcPr>
          <w:p>
            <w:pPr>
              <w:pStyle w:val="TableContents"/>
              <w:bidi w:val="0"/>
              <w:spacing w:before="0" w:after="283"/>
              <w:jc w:val="left"/>
              <w:rPr>
                <w:spacing w:val="0"/>
              </w:rPr>
            </w:pPr>
            <w:r>
              <w:rPr>
                <w:spacing w:val="0"/>
              </w:rPr>
              <w:t>(a)</w:t>
            </w:r>
          </w:p>
        </w:tc>
        <w:tc>
          <w:tcPr>
            <w:tcW w:w="9864" w:type="dxa"/>
            <w:tcBorders/>
            <w:vAlign w:val="center"/>
          </w:tcPr>
          <w:p>
            <w:pPr>
              <w:pStyle w:val="TableContents"/>
              <w:bidi w:val="0"/>
              <w:spacing w:before="0" w:after="283"/>
              <w:jc w:val="left"/>
              <w:rPr/>
            </w:pPr>
            <w:r>
              <w:rPr>
                <w:spacing w:val="0"/>
              </w:rPr>
              <w:t>Primarily includes compensation expense, including stock-based compensation expense, for certain executive officers and consultants, insurance, legal and investor relations expenses and accounting and tax fees that are not allocated to the Company's operating segments.</w:t>
            </w:r>
            <w:r>
              <w:rPr/>
              <w:t> </w:t>
            </w:r>
          </w:p>
        </w:tc>
      </w:tr>
      <w:tr>
        <w:trPr/>
        <w:tc>
          <w:tcPr>
            <w:tcW w:w="341" w:type="dxa"/>
            <w:tcBorders/>
            <w:vAlign w:val="center"/>
          </w:tcPr>
          <w:p>
            <w:pPr>
              <w:pStyle w:val="TableContents"/>
              <w:bidi w:val="0"/>
              <w:spacing w:before="0" w:after="283"/>
              <w:jc w:val="left"/>
              <w:rPr/>
            </w:pPr>
            <w:r>
              <w:rPr/>
              <w:t> </w:t>
            </w:r>
          </w:p>
        </w:tc>
        <w:tc>
          <w:tcPr>
            <w:tcW w:w="9864" w:type="dxa"/>
            <w:tcBorders/>
            <w:vAlign w:val="center"/>
          </w:tcPr>
          <w:p>
            <w:pPr>
              <w:pStyle w:val="TableContents"/>
              <w:bidi w:val="0"/>
              <w:spacing w:before="0" w:after="283"/>
              <w:jc w:val="left"/>
              <w:rPr/>
            </w:pPr>
            <w:r>
              <w:rPr/>
              <w:t> </w:t>
            </w:r>
          </w:p>
        </w:tc>
      </w:tr>
      <w:tr>
        <w:trPr/>
        <w:tc>
          <w:tcPr>
            <w:tcW w:w="341" w:type="dxa"/>
            <w:tcBorders/>
            <w:vAlign w:val="center"/>
          </w:tcPr>
          <w:p>
            <w:pPr>
              <w:pStyle w:val="TableContents"/>
              <w:bidi w:val="0"/>
              <w:spacing w:before="0" w:after="283"/>
              <w:jc w:val="left"/>
              <w:rPr>
                <w:spacing w:val="0"/>
              </w:rPr>
            </w:pPr>
            <w:r>
              <w:rPr>
                <w:spacing w:val="0"/>
              </w:rPr>
              <w:t>(b)</w:t>
            </w:r>
          </w:p>
        </w:tc>
        <w:tc>
          <w:tcPr>
            <w:tcW w:w="9864" w:type="dxa"/>
            <w:tcBorders/>
            <w:vAlign w:val="center"/>
          </w:tcPr>
          <w:p>
            <w:pPr>
              <w:pStyle w:val="TableContents"/>
              <w:bidi w:val="0"/>
              <w:spacing w:before="0" w:after="283"/>
              <w:jc w:val="left"/>
              <w:rPr>
                <w:spacing w:val="0"/>
              </w:rPr>
            </w:pPr>
            <w:r>
              <w:rPr>
                <w:spacing w:val="0"/>
              </w:rPr>
              <w:t>Primarily consists of cash and deferred tax assets.</w:t>
            </w:r>
          </w:p>
        </w:tc>
      </w:tr>
    </w:tbl>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F-31</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559"/>
        <w:gridCol w:w="90"/>
        <w:gridCol w:w="338"/>
        <w:gridCol w:w="1657"/>
        <w:gridCol w:w="90"/>
        <w:gridCol w:w="90"/>
        <w:gridCol w:w="281"/>
        <w:gridCol w:w="1594"/>
        <w:gridCol w:w="185"/>
        <w:gridCol w:w="90"/>
        <w:gridCol w:w="170"/>
        <w:gridCol w:w="830"/>
        <w:gridCol w:w="231"/>
      </w:tblGrid>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9974" w:type="dxa"/>
            <w:gridSpan w:val="12"/>
            <w:tcBorders>
              <w:bottom w:val="single" w:sz="12" w:space="0" w:color="000000"/>
            </w:tcBorders>
            <w:tcMar>
              <w:bottom w:w="28" w:type="dxa"/>
            </w:tcMar>
            <w:vAlign w:val="center"/>
          </w:tcPr>
          <w:p>
            <w:pPr>
              <w:pStyle w:val="TableContents"/>
              <w:bidi w:val="0"/>
              <w:spacing w:before="0" w:after="283"/>
              <w:jc w:val="center"/>
              <w:rPr/>
            </w:pPr>
            <w:r>
              <w:rPr>
                <w:b/>
              </w:rPr>
              <w:t>Year Ended December 31, 2023</w:t>
            </w:r>
            <w:r>
              <w:rPr/>
              <w:t xml:space="preserve"> </w:t>
            </w:r>
          </w:p>
        </w:tc>
        <w:tc>
          <w:tcPr>
            <w:tcW w:w="231" w:type="dxa"/>
            <w:tcBorders/>
            <w:vAlign w:val="center"/>
          </w:tcPr>
          <w:p>
            <w:pPr>
              <w:pStyle w:val="TableContents"/>
              <w:bidi w:val="0"/>
              <w:spacing w:before="0" w:after="283"/>
              <w:jc w:val="center"/>
              <w:rPr/>
            </w:pPr>
            <w:r>
              <w:rPr/>
              <w:t> </w:t>
            </w:r>
          </w:p>
        </w:tc>
      </w:tr>
      <w:tr>
        <w:trPr/>
        <w:tc>
          <w:tcPr>
            <w:tcW w:w="4559" w:type="dxa"/>
            <w:tcBorders/>
            <w:vAlign w:val="center"/>
          </w:tcPr>
          <w:p>
            <w:pPr>
              <w:pStyle w:val="TableContents"/>
              <w:bidi w:val="0"/>
              <w:spacing w:before="0" w:after="283"/>
              <w:jc w:val="center"/>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995"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ADMA </w:t>
              <w:br/>
              <w:t>BioManufacturing</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75"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Plasma Collection </w:t>
              <w:br/>
              <w:t>Centers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1" w:type="dxa"/>
            <w:tcBorders/>
            <w:vAlign w:val="center"/>
          </w:tcPr>
          <w:p>
            <w:pPr>
              <w:pStyle w:val="TableContents"/>
              <w:bidi w:val="0"/>
              <w:spacing w:before="0" w:after="283"/>
              <w:jc w:val="center"/>
              <w:rPr/>
            </w:pPr>
            <w:r>
              <w:rPr/>
              <w:t> </w:t>
            </w:r>
          </w:p>
        </w:tc>
      </w:tr>
      <w:tr>
        <w:trPr/>
        <w:tc>
          <w:tcPr>
            <w:tcW w:w="4559" w:type="dxa"/>
            <w:tcBorders/>
            <w:shd w:fill="CCEEFF" w:val="clear"/>
            <w:vAlign w:val="center"/>
          </w:tcPr>
          <w:p>
            <w:pPr>
              <w:pStyle w:val="TableContents"/>
              <w:bidi w:val="0"/>
              <w:spacing w:before="0" w:after="0"/>
              <w:ind w:left="0" w:right="0" w:hanging="144"/>
              <w:jc w:val="left"/>
              <w:rPr/>
            </w:pPr>
            <w:r>
              <w:rPr/>
              <w:t xml:space="preserve">Revenues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w:t>
            </w:r>
          </w:p>
        </w:tc>
        <w:tc>
          <w:tcPr>
            <w:tcW w:w="1657" w:type="dxa"/>
            <w:tcBorders/>
            <w:shd w:fill="CCEEFF" w:val="clear"/>
            <w:vAlign w:val="center"/>
          </w:tcPr>
          <w:p>
            <w:pPr>
              <w:pStyle w:val="TableContents"/>
              <w:bidi w:val="0"/>
              <w:spacing w:before="0" w:after="283"/>
              <w:jc w:val="right"/>
              <w:rPr/>
            </w:pPr>
            <w:r>
              <w:rPr/>
              <w:t>249,738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w:t>
            </w:r>
          </w:p>
        </w:tc>
        <w:tc>
          <w:tcPr>
            <w:tcW w:w="1594" w:type="dxa"/>
            <w:tcBorders/>
            <w:shd w:fill="CCEEFF" w:val="clear"/>
            <w:vAlign w:val="center"/>
          </w:tcPr>
          <w:p>
            <w:pPr>
              <w:pStyle w:val="TableContents"/>
              <w:bidi w:val="0"/>
              <w:spacing w:before="0" w:after="283"/>
              <w:jc w:val="right"/>
              <w:rPr/>
            </w:pPr>
            <w:r>
              <w:rPr/>
              <w:t>8,334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258,072</w:t>
            </w:r>
          </w:p>
        </w:tc>
        <w:tc>
          <w:tcPr>
            <w:tcW w:w="231"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559" w:type="dxa"/>
            <w:tcBorders/>
            <w:shd w:fill="CCEEFF" w:val="clear"/>
            <w:vAlign w:val="center"/>
          </w:tcPr>
          <w:p>
            <w:pPr>
              <w:pStyle w:val="TableContents"/>
              <w:bidi w:val="0"/>
              <w:spacing w:before="0" w:after="0"/>
              <w:ind w:left="0" w:right="0" w:hanging="144"/>
              <w:jc w:val="left"/>
              <w:rPr/>
            </w:pPr>
            <w:r>
              <w:rPr/>
              <w:t xml:space="preserve">Cost of product revenue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161,157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pPr>
            <w:r>
              <w:rPr/>
              <w:t>8,116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169,273</w:t>
            </w:r>
          </w:p>
        </w:tc>
        <w:tc>
          <w:tcPr>
            <w:tcW w:w="231"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559" w:type="dxa"/>
            <w:tcBorders/>
            <w:shd w:fill="CCEEFF" w:val="clear"/>
            <w:vAlign w:val="center"/>
          </w:tcPr>
          <w:p>
            <w:pPr>
              <w:pStyle w:val="TableContents"/>
              <w:bidi w:val="0"/>
              <w:spacing w:before="0" w:after="0"/>
              <w:ind w:left="0" w:right="0" w:hanging="144"/>
              <w:jc w:val="left"/>
              <w:rPr/>
            </w:pPr>
            <w:r>
              <w:rPr/>
              <w:t xml:space="preserve">Research and development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3,300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3,300</w:t>
            </w:r>
          </w:p>
        </w:tc>
        <w:tc>
          <w:tcPr>
            <w:tcW w:w="231"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559" w:type="dxa"/>
            <w:tcBorders/>
            <w:shd w:fill="CCEEFF" w:val="clear"/>
            <w:vAlign w:val="center"/>
          </w:tcPr>
          <w:p>
            <w:pPr>
              <w:pStyle w:val="TableContents"/>
              <w:bidi w:val="0"/>
              <w:spacing w:before="0" w:after="0"/>
              <w:ind w:left="0" w:right="0" w:hanging="144"/>
              <w:jc w:val="left"/>
              <w:rPr/>
            </w:pPr>
            <w:r>
              <w:rPr/>
              <w:t xml:space="preserve">Plasma center operating expenses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 xml:space="preserve">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pPr>
            <w:r>
              <w:rPr/>
              <w:t>4,266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4,266</w:t>
            </w:r>
          </w:p>
        </w:tc>
        <w:tc>
          <w:tcPr>
            <w:tcW w:w="231"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559" w:type="dxa"/>
            <w:tcBorders/>
            <w:shd w:fill="CCEEFF" w:val="clear"/>
            <w:vAlign w:val="center"/>
          </w:tcPr>
          <w:p>
            <w:pPr>
              <w:pStyle w:val="TableContents"/>
              <w:bidi w:val="0"/>
              <w:spacing w:before="0" w:after="0"/>
              <w:ind w:left="0" w:right="0" w:hanging="144"/>
              <w:jc w:val="left"/>
              <w:rPr/>
            </w:pPr>
            <w:r>
              <w:rPr/>
              <w:t xml:space="preserve">Selling, marketing and distribution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18,407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18,407</w:t>
            </w:r>
          </w:p>
        </w:tc>
        <w:tc>
          <w:tcPr>
            <w:tcW w:w="231"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559" w:type="dxa"/>
            <w:tcBorders/>
            <w:shd w:fill="CCEEFF" w:val="clear"/>
            <w:vAlign w:val="center"/>
          </w:tcPr>
          <w:p>
            <w:pPr>
              <w:pStyle w:val="TableContents"/>
              <w:bidi w:val="0"/>
              <w:spacing w:before="0" w:after="0"/>
              <w:ind w:left="0" w:right="0" w:hanging="144"/>
              <w:jc w:val="left"/>
              <w:rPr/>
            </w:pPr>
            <w:r>
              <w:rPr/>
              <w:t xml:space="preserve">Depreciation and amortization expense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5,156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pPr>
            <w:r>
              <w:rPr/>
              <w:t>3,176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8,332</w:t>
            </w:r>
          </w:p>
        </w:tc>
        <w:tc>
          <w:tcPr>
            <w:tcW w:w="231"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559" w:type="dxa"/>
            <w:tcBorders/>
            <w:shd w:fill="CCEEFF" w:val="clear"/>
            <w:vAlign w:val="center"/>
          </w:tcPr>
          <w:p>
            <w:pPr>
              <w:pStyle w:val="TableContents"/>
              <w:bidi w:val="0"/>
              <w:spacing w:before="0" w:after="0"/>
              <w:ind w:left="0" w:right="0" w:hanging="144"/>
              <w:jc w:val="left"/>
              <w:rPr/>
            </w:pPr>
            <w:r>
              <w:rPr/>
              <w:t xml:space="preserve">General and administrative expense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18,625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18,625</w:t>
            </w:r>
          </w:p>
        </w:tc>
        <w:tc>
          <w:tcPr>
            <w:tcW w:w="231"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559" w:type="dxa"/>
            <w:tcBorders/>
            <w:shd w:fill="CCEEFF" w:val="clear"/>
            <w:vAlign w:val="center"/>
          </w:tcPr>
          <w:p>
            <w:pPr>
              <w:pStyle w:val="TableContents"/>
              <w:bidi w:val="0"/>
              <w:spacing w:before="0" w:after="0"/>
              <w:ind w:left="0" w:right="0" w:hanging="144"/>
              <w:jc w:val="left"/>
              <w:rPr/>
            </w:pPr>
            <w:r>
              <w:rPr/>
              <w:t xml:space="preserve">Income (loss) before taxes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47,267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pPr>
            <w:r>
              <w:rPr/>
              <w:t>(4,049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43,218</w:t>
            </w:r>
          </w:p>
        </w:tc>
        <w:tc>
          <w:tcPr>
            <w:tcW w:w="231"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559" w:type="dxa"/>
            <w:tcBorders/>
            <w:shd w:fill="CCEEFF" w:val="clear"/>
            <w:vAlign w:val="center"/>
          </w:tcPr>
          <w:p>
            <w:pPr>
              <w:pStyle w:val="TableContents"/>
              <w:bidi w:val="0"/>
              <w:spacing w:before="0" w:after="0"/>
              <w:ind w:left="0" w:right="0" w:hanging="144"/>
              <w:jc w:val="left"/>
              <w:rPr/>
            </w:pPr>
            <w:r>
              <w:rPr/>
              <w:t xml:space="preserve">Expenditures for additions to long-lived assets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2,952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pPr>
            <w:r>
              <w:rPr/>
              <w:t>1,819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4,771</w:t>
            </w:r>
          </w:p>
        </w:tc>
        <w:tc>
          <w:tcPr>
            <w:tcW w:w="231"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ind w:left="0" w:right="0" w:hanging="144"/>
              <w:jc w:val="left"/>
              <w:rPr/>
            </w:pPr>
            <w:r>
              <w:rPr/>
              <w:t xml:space="preserve">Total assets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right"/>
              <w:rPr/>
            </w:pPr>
            <w:r>
              <w:rPr/>
              <w:t>246,719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34,733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281,452</w:t>
            </w:r>
          </w:p>
        </w:tc>
        <w:tc>
          <w:tcPr>
            <w:tcW w:w="231"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4559" w:type="dxa"/>
            <w:tcBorders/>
            <w:vAlign w:val="center"/>
          </w:tcPr>
          <w:p>
            <w:pPr>
              <w:pStyle w:val="TableContents"/>
              <w:bidi w:val="0"/>
              <w:spacing w:before="0" w:after="0"/>
              <w:ind w:left="0" w:right="0" w:hanging="144"/>
              <w:jc w:val="left"/>
              <w:rPr/>
            </w:pPr>
            <w:r>
              <w:rPr>
                <w:i/>
              </w:rPr>
              <w:t>Reconciliation of revenues:</w:t>
            </w:r>
            <w:r>
              <w:rPr/>
              <w:t xml:space="preserve">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559" w:type="dxa"/>
            <w:tcBorders/>
            <w:shd w:fill="CCEEFF" w:val="clear"/>
            <w:vAlign w:val="center"/>
          </w:tcPr>
          <w:p>
            <w:pPr>
              <w:pStyle w:val="TableContents"/>
              <w:bidi w:val="0"/>
              <w:spacing w:before="0" w:after="0"/>
              <w:jc w:val="left"/>
              <w:rPr/>
            </w:pPr>
            <w:r>
              <w:rPr/>
              <w:t xml:space="preserve">Segment revenue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258,072</w:t>
            </w:r>
          </w:p>
        </w:tc>
        <w:tc>
          <w:tcPr>
            <w:tcW w:w="231" w:type="dxa"/>
            <w:tcBorders/>
            <w:shd w:fill="CCEEFF" w:val="clear"/>
            <w:vAlign w:val="center"/>
          </w:tcPr>
          <w:p>
            <w:pPr>
              <w:pStyle w:val="TableContents"/>
              <w:bidi w:val="0"/>
              <w:spacing w:before="0" w:after="283"/>
              <w:jc w:val="left"/>
              <w:rPr/>
            </w:pPr>
            <w:r>
              <w:rPr/>
              <w:t> </w:t>
            </w:r>
          </w:p>
        </w:tc>
      </w:tr>
      <w:tr>
        <w:trPr/>
        <w:tc>
          <w:tcPr>
            <w:tcW w:w="6734" w:type="dxa"/>
            <w:gridSpan w:val="5"/>
            <w:tcBorders/>
            <w:vAlign w:val="center"/>
          </w:tcPr>
          <w:p>
            <w:pPr>
              <w:pStyle w:val="TableContents"/>
              <w:bidi w:val="0"/>
              <w:spacing w:before="0" w:after="0"/>
              <w:jc w:val="left"/>
              <w:rPr/>
            </w:pPr>
            <w:r>
              <w:rPr/>
              <w:t xml:space="preserve">License revenue (see Note 2 - Revenue Recognition)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143</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Consolidated revenues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258,215</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6734" w:type="dxa"/>
            <w:gridSpan w:val="5"/>
            <w:tcBorders/>
            <w:shd w:fill="CCEEFF" w:val="clear"/>
            <w:vAlign w:val="center"/>
          </w:tcPr>
          <w:p>
            <w:pPr>
              <w:pStyle w:val="TableContents"/>
              <w:bidi w:val="0"/>
              <w:spacing w:before="0" w:after="0"/>
              <w:ind w:left="0" w:right="0" w:hanging="144"/>
              <w:jc w:val="left"/>
              <w:rPr/>
            </w:pPr>
            <w:r>
              <w:rPr>
                <w:i/>
              </w:rPr>
              <w:t>Reconciliation of selling, general and administrative expense:</w:t>
            </w:r>
            <w:r>
              <w:rPr/>
              <w:t xml:space="preserve">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6734" w:type="dxa"/>
            <w:gridSpan w:val="5"/>
            <w:tcBorders/>
            <w:vAlign w:val="center"/>
          </w:tcPr>
          <w:p>
            <w:pPr>
              <w:pStyle w:val="TableContents"/>
              <w:bidi w:val="0"/>
              <w:spacing w:before="0" w:after="0"/>
              <w:jc w:val="left"/>
              <w:rPr/>
            </w:pPr>
            <w:r>
              <w:rPr/>
              <w:t xml:space="preserve">Segment selling, marketing and distribution expense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18,407</w:t>
            </w:r>
          </w:p>
        </w:tc>
        <w:tc>
          <w:tcPr>
            <w:tcW w:w="231"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Segment general and administrative expense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18,625</w:t>
            </w:r>
          </w:p>
        </w:tc>
        <w:tc>
          <w:tcPr>
            <w:tcW w:w="231"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t xml:space="preserve">Corporate general and administrative expense (a)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21,988</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734" w:type="dxa"/>
            <w:gridSpan w:val="5"/>
            <w:tcBorders/>
            <w:shd w:fill="CCEEFF" w:val="clear"/>
            <w:vAlign w:val="center"/>
          </w:tcPr>
          <w:p>
            <w:pPr>
              <w:pStyle w:val="TableContents"/>
              <w:bidi w:val="0"/>
              <w:spacing w:before="0" w:after="0"/>
              <w:jc w:val="left"/>
              <w:rPr/>
            </w:pPr>
            <w:r>
              <w:rPr/>
              <w:t xml:space="preserve">Consolidated selling, general and administrative expense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59,020</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559" w:type="dxa"/>
            <w:tcBorders/>
            <w:shd w:fill="CCEEFF" w:val="clear"/>
            <w:vAlign w:val="center"/>
          </w:tcPr>
          <w:p>
            <w:pPr>
              <w:pStyle w:val="TableContents"/>
              <w:bidi w:val="0"/>
              <w:spacing w:before="0" w:after="0"/>
              <w:ind w:left="0" w:right="0" w:hanging="144"/>
              <w:jc w:val="left"/>
              <w:rPr/>
            </w:pPr>
            <w:r>
              <w:rPr>
                <w:i/>
              </w:rPr>
              <w:t>Reconciliation of loss before taxes: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4559" w:type="dxa"/>
            <w:tcBorders/>
            <w:vAlign w:val="center"/>
          </w:tcPr>
          <w:p>
            <w:pPr>
              <w:pStyle w:val="TableContents"/>
              <w:bidi w:val="0"/>
              <w:spacing w:before="0" w:after="0"/>
              <w:jc w:val="left"/>
              <w:rPr/>
            </w:pPr>
            <w:r>
              <w:rPr/>
              <w:t xml:space="preserve">Segment income before taxes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43,218</w:t>
            </w:r>
          </w:p>
        </w:tc>
        <w:tc>
          <w:tcPr>
            <w:tcW w:w="231"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License revenue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143</w:t>
            </w:r>
          </w:p>
        </w:tc>
        <w:tc>
          <w:tcPr>
            <w:tcW w:w="231" w:type="dxa"/>
            <w:tcBorders/>
            <w:shd w:fill="CCEEFF" w:val="clear"/>
            <w:vAlign w:val="center"/>
          </w:tcPr>
          <w:p>
            <w:pPr>
              <w:pStyle w:val="TableContents"/>
              <w:bidi w:val="0"/>
              <w:spacing w:before="0" w:after="283"/>
              <w:jc w:val="left"/>
              <w:rPr/>
            </w:pPr>
            <w:r>
              <w:rPr/>
              <w:t> </w:t>
            </w:r>
          </w:p>
        </w:tc>
      </w:tr>
      <w:tr>
        <w:trPr/>
        <w:tc>
          <w:tcPr>
            <w:tcW w:w="8884" w:type="dxa"/>
            <w:gridSpan w:val="9"/>
            <w:tcBorders/>
            <w:vAlign w:val="center"/>
          </w:tcPr>
          <w:p>
            <w:pPr>
              <w:pStyle w:val="TableContents"/>
              <w:bidi w:val="0"/>
              <w:spacing w:before="0" w:after="0"/>
              <w:jc w:val="left"/>
              <w:rPr/>
            </w:pPr>
            <w:r>
              <w:rPr/>
              <w:t xml:space="preserve">Unallocated interest expense, primarily related to interest on senior debt (see Note 7)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(25,027</w:t>
            </w:r>
          </w:p>
        </w:tc>
        <w:tc>
          <w:tcPr>
            <w:tcW w:w="231"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Loss on extinguishment of debt (see Note 7)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(26,174</w:t>
            </w:r>
          </w:p>
        </w:tc>
        <w:tc>
          <w:tcPr>
            <w:tcW w:w="231"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t xml:space="preserve">Unallocated interest income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1,589</w:t>
            </w:r>
          </w:p>
        </w:tc>
        <w:tc>
          <w:tcPr>
            <w:tcW w:w="231"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Corporate general and administrative expense (a)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(21,988</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t xml:space="preserve">Consolidated loss before taxes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(28,239</w:t>
            </w:r>
          </w:p>
        </w:tc>
        <w:tc>
          <w:tcPr>
            <w:tcW w:w="231"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4559" w:type="dxa"/>
            <w:tcBorders/>
            <w:vAlign w:val="center"/>
          </w:tcPr>
          <w:p>
            <w:pPr>
              <w:pStyle w:val="TableContents"/>
              <w:bidi w:val="0"/>
              <w:spacing w:before="0" w:after="0"/>
              <w:ind w:left="0" w:right="0" w:hanging="144"/>
              <w:jc w:val="left"/>
              <w:rPr/>
            </w:pPr>
            <w:r>
              <w:rPr>
                <w:i/>
              </w:rPr>
              <w:t>Reconciliation of total assets:</w:t>
            </w:r>
            <w:r>
              <w:rPr/>
              <w:t xml:space="preserve">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559" w:type="dxa"/>
            <w:tcBorders/>
            <w:shd w:fill="CCEEFF" w:val="clear"/>
            <w:vAlign w:val="center"/>
          </w:tcPr>
          <w:p>
            <w:pPr>
              <w:pStyle w:val="TableContents"/>
              <w:bidi w:val="0"/>
              <w:spacing w:before="0" w:after="0"/>
              <w:jc w:val="left"/>
              <w:rPr/>
            </w:pPr>
            <w:r>
              <w:rPr/>
              <w:t xml:space="preserve">Total segment assets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281,452</w:t>
            </w:r>
          </w:p>
        </w:tc>
        <w:tc>
          <w:tcPr>
            <w:tcW w:w="231"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t xml:space="preserve">Corporate (b) </w:t>
            </w:r>
          </w:p>
        </w:tc>
        <w:tc>
          <w:tcPr>
            <w:tcW w:w="90"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right"/>
              <w:rPr/>
            </w:pPr>
            <w:r>
              <w:rPr/>
              <w:t> </w:t>
            </w:r>
          </w:p>
        </w:tc>
        <w:tc>
          <w:tcPr>
            <w:tcW w:w="16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47,730</w:t>
            </w:r>
          </w:p>
        </w:tc>
        <w:tc>
          <w:tcPr>
            <w:tcW w:w="231"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Consolidated total assets </w:t>
            </w:r>
          </w:p>
        </w:tc>
        <w:tc>
          <w:tcPr>
            <w:tcW w:w="90"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right"/>
              <w:rPr/>
            </w:pPr>
            <w:r>
              <w:rPr/>
              <w:t> </w:t>
            </w:r>
          </w:p>
        </w:tc>
        <w:tc>
          <w:tcPr>
            <w:tcW w:w="16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329,182</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56"/>
        <w:gridCol w:w="9849"/>
      </w:tblGrid>
      <w:tr>
        <w:trPr/>
        <w:tc>
          <w:tcPr>
            <w:tcW w:w="356" w:type="dxa"/>
            <w:tcBorders/>
            <w:vAlign w:val="center"/>
          </w:tcPr>
          <w:p>
            <w:pPr>
              <w:pStyle w:val="TableContents"/>
              <w:bidi w:val="0"/>
              <w:spacing w:before="0" w:after="283"/>
              <w:jc w:val="left"/>
              <w:rPr/>
            </w:pPr>
            <w:r>
              <w:rPr/>
              <w:t> </w:t>
            </w:r>
          </w:p>
        </w:tc>
        <w:tc>
          <w:tcPr>
            <w:tcW w:w="9849" w:type="dxa"/>
            <w:tcBorders/>
            <w:vAlign w:val="center"/>
          </w:tcPr>
          <w:p>
            <w:pPr>
              <w:pStyle w:val="TableContents"/>
              <w:bidi w:val="0"/>
              <w:spacing w:before="0" w:after="283"/>
              <w:jc w:val="left"/>
              <w:rPr/>
            </w:pPr>
            <w:r>
              <w:rPr/>
              <w:t> </w:t>
            </w:r>
          </w:p>
        </w:tc>
      </w:tr>
      <w:tr>
        <w:trPr/>
        <w:tc>
          <w:tcPr>
            <w:tcW w:w="356" w:type="dxa"/>
            <w:tcBorders/>
            <w:vAlign w:val="center"/>
          </w:tcPr>
          <w:p>
            <w:pPr>
              <w:pStyle w:val="TableContents"/>
              <w:bidi w:val="0"/>
              <w:spacing w:before="0" w:after="283"/>
              <w:jc w:val="left"/>
              <w:rPr/>
            </w:pPr>
            <w:r>
              <w:rPr>
                <w:spacing w:val="0"/>
              </w:rPr>
              <w:t>(a)</w:t>
            </w:r>
            <w:r>
              <w:rPr/>
              <w:t> </w:t>
            </w:r>
          </w:p>
        </w:tc>
        <w:tc>
          <w:tcPr>
            <w:tcW w:w="9849" w:type="dxa"/>
            <w:tcBorders/>
            <w:vAlign w:val="center"/>
          </w:tcPr>
          <w:p>
            <w:pPr>
              <w:pStyle w:val="TableContents"/>
              <w:bidi w:val="0"/>
              <w:spacing w:before="0" w:after="283"/>
              <w:jc w:val="left"/>
              <w:rPr/>
            </w:pPr>
            <w:r>
              <w:rPr>
                <w:spacing w:val="0"/>
              </w:rPr>
              <w:t>Primarily includes compensation expense, including stock-based compensation expense, for certain executive officers and consultants, insurance, legal and investor relations expenses and accounting and tax fees that are not allocated to the Company's operating segments.</w:t>
            </w:r>
            <w:r>
              <w:rPr/>
              <w:t> </w:t>
            </w:r>
          </w:p>
        </w:tc>
      </w:tr>
      <w:tr>
        <w:trPr/>
        <w:tc>
          <w:tcPr>
            <w:tcW w:w="356" w:type="dxa"/>
            <w:tcBorders/>
            <w:vAlign w:val="center"/>
          </w:tcPr>
          <w:p>
            <w:pPr>
              <w:pStyle w:val="TableContents"/>
              <w:bidi w:val="0"/>
              <w:spacing w:before="0" w:after="283"/>
              <w:jc w:val="left"/>
              <w:rPr/>
            </w:pPr>
            <w:r>
              <w:rPr/>
              <w:t> </w:t>
            </w:r>
          </w:p>
        </w:tc>
        <w:tc>
          <w:tcPr>
            <w:tcW w:w="9849" w:type="dxa"/>
            <w:tcBorders/>
            <w:vAlign w:val="center"/>
          </w:tcPr>
          <w:p>
            <w:pPr>
              <w:pStyle w:val="TableContents"/>
              <w:bidi w:val="0"/>
              <w:spacing w:before="0" w:after="283"/>
              <w:jc w:val="left"/>
              <w:rPr/>
            </w:pPr>
            <w:r>
              <w:rPr/>
              <w:t> </w:t>
            </w:r>
          </w:p>
        </w:tc>
      </w:tr>
      <w:tr>
        <w:trPr/>
        <w:tc>
          <w:tcPr>
            <w:tcW w:w="356" w:type="dxa"/>
            <w:tcBorders/>
            <w:vAlign w:val="center"/>
          </w:tcPr>
          <w:p>
            <w:pPr>
              <w:pStyle w:val="TableContents"/>
              <w:bidi w:val="0"/>
              <w:spacing w:before="0" w:after="283"/>
              <w:jc w:val="left"/>
              <w:rPr>
                <w:spacing w:val="0"/>
              </w:rPr>
            </w:pPr>
            <w:r>
              <w:rPr>
                <w:spacing w:val="0"/>
              </w:rPr>
              <w:t>(b)</w:t>
            </w:r>
          </w:p>
        </w:tc>
        <w:tc>
          <w:tcPr>
            <w:tcW w:w="9849" w:type="dxa"/>
            <w:tcBorders/>
            <w:vAlign w:val="center"/>
          </w:tcPr>
          <w:p>
            <w:pPr>
              <w:pStyle w:val="TableContents"/>
              <w:bidi w:val="0"/>
              <w:spacing w:before="0" w:after="283"/>
              <w:jc w:val="left"/>
              <w:rPr>
                <w:spacing w:val="0"/>
              </w:rPr>
            </w:pPr>
            <w:r>
              <w:rPr>
                <w:spacing w:val="0"/>
              </w:rPr>
              <w:t>Primarily consists of cash.</w:t>
            </w:r>
          </w:p>
        </w:tc>
      </w:tr>
    </w:tbl>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F-32</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Net revenues according to geographic area, based on the location of where the product is shipped, are as follows (</w:t>
      </w:r>
      <w:r>
        <w:rPr>
          <w:rFonts w:ascii="TimesNewRoman;Times New Roman;Times;Baskerville;Georgia;serif" w:hAnsi="TimesNewRoman;Times New Roman;Times;Baskerville;Georgia;serif"/>
          <w:i/>
          <w:sz w:val="20"/>
        </w:rPr>
        <w:t>in thousands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390"/>
        <w:gridCol w:w="90"/>
        <w:gridCol w:w="335"/>
        <w:gridCol w:w="1644"/>
        <w:gridCol w:w="90"/>
        <w:gridCol w:w="90"/>
        <w:gridCol w:w="278"/>
        <w:gridCol w:w="1163"/>
        <w:gridCol w:w="90"/>
        <w:gridCol w:w="90"/>
        <w:gridCol w:w="237"/>
        <w:gridCol w:w="1160"/>
        <w:gridCol w:w="90"/>
        <w:gridCol w:w="90"/>
        <w:gridCol w:w="222"/>
        <w:gridCol w:w="1401"/>
        <w:gridCol w:w="90"/>
        <w:gridCol w:w="90"/>
        <w:gridCol w:w="241"/>
        <w:gridCol w:w="1183"/>
        <w:gridCol w:w="141"/>
      </w:tblGrid>
      <w:tr>
        <w:trPr/>
        <w:tc>
          <w:tcPr>
            <w:tcW w:w="1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6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1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8584" w:type="dxa"/>
            <w:gridSpan w:val="18"/>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 2025</w:t>
            </w:r>
            <w:r>
              <w:rPr/>
              <w:t xml:space="preserve"> </w:t>
            </w:r>
          </w:p>
        </w:tc>
        <w:tc>
          <w:tcPr>
            <w:tcW w:w="141" w:type="dxa"/>
            <w:tcBorders/>
            <w:vAlign w:val="center"/>
          </w:tcPr>
          <w:p>
            <w:pPr>
              <w:pStyle w:val="TableContents"/>
              <w:bidi w:val="0"/>
              <w:spacing w:before="0" w:after="283"/>
              <w:jc w:val="center"/>
              <w:rPr/>
            </w:pPr>
            <w:r>
              <w:rPr/>
              <w:t> </w:t>
            </w:r>
          </w:p>
        </w:tc>
      </w:tr>
      <w:tr>
        <w:trPr/>
        <w:tc>
          <w:tcPr>
            <w:tcW w:w="1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979"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ADMA </w:t>
              <w:br/>
              <w:t>BioManufacturing</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1" w:type="dxa"/>
            <w:gridSpan w:val="2"/>
            <w:tcBorders>
              <w:bottom w:val="single" w:sz="12" w:space="0" w:color="000000"/>
            </w:tcBorders>
            <w:tcMar>
              <w:bottom w:w="28" w:type="dxa"/>
            </w:tcMar>
            <w:vAlign w:val="center"/>
          </w:tcPr>
          <w:p>
            <w:pPr>
              <w:pStyle w:val="TableContents"/>
              <w:bidi w:val="0"/>
              <w:spacing w:before="0" w:after="283"/>
              <w:jc w:val="center"/>
              <w:rPr/>
            </w:pPr>
            <w:r>
              <w:rPr>
                <w:b/>
              </w:rPr>
              <w:t>Plasma Centers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Total Segment </w:t>
              <w:br/>
              <w:t>Revenue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23" w:type="dxa"/>
            <w:gridSpan w:val="2"/>
            <w:tcBorders>
              <w:bottom w:val="single" w:sz="12" w:space="0" w:color="000000"/>
            </w:tcBorders>
            <w:tcMar>
              <w:bottom w:w="28" w:type="dxa"/>
            </w:tcMar>
            <w:vAlign w:val="center"/>
          </w:tcPr>
          <w:p>
            <w:pPr>
              <w:pStyle w:val="TableContents"/>
              <w:bidi w:val="0"/>
              <w:spacing w:before="0" w:after="283"/>
              <w:jc w:val="center"/>
              <w:rPr/>
            </w:pPr>
            <w:r>
              <w:rPr>
                <w:b/>
              </w:rPr>
              <w:t>License Revenue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Consolidated </w:t>
              <w:br/>
              <w:t>Revenue</w:t>
            </w:r>
            <w:r>
              <w:rPr/>
              <w:t xml:space="preserve"> </w:t>
            </w:r>
          </w:p>
        </w:tc>
        <w:tc>
          <w:tcPr>
            <w:tcW w:w="141" w:type="dxa"/>
            <w:tcBorders/>
            <w:vAlign w:val="center"/>
          </w:tcPr>
          <w:p>
            <w:pPr>
              <w:pStyle w:val="TableContents"/>
              <w:bidi w:val="0"/>
              <w:spacing w:before="0" w:after="283"/>
              <w:jc w:val="center"/>
              <w:rPr/>
            </w:pPr>
            <w:r>
              <w:rPr/>
              <w:t> </w:t>
            </w:r>
          </w:p>
        </w:tc>
      </w:tr>
      <w:tr>
        <w:trPr/>
        <w:tc>
          <w:tcPr>
            <w:tcW w:w="1390" w:type="dxa"/>
            <w:tcBorders/>
            <w:shd w:fill="CCEEFF" w:val="clear"/>
            <w:vAlign w:val="center"/>
          </w:tcPr>
          <w:p>
            <w:pPr>
              <w:pStyle w:val="TableContents"/>
              <w:bidi w:val="0"/>
              <w:spacing w:before="0" w:after="0"/>
              <w:ind w:left="0" w:right="0" w:hanging="144"/>
              <w:jc w:val="left"/>
              <w:rPr/>
            </w:pPr>
            <w:r>
              <w:rPr/>
              <w:t xml:space="preserve">United States </w:t>
            </w:r>
          </w:p>
        </w:tc>
        <w:tc>
          <w:tcPr>
            <w:tcW w:w="90"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w:t>
            </w:r>
          </w:p>
        </w:tc>
        <w:tc>
          <w:tcPr>
            <w:tcW w:w="1644" w:type="dxa"/>
            <w:tcBorders/>
            <w:shd w:fill="CCEEFF" w:val="clear"/>
            <w:vAlign w:val="center"/>
          </w:tcPr>
          <w:p>
            <w:pPr>
              <w:pStyle w:val="TableContents"/>
              <w:bidi w:val="0"/>
              <w:spacing w:before="0" w:after="283"/>
              <w:jc w:val="right"/>
              <w:rPr/>
            </w:pPr>
            <w:r>
              <w:rPr/>
              <w:t>489,016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14,908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7"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503,924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w:t>
            </w:r>
          </w:p>
        </w:tc>
        <w:tc>
          <w:tcPr>
            <w:tcW w:w="1401" w:type="dxa"/>
            <w:tcBorders/>
            <w:shd w:fill="CCEEFF" w:val="clear"/>
            <w:vAlign w:val="center"/>
          </w:tcPr>
          <w:p>
            <w:pPr>
              <w:pStyle w:val="TableContents"/>
              <w:bidi w:val="0"/>
              <w:spacing w:before="0" w:after="283"/>
              <w:jc w:val="right"/>
              <w:rPr/>
            </w:pPr>
            <w:r>
              <w:rPr/>
              <w:t>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504,067</w:t>
            </w:r>
          </w:p>
        </w:tc>
        <w:tc>
          <w:tcPr>
            <w:tcW w:w="141" w:type="dxa"/>
            <w:tcBorders/>
            <w:shd w:fill="CCEEFF" w:val="clear"/>
            <w:vAlign w:val="center"/>
          </w:tcPr>
          <w:p>
            <w:pPr>
              <w:pStyle w:val="TableContents"/>
              <w:bidi w:val="0"/>
              <w:spacing w:before="0" w:after="283"/>
              <w:jc w:val="left"/>
              <w:rPr/>
            </w:pPr>
            <w:r>
              <w:rPr/>
              <w:t> </w:t>
            </w:r>
          </w:p>
        </w:tc>
      </w:tr>
      <w:tr>
        <w:trPr/>
        <w:tc>
          <w:tcPr>
            <w:tcW w:w="1390" w:type="dxa"/>
            <w:tcBorders/>
            <w:vAlign w:val="center"/>
          </w:tcPr>
          <w:p>
            <w:pPr>
              <w:pStyle w:val="TableContents"/>
              <w:bidi w:val="0"/>
              <w:spacing w:before="0" w:after="0"/>
              <w:ind w:left="0" w:right="0" w:hanging="144"/>
              <w:jc w:val="left"/>
              <w:rPr/>
            </w:pPr>
            <w:r>
              <w:rPr/>
              <w:t xml:space="preserve">International </w:t>
            </w:r>
          </w:p>
        </w:tc>
        <w:tc>
          <w:tcPr>
            <w:tcW w:w="90" w:type="dxa"/>
            <w:tcBorders/>
            <w:vAlign w:val="center"/>
          </w:tcPr>
          <w:p>
            <w:pPr>
              <w:pStyle w:val="TableContents"/>
              <w:bidi w:val="0"/>
              <w:spacing w:before="0" w:after="283"/>
              <w:jc w:val="right"/>
              <w:rPr/>
            </w:pPr>
            <w:r>
              <w:rPr/>
              <w:t> </w:t>
            </w:r>
          </w:p>
        </w:tc>
        <w:tc>
          <w:tcPr>
            <w:tcW w:w="3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644" w:type="dxa"/>
            <w:tcBorders>
              <w:bottom w:val="single" w:sz="12" w:space="0" w:color="000000"/>
            </w:tcBorders>
            <w:tcMar>
              <w:bottom w:w="28" w:type="dxa"/>
            </w:tcMar>
            <w:vAlign w:val="center"/>
          </w:tcPr>
          <w:p>
            <w:pPr>
              <w:pStyle w:val="TableContents"/>
              <w:bidi w:val="0"/>
              <w:spacing w:before="0" w:after="283"/>
              <w:jc w:val="right"/>
              <w:rPr/>
            </w:pPr>
            <w:r>
              <w:rPr/>
              <w:t>3,984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tcMar>
              <w:bottom w:w="28" w:type="dxa"/>
            </w:tcMar>
            <w:vAlign w:val="center"/>
          </w:tcPr>
          <w:p>
            <w:pPr>
              <w:pStyle w:val="TableContents"/>
              <w:bidi w:val="0"/>
              <w:spacing w:before="0" w:after="283"/>
              <w:jc w:val="right"/>
              <w:rPr/>
            </w:pPr>
            <w:r>
              <w:rPr/>
              <w:t>2,122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283"/>
              <w:jc w:val="right"/>
              <w:rPr/>
            </w:pPr>
            <w:r>
              <w:rPr/>
              <w:t>6,106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1"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tcMar>
              <w:bottom w:w="28" w:type="dxa"/>
            </w:tcMar>
            <w:vAlign w:val="center"/>
          </w:tcPr>
          <w:p>
            <w:pPr>
              <w:pStyle w:val="TableContents"/>
              <w:bidi w:val="0"/>
              <w:spacing w:before="0" w:after="283"/>
              <w:jc w:val="right"/>
              <w:rPr/>
            </w:pPr>
            <w:r>
              <w:rPr/>
              <w:t>6,106</w:t>
            </w:r>
          </w:p>
        </w:tc>
        <w:tc>
          <w:tcPr>
            <w:tcW w:w="141" w:type="dxa"/>
            <w:tcBorders/>
            <w:vAlign w:val="center"/>
          </w:tcPr>
          <w:p>
            <w:pPr>
              <w:pStyle w:val="TableContents"/>
              <w:bidi w:val="0"/>
              <w:spacing w:before="0" w:after="283"/>
              <w:jc w:val="left"/>
              <w:rPr/>
            </w:pPr>
            <w:r>
              <w:rPr/>
              <w:t> </w:t>
            </w:r>
          </w:p>
        </w:tc>
      </w:tr>
      <w:tr>
        <w:trPr/>
        <w:tc>
          <w:tcPr>
            <w:tcW w:w="1390" w:type="dxa"/>
            <w:tcBorders/>
            <w:shd w:fill="CCEEFF" w:val="clear"/>
            <w:vAlign w:val="center"/>
          </w:tcPr>
          <w:p>
            <w:pPr>
              <w:pStyle w:val="TableContents"/>
              <w:bidi w:val="0"/>
              <w:spacing w:before="0" w:after="0"/>
              <w:jc w:val="left"/>
              <w:rPr/>
            </w:pPr>
            <w:r>
              <w:rPr/>
              <w:t xml:space="preserve">Total revenues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335"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644" w:type="dxa"/>
            <w:tcBorders>
              <w:bottom w:val="double" w:sz="8" w:space="0" w:color="000000"/>
            </w:tcBorders>
            <w:shd w:fill="CCEEFF" w:val="clear"/>
            <w:tcMar>
              <w:bottom w:w="28" w:type="dxa"/>
            </w:tcMar>
            <w:vAlign w:val="center"/>
          </w:tcPr>
          <w:p>
            <w:pPr>
              <w:pStyle w:val="TableContents"/>
              <w:bidi w:val="0"/>
              <w:spacing w:before="0" w:after="283"/>
              <w:jc w:val="right"/>
              <w:rPr/>
            </w:pPr>
            <w:r>
              <w:rPr/>
              <w:t>493,000</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78"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double" w:sz="8" w:space="0" w:color="000000"/>
            </w:tcBorders>
            <w:shd w:fill="CCEEFF" w:val="clear"/>
            <w:tcMar>
              <w:bottom w:w="28" w:type="dxa"/>
            </w:tcMar>
            <w:vAlign w:val="center"/>
          </w:tcPr>
          <w:p>
            <w:pPr>
              <w:pStyle w:val="TableContents"/>
              <w:bidi w:val="0"/>
              <w:spacing w:before="0" w:after="283"/>
              <w:jc w:val="right"/>
              <w:rPr/>
            </w:pPr>
            <w:r>
              <w:rPr/>
              <w:t>17,030</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37"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8" w:space="0" w:color="000000"/>
            </w:tcBorders>
            <w:shd w:fill="CCEEFF" w:val="clear"/>
            <w:tcMar>
              <w:bottom w:w="28" w:type="dxa"/>
            </w:tcMar>
            <w:vAlign w:val="center"/>
          </w:tcPr>
          <w:p>
            <w:pPr>
              <w:pStyle w:val="TableContents"/>
              <w:bidi w:val="0"/>
              <w:spacing w:before="0" w:after="283"/>
              <w:jc w:val="right"/>
              <w:rPr/>
            </w:pPr>
            <w:r>
              <w:rPr/>
              <w:t>510,030</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22"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401" w:type="dxa"/>
            <w:tcBorders>
              <w:bottom w:val="double" w:sz="8" w:space="0" w:color="000000"/>
            </w:tcBorders>
            <w:shd w:fill="CCEEFF" w:val="clear"/>
            <w:tcMar>
              <w:bottom w:w="28" w:type="dxa"/>
            </w:tcMar>
            <w:vAlign w:val="center"/>
          </w:tcPr>
          <w:p>
            <w:pPr>
              <w:pStyle w:val="TableContents"/>
              <w:bidi w:val="0"/>
              <w:spacing w:before="0" w:after="283"/>
              <w:jc w:val="right"/>
              <w:rPr/>
            </w:pPr>
            <w:r>
              <w:rPr/>
              <w:t>143</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41"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8" w:space="0" w:color="000000"/>
            </w:tcBorders>
            <w:shd w:fill="CCEEFF" w:val="clear"/>
            <w:tcMar>
              <w:bottom w:w="28" w:type="dxa"/>
            </w:tcMar>
            <w:vAlign w:val="center"/>
          </w:tcPr>
          <w:p>
            <w:pPr>
              <w:pStyle w:val="TableContents"/>
              <w:bidi w:val="0"/>
              <w:spacing w:before="0" w:after="283"/>
              <w:jc w:val="right"/>
              <w:rPr/>
            </w:pPr>
            <w:r>
              <w:rPr/>
              <w:t>510,173</w:t>
            </w:r>
          </w:p>
        </w:tc>
        <w:tc>
          <w:tcPr>
            <w:tcW w:w="14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390"/>
        <w:gridCol w:w="90"/>
        <w:gridCol w:w="335"/>
        <w:gridCol w:w="1644"/>
        <w:gridCol w:w="90"/>
        <w:gridCol w:w="90"/>
        <w:gridCol w:w="278"/>
        <w:gridCol w:w="1163"/>
        <w:gridCol w:w="90"/>
        <w:gridCol w:w="90"/>
        <w:gridCol w:w="237"/>
        <w:gridCol w:w="1160"/>
        <w:gridCol w:w="90"/>
        <w:gridCol w:w="90"/>
        <w:gridCol w:w="222"/>
        <w:gridCol w:w="1401"/>
        <w:gridCol w:w="90"/>
        <w:gridCol w:w="90"/>
        <w:gridCol w:w="241"/>
        <w:gridCol w:w="1183"/>
        <w:gridCol w:w="141"/>
      </w:tblGrid>
      <w:tr>
        <w:trPr/>
        <w:tc>
          <w:tcPr>
            <w:tcW w:w="1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6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1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8584" w:type="dxa"/>
            <w:gridSpan w:val="18"/>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 2024</w:t>
            </w:r>
            <w:r>
              <w:rPr/>
              <w:t xml:space="preserve"> </w:t>
            </w:r>
          </w:p>
        </w:tc>
        <w:tc>
          <w:tcPr>
            <w:tcW w:w="141" w:type="dxa"/>
            <w:tcBorders/>
            <w:vAlign w:val="center"/>
          </w:tcPr>
          <w:p>
            <w:pPr>
              <w:pStyle w:val="TableContents"/>
              <w:bidi w:val="0"/>
              <w:spacing w:before="0" w:after="283"/>
              <w:jc w:val="center"/>
              <w:rPr/>
            </w:pPr>
            <w:r>
              <w:rPr/>
              <w:t> </w:t>
            </w:r>
          </w:p>
        </w:tc>
      </w:tr>
      <w:tr>
        <w:trPr/>
        <w:tc>
          <w:tcPr>
            <w:tcW w:w="1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979"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ADMA </w:t>
              <w:br/>
              <w:t>BioManufacturing</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1" w:type="dxa"/>
            <w:gridSpan w:val="2"/>
            <w:tcBorders>
              <w:bottom w:val="single" w:sz="12" w:space="0" w:color="000000"/>
            </w:tcBorders>
            <w:tcMar>
              <w:bottom w:w="28" w:type="dxa"/>
            </w:tcMar>
            <w:vAlign w:val="center"/>
          </w:tcPr>
          <w:p>
            <w:pPr>
              <w:pStyle w:val="TableContents"/>
              <w:bidi w:val="0"/>
              <w:spacing w:before="0" w:after="283"/>
              <w:jc w:val="center"/>
              <w:rPr/>
            </w:pPr>
            <w:r>
              <w:rPr>
                <w:b/>
              </w:rPr>
              <w:t>Plasma Centers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Total Segment </w:t>
              <w:br/>
              <w:t>Revenue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23" w:type="dxa"/>
            <w:gridSpan w:val="2"/>
            <w:tcBorders>
              <w:bottom w:val="single" w:sz="12" w:space="0" w:color="000000"/>
            </w:tcBorders>
            <w:tcMar>
              <w:bottom w:w="28" w:type="dxa"/>
            </w:tcMar>
            <w:vAlign w:val="center"/>
          </w:tcPr>
          <w:p>
            <w:pPr>
              <w:pStyle w:val="TableContents"/>
              <w:bidi w:val="0"/>
              <w:spacing w:before="0" w:after="283"/>
              <w:jc w:val="center"/>
              <w:rPr/>
            </w:pPr>
            <w:r>
              <w:rPr>
                <w:b/>
              </w:rPr>
              <w:t>License Revenue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Consolidated </w:t>
              <w:br/>
              <w:t>Revenue</w:t>
            </w:r>
            <w:r>
              <w:rPr/>
              <w:t xml:space="preserve"> </w:t>
            </w:r>
          </w:p>
        </w:tc>
        <w:tc>
          <w:tcPr>
            <w:tcW w:w="141" w:type="dxa"/>
            <w:tcBorders/>
            <w:vAlign w:val="center"/>
          </w:tcPr>
          <w:p>
            <w:pPr>
              <w:pStyle w:val="TableContents"/>
              <w:bidi w:val="0"/>
              <w:spacing w:before="0" w:after="283"/>
              <w:jc w:val="center"/>
              <w:rPr/>
            </w:pPr>
            <w:r>
              <w:rPr/>
              <w:t> </w:t>
            </w:r>
          </w:p>
        </w:tc>
      </w:tr>
      <w:tr>
        <w:trPr/>
        <w:tc>
          <w:tcPr>
            <w:tcW w:w="1390" w:type="dxa"/>
            <w:tcBorders/>
            <w:shd w:fill="CCEEFF" w:val="clear"/>
            <w:vAlign w:val="center"/>
          </w:tcPr>
          <w:p>
            <w:pPr>
              <w:pStyle w:val="TableContents"/>
              <w:bidi w:val="0"/>
              <w:spacing w:before="0" w:after="0"/>
              <w:ind w:left="0" w:right="0" w:hanging="144"/>
              <w:jc w:val="left"/>
              <w:rPr/>
            </w:pPr>
            <w:r>
              <w:rPr/>
              <w:t xml:space="preserve">United States </w:t>
            </w:r>
          </w:p>
        </w:tc>
        <w:tc>
          <w:tcPr>
            <w:tcW w:w="90"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w:t>
            </w:r>
          </w:p>
        </w:tc>
        <w:tc>
          <w:tcPr>
            <w:tcW w:w="1644" w:type="dxa"/>
            <w:tcBorders/>
            <w:shd w:fill="CCEEFF" w:val="clear"/>
            <w:vAlign w:val="center"/>
          </w:tcPr>
          <w:p>
            <w:pPr>
              <w:pStyle w:val="TableContents"/>
              <w:bidi w:val="0"/>
              <w:spacing w:before="0" w:after="283"/>
              <w:jc w:val="right"/>
              <w:rPr/>
            </w:pPr>
            <w:r>
              <w:rPr/>
              <w:t>400,336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9,669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7"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410,005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w:t>
            </w:r>
          </w:p>
        </w:tc>
        <w:tc>
          <w:tcPr>
            <w:tcW w:w="1401" w:type="dxa"/>
            <w:tcBorders/>
            <w:shd w:fill="CCEEFF" w:val="clear"/>
            <w:vAlign w:val="center"/>
          </w:tcPr>
          <w:p>
            <w:pPr>
              <w:pStyle w:val="TableContents"/>
              <w:bidi w:val="0"/>
              <w:spacing w:before="0" w:after="283"/>
              <w:jc w:val="right"/>
              <w:rPr/>
            </w:pPr>
            <w:r>
              <w:rPr/>
              <w:t>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410,148</w:t>
            </w:r>
          </w:p>
        </w:tc>
        <w:tc>
          <w:tcPr>
            <w:tcW w:w="141" w:type="dxa"/>
            <w:tcBorders/>
            <w:shd w:fill="CCEEFF" w:val="clear"/>
            <w:vAlign w:val="center"/>
          </w:tcPr>
          <w:p>
            <w:pPr>
              <w:pStyle w:val="TableContents"/>
              <w:bidi w:val="0"/>
              <w:spacing w:before="0" w:after="283"/>
              <w:jc w:val="left"/>
              <w:rPr/>
            </w:pPr>
            <w:r>
              <w:rPr/>
              <w:t> </w:t>
            </w:r>
          </w:p>
        </w:tc>
      </w:tr>
      <w:tr>
        <w:trPr/>
        <w:tc>
          <w:tcPr>
            <w:tcW w:w="1390" w:type="dxa"/>
            <w:tcBorders/>
            <w:vAlign w:val="center"/>
          </w:tcPr>
          <w:p>
            <w:pPr>
              <w:pStyle w:val="TableContents"/>
              <w:bidi w:val="0"/>
              <w:spacing w:before="0" w:after="0"/>
              <w:ind w:left="0" w:right="0" w:hanging="144"/>
              <w:jc w:val="left"/>
              <w:rPr/>
            </w:pPr>
            <w:r>
              <w:rPr/>
              <w:t xml:space="preserve">International </w:t>
            </w:r>
          </w:p>
        </w:tc>
        <w:tc>
          <w:tcPr>
            <w:tcW w:w="90" w:type="dxa"/>
            <w:tcBorders/>
            <w:vAlign w:val="center"/>
          </w:tcPr>
          <w:p>
            <w:pPr>
              <w:pStyle w:val="TableContents"/>
              <w:bidi w:val="0"/>
              <w:spacing w:before="0" w:after="283"/>
              <w:jc w:val="right"/>
              <w:rPr/>
            </w:pPr>
            <w:r>
              <w:rPr/>
              <w:t> </w:t>
            </w:r>
          </w:p>
        </w:tc>
        <w:tc>
          <w:tcPr>
            <w:tcW w:w="3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644" w:type="dxa"/>
            <w:tcBorders>
              <w:bottom w:val="single" w:sz="12" w:space="0" w:color="000000"/>
            </w:tcBorders>
            <w:tcMar>
              <w:bottom w:w="28" w:type="dxa"/>
            </w:tcMar>
            <w:vAlign w:val="center"/>
          </w:tcPr>
          <w:p>
            <w:pPr>
              <w:pStyle w:val="TableContents"/>
              <w:bidi w:val="0"/>
              <w:spacing w:before="0" w:after="283"/>
              <w:jc w:val="right"/>
              <w:rPr/>
            </w:pPr>
            <w:r>
              <w:rPr/>
              <w:t>15,470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tcMar>
              <w:bottom w:w="28" w:type="dxa"/>
            </w:tcMar>
            <w:vAlign w:val="center"/>
          </w:tcPr>
          <w:p>
            <w:pPr>
              <w:pStyle w:val="TableContents"/>
              <w:bidi w:val="0"/>
              <w:spacing w:before="0" w:after="283"/>
              <w:jc w:val="right"/>
              <w:rPr/>
            </w:pPr>
            <w:r>
              <w:rPr/>
              <w:t>836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283"/>
              <w:jc w:val="right"/>
              <w:rPr/>
            </w:pPr>
            <w:r>
              <w:rPr/>
              <w:t>16,306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1"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tcMar>
              <w:bottom w:w="28" w:type="dxa"/>
            </w:tcMar>
            <w:vAlign w:val="center"/>
          </w:tcPr>
          <w:p>
            <w:pPr>
              <w:pStyle w:val="TableContents"/>
              <w:bidi w:val="0"/>
              <w:spacing w:before="0" w:after="283"/>
              <w:jc w:val="right"/>
              <w:rPr/>
            </w:pPr>
            <w:r>
              <w:rPr/>
              <w:t>16,306</w:t>
            </w:r>
          </w:p>
        </w:tc>
        <w:tc>
          <w:tcPr>
            <w:tcW w:w="141" w:type="dxa"/>
            <w:tcBorders/>
            <w:vAlign w:val="center"/>
          </w:tcPr>
          <w:p>
            <w:pPr>
              <w:pStyle w:val="TableContents"/>
              <w:bidi w:val="0"/>
              <w:spacing w:before="0" w:after="283"/>
              <w:jc w:val="left"/>
              <w:rPr/>
            </w:pPr>
            <w:r>
              <w:rPr/>
              <w:t> </w:t>
            </w:r>
          </w:p>
        </w:tc>
      </w:tr>
      <w:tr>
        <w:trPr/>
        <w:tc>
          <w:tcPr>
            <w:tcW w:w="1390" w:type="dxa"/>
            <w:tcBorders/>
            <w:shd w:fill="CCEEFF" w:val="clear"/>
            <w:vAlign w:val="center"/>
          </w:tcPr>
          <w:p>
            <w:pPr>
              <w:pStyle w:val="TableContents"/>
              <w:bidi w:val="0"/>
              <w:spacing w:before="0" w:after="0"/>
              <w:jc w:val="left"/>
              <w:rPr/>
            </w:pPr>
            <w:r>
              <w:rPr/>
              <w:t xml:space="preserve">Total revenues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335"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644" w:type="dxa"/>
            <w:tcBorders>
              <w:bottom w:val="double" w:sz="8" w:space="0" w:color="000000"/>
            </w:tcBorders>
            <w:shd w:fill="CCEEFF" w:val="clear"/>
            <w:tcMar>
              <w:bottom w:w="28" w:type="dxa"/>
            </w:tcMar>
            <w:vAlign w:val="center"/>
          </w:tcPr>
          <w:p>
            <w:pPr>
              <w:pStyle w:val="TableContents"/>
              <w:bidi w:val="0"/>
              <w:spacing w:before="0" w:after="283"/>
              <w:jc w:val="right"/>
              <w:rPr/>
            </w:pPr>
            <w:r>
              <w:rPr/>
              <w:t>415,806</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78"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double" w:sz="8" w:space="0" w:color="000000"/>
            </w:tcBorders>
            <w:shd w:fill="CCEEFF" w:val="clear"/>
            <w:tcMar>
              <w:bottom w:w="28" w:type="dxa"/>
            </w:tcMar>
            <w:vAlign w:val="center"/>
          </w:tcPr>
          <w:p>
            <w:pPr>
              <w:pStyle w:val="TableContents"/>
              <w:bidi w:val="0"/>
              <w:spacing w:before="0" w:after="283"/>
              <w:jc w:val="right"/>
              <w:rPr/>
            </w:pPr>
            <w:r>
              <w:rPr/>
              <w:t>10,505</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37"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8" w:space="0" w:color="000000"/>
            </w:tcBorders>
            <w:shd w:fill="CCEEFF" w:val="clear"/>
            <w:tcMar>
              <w:bottom w:w="28" w:type="dxa"/>
            </w:tcMar>
            <w:vAlign w:val="center"/>
          </w:tcPr>
          <w:p>
            <w:pPr>
              <w:pStyle w:val="TableContents"/>
              <w:bidi w:val="0"/>
              <w:spacing w:before="0" w:after="283"/>
              <w:jc w:val="right"/>
              <w:rPr/>
            </w:pPr>
            <w:r>
              <w:rPr/>
              <w:t>426,311</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22"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401" w:type="dxa"/>
            <w:tcBorders>
              <w:bottom w:val="double" w:sz="8" w:space="0" w:color="000000"/>
            </w:tcBorders>
            <w:shd w:fill="CCEEFF" w:val="clear"/>
            <w:tcMar>
              <w:bottom w:w="28" w:type="dxa"/>
            </w:tcMar>
            <w:vAlign w:val="center"/>
          </w:tcPr>
          <w:p>
            <w:pPr>
              <w:pStyle w:val="TableContents"/>
              <w:bidi w:val="0"/>
              <w:spacing w:before="0" w:after="283"/>
              <w:jc w:val="right"/>
              <w:rPr/>
            </w:pPr>
            <w:r>
              <w:rPr/>
              <w:t>143</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41"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8" w:space="0" w:color="000000"/>
            </w:tcBorders>
            <w:shd w:fill="CCEEFF" w:val="clear"/>
            <w:tcMar>
              <w:bottom w:w="28" w:type="dxa"/>
            </w:tcMar>
            <w:vAlign w:val="center"/>
          </w:tcPr>
          <w:p>
            <w:pPr>
              <w:pStyle w:val="TableContents"/>
              <w:bidi w:val="0"/>
              <w:spacing w:before="0" w:after="283"/>
              <w:jc w:val="right"/>
              <w:rPr/>
            </w:pPr>
            <w:r>
              <w:rPr/>
              <w:t>426,454</w:t>
            </w:r>
          </w:p>
        </w:tc>
        <w:tc>
          <w:tcPr>
            <w:tcW w:w="14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392"/>
        <w:gridCol w:w="90"/>
        <w:gridCol w:w="335"/>
        <w:gridCol w:w="1644"/>
        <w:gridCol w:w="90"/>
        <w:gridCol w:w="90"/>
        <w:gridCol w:w="320"/>
        <w:gridCol w:w="1114"/>
        <w:gridCol w:w="90"/>
        <w:gridCol w:w="90"/>
        <w:gridCol w:w="237"/>
        <w:gridCol w:w="1162"/>
        <w:gridCol w:w="90"/>
        <w:gridCol w:w="90"/>
        <w:gridCol w:w="222"/>
        <w:gridCol w:w="1403"/>
        <w:gridCol w:w="90"/>
        <w:gridCol w:w="90"/>
        <w:gridCol w:w="241"/>
        <w:gridCol w:w="1183"/>
        <w:gridCol w:w="142"/>
      </w:tblGrid>
      <w:tr>
        <w:trPr/>
        <w:tc>
          <w:tcPr>
            <w:tcW w:w="13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6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r>
      <w:tr>
        <w:trPr/>
        <w:tc>
          <w:tcPr>
            <w:tcW w:w="13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8581" w:type="dxa"/>
            <w:gridSpan w:val="18"/>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 2023</w:t>
            </w:r>
            <w:r>
              <w:rPr/>
              <w:t xml:space="preserve"> </w:t>
            </w:r>
          </w:p>
        </w:tc>
        <w:tc>
          <w:tcPr>
            <w:tcW w:w="142" w:type="dxa"/>
            <w:tcBorders/>
            <w:vAlign w:val="center"/>
          </w:tcPr>
          <w:p>
            <w:pPr>
              <w:pStyle w:val="TableContents"/>
              <w:bidi w:val="0"/>
              <w:spacing w:before="0" w:after="283"/>
              <w:jc w:val="center"/>
              <w:rPr/>
            </w:pPr>
            <w:r>
              <w:rPr/>
              <w:t> </w:t>
            </w:r>
          </w:p>
        </w:tc>
      </w:tr>
      <w:tr>
        <w:trPr/>
        <w:tc>
          <w:tcPr>
            <w:tcW w:w="13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979"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ADMA </w:t>
              <w:br/>
              <w:t>BioManufacturing</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34" w:type="dxa"/>
            <w:gridSpan w:val="2"/>
            <w:tcBorders>
              <w:bottom w:val="single" w:sz="12" w:space="0" w:color="000000"/>
            </w:tcBorders>
            <w:tcMar>
              <w:bottom w:w="28" w:type="dxa"/>
            </w:tcMar>
            <w:vAlign w:val="center"/>
          </w:tcPr>
          <w:p>
            <w:pPr>
              <w:pStyle w:val="TableContents"/>
              <w:bidi w:val="0"/>
              <w:spacing w:before="0" w:after="283"/>
              <w:jc w:val="center"/>
              <w:rPr/>
            </w:pPr>
            <w:r>
              <w:rPr>
                <w:b/>
              </w:rPr>
              <w:t>Plasma Centers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Total Segment </w:t>
              <w:br/>
              <w:t>Revenue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pPr>
            <w:r>
              <w:rPr>
                <w:b/>
              </w:rPr>
              <w:t>License Revenue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Consolidated </w:t>
              <w:br/>
              <w:t>Revenue</w:t>
            </w:r>
            <w:r>
              <w:rPr/>
              <w:t xml:space="preserve"> </w:t>
            </w:r>
          </w:p>
        </w:tc>
        <w:tc>
          <w:tcPr>
            <w:tcW w:w="142" w:type="dxa"/>
            <w:tcBorders/>
            <w:vAlign w:val="center"/>
          </w:tcPr>
          <w:p>
            <w:pPr>
              <w:pStyle w:val="TableContents"/>
              <w:bidi w:val="0"/>
              <w:spacing w:before="0" w:after="283"/>
              <w:jc w:val="center"/>
              <w:rPr/>
            </w:pPr>
            <w:r>
              <w:rPr/>
              <w:t> </w:t>
            </w:r>
          </w:p>
        </w:tc>
      </w:tr>
      <w:tr>
        <w:trPr/>
        <w:tc>
          <w:tcPr>
            <w:tcW w:w="1392" w:type="dxa"/>
            <w:tcBorders/>
            <w:shd w:fill="CCEEFF" w:val="clear"/>
            <w:vAlign w:val="center"/>
          </w:tcPr>
          <w:p>
            <w:pPr>
              <w:pStyle w:val="TableContents"/>
              <w:bidi w:val="0"/>
              <w:spacing w:before="0" w:after="0"/>
              <w:ind w:left="0" w:right="0" w:hanging="144"/>
              <w:jc w:val="left"/>
              <w:rPr/>
            </w:pPr>
            <w:r>
              <w:rPr/>
              <w:t xml:space="preserve">United States </w:t>
            </w:r>
          </w:p>
        </w:tc>
        <w:tc>
          <w:tcPr>
            <w:tcW w:w="90"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w:t>
            </w:r>
          </w:p>
        </w:tc>
        <w:tc>
          <w:tcPr>
            <w:tcW w:w="1644" w:type="dxa"/>
            <w:tcBorders/>
            <w:shd w:fill="CCEEFF" w:val="clear"/>
            <w:vAlign w:val="center"/>
          </w:tcPr>
          <w:p>
            <w:pPr>
              <w:pStyle w:val="TableContents"/>
              <w:bidi w:val="0"/>
              <w:spacing w:before="0" w:after="283"/>
              <w:jc w:val="right"/>
              <w:rPr/>
            </w:pPr>
            <w:r>
              <w:rPr/>
              <w:t>237,454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7,284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7" w:type="dxa"/>
            <w:tcBorders/>
            <w:shd w:fill="CCEEFF" w:val="clear"/>
            <w:vAlign w:val="center"/>
          </w:tcPr>
          <w:p>
            <w:pPr>
              <w:pStyle w:val="TableContents"/>
              <w:bidi w:val="0"/>
              <w:spacing w:before="0" w:after="283"/>
              <w:jc w:val="left"/>
              <w:rPr/>
            </w:pPr>
            <w:r>
              <w:rPr/>
              <w:t>$</w:t>
            </w:r>
          </w:p>
        </w:tc>
        <w:tc>
          <w:tcPr>
            <w:tcW w:w="1162" w:type="dxa"/>
            <w:tcBorders/>
            <w:shd w:fill="CCEEFF" w:val="clear"/>
            <w:vAlign w:val="center"/>
          </w:tcPr>
          <w:p>
            <w:pPr>
              <w:pStyle w:val="TableContents"/>
              <w:bidi w:val="0"/>
              <w:spacing w:before="0" w:after="283"/>
              <w:jc w:val="right"/>
              <w:rPr/>
            </w:pPr>
            <w:r>
              <w:rPr/>
              <w:t>244,738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w:t>
            </w:r>
          </w:p>
        </w:tc>
        <w:tc>
          <w:tcPr>
            <w:tcW w:w="1403" w:type="dxa"/>
            <w:tcBorders/>
            <w:shd w:fill="CCEEFF" w:val="clear"/>
            <w:vAlign w:val="center"/>
          </w:tcPr>
          <w:p>
            <w:pPr>
              <w:pStyle w:val="TableContents"/>
              <w:bidi w:val="0"/>
              <w:spacing w:before="0" w:after="283"/>
              <w:jc w:val="right"/>
              <w:rPr/>
            </w:pPr>
            <w:r>
              <w:rPr/>
              <w:t>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244,881</w:t>
            </w:r>
          </w:p>
        </w:tc>
        <w:tc>
          <w:tcPr>
            <w:tcW w:w="142" w:type="dxa"/>
            <w:tcBorders/>
            <w:shd w:fill="CCEEFF" w:val="clear"/>
            <w:vAlign w:val="center"/>
          </w:tcPr>
          <w:p>
            <w:pPr>
              <w:pStyle w:val="TableContents"/>
              <w:bidi w:val="0"/>
              <w:spacing w:before="0" w:after="283"/>
              <w:jc w:val="left"/>
              <w:rPr/>
            </w:pPr>
            <w:r>
              <w:rPr/>
              <w:t> </w:t>
            </w:r>
          </w:p>
        </w:tc>
      </w:tr>
      <w:tr>
        <w:trPr/>
        <w:tc>
          <w:tcPr>
            <w:tcW w:w="1392" w:type="dxa"/>
            <w:tcBorders/>
            <w:vAlign w:val="center"/>
          </w:tcPr>
          <w:p>
            <w:pPr>
              <w:pStyle w:val="TableContents"/>
              <w:bidi w:val="0"/>
              <w:spacing w:before="0" w:after="0"/>
              <w:ind w:left="0" w:right="0" w:hanging="144"/>
              <w:jc w:val="left"/>
              <w:rPr/>
            </w:pPr>
            <w:r>
              <w:rPr/>
              <w:t xml:space="preserve">International </w:t>
            </w:r>
          </w:p>
        </w:tc>
        <w:tc>
          <w:tcPr>
            <w:tcW w:w="90" w:type="dxa"/>
            <w:tcBorders/>
            <w:vAlign w:val="center"/>
          </w:tcPr>
          <w:p>
            <w:pPr>
              <w:pStyle w:val="TableContents"/>
              <w:bidi w:val="0"/>
              <w:spacing w:before="0" w:after="283"/>
              <w:jc w:val="right"/>
              <w:rPr/>
            </w:pPr>
            <w:r>
              <w:rPr/>
              <w:t> </w:t>
            </w:r>
          </w:p>
        </w:tc>
        <w:tc>
          <w:tcPr>
            <w:tcW w:w="3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644" w:type="dxa"/>
            <w:tcBorders>
              <w:bottom w:val="single" w:sz="12" w:space="0" w:color="000000"/>
            </w:tcBorders>
            <w:tcMar>
              <w:bottom w:w="28" w:type="dxa"/>
            </w:tcMar>
            <w:vAlign w:val="center"/>
          </w:tcPr>
          <w:p>
            <w:pPr>
              <w:pStyle w:val="TableContents"/>
              <w:bidi w:val="0"/>
              <w:spacing w:before="0" w:after="283"/>
              <w:jc w:val="right"/>
              <w:rPr/>
            </w:pPr>
            <w:r>
              <w:rPr/>
              <w:t>12,284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4" w:type="dxa"/>
            <w:tcBorders>
              <w:bottom w:val="single" w:sz="12" w:space="0" w:color="000000"/>
            </w:tcBorders>
            <w:tcMar>
              <w:bottom w:w="28" w:type="dxa"/>
            </w:tcMar>
            <w:vAlign w:val="center"/>
          </w:tcPr>
          <w:p>
            <w:pPr>
              <w:pStyle w:val="TableContents"/>
              <w:bidi w:val="0"/>
              <w:spacing w:before="0" w:after="283"/>
              <w:jc w:val="right"/>
              <w:rPr/>
            </w:pPr>
            <w:r>
              <w:rPr/>
              <w:t>1,050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tcMar>
              <w:bottom w:w="28" w:type="dxa"/>
            </w:tcMar>
            <w:vAlign w:val="center"/>
          </w:tcPr>
          <w:p>
            <w:pPr>
              <w:pStyle w:val="TableContents"/>
              <w:bidi w:val="0"/>
              <w:spacing w:before="0" w:after="283"/>
              <w:jc w:val="right"/>
              <w:rPr/>
            </w:pPr>
            <w:r>
              <w:rPr/>
              <w:t>13,334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3"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tcMar>
              <w:bottom w:w="28" w:type="dxa"/>
            </w:tcMar>
            <w:vAlign w:val="center"/>
          </w:tcPr>
          <w:p>
            <w:pPr>
              <w:pStyle w:val="TableContents"/>
              <w:bidi w:val="0"/>
              <w:spacing w:before="0" w:after="283"/>
              <w:jc w:val="right"/>
              <w:rPr/>
            </w:pPr>
            <w:r>
              <w:rPr/>
              <w:t>13,334</w:t>
            </w:r>
          </w:p>
        </w:tc>
        <w:tc>
          <w:tcPr>
            <w:tcW w:w="142" w:type="dxa"/>
            <w:tcBorders/>
            <w:vAlign w:val="center"/>
          </w:tcPr>
          <w:p>
            <w:pPr>
              <w:pStyle w:val="TableContents"/>
              <w:bidi w:val="0"/>
              <w:spacing w:before="0" w:after="283"/>
              <w:jc w:val="left"/>
              <w:rPr/>
            </w:pPr>
            <w:r>
              <w:rPr/>
              <w:t> </w:t>
            </w:r>
          </w:p>
        </w:tc>
      </w:tr>
      <w:tr>
        <w:trPr/>
        <w:tc>
          <w:tcPr>
            <w:tcW w:w="1392" w:type="dxa"/>
            <w:tcBorders/>
            <w:shd w:fill="CCEEFF" w:val="clear"/>
            <w:vAlign w:val="center"/>
          </w:tcPr>
          <w:p>
            <w:pPr>
              <w:pStyle w:val="TableContents"/>
              <w:bidi w:val="0"/>
              <w:spacing w:before="0" w:after="0"/>
              <w:jc w:val="left"/>
              <w:rPr/>
            </w:pPr>
            <w:r>
              <w:rPr/>
              <w:t xml:space="preserve">Total revenues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335"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644" w:type="dxa"/>
            <w:tcBorders>
              <w:bottom w:val="double" w:sz="8" w:space="0" w:color="000000"/>
            </w:tcBorders>
            <w:shd w:fill="CCEEFF" w:val="clear"/>
            <w:tcMar>
              <w:bottom w:w="28" w:type="dxa"/>
            </w:tcMar>
            <w:vAlign w:val="center"/>
          </w:tcPr>
          <w:p>
            <w:pPr>
              <w:pStyle w:val="TableContents"/>
              <w:bidi w:val="0"/>
              <w:spacing w:before="0" w:after="283"/>
              <w:jc w:val="right"/>
              <w:rPr/>
            </w:pPr>
            <w:r>
              <w:rPr/>
              <w:t>249,738</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32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14" w:type="dxa"/>
            <w:tcBorders>
              <w:bottom w:val="double" w:sz="8" w:space="0" w:color="000000"/>
            </w:tcBorders>
            <w:shd w:fill="CCEEFF" w:val="clear"/>
            <w:tcMar>
              <w:bottom w:w="28" w:type="dxa"/>
            </w:tcMar>
            <w:vAlign w:val="center"/>
          </w:tcPr>
          <w:p>
            <w:pPr>
              <w:pStyle w:val="TableContents"/>
              <w:bidi w:val="0"/>
              <w:spacing w:before="0" w:after="283"/>
              <w:jc w:val="right"/>
              <w:rPr/>
            </w:pPr>
            <w:r>
              <w:rPr/>
              <w:t>8,334</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37"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62" w:type="dxa"/>
            <w:tcBorders>
              <w:bottom w:val="double" w:sz="8" w:space="0" w:color="000000"/>
            </w:tcBorders>
            <w:shd w:fill="CCEEFF" w:val="clear"/>
            <w:tcMar>
              <w:bottom w:w="28" w:type="dxa"/>
            </w:tcMar>
            <w:vAlign w:val="center"/>
          </w:tcPr>
          <w:p>
            <w:pPr>
              <w:pStyle w:val="TableContents"/>
              <w:bidi w:val="0"/>
              <w:spacing w:before="0" w:after="283"/>
              <w:jc w:val="right"/>
              <w:rPr/>
            </w:pPr>
            <w:r>
              <w:rPr/>
              <w:t>258,072</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22"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403" w:type="dxa"/>
            <w:tcBorders>
              <w:bottom w:val="double" w:sz="8" w:space="0" w:color="000000"/>
            </w:tcBorders>
            <w:shd w:fill="CCEEFF" w:val="clear"/>
            <w:tcMar>
              <w:bottom w:w="28" w:type="dxa"/>
            </w:tcMar>
            <w:vAlign w:val="center"/>
          </w:tcPr>
          <w:p>
            <w:pPr>
              <w:pStyle w:val="TableContents"/>
              <w:bidi w:val="0"/>
              <w:spacing w:before="0" w:after="283"/>
              <w:jc w:val="right"/>
              <w:rPr/>
            </w:pPr>
            <w:r>
              <w:rPr/>
              <w:t>143</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41"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8" w:space="0" w:color="000000"/>
            </w:tcBorders>
            <w:shd w:fill="CCEEFF" w:val="clear"/>
            <w:tcMar>
              <w:bottom w:w="28" w:type="dxa"/>
            </w:tcMar>
            <w:vAlign w:val="center"/>
          </w:tcPr>
          <w:p>
            <w:pPr>
              <w:pStyle w:val="TableContents"/>
              <w:bidi w:val="0"/>
              <w:spacing w:before="0" w:after="283"/>
              <w:jc w:val="right"/>
              <w:rPr/>
            </w:pPr>
            <w:r>
              <w:rPr/>
              <w:t>258,215</w:t>
            </w:r>
          </w:p>
        </w:tc>
        <w:tc>
          <w:tcPr>
            <w:tcW w:w="14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Net revenues, disaggregated by product, are as follows: </w:t>
      </w:r>
    </w:p>
    <w:p>
      <w:pPr>
        <w:pStyle w:val="TextBody"/>
        <w:bidi w:val="0"/>
        <w:spacing w:before="0" w:after="0"/>
        <w:jc w:val="left"/>
        <w:rPr/>
      </w:pPr>
      <w:r>
        <w:rPr/>
        <w:t xml:space="preserve">  </w:t>
      </w:r>
    </w:p>
    <w:tbl>
      <w:tblPr>
        <w:tblW w:w="6260" w:type="dxa"/>
        <w:jc w:val="left"/>
        <w:tblInd w:w="0" w:type="dxa"/>
        <w:tblLayout w:type="fixed"/>
        <w:tblCellMar>
          <w:top w:w="0" w:type="dxa"/>
          <w:left w:w="0" w:type="dxa"/>
          <w:bottom w:w="0" w:type="dxa"/>
          <w:right w:w="0" w:type="dxa"/>
        </w:tblCellMar>
      </w:tblPr>
      <w:tblGrid>
        <w:gridCol w:w="2675"/>
        <w:gridCol w:w="90"/>
        <w:gridCol w:w="170"/>
        <w:gridCol w:w="830"/>
        <w:gridCol w:w="90"/>
        <w:gridCol w:w="90"/>
        <w:gridCol w:w="170"/>
        <w:gridCol w:w="830"/>
        <w:gridCol w:w="90"/>
        <w:gridCol w:w="90"/>
        <w:gridCol w:w="170"/>
        <w:gridCol w:w="830"/>
        <w:gridCol w:w="135"/>
      </w:tblGrid>
      <w:tr>
        <w:trPr/>
        <w:tc>
          <w:tcPr>
            <w:tcW w:w="2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3360"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Year Ended December 31,</w:t>
            </w:r>
            <w:r>
              <w:rPr/>
              <w:t xml:space="preserve"> </w:t>
            </w:r>
          </w:p>
        </w:tc>
        <w:tc>
          <w:tcPr>
            <w:tcW w:w="135" w:type="dxa"/>
            <w:tcBorders/>
            <w:vAlign w:val="center"/>
          </w:tcPr>
          <w:p>
            <w:pPr>
              <w:pStyle w:val="TableContents"/>
              <w:bidi w:val="0"/>
              <w:spacing w:before="0" w:after="283"/>
              <w:jc w:val="center"/>
              <w:rPr/>
            </w:pPr>
            <w:r>
              <w:rPr/>
              <w:t> </w:t>
            </w:r>
          </w:p>
        </w:tc>
      </w:tr>
      <w:tr>
        <w:trPr/>
        <w:tc>
          <w:tcPr>
            <w:tcW w:w="2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135" w:type="dxa"/>
            <w:tcBorders/>
            <w:vAlign w:val="center"/>
          </w:tcPr>
          <w:p>
            <w:pPr>
              <w:pStyle w:val="TableContents"/>
              <w:bidi w:val="0"/>
              <w:spacing w:before="0" w:after="283"/>
              <w:jc w:val="center"/>
              <w:rPr/>
            </w:pPr>
            <w:r>
              <w:rPr/>
              <w:t> </w:t>
            </w:r>
          </w:p>
        </w:tc>
      </w:tr>
      <w:tr>
        <w:trPr/>
        <w:tc>
          <w:tcPr>
            <w:tcW w:w="2675" w:type="dxa"/>
            <w:tcBorders/>
            <w:vAlign w:val="center"/>
          </w:tcPr>
          <w:p>
            <w:pPr>
              <w:pStyle w:val="TableContents"/>
              <w:bidi w:val="0"/>
              <w:spacing w:before="0" w:after="283"/>
              <w:jc w:val="left"/>
              <w:rPr/>
            </w:pPr>
            <w:r>
              <w:rPr/>
              <w:t> </w:t>
            </w:r>
          </w:p>
        </w:tc>
        <w:tc>
          <w:tcPr>
            <w:tcW w:w="3585" w:type="dxa"/>
            <w:gridSpan w:val="12"/>
            <w:tcBorders/>
            <w:vAlign w:val="center"/>
          </w:tcPr>
          <w:p>
            <w:pPr>
              <w:pStyle w:val="TableContents"/>
              <w:bidi w:val="0"/>
              <w:spacing w:before="0" w:after="283"/>
              <w:jc w:val="center"/>
              <w:rPr/>
            </w:pPr>
            <w:r>
              <w:rPr>
                <w:i/>
              </w:rPr>
              <w:t>(in thousands)</w:t>
            </w:r>
            <w:r>
              <w:rPr/>
              <w:t xml:space="preserve"> </w:t>
            </w:r>
          </w:p>
        </w:tc>
      </w:tr>
      <w:tr>
        <w:trPr/>
        <w:tc>
          <w:tcPr>
            <w:tcW w:w="2675" w:type="dxa"/>
            <w:tcBorders/>
            <w:shd w:fill="CCEEFF" w:val="clear"/>
            <w:vAlign w:val="center"/>
          </w:tcPr>
          <w:p>
            <w:pPr>
              <w:pStyle w:val="TableContents"/>
              <w:bidi w:val="0"/>
              <w:spacing w:before="0" w:after="0"/>
              <w:ind w:left="0" w:right="0" w:hanging="144"/>
              <w:jc w:val="left"/>
              <w:rPr/>
            </w:pPr>
            <w:r>
              <w:rPr/>
              <w:t xml:space="preserve">ASCENIV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362,531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239,594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92,592</w:t>
            </w:r>
          </w:p>
        </w:tc>
        <w:tc>
          <w:tcPr>
            <w:tcW w:w="13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ind w:left="0" w:right="0" w:hanging="144"/>
              <w:jc w:val="left"/>
              <w:rPr/>
            </w:pPr>
            <w:r>
              <w:rPr/>
              <w:t xml:space="preserve">BIVIGAM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122,033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142,357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140,212</w:t>
            </w:r>
          </w:p>
        </w:tc>
        <w:tc>
          <w:tcPr>
            <w:tcW w:w="13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144"/>
              <w:jc w:val="left"/>
              <w:rPr/>
            </w:pPr>
            <w:r>
              <w:rPr/>
              <w:t>Intermediates and other (1)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8,579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33,998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17,077</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pPr>
            <w:r>
              <w:rPr/>
              <w:t xml:space="preserve">ADMA BioManufacturing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493,143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415,949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249,881</w:t>
            </w:r>
          </w:p>
        </w:tc>
        <w:tc>
          <w:tcPr>
            <w:tcW w:w="13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right"/>
              <w:rPr/>
            </w:pPr>
            <w:r>
              <w:rPr/>
              <w:t> </w:t>
            </w:r>
          </w:p>
        </w:tc>
      </w:tr>
      <w:tr>
        <w:trPr/>
        <w:tc>
          <w:tcPr>
            <w:tcW w:w="2675" w:type="dxa"/>
            <w:tcBorders/>
            <w:vAlign w:val="center"/>
          </w:tcPr>
          <w:p>
            <w:pPr>
              <w:pStyle w:val="TableContents"/>
              <w:bidi w:val="0"/>
              <w:spacing w:before="0" w:after="0"/>
              <w:jc w:val="left"/>
              <w:rPr/>
            </w:pPr>
            <w:r>
              <w:rPr/>
              <w:t xml:space="preserve">Plasma Collection Centers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17,030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10,505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8,334</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pPr>
            <w:r>
              <w:rPr>
                <w:b/>
              </w:rPr>
              <w:t>Total</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510,173</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426,454</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258,215</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108"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position w:val="7"/>
          <w:sz w:val="16"/>
          <w:sz w:val="20"/>
        </w:rPr>
        <w:t>(1)</w:t>
      </w:r>
      <w:r>
        <w:rPr>
          <w:rFonts w:ascii="TimesNewRoman;Times New Roman;Times;Baskerville;Georgia;serif" w:hAnsi="TimesNewRoman;Times New Roman;Times;Baskerville;Georgia;serif"/>
          <w:sz w:val="20"/>
        </w:rPr>
        <w:t xml:space="preserve"> Due to Nabi-HB historically representing less than 10% of the Company’s revenue within the ADMA </w:t>
      </w:r>
      <w:r>
        <w:rPr>
          <w:rFonts w:ascii="TimesNewRoman;Times New Roman;Times;Baskerville;Georgia;serif" w:hAnsi="TimesNewRoman;Times New Roman;Times;Baskerville;Georgia;serif"/>
          <w:spacing w:val="0"/>
          <w:sz w:val="20"/>
        </w:rPr>
        <w:t>BioManufacturing segment, it has been included under intermediates and other.</w:t>
      </w:r>
    </w:p>
    <w:p>
      <w:pPr>
        <w:pStyle w:val="TextBody"/>
        <w:bidi w:val="0"/>
        <w:spacing w:before="0" w:after="0"/>
        <w:jc w:val="center"/>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OTHER EMPLOYEE BENEFITS</w:t>
      </w:r>
      <w:r>
        <w:rPr>
          <w:rFonts w:ascii="Aptos" w:hAnsi="Aptos"/>
          <w:sz w:val="20"/>
        </w:rPr>
        <w:t xml:space="preserve"> </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342900" cy="175260"/>
                <wp:effectExtent l="0" t="0" r="0" b="0"/>
                <wp:wrapSquare wrapText="right"/>
                <wp:docPr id="223" name="Frame22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14.</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14.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sponsors a 401(k) savings plan. Under the plan, employees may make contributions which are eligible for a Company discretionary percentage contribution as defined in the plan and determined by the Board. The Company recognized $1.7 million, $1.5 million and $1.3 million of related compensation expense for the years ended December 31, 2025, 2024 and 2023, respectively.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F-33</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ind w:left="720" w:right="0" w:hanging="0"/>
        <w:jc w:val="left"/>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SUPPLEMENTAL DISCLOSURE OF CASH FLOW INFORMATION</w:t>
      </w:r>
      <w:r>
        <w:rPr>
          <w:rFonts w:ascii="Aptos" w:hAnsi="Aptos"/>
          <w:sz w:val="20"/>
        </w:rPr>
        <w:t xml:space="preserve"> </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342900" cy="175260"/>
                <wp:effectExtent l="0" t="0" r="0" b="0"/>
                <wp:wrapSquare wrapText="right"/>
                <wp:docPr id="224" name="Frame22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15.</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15.</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Supplemental cash flow information for the years ended December 31, 2025, 2024 and 2023 is as follows: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980"/>
        <w:gridCol w:w="90"/>
        <w:gridCol w:w="170"/>
        <w:gridCol w:w="710"/>
        <w:gridCol w:w="90"/>
        <w:gridCol w:w="90"/>
        <w:gridCol w:w="170"/>
        <w:gridCol w:w="710"/>
        <w:gridCol w:w="90"/>
        <w:gridCol w:w="90"/>
        <w:gridCol w:w="170"/>
        <w:gridCol w:w="710"/>
        <w:gridCol w:w="135"/>
      </w:tblGrid>
      <w:tr>
        <w:trPr/>
        <w:tc>
          <w:tcPr>
            <w:tcW w:w="6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135" w:type="dxa"/>
            <w:tcBorders/>
            <w:vAlign w:val="center"/>
          </w:tcPr>
          <w:p>
            <w:pPr>
              <w:pStyle w:val="TableContents"/>
              <w:bidi w:val="0"/>
              <w:spacing w:before="0" w:after="283"/>
              <w:jc w:val="center"/>
              <w:rPr/>
            </w:pPr>
            <w:r>
              <w:rPr/>
              <w:t> </w:t>
            </w:r>
          </w:p>
        </w:tc>
      </w:tr>
      <w:tr>
        <w:trPr/>
        <w:tc>
          <w:tcPr>
            <w:tcW w:w="6980" w:type="dxa"/>
            <w:tcBorders/>
            <w:vAlign w:val="center"/>
          </w:tcPr>
          <w:p>
            <w:pPr>
              <w:pStyle w:val="TableContents"/>
              <w:bidi w:val="0"/>
              <w:spacing w:before="0" w:after="283"/>
              <w:jc w:val="left"/>
              <w:rPr/>
            </w:pPr>
            <w:r>
              <w:rPr/>
              <w:t> </w:t>
            </w:r>
          </w:p>
        </w:tc>
        <w:tc>
          <w:tcPr>
            <w:tcW w:w="3225" w:type="dxa"/>
            <w:gridSpan w:val="12"/>
            <w:tcBorders/>
            <w:vAlign w:val="center"/>
          </w:tcPr>
          <w:p>
            <w:pPr>
              <w:pStyle w:val="TableContents"/>
              <w:bidi w:val="0"/>
              <w:spacing w:before="0" w:after="283"/>
              <w:jc w:val="center"/>
              <w:rPr/>
            </w:pPr>
            <w:r>
              <w:rPr>
                <w:i/>
              </w:rPr>
              <w:t>(in thousands)</w:t>
            </w:r>
            <w:r>
              <w:rPr/>
              <w:t xml:space="preserve"> </w:t>
            </w:r>
          </w:p>
        </w:tc>
      </w:tr>
      <w:tr>
        <w:trPr/>
        <w:tc>
          <w:tcPr>
            <w:tcW w:w="6980" w:type="dxa"/>
            <w:tcBorders/>
            <w:vAlign w:val="center"/>
          </w:tcPr>
          <w:p>
            <w:pPr>
              <w:pStyle w:val="TableContents"/>
              <w:bidi w:val="0"/>
              <w:spacing w:before="0" w:after="0"/>
              <w:ind w:left="0" w:right="0" w:hanging="144"/>
              <w:jc w:val="left"/>
              <w:rPr/>
            </w:pPr>
            <w:r>
              <w:rPr>
                <w:b/>
              </w:rPr>
              <w:t>SUPPLEMENTAL CASH FLOW INFORMATION:</w:t>
            </w:r>
            <w:r>
              <w:rPr/>
              <w:t xml:space="preserve"> </w:t>
            </w:r>
          </w:p>
          <w:p>
            <w:pPr>
              <w:pStyle w:val="TableContents"/>
              <w:bidi w:val="0"/>
              <w:spacing w:before="0" w:after="0"/>
              <w:ind w:left="144" w:right="0" w:hanging="0"/>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jc w:val="left"/>
              <w:rPr/>
            </w:pPr>
            <w:r>
              <w:rPr/>
              <w:t xml:space="preserve">Cash paid for interest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9,078</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10,668</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18,051</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0"/>
              <w:jc w:val="left"/>
              <w:rPr/>
            </w:pPr>
            <w:r>
              <w:rPr/>
              <w:t xml:space="preserve">Cash paid for income taxes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19,683</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9,392</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        </w:t>
            </w:r>
            <w:r>
              <w:rPr/>
              <w:t xml:space="preserve">- </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hanging="144"/>
              <w:jc w:val="left"/>
              <w:rPr/>
            </w:pPr>
            <w:r>
              <w:rPr>
                <w:b/>
              </w:rPr>
              <w:t>Noncash Financing and Investing Activities: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right"/>
              <w:rPr/>
            </w:pPr>
            <w:r>
              <w:rPr/>
              <w:t> </w:t>
            </w:r>
          </w:p>
        </w:tc>
      </w:tr>
      <w:tr>
        <w:trPr/>
        <w:tc>
          <w:tcPr>
            <w:tcW w:w="6980" w:type="dxa"/>
            <w:tcBorders/>
            <w:vAlign w:val="center"/>
          </w:tcPr>
          <w:p>
            <w:pPr>
              <w:pStyle w:val="TableContents"/>
              <w:bidi w:val="0"/>
              <w:spacing w:before="0" w:after="0"/>
              <w:jc w:val="left"/>
              <w:rPr/>
            </w:pPr>
            <w:r>
              <w:rPr/>
              <w:t xml:space="preserve">Equipment acquired reflected in accounts payable and accrued liabilities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708</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725</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86</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jc w:val="left"/>
              <w:rPr/>
            </w:pPr>
            <w:r>
              <w:rPr/>
              <w:t xml:space="preserve">Operating lease right-of-use assets obtained in exchange for operating lease obligations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1,825</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130</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0"/>
              <w:jc w:val="left"/>
              <w:rPr/>
            </w:pPr>
            <w:r>
              <w:rPr/>
              <w:t xml:space="preserve">Warrants issued in connection with notes payable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5,595</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See Note 8 and the Consolidated Statement of Stockholders’ Equity for more information about the cashless exercise activity related to the Company’s warrants. </w:t>
      </w:r>
    </w:p>
    <w:p>
      <w:pPr>
        <w:pStyle w:val="TextBody"/>
        <w:bidi w:val="0"/>
        <w:spacing w:before="0" w:after="0"/>
        <w:jc w:val="left"/>
        <w:rPr/>
      </w:pPr>
      <w:r>
        <w:rPr/>
        <w:t> </w:t>
      </w:r>
    </w:p>
    <w:p>
      <w:pPr>
        <w:pStyle w:val="TextBody"/>
        <w:bidi w:val="0"/>
        <w:spacing w:before="0" w:after="0"/>
        <w:ind w:left="0" w:right="0" w:hanging="540"/>
        <w:jc w:val="left"/>
        <w:rPr>
          <w:rFonts w:ascii="Aptos" w:hAnsi="Aptos"/>
          <w:sz w:val="20"/>
        </w:rPr>
      </w:pPr>
      <w:r>
        <w:rPr>
          <w:rFonts w:ascii="Times New Roman" w:hAnsi="Times New Roman"/>
          <w:b/>
          <w:sz w:val="20"/>
          <w:u w:val="single"/>
        </w:rPr>
        <w:t>CONCENTRATIONS</w:t>
      </w:r>
      <w:r>
        <w:rPr>
          <w:rFonts w:ascii="Aptos" w:hAnsi="Aptos"/>
          <w:sz w:val="20"/>
        </w:rPr>
        <w:t xml:space="preserve"> </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342900" cy="175260"/>
                <wp:effectExtent l="0" t="0" r="0" b="0"/>
                <wp:wrapSquare wrapText="right"/>
                <wp:docPr id="225" name="Frame22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16.</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16.</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Financial instruments that potentially subject the Company to concentration of credit risk consist of accounts receivable. At December 31, 2025, two customers accounted for approximately 87% of the Company’s consolidated accounts receivable. At December 31, 2024, three customers accounted for approximately 91% of the Company’s consolidated accounts receivable.   </w:t>
      </w:r>
    </w:p>
    <w:p>
      <w:pPr>
        <w:pStyle w:val="TextBody"/>
        <w:bidi w:val="0"/>
        <w:spacing w:before="0" w:after="0"/>
        <w:jc w:val="both"/>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the years ended December 31, 2025, 2024, and 2023, two customers accounted for approximately 73%, 72% and 72%, respectively, of the Company’s consolidated revenues. Revenues for both of these customers are attributable to the ADMA BioManufacturing segment. There were no customers attributable to the Plasma Collection Centers segment whose revenues exceeded 10% of the Company’s consolidated revenues. </w:t>
      </w:r>
    </w:p>
    <w:p>
      <w:pPr>
        <w:pStyle w:val="TextBody"/>
        <w:bidi w:val="0"/>
        <w:spacing w:before="0" w:after="0"/>
        <w:jc w:val="both"/>
        <w:rPr/>
      </w:pPr>
      <w:r>
        <w:rPr/>
        <w:t> </w:t>
      </w:r>
    </w:p>
    <w:p>
      <w:pPr>
        <w:pStyle w:val="TextBody"/>
        <w:bidi w:val="0"/>
        <w:spacing w:before="0" w:after="160"/>
        <w:ind w:left="0" w:right="0" w:hanging="540"/>
        <w:jc w:val="left"/>
        <w:rPr>
          <w:rFonts w:ascii="Aptos" w:hAnsi="Aptos"/>
          <w:sz w:val="20"/>
        </w:rPr>
      </w:pPr>
      <w:r>
        <w:rPr>
          <w:rFonts w:ascii="Times New Roman" w:hAnsi="Times New Roman"/>
          <w:b/>
          <w:sz w:val="20"/>
          <w:u w:val="single"/>
        </w:rPr>
        <w:t>SUBSEQUENT EVENTS</w:t>
      </w:r>
      <w:r>
        <w:rPr>
          <w:rFonts w:ascii="Aptos" w:hAnsi="Aptos"/>
          <w:sz w:val="20"/>
        </w:rPr>
        <w:t xml:space="preserve"> </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342900" cy="175260"/>
                <wp:effectExtent l="0" t="0" r="0" b="0"/>
                <wp:wrapSquare wrapText="right"/>
                <wp:docPr id="226" name="Frame22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b/>
                              </w:rPr>
                              <w:t>17.</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rPr>
                        <w:t>17.</w:t>
                      </w:r>
                      <w:r>
                        <w:rPr/>
                        <w:t xml:space="preserve"> </w:t>
                      </w:r>
                    </w:p>
                  </w:txbxContent>
                </v:textbox>
                <w10:wrap type="square" side="right"/>
              </v:rect>
            </w:pict>
          </mc:Fallback>
        </mc:AlternateContent>
      </w:r>
    </w:p>
    <w:p>
      <w:pPr>
        <w:pStyle w:val="TextBody"/>
        <w:bidi w:val="0"/>
        <w:spacing w:before="0" w:after="0"/>
        <w:ind w:left="0" w:right="0" w:firstLine="705"/>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February 2026, we completed the sale of the Maryville Center and the Knoxville Center. Closing of the remaining third center included in the Disposal Group, the Laurel Center, is expected to take place in the first quarter of 2026. We anticipate recognizing a gain of approximately $8.0 million upon the finalization of the sale of the Disposal Group. Refer to Note 5 for further information.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F-34</w:t>
      </w:r>
    </w:p>
    <w:p>
      <w:pPr>
        <w:pStyle w:val="HorizontalLine"/>
        <w:bidi w:val="0"/>
        <w:spacing w:before="150" w:after="150"/>
        <w:jc w:val="left"/>
        <w:rPr/>
      </w:pPr>
      <w:r>
        <w:rPr/>
      </w:r>
    </w:p>
    <w:p>
      <w:pPr>
        <w:pStyle w:val="TextBody"/>
        <w:bidi w:val="0"/>
        <w:spacing w:before="150" w:after="150"/>
        <w:jc w:val="left"/>
        <w:rPr/>
      </w:pPr>
      <w:hyperlink w:anchor="ADMA_BIOLOGICS_INC_TOC">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ADMA BIOLOGICS,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NOTES TO CONSOLIDATED FINANCIAL STATEMENTS</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jc w:val="center"/>
        <w:rPr/>
      </w:pPr>
      <w:r>
        <w:rPr/>
        <w:t xml:space="preserve">  </w:t>
      </w:r>
    </w:p>
    <w:p>
      <w:pPr>
        <w:pStyle w:val="TextBody"/>
        <w:bidi w:val="0"/>
        <w:spacing w:lineRule="atLeast" w:line="240"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Schedule II – Valuation and Qualifying Accounts</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Years ended December 31, 2025, 2024 and 2023</w:t>
      </w:r>
      <w:r>
        <w:rPr>
          <w:rFonts w:ascii="TimesNewRoman;Times New Roman;Times;Baskerville;Georgia;serif" w:hAnsi="TimesNewRoman;Times New Roman;Times;Baskerville;Georgia;serif"/>
          <w:sz w:val="20"/>
        </w:rPr>
        <w:t xml:space="preserve"> </w:t>
      </w:r>
    </w:p>
    <w:p>
      <w:pPr>
        <w:pStyle w:val="TextBody"/>
        <w:bidi w:val="0"/>
        <w:spacing w:lineRule="atLeast" w:line="240" w:before="0" w:after="0"/>
        <w:ind w:left="0" w:right="0" w:hanging="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2637"/>
        <w:gridCol w:w="98"/>
        <w:gridCol w:w="90"/>
        <w:gridCol w:w="273"/>
        <w:gridCol w:w="1295"/>
        <w:gridCol w:w="90"/>
        <w:gridCol w:w="130"/>
        <w:gridCol w:w="246"/>
        <w:gridCol w:w="1140"/>
        <w:gridCol w:w="185"/>
        <w:gridCol w:w="90"/>
        <w:gridCol w:w="170"/>
        <w:gridCol w:w="785"/>
        <w:gridCol w:w="185"/>
        <w:gridCol w:w="90"/>
        <w:gridCol w:w="235"/>
        <w:gridCol w:w="990"/>
        <w:gridCol w:w="90"/>
        <w:gridCol w:w="90"/>
        <w:gridCol w:w="195"/>
        <w:gridCol w:w="959"/>
        <w:gridCol w:w="142"/>
      </w:tblGrid>
      <w:tr>
        <w:trPr/>
        <w:tc>
          <w:tcPr>
            <w:tcW w:w="26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r>
      <w:tr>
        <w:trPr/>
        <w:tc>
          <w:tcPr>
            <w:tcW w:w="273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73"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46" w:type="dxa"/>
            <w:gridSpan w:val="7"/>
            <w:tcBorders>
              <w:bottom w:val="single" w:sz="12" w:space="0" w:color="000000"/>
            </w:tcBorders>
            <w:tcMar>
              <w:bottom w:w="28" w:type="dxa"/>
            </w:tcMar>
            <w:vAlign w:val="center"/>
          </w:tcPr>
          <w:p>
            <w:pPr>
              <w:pStyle w:val="TableContents"/>
              <w:bidi w:val="0"/>
              <w:spacing w:before="0" w:after="283"/>
              <w:jc w:val="center"/>
              <w:rPr/>
            </w:pPr>
            <w:r>
              <w:rPr>
                <w:b/>
                <w:spacing w:val="0"/>
              </w:rPr>
              <w:t>Additions</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95" w:type="dxa"/>
            <w:tcBorders/>
            <w:vAlign w:val="center"/>
          </w:tcPr>
          <w:p>
            <w:pPr>
              <w:pStyle w:val="TableContents"/>
              <w:bidi w:val="0"/>
              <w:spacing w:before="0" w:after="283"/>
              <w:jc w:val="center"/>
              <w:rPr/>
            </w:pPr>
            <w:r>
              <w:rPr/>
              <w:t> </w:t>
            </w:r>
          </w:p>
        </w:tc>
        <w:tc>
          <w:tcPr>
            <w:tcW w:w="959" w:type="dxa"/>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center"/>
              <w:rPr/>
            </w:pPr>
            <w:r>
              <w:rPr/>
              <w:t> </w:t>
            </w:r>
          </w:p>
        </w:tc>
      </w:tr>
      <w:tr>
        <w:trPr/>
        <w:tc>
          <w:tcPr>
            <w:tcW w:w="273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68" w:type="dxa"/>
            <w:gridSpan w:val="2"/>
            <w:tcBorders/>
            <w:vAlign w:val="center"/>
          </w:tcPr>
          <w:p>
            <w:pPr>
              <w:pStyle w:val="TableContents"/>
              <w:bidi w:val="0"/>
              <w:spacing w:before="0" w:after="283"/>
              <w:jc w:val="center"/>
              <w:rPr/>
            </w:pPr>
            <w:r>
              <w:rPr>
                <w:b/>
              </w:rPr>
              <w:t>Balance at</w:t>
            </w:r>
            <w:r>
              <w:rPr/>
              <w:t xml:space="preserve"> </w:t>
            </w:r>
          </w:p>
        </w:tc>
        <w:tc>
          <w:tcPr>
            <w:tcW w:w="90" w:type="dxa"/>
            <w:tcBorders/>
            <w:vAlign w:val="center"/>
          </w:tcPr>
          <w:p>
            <w:pPr>
              <w:pStyle w:val="TableContents"/>
              <w:bidi w:val="0"/>
              <w:spacing w:before="0" w:after="283"/>
              <w:jc w:val="center"/>
              <w:rPr/>
            </w:pPr>
            <w:r>
              <w:rPr/>
              <w:t> </w:t>
            </w:r>
          </w:p>
        </w:tc>
        <w:tc>
          <w:tcPr>
            <w:tcW w:w="1516" w:type="dxa"/>
            <w:gridSpan w:val="3"/>
            <w:tcBorders/>
            <w:vAlign w:val="center"/>
          </w:tcPr>
          <w:p>
            <w:pPr>
              <w:pStyle w:val="TableContents"/>
              <w:bidi w:val="0"/>
              <w:spacing w:before="0" w:after="283"/>
              <w:jc w:val="center"/>
              <w:rPr/>
            </w:pPr>
            <w:r>
              <w:rPr>
                <w:b/>
              </w:rPr>
              <w:t>Charged to costs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54" w:type="dxa"/>
            <w:gridSpan w:val="2"/>
            <w:tcBorders/>
            <w:vAlign w:val="center"/>
          </w:tcPr>
          <w:p>
            <w:pPr>
              <w:pStyle w:val="TableContents"/>
              <w:bidi w:val="0"/>
              <w:spacing w:before="0" w:after="283"/>
              <w:jc w:val="center"/>
              <w:rPr/>
            </w:pPr>
            <w:r>
              <w:rPr>
                <w:b/>
              </w:rPr>
              <w:t>Balance at</w:t>
            </w:r>
            <w:r>
              <w:rPr/>
              <w:t xml:space="preserve"> </w:t>
            </w:r>
          </w:p>
        </w:tc>
        <w:tc>
          <w:tcPr>
            <w:tcW w:w="142" w:type="dxa"/>
            <w:tcBorders/>
            <w:vAlign w:val="center"/>
          </w:tcPr>
          <w:p>
            <w:pPr>
              <w:pStyle w:val="TableContents"/>
              <w:bidi w:val="0"/>
              <w:spacing w:before="0" w:after="283"/>
              <w:jc w:val="center"/>
              <w:rPr/>
            </w:pPr>
            <w:r>
              <w:rPr/>
              <w:t> </w:t>
            </w:r>
          </w:p>
        </w:tc>
      </w:tr>
      <w:tr>
        <w:trPr/>
        <w:tc>
          <w:tcPr>
            <w:tcW w:w="273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68" w:type="dxa"/>
            <w:gridSpan w:val="2"/>
            <w:tcBorders>
              <w:bottom w:val="single" w:sz="12" w:space="0" w:color="000000"/>
            </w:tcBorders>
            <w:tcMar>
              <w:bottom w:w="28" w:type="dxa"/>
            </w:tcMar>
            <w:vAlign w:val="center"/>
          </w:tcPr>
          <w:p>
            <w:pPr>
              <w:pStyle w:val="TableContents"/>
              <w:bidi w:val="0"/>
              <w:spacing w:before="0" w:after="283"/>
              <w:jc w:val="center"/>
              <w:rPr/>
            </w:pPr>
            <w:r>
              <w:rPr>
                <w:b/>
              </w:rPr>
              <w:t>beginning of year</w:t>
            </w:r>
            <w:r>
              <w:rPr/>
              <w:t xml:space="preserve"> </w:t>
            </w:r>
          </w:p>
        </w:tc>
        <w:tc>
          <w:tcPr>
            <w:tcW w:w="90" w:type="dxa"/>
            <w:tcBorders/>
            <w:vAlign w:val="center"/>
          </w:tcPr>
          <w:p>
            <w:pPr>
              <w:pStyle w:val="TableContents"/>
              <w:bidi w:val="0"/>
              <w:spacing w:before="0" w:after="283"/>
              <w:jc w:val="center"/>
              <w:rPr/>
            </w:pPr>
            <w:r>
              <w:rPr/>
              <w:t> </w:t>
            </w:r>
          </w:p>
        </w:tc>
        <w:tc>
          <w:tcPr>
            <w:tcW w:w="1516" w:type="dxa"/>
            <w:gridSpan w:val="3"/>
            <w:tcBorders>
              <w:bottom w:val="single" w:sz="12" w:space="0" w:color="000000"/>
            </w:tcBorders>
            <w:tcMar>
              <w:bottom w:w="28" w:type="dxa"/>
            </w:tcMar>
            <w:vAlign w:val="center"/>
          </w:tcPr>
          <w:p>
            <w:pPr>
              <w:pStyle w:val="TableContents"/>
              <w:bidi w:val="0"/>
              <w:spacing w:before="0" w:after="283"/>
              <w:jc w:val="center"/>
              <w:rPr/>
            </w:pPr>
            <w:r>
              <w:rPr>
                <w:b/>
              </w:rPr>
              <w:t>and expenses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pPr>
            <w:r>
              <w:rPr>
                <w:b/>
              </w:rPr>
              <w:t>Other</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5" w:type="dxa"/>
            <w:gridSpan w:val="2"/>
            <w:tcBorders>
              <w:bottom w:val="single" w:sz="12" w:space="0" w:color="000000"/>
            </w:tcBorders>
            <w:tcMar>
              <w:bottom w:w="28" w:type="dxa"/>
            </w:tcMar>
            <w:vAlign w:val="center"/>
          </w:tcPr>
          <w:p>
            <w:pPr>
              <w:pStyle w:val="TableContents"/>
              <w:bidi w:val="0"/>
              <w:spacing w:before="0" w:after="283"/>
              <w:jc w:val="center"/>
              <w:rPr/>
            </w:pPr>
            <w:r>
              <w:rPr>
                <w:b/>
              </w:rPr>
              <w:t>Deductions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54" w:type="dxa"/>
            <w:gridSpan w:val="2"/>
            <w:tcBorders>
              <w:bottom w:val="single" w:sz="12" w:space="0" w:color="000000"/>
            </w:tcBorders>
            <w:tcMar>
              <w:bottom w:w="28" w:type="dxa"/>
            </w:tcMar>
            <w:vAlign w:val="center"/>
          </w:tcPr>
          <w:p>
            <w:pPr>
              <w:pStyle w:val="TableContents"/>
              <w:bidi w:val="0"/>
              <w:spacing w:before="0" w:after="283"/>
              <w:jc w:val="center"/>
              <w:rPr/>
            </w:pPr>
            <w:r>
              <w:rPr>
                <w:b/>
              </w:rPr>
              <w:t>end of year</w:t>
            </w:r>
            <w:r>
              <w:rPr/>
              <w:t xml:space="preserve"> </w:t>
            </w:r>
          </w:p>
        </w:tc>
        <w:tc>
          <w:tcPr>
            <w:tcW w:w="142" w:type="dxa"/>
            <w:tcBorders/>
            <w:vAlign w:val="center"/>
          </w:tcPr>
          <w:p>
            <w:pPr>
              <w:pStyle w:val="TableContents"/>
              <w:bidi w:val="0"/>
              <w:spacing w:before="0" w:after="283"/>
              <w:jc w:val="center"/>
              <w:rPr/>
            </w:pPr>
            <w:r>
              <w:rPr/>
              <w:t> </w:t>
            </w:r>
          </w:p>
        </w:tc>
      </w:tr>
      <w:tr>
        <w:trPr/>
        <w:tc>
          <w:tcPr>
            <w:tcW w:w="2735" w:type="dxa"/>
            <w:gridSpan w:val="2"/>
            <w:tcBorders/>
            <w:vAlign w:val="center"/>
          </w:tcPr>
          <w:p>
            <w:pPr>
              <w:pStyle w:val="TableContents"/>
              <w:bidi w:val="0"/>
              <w:spacing w:before="0" w:after="283"/>
              <w:jc w:val="left"/>
              <w:rPr/>
            </w:pPr>
            <w:r>
              <w:rPr/>
              <w:t> </w:t>
            </w:r>
          </w:p>
        </w:tc>
        <w:tc>
          <w:tcPr>
            <w:tcW w:w="7470" w:type="dxa"/>
            <w:gridSpan w:val="20"/>
            <w:tcBorders/>
            <w:vAlign w:val="center"/>
          </w:tcPr>
          <w:p>
            <w:pPr>
              <w:pStyle w:val="TableContents"/>
              <w:bidi w:val="0"/>
              <w:spacing w:before="0" w:after="283"/>
              <w:jc w:val="center"/>
              <w:rPr/>
            </w:pPr>
            <w:r>
              <w:rPr>
                <w:i/>
              </w:rPr>
              <w:t>(in thousands)</w:t>
            </w:r>
            <w:r>
              <w:rPr/>
              <w:t xml:space="preserve"> </w:t>
            </w:r>
          </w:p>
        </w:tc>
      </w:tr>
      <w:tr>
        <w:trPr/>
        <w:tc>
          <w:tcPr>
            <w:tcW w:w="2735" w:type="dxa"/>
            <w:gridSpan w:val="2"/>
            <w:tcBorders/>
            <w:vAlign w:val="center"/>
          </w:tcPr>
          <w:p>
            <w:pPr>
              <w:pStyle w:val="TableContents"/>
              <w:bidi w:val="0"/>
              <w:spacing w:before="0" w:after="0"/>
              <w:ind w:left="0" w:right="0" w:hanging="144"/>
              <w:jc w:val="left"/>
              <w:rPr>
                <w:u w:val="single"/>
              </w:rPr>
            </w:pPr>
            <w:r>
              <w:rPr>
                <w:u w:val="single"/>
              </w:rPr>
              <w:t xml:space="preserve">Year ended December 31, 2025 </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r>
      <w:tr>
        <w:trPr/>
        <w:tc>
          <w:tcPr>
            <w:tcW w:w="2735" w:type="dxa"/>
            <w:gridSpan w:val="2"/>
            <w:tcBorders/>
            <w:shd w:fill="CCEEFF" w:val="clear"/>
            <w:vAlign w:val="center"/>
          </w:tcPr>
          <w:p>
            <w:pPr>
              <w:pStyle w:val="TableContents"/>
              <w:bidi w:val="0"/>
              <w:spacing w:before="0" w:after="0"/>
              <w:jc w:val="left"/>
              <w:rPr/>
            </w:pPr>
            <w:r>
              <w:rPr/>
              <w:t xml:space="preserve">Accrued rebates </w:t>
            </w:r>
          </w:p>
        </w:tc>
        <w:tc>
          <w:tcPr>
            <w:tcW w:w="90"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4,155</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r>
              <w:rPr/>
              <w:t>12,511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10,908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283"/>
              <w:jc w:val="right"/>
              <w:rPr/>
            </w:pPr>
            <w:r>
              <w:rPr/>
              <w:t>5,758</w:t>
            </w:r>
          </w:p>
        </w:tc>
        <w:tc>
          <w:tcPr>
            <w:tcW w:w="142" w:type="dxa"/>
            <w:tcBorders/>
            <w:shd w:fill="CCEEFF" w:val="clear"/>
            <w:vAlign w:val="center"/>
          </w:tcPr>
          <w:p>
            <w:pPr>
              <w:pStyle w:val="TableContents"/>
              <w:bidi w:val="0"/>
              <w:spacing w:before="0" w:after="283"/>
              <w:jc w:val="left"/>
              <w:rPr/>
            </w:pPr>
            <w:r>
              <w:rPr/>
              <w:t> </w:t>
            </w:r>
          </w:p>
        </w:tc>
      </w:tr>
      <w:tr>
        <w:trPr/>
        <w:tc>
          <w:tcPr>
            <w:tcW w:w="2735" w:type="dxa"/>
            <w:gridSpan w:val="2"/>
            <w:tcBorders/>
            <w:vAlign w:val="center"/>
          </w:tcPr>
          <w:p>
            <w:pPr>
              <w:pStyle w:val="TableContents"/>
              <w:bidi w:val="0"/>
              <w:spacing w:before="0" w:after="0"/>
              <w:jc w:val="left"/>
              <w:rPr/>
            </w:pPr>
            <w:r>
              <w:rPr/>
              <w:t xml:space="preserve">Inventory valuation allowance </w:t>
            </w:r>
          </w:p>
        </w:tc>
        <w:tc>
          <w:tcPr>
            <w:tcW w:w="90"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5,161</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9,996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w:t>
            </w:r>
          </w:p>
        </w:tc>
        <w:tc>
          <w:tcPr>
            <w:tcW w:w="990" w:type="dxa"/>
            <w:tcBorders/>
            <w:vAlign w:val="center"/>
          </w:tcPr>
          <w:p>
            <w:pPr>
              <w:pStyle w:val="TableContents"/>
              <w:bidi w:val="0"/>
              <w:spacing w:before="0" w:after="283"/>
              <w:jc w:val="right"/>
              <w:rPr/>
            </w:pPr>
            <w:r>
              <w:rPr/>
              <w:t>10,609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left"/>
              <w:rPr/>
            </w:pPr>
            <w:r>
              <w:rPr/>
              <w:t>$</w:t>
            </w:r>
          </w:p>
        </w:tc>
        <w:tc>
          <w:tcPr>
            <w:tcW w:w="959" w:type="dxa"/>
            <w:tcBorders/>
            <w:vAlign w:val="center"/>
          </w:tcPr>
          <w:p>
            <w:pPr>
              <w:pStyle w:val="TableContents"/>
              <w:bidi w:val="0"/>
              <w:spacing w:before="0" w:after="283"/>
              <w:jc w:val="right"/>
              <w:rPr/>
            </w:pPr>
            <w:r>
              <w:rPr/>
              <w:t>4,548</w:t>
            </w:r>
          </w:p>
        </w:tc>
        <w:tc>
          <w:tcPr>
            <w:tcW w:w="142" w:type="dxa"/>
            <w:tcBorders/>
            <w:vAlign w:val="center"/>
          </w:tcPr>
          <w:p>
            <w:pPr>
              <w:pStyle w:val="TableContents"/>
              <w:bidi w:val="0"/>
              <w:spacing w:before="0" w:after="283"/>
              <w:jc w:val="left"/>
              <w:rPr/>
            </w:pPr>
            <w:r>
              <w:rPr/>
              <w:t> </w:t>
            </w:r>
          </w:p>
        </w:tc>
      </w:tr>
      <w:tr>
        <w:trPr/>
        <w:tc>
          <w:tcPr>
            <w:tcW w:w="2735" w:type="dxa"/>
            <w:gridSpan w:val="2"/>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right"/>
              <w:rPr/>
            </w:pPr>
            <w:r>
              <w:rPr/>
              <w:t> </w:t>
            </w:r>
          </w:p>
        </w:tc>
        <w:tc>
          <w:tcPr>
            <w:tcW w:w="12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right"/>
              <w:rPr/>
            </w:pPr>
            <w:r>
              <w:rPr/>
              <w:t> </w:t>
            </w:r>
          </w:p>
        </w:tc>
        <w:tc>
          <w:tcPr>
            <w:tcW w:w="11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right"/>
              <w:rPr/>
            </w:pPr>
            <w:r>
              <w:rPr/>
              <w:t> </w:t>
            </w:r>
          </w:p>
        </w:tc>
        <w:tc>
          <w:tcPr>
            <w:tcW w:w="9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right"/>
              <w:rPr/>
            </w:pPr>
            <w:r>
              <w:rPr/>
              <w:t> </w:t>
            </w:r>
          </w:p>
        </w:tc>
        <w:tc>
          <w:tcPr>
            <w:tcW w:w="959"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right"/>
              <w:rPr/>
            </w:pPr>
            <w:r>
              <w:rPr/>
              <w:t> </w:t>
            </w:r>
          </w:p>
        </w:tc>
      </w:tr>
      <w:tr>
        <w:trPr/>
        <w:tc>
          <w:tcPr>
            <w:tcW w:w="273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right"/>
              <w:rPr/>
            </w:pPr>
            <w:r>
              <w:rPr/>
              <w:t> </w:t>
            </w:r>
          </w:p>
        </w:tc>
        <w:tc>
          <w:tcPr>
            <w:tcW w:w="12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114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c>
          <w:tcPr>
            <w:tcW w:w="9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right"/>
              <w:rPr/>
            </w:pPr>
            <w:r>
              <w:rPr/>
              <w:t> </w:t>
            </w:r>
          </w:p>
        </w:tc>
        <w:tc>
          <w:tcPr>
            <w:tcW w:w="959"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right"/>
              <w:rPr/>
            </w:pPr>
            <w:r>
              <w:rPr/>
              <w:t> </w:t>
            </w:r>
          </w:p>
        </w:tc>
      </w:tr>
      <w:tr>
        <w:trPr/>
        <w:tc>
          <w:tcPr>
            <w:tcW w:w="2735" w:type="dxa"/>
            <w:gridSpan w:val="2"/>
            <w:tcBorders/>
            <w:shd w:fill="CCEEFF" w:val="clear"/>
            <w:vAlign w:val="center"/>
          </w:tcPr>
          <w:p>
            <w:pPr>
              <w:pStyle w:val="TableContents"/>
              <w:bidi w:val="0"/>
              <w:spacing w:before="0" w:after="0"/>
              <w:ind w:left="0" w:right="0" w:hanging="144"/>
              <w:jc w:val="left"/>
              <w:rPr>
                <w:u w:val="single"/>
              </w:rPr>
            </w:pPr>
            <w:r>
              <w:rPr>
                <w:u w:val="single"/>
              </w:rPr>
              <w:t xml:space="preserve">Year ended December 31, 2024 </w:t>
            </w:r>
          </w:p>
        </w:tc>
        <w:tc>
          <w:tcPr>
            <w:tcW w:w="90"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right"/>
              <w:rPr/>
            </w:pPr>
            <w:r>
              <w:rPr/>
              <w:t> </w:t>
            </w:r>
          </w:p>
        </w:tc>
        <w:tc>
          <w:tcPr>
            <w:tcW w:w="12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right"/>
              <w:rPr/>
            </w:pPr>
            <w:r>
              <w:rPr/>
              <w:t> </w:t>
            </w:r>
          </w:p>
        </w:tc>
        <w:tc>
          <w:tcPr>
            <w:tcW w:w="11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right"/>
              <w:rPr/>
            </w:pPr>
            <w:r>
              <w:rPr/>
              <w:t> </w:t>
            </w:r>
          </w:p>
        </w:tc>
        <w:tc>
          <w:tcPr>
            <w:tcW w:w="9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right"/>
              <w:rPr/>
            </w:pPr>
            <w:r>
              <w:rPr/>
              <w:t> </w:t>
            </w:r>
          </w:p>
        </w:tc>
        <w:tc>
          <w:tcPr>
            <w:tcW w:w="959"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right"/>
              <w:rPr/>
            </w:pPr>
            <w:r>
              <w:rPr/>
              <w:t> </w:t>
            </w:r>
          </w:p>
        </w:tc>
      </w:tr>
      <w:tr>
        <w:trPr/>
        <w:tc>
          <w:tcPr>
            <w:tcW w:w="2735" w:type="dxa"/>
            <w:gridSpan w:val="2"/>
            <w:tcBorders/>
            <w:vAlign w:val="center"/>
          </w:tcPr>
          <w:p>
            <w:pPr>
              <w:pStyle w:val="TableContents"/>
              <w:bidi w:val="0"/>
              <w:spacing w:before="0" w:after="0"/>
              <w:jc w:val="left"/>
              <w:rPr/>
            </w:pPr>
            <w:r>
              <w:rPr/>
              <w:t xml:space="preserve">Accrued rebates </w:t>
            </w:r>
          </w:p>
        </w:tc>
        <w:tc>
          <w:tcPr>
            <w:tcW w:w="90"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16,608</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8,514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(12,618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w:t>
            </w:r>
          </w:p>
        </w:tc>
        <w:tc>
          <w:tcPr>
            <w:tcW w:w="990" w:type="dxa"/>
            <w:tcBorders/>
            <w:vAlign w:val="center"/>
          </w:tcPr>
          <w:p>
            <w:pPr>
              <w:pStyle w:val="TableContents"/>
              <w:bidi w:val="0"/>
              <w:spacing w:before="0" w:after="283"/>
              <w:jc w:val="right"/>
              <w:rPr/>
            </w:pPr>
            <w:r>
              <w:rPr/>
              <w:t>8,349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left"/>
              <w:rPr/>
            </w:pPr>
            <w:r>
              <w:rPr/>
              <w:t>$</w:t>
            </w:r>
          </w:p>
        </w:tc>
        <w:tc>
          <w:tcPr>
            <w:tcW w:w="959" w:type="dxa"/>
            <w:tcBorders/>
            <w:vAlign w:val="center"/>
          </w:tcPr>
          <w:p>
            <w:pPr>
              <w:pStyle w:val="TableContents"/>
              <w:bidi w:val="0"/>
              <w:spacing w:before="0" w:after="283"/>
              <w:jc w:val="right"/>
              <w:rPr/>
            </w:pPr>
            <w:r>
              <w:rPr/>
              <w:t>4,155</w:t>
            </w:r>
          </w:p>
        </w:tc>
        <w:tc>
          <w:tcPr>
            <w:tcW w:w="142" w:type="dxa"/>
            <w:tcBorders/>
            <w:vAlign w:val="center"/>
          </w:tcPr>
          <w:p>
            <w:pPr>
              <w:pStyle w:val="TableContents"/>
              <w:bidi w:val="0"/>
              <w:spacing w:before="0" w:after="283"/>
              <w:jc w:val="left"/>
              <w:rPr/>
            </w:pPr>
            <w:r>
              <w:rPr/>
              <w:t> </w:t>
            </w:r>
          </w:p>
        </w:tc>
      </w:tr>
      <w:tr>
        <w:trPr/>
        <w:tc>
          <w:tcPr>
            <w:tcW w:w="2735" w:type="dxa"/>
            <w:gridSpan w:val="2"/>
            <w:tcBorders/>
            <w:shd w:fill="CCEEFF" w:val="clear"/>
            <w:vAlign w:val="center"/>
          </w:tcPr>
          <w:p>
            <w:pPr>
              <w:pStyle w:val="TableContents"/>
              <w:bidi w:val="0"/>
              <w:spacing w:before="0" w:after="0"/>
              <w:jc w:val="left"/>
              <w:rPr/>
            </w:pPr>
            <w:r>
              <w:rPr/>
              <w:t xml:space="preserve">Inventory valuation allowance </w:t>
            </w:r>
          </w:p>
        </w:tc>
        <w:tc>
          <w:tcPr>
            <w:tcW w:w="90"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2,992</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r>
              <w:rPr/>
              <w:t>9,338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7,287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283"/>
              <w:jc w:val="right"/>
              <w:rPr/>
            </w:pPr>
            <w:r>
              <w:rPr/>
              <w:t>5,161</w:t>
            </w:r>
          </w:p>
        </w:tc>
        <w:tc>
          <w:tcPr>
            <w:tcW w:w="142" w:type="dxa"/>
            <w:tcBorders/>
            <w:shd w:fill="CCEEFF" w:val="clear"/>
            <w:vAlign w:val="center"/>
          </w:tcPr>
          <w:p>
            <w:pPr>
              <w:pStyle w:val="TableContents"/>
              <w:bidi w:val="0"/>
              <w:spacing w:before="0" w:after="283"/>
              <w:jc w:val="left"/>
              <w:rPr/>
            </w:pPr>
            <w:r>
              <w:rPr/>
              <w:t> </w:t>
            </w:r>
          </w:p>
        </w:tc>
      </w:tr>
      <w:tr>
        <w:trPr/>
        <w:tc>
          <w:tcPr>
            <w:tcW w:w="2735" w:type="dxa"/>
            <w:gridSpan w:val="2"/>
            <w:tcBorders/>
            <w:vAlign w:val="center"/>
          </w:tcPr>
          <w:p>
            <w:pPr>
              <w:pStyle w:val="TableContents"/>
              <w:bidi w:val="0"/>
              <w:spacing w:before="0" w:after="0"/>
              <w:jc w:val="left"/>
              <w:rPr/>
            </w:pPr>
            <w:r>
              <w:rPr/>
              <w:t xml:space="preserve">Deferred tax asset valuation allowance </w:t>
            </w:r>
          </w:p>
        </w:tc>
        <w:tc>
          <w:tcPr>
            <w:tcW w:w="90"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101,421</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(84,280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w:t>
            </w:r>
          </w:p>
        </w:tc>
        <w:tc>
          <w:tcPr>
            <w:tcW w:w="990" w:type="dxa"/>
            <w:tcBorders/>
            <w:vAlign w:val="center"/>
          </w:tcPr>
          <w:p>
            <w:pPr>
              <w:pStyle w:val="TableContents"/>
              <w:bidi w:val="0"/>
              <w:spacing w:before="0" w:after="283"/>
              <w:jc w:val="right"/>
              <w:rPr/>
            </w:pPr>
            <w:r>
              <w:rPr/>
              <w:t>17,141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left"/>
              <w:rPr/>
            </w:pPr>
            <w:r>
              <w:rPr/>
              <w:t>$</w:t>
            </w:r>
          </w:p>
        </w:tc>
        <w:tc>
          <w:tcPr>
            <w:tcW w:w="959" w:type="dxa"/>
            <w:tcBorders/>
            <w:vAlign w:val="center"/>
          </w:tcPr>
          <w:p>
            <w:pPr>
              <w:pStyle w:val="TableContents"/>
              <w:bidi w:val="0"/>
              <w:spacing w:before="0" w:after="283"/>
              <w:jc w:val="right"/>
              <w:rPr/>
            </w:pPr>
            <w:r>
              <w:rPr/>
              <w:t>       </w:t>
            </w:r>
            <w:r>
              <w:rPr/>
              <w:t xml:space="preserve">- </w:t>
            </w:r>
          </w:p>
        </w:tc>
        <w:tc>
          <w:tcPr>
            <w:tcW w:w="142" w:type="dxa"/>
            <w:tcBorders/>
            <w:vAlign w:val="center"/>
          </w:tcPr>
          <w:p>
            <w:pPr>
              <w:pStyle w:val="TableContents"/>
              <w:bidi w:val="0"/>
              <w:spacing w:before="0" w:after="283"/>
              <w:jc w:val="left"/>
              <w:rPr/>
            </w:pPr>
            <w:r>
              <w:rPr/>
              <w:t> </w:t>
            </w:r>
          </w:p>
        </w:tc>
      </w:tr>
      <w:tr>
        <w:trPr/>
        <w:tc>
          <w:tcPr>
            <w:tcW w:w="2735" w:type="dxa"/>
            <w:gridSpan w:val="2"/>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right"/>
              <w:rPr/>
            </w:pPr>
            <w:r>
              <w:rPr/>
              <w:t> </w:t>
            </w:r>
          </w:p>
        </w:tc>
        <w:tc>
          <w:tcPr>
            <w:tcW w:w="12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right"/>
              <w:rPr/>
            </w:pPr>
            <w:r>
              <w:rPr/>
              <w:t> </w:t>
            </w:r>
          </w:p>
        </w:tc>
        <w:tc>
          <w:tcPr>
            <w:tcW w:w="11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right"/>
              <w:rPr/>
            </w:pPr>
            <w:r>
              <w:rPr/>
              <w:t> </w:t>
            </w:r>
          </w:p>
        </w:tc>
        <w:tc>
          <w:tcPr>
            <w:tcW w:w="9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right"/>
              <w:rPr/>
            </w:pPr>
            <w:r>
              <w:rPr/>
              <w:t> </w:t>
            </w:r>
          </w:p>
        </w:tc>
        <w:tc>
          <w:tcPr>
            <w:tcW w:w="959"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right"/>
              <w:rPr/>
            </w:pPr>
            <w:r>
              <w:rPr/>
              <w:t> </w:t>
            </w:r>
          </w:p>
        </w:tc>
      </w:tr>
      <w:tr>
        <w:trPr/>
        <w:tc>
          <w:tcPr>
            <w:tcW w:w="273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right"/>
              <w:rPr/>
            </w:pPr>
            <w:r>
              <w:rPr/>
              <w:t> </w:t>
            </w:r>
          </w:p>
        </w:tc>
        <w:tc>
          <w:tcPr>
            <w:tcW w:w="12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114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c>
          <w:tcPr>
            <w:tcW w:w="9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right"/>
              <w:rPr/>
            </w:pPr>
            <w:r>
              <w:rPr/>
              <w:t> </w:t>
            </w:r>
          </w:p>
        </w:tc>
        <w:tc>
          <w:tcPr>
            <w:tcW w:w="959"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right"/>
              <w:rPr/>
            </w:pPr>
            <w:r>
              <w:rPr/>
              <w:t> </w:t>
            </w:r>
          </w:p>
        </w:tc>
      </w:tr>
      <w:tr>
        <w:trPr/>
        <w:tc>
          <w:tcPr>
            <w:tcW w:w="2637" w:type="dxa"/>
            <w:tcBorders/>
            <w:shd w:fill="CCEEFF" w:val="clear"/>
            <w:vAlign w:val="center"/>
          </w:tcPr>
          <w:p>
            <w:pPr>
              <w:pStyle w:val="TableContents"/>
              <w:bidi w:val="0"/>
              <w:spacing w:before="0" w:after="0"/>
              <w:ind w:left="0" w:right="0" w:hanging="144"/>
              <w:jc w:val="left"/>
              <w:rPr>
                <w:u w:val="single"/>
              </w:rPr>
            </w:pPr>
            <w:r>
              <w:rPr>
                <w:u w:val="single"/>
              </w:rPr>
              <w:t xml:space="preserve">Year ended December 31, 2023 </w:t>
            </w:r>
          </w:p>
        </w:tc>
        <w:tc>
          <w:tcPr>
            <w:tcW w:w="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right"/>
              <w:rPr/>
            </w:pPr>
            <w:r>
              <w:rPr/>
              <w:t> </w:t>
            </w:r>
          </w:p>
        </w:tc>
        <w:tc>
          <w:tcPr>
            <w:tcW w:w="12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right"/>
              <w:rPr/>
            </w:pPr>
            <w:r>
              <w:rPr/>
              <w:t> </w:t>
            </w:r>
          </w:p>
        </w:tc>
        <w:tc>
          <w:tcPr>
            <w:tcW w:w="11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right"/>
              <w:rPr/>
            </w:pPr>
            <w:r>
              <w:rPr/>
              <w:t> </w:t>
            </w:r>
          </w:p>
        </w:tc>
        <w:tc>
          <w:tcPr>
            <w:tcW w:w="9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right"/>
              <w:rPr/>
            </w:pPr>
            <w:r>
              <w:rPr/>
              <w:t> </w:t>
            </w:r>
          </w:p>
        </w:tc>
        <w:tc>
          <w:tcPr>
            <w:tcW w:w="959"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right"/>
              <w:rPr/>
            </w:pPr>
            <w:r>
              <w:rPr/>
              <w:t> </w:t>
            </w:r>
          </w:p>
        </w:tc>
      </w:tr>
      <w:tr>
        <w:trPr/>
        <w:tc>
          <w:tcPr>
            <w:tcW w:w="2637" w:type="dxa"/>
            <w:tcBorders/>
            <w:vAlign w:val="center"/>
          </w:tcPr>
          <w:p>
            <w:pPr>
              <w:pStyle w:val="TableContents"/>
              <w:bidi w:val="0"/>
              <w:spacing w:before="0" w:after="0"/>
              <w:jc w:val="left"/>
              <w:rPr/>
            </w:pPr>
            <w:r>
              <w:rPr/>
              <w:t xml:space="preserve">Accrued rebates </w:t>
            </w:r>
          </w:p>
        </w:tc>
        <w:tc>
          <w:tcPr>
            <w:tcW w:w="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11,437</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8,448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w:t>
            </w:r>
          </w:p>
        </w:tc>
        <w:tc>
          <w:tcPr>
            <w:tcW w:w="990" w:type="dxa"/>
            <w:tcBorders/>
            <w:vAlign w:val="center"/>
          </w:tcPr>
          <w:p>
            <w:pPr>
              <w:pStyle w:val="TableContents"/>
              <w:bidi w:val="0"/>
              <w:spacing w:before="0" w:after="283"/>
              <w:jc w:val="right"/>
              <w:rPr/>
            </w:pPr>
            <w:r>
              <w:rPr/>
              <w:t>3,277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left"/>
              <w:rPr/>
            </w:pPr>
            <w:r>
              <w:rPr/>
              <w:t>$</w:t>
            </w:r>
          </w:p>
        </w:tc>
        <w:tc>
          <w:tcPr>
            <w:tcW w:w="959" w:type="dxa"/>
            <w:tcBorders/>
            <w:vAlign w:val="center"/>
          </w:tcPr>
          <w:p>
            <w:pPr>
              <w:pStyle w:val="TableContents"/>
              <w:bidi w:val="0"/>
              <w:spacing w:before="0" w:after="283"/>
              <w:jc w:val="right"/>
              <w:rPr/>
            </w:pPr>
            <w:r>
              <w:rPr/>
              <w:t>16,608</w:t>
            </w:r>
          </w:p>
        </w:tc>
        <w:tc>
          <w:tcPr>
            <w:tcW w:w="142" w:type="dxa"/>
            <w:tcBorders/>
            <w:vAlign w:val="center"/>
          </w:tcPr>
          <w:p>
            <w:pPr>
              <w:pStyle w:val="TableContents"/>
              <w:bidi w:val="0"/>
              <w:spacing w:before="0" w:after="283"/>
              <w:jc w:val="left"/>
              <w:rPr/>
            </w:pPr>
            <w:r>
              <w:rPr/>
              <w:t> </w:t>
            </w:r>
          </w:p>
        </w:tc>
      </w:tr>
      <w:tr>
        <w:trPr/>
        <w:tc>
          <w:tcPr>
            <w:tcW w:w="2735" w:type="dxa"/>
            <w:gridSpan w:val="2"/>
            <w:tcBorders/>
            <w:shd w:fill="CCEEFF" w:val="clear"/>
            <w:vAlign w:val="center"/>
          </w:tcPr>
          <w:p>
            <w:pPr>
              <w:pStyle w:val="TableContents"/>
              <w:bidi w:val="0"/>
              <w:spacing w:before="0" w:after="0"/>
              <w:jc w:val="left"/>
              <w:rPr/>
            </w:pPr>
            <w:r>
              <w:rPr/>
              <w:t xml:space="preserve">Inventory valuation allowance </w:t>
            </w:r>
          </w:p>
        </w:tc>
        <w:tc>
          <w:tcPr>
            <w:tcW w:w="90"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5,400</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r>
              <w:rPr/>
              <w:t>6,963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9,377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283"/>
              <w:jc w:val="right"/>
              <w:rPr/>
            </w:pPr>
            <w:r>
              <w:rPr/>
              <w:t>2,992</w:t>
            </w:r>
          </w:p>
        </w:tc>
        <w:tc>
          <w:tcPr>
            <w:tcW w:w="142" w:type="dxa"/>
            <w:tcBorders/>
            <w:shd w:fill="CCEEFF" w:val="clear"/>
            <w:vAlign w:val="center"/>
          </w:tcPr>
          <w:p>
            <w:pPr>
              <w:pStyle w:val="TableContents"/>
              <w:bidi w:val="0"/>
              <w:spacing w:before="0" w:after="283"/>
              <w:jc w:val="left"/>
              <w:rPr/>
            </w:pPr>
            <w:r>
              <w:rPr/>
              <w:t> </w:t>
            </w:r>
          </w:p>
        </w:tc>
      </w:tr>
      <w:tr>
        <w:trPr/>
        <w:tc>
          <w:tcPr>
            <w:tcW w:w="2735" w:type="dxa"/>
            <w:gridSpan w:val="2"/>
            <w:tcBorders/>
            <w:vAlign w:val="center"/>
          </w:tcPr>
          <w:p>
            <w:pPr>
              <w:pStyle w:val="TableContents"/>
              <w:bidi w:val="0"/>
              <w:spacing w:before="0" w:after="0"/>
              <w:jc w:val="left"/>
              <w:rPr/>
            </w:pPr>
            <w:r>
              <w:rPr/>
              <w:t xml:space="preserve">Deferred tax asset valuation allowance </w:t>
            </w:r>
          </w:p>
        </w:tc>
        <w:tc>
          <w:tcPr>
            <w:tcW w:w="90"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96,725</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4,696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w:t>
            </w:r>
          </w:p>
        </w:tc>
        <w:tc>
          <w:tcPr>
            <w:tcW w:w="990" w:type="dxa"/>
            <w:tcBorders/>
            <w:vAlign w:val="center"/>
          </w:tcPr>
          <w:p>
            <w:pPr>
              <w:pStyle w:val="TableContents"/>
              <w:bidi w:val="0"/>
              <w:spacing w:before="0" w:after="283"/>
              <w:jc w:val="right"/>
              <w:rPr/>
            </w:pPr>
            <w:r>
              <w:rPr/>
              <w:t xml:space="preserve">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left"/>
              <w:rPr/>
            </w:pPr>
            <w:r>
              <w:rPr/>
              <w:t>$</w:t>
            </w:r>
          </w:p>
        </w:tc>
        <w:tc>
          <w:tcPr>
            <w:tcW w:w="959" w:type="dxa"/>
            <w:tcBorders/>
            <w:vAlign w:val="center"/>
          </w:tcPr>
          <w:p>
            <w:pPr>
              <w:pStyle w:val="TableContents"/>
              <w:bidi w:val="0"/>
              <w:spacing w:before="0" w:after="283"/>
              <w:jc w:val="right"/>
              <w:rPr/>
            </w:pPr>
            <w:r>
              <w:rPr/>
              <w:t>101,421</w:t>
            </w:r>
          </w:p>
        </w:tc>
        <w:tc>
          <w:tcPr>
            <w:tcW w:w="142" w:type="dxa"/>
            <w:tcBorders/>
            <w:vAlign w:val="center"/>
          </w:tcPr>
          <w:p>
            <w:pPr>
              <w:pStyle w:val="TableContents"/>
              <w:bidi w:val="0"/>
              <w:spacing w:before="0" w:after="283"/>
              <w:jc w:val="left"/>
              <w:rPr/>
            </w:pPr>
            <w:r>
              <w:rPr/>
              <w:t> </w:t>
            </w:r>
          </w:p>
        </w:tc>
      </w:tr>
    </w:tbl>
    <w:p>
      <w:pPr>
        <w:pStyle w:val="TextBody"/>
        <w:bidi w:val="0"/>
        <w:spacing w:lineRule="atLeast" w:line="240" w:before="0" w:after="0"/>
        <w:jc w:val="left"/>
        <w:rPr/>
      </w:pPr>
      <w:r>
        <w:rPr/>
        <w:t xml:space="preserve">  </w:t>
      </w:r>
    </w:p>
    <w:p>
      <w:pPr>
        <w:pStyle w:val="TextBody"/>
        <w:bidi w:val="0"/>
        <w:spacing w:lineRule="atLeast" w:line="240" w:before="0" w:after="0"/>
        <w:jc w:val="left"/>
        <w:rPr/>
      </w:pPr>
      <w:r>
        <w:rPr/>
        <w:t> </w:t>
      </w:r>
    </w:p>
    <w:p>
      <w:pPr>
        <w:pStyle w:val="TextBody"/>
        <w:bidi w:val="0"/>
        <w:spacing w:lineRule="atLeast" w:line="240" w:before="0" w:after="0"/>
        <w:jc w:val="center"/>
        <w:rPr>
          <w:rFonts w:ascii="TimesNewRoman;Times New Roman;Times;Baskerville;Georgia;serif" w:hAnsi="TimesNewRoman;Times New Roman;Times;Baskerville;Georgia;serif"/>
          <w:sz w:val="16"/>
        </w:rPr>
      </w:pPr>
      <w:r>
        <w:rPr>
          <w:rFonts w:ascii="TimesNewRoman;Times New Roman;Times;Baskerville;Georgia;serif" w:hAnsi="TimesNewRoman;Times New Roman;Times;Baskerville;Georgia;serif"/>
          <w:sz w:val="16"/>
        </w:rPr>
        <w:t>F-35</w:t>
      </w:r>
    </w:p>
    <w:p>
      <w:pPr>
        <w:pStyle w:val="HorizontalLine"/>
        <w:pBdr>
          <w:bottom w:val="double" w:sz="2" w:space="0" w:color="808080"/>
        </w:pBdr>
        <w:bidi w:val="0"/>
        <w:spacing w:before="0" w:after="283"/>
        <w:jc w:val="left"/>
        <w:rPr/>
      </w:pPr>
      <w:r>
        <w:rPr/>
      </w:r>
    </w:p>
    <w:p>
      <w:pPr>
        <w:pStyle w:val="HorizontalLine"/>
        <w:bidi w:val="0"/>
        <w:jc w:val="left"/>
        <w:rPr/>
      </w:pPr>
      <w:r>
        <w:rPr/>
      </w:r>
      <w:bookmarkStart w:id="53" w:name="ef20059416_ex19-1.htm"/>
      <w:bookmarkStart w:id="54" w:name="ksef20059416_ex191"/>
      <w:bookmarkStart w:id="55" w:name="ef20059416_ex19-1.htm"/>
      <w:bookmarkStart w:id="56" w:name="ksef20059416_ex191"/>
      <w:bookmarkEnd w:id="55"/>
      <w:bookmarkEnd w:id="56"/>
      <w:r>
        <w:br w:type="page"/>
      </w:r>
    </w:p>
    <w:p>
      <w:pPr>
        <w:pStyle w:val="TextBody"/>
        <w:bidi w:val="0"/>
        <w:spacing w:before="0" w:after="0"/>
        <w:jc w:val="right"/>
        <w:rPr/>
      </w:pPr>
      <w:r>
        <w:rPr>
          <w:b/>
          <w:sz w:val="20"/>
        </w:rPr>
        <w:t>Exhibit 19.1</w:t>
      </w:r>
      <w:r>
        <w:rPr/>
        <w:t xml:space="preserve"> </w:t>
      </w:r>
    </w:p>
    <w:p>
      <w:pPr>
        <w:pStyle w:val="TextBody"/>
        <w:bidi w:val="0"/>
        <w:spacing w:before="0" w:after="0"/>
        <w:jc w:val="right"/>
        <w:rPr/>
      </w:pPr>
      <w:r>
        <w:rPr/>
        <w:t xml:space="preserve">  </w:t>
      </w:r>
    </w:p>
    <w:p>
      <w:pPr>
        <w:pStyle w:val="TextBody"/>
        <w:bidi w:val="0"/>
        <w:spacing w:before="0" w:after="0"/>
        <w:jc w:val="left"/>
        <w:rPr/>
      </w:pPr>
      <w:r>
        <w:rPr>
          <w:sz w:val="20"/>
        </w:rPr>
        <w:t>Effective September 2025</w:t>
      </w:r>
      <w:r>
        <w:rPr/>
        <w:t xml:space="preserve"> </w:t>
      </w:r>
    </w:p>
    <w:p>
      <w:pPr>
        <w:pStyle w:val="TextBody"/>
        <w:bidi w:val="0"/>
        <w:spacing w:before="0" w:after="0"/>
        <w:jc w:val="left"/>
        <w:rPr/>
      </w:pPr>
      <w:r>
        <w:rPr/>
        <w:t xml:space="preserve">  </w:t>
      </w:r>
    </w:p>
    <w:p>
      <w:pPr>
        <w:pStyle w:val="TextBody"/>
        <w:bidi w:val="0"/>
        <w:spacing w:before="0" w:after="0"/>
        <w:jc w:val="center"/>
        <w:rPr/>
      </w:pPr>
      <w:r>
        <w:rPr>
          <w:b/>
          <w:sz w:val="20"/>
        </w:rPr>
        <w:t>INSIDER TRADING POLICY</w:t>
      </w:r>
      <w:r>
        <w:rPr/>
        <w:t xml:space="preserve"> </w:t>
      </w:r>
    </w:p>
    <w:p>
      <w:pPr>
        <w:pStyle w:val="TextBody"/>
        <w:bidi w:val="0"/>
        <w:spacing w:before="0" w:after="0"/>
        <w:jc w:val="center"/>
        <w:rPr/>
      </w:pPr>
      <w:r>
        <w:rPr/>
        <w:t xml:space="preserve">  </w:t>
      </w:r>
    </w:p>
    <w:p>
      <w:pPr>
        <w:pStyle w:val="TextBody"/>
        <w:bidi w:val="0"/>
        <w:spacing w:before="0" w:after="0"/>
        <w:jc w:val="both"/>
        <w:rPr/>
      </w:pPr>
      <w:r>
        <w:rPr>
          <w:sz w:val="20"/>
        </w:rPr>
        <w:t>ADMA has adopted the policies and procedures described herein in order to prevent insider trading. The Company prohibits trading based on Material Nonpublic Information regarding the Company or gained during the course of work for the Company. The policy covers the Company itself and its subsidiaries and all officers, directors, members of the scientific advisory board, employees, consultants, advisors and independent contractors of the Company (including all Company affiliates or subsidiaries) (collectively, “Covered Persons”), who may have access to Material Nonpublic Information. The Company has determined that “Access Persons” (as defined in this policy) are subject to the pre-clearance requirement described below because the Company believes those Access Persons have, or are likely to have, access to Material Nonpublic Information on a more frequent basis than other employees. The current list of Access Persons is maintained by the Insider Trading Compliance Officer, and such persons have been separately notified. This list of Access Persons is subject to change at the Insider Trading Compliance Officer’s discretion, and it will be updated periodically. Under special circumstances, certain persons not defined as an Access Person under this policy may come to have access to Material Nonpublic Information. During any period that a person is in possession of Material Nonpublic Information, that person will be deemed an Access Person and will be subject to the pre-clearance procedure described in this policy.</w:t>
      </w:r>
      <w:r>
        <w:rPr/>
        <w:t xml:space="preserve"> </w:t>
      </w:r>
    </w:p>
    <w:p>
      <w:pPr>
        <w:pStyle w:val="TextBody"/>
        <w:bidi w:val="0"/>
        <w:spacing w:before="0" w:after="0"/>
        <w:jc w:val="both"/>
        <w:rPr/>
      </w:pPr>
      <w:r>
        <w:rPr/>
        <w:t xml:space="preserve">  </w:t>
      </w:r>
    </w:p>
    <w:p>
      <w:pPr>
        <w:pStyle w:val="TextBody"/>
        <w:bidi w:val="0"/>
        <w:spacing w:before="0" w:after="0"/>
        <w:jc w:val="both"/>
        <w:rPr>
          <w:b/>
        </w:rPr>
      </w:pPr>
      <w:r>
        <w:rPr>
          <w:b/>
          <w:sz w:val="20"/>
        </w:rPr>
        <w:t>Applicability</w:t>
      </w:r>
      <w:r>
        <w:rPr>
          <w:b/>
        </w:rPr>
        <w:t xml:space="preserve"> </w:t>
      </w:r>
    </w:p>
    <w:p>
      <w:pPr>
        <w:pStyle w:val="TextBody"/>
        <w:bidi w:val="0"/>
        <w:spacing w:before="0" w:after="0"/>
        <w:jc w:val="both"/>
        <w:rPr/>
      </w:pPr>
      <w:r>
        <w:rPr/>
        <w:t xml:space="preserve">  </w:t>
      </w:r>
    </w:p>
    <w:p>
      <w:pPr>
        <w:pStyle w:val="TextBody"/>
        <w:bidi w:val="0"/>
        <w:spacing w:before="0" w:after="0"/>
        <w:jc w:val="both"/>
        <w:rPr/>
      </w:pPr>
      <w:r>
        <w:rPr>
          <w:sz w:val="20"/>
        </w:rPr>
        <w:t>This policy applies to all transactions in the Company’s securities, including common stock, options for stock, preferred stock, warrants, convertible debentures, and derivative securities relating to the Company’s stock (such as exchange-traded options), whether or not issued by the Company. This policy applies to all of the Company’s Covered Persons. This policy also applies to Family Members of Covered Persons. “Family Member” includes any spouse, partner, child, grandchild, parent, sibling, grandparent, family-in-law, step-family, guardian or caretaker, aunt, uncle, niece, nephew, cousin, any person living in the same household, and/or the spouse or partner of the foregoing individuals. For the avoidance of doubt, the definition of “Family Member” includes adoptive relationships. Covered Persons are responsible for compliance by their Family Members.</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This policy continues to apply to Covered Persons’ transactions in Company securities or the stock of other public companies engaged in business transactions with the Company even after their tenure with the Company has terminated. If a Covered Person is in possession of Material Nonpublic Information when their relationship with the Company concludes, the Covered Person and their Family Members may not trade in Company securities or the stock of such other company until the information has been publicly disseminated.</w:t>
      </w:r>
      <w:r>
        <w:rPr/>
        <w:t xml:space="preserve">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Violations of this policy can result in civil and criminal penalties, as well as discipline, or termination of employment or business relationship with the Company.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b/>
        </w:rPr>
      </w:pPr>
      <w:r>
        <w:rPr>
          <w:b/>
          <w:sz w:val="20"/>
        </w:rPr>
        <w:t>Material Nonpublic Information</w:t>
      </w:r>
      <w:r>
        <w:rPr>
          <w:b/>
        </w:rPr>
        <w:t xml:space="preserve"> </w:t>
      </w:r>
    </w:p>
    <w:p>
      <w:pPr>
        <w:pStyle w:val="TextBody"/>
        <w:bidi w:val="0"/>
        <w:spacing w:before="0" w:after="0"/>
        <w:jc w:val="both"/>
        <w:rPr/>
      </w:pPr>
      <w:r>
        <w:rPr/>
        <w:t xml:space="preserve">  </w:t>
      </w:r>
    </w:p>
    <w:p>
      <w:pPr>
        <w:pStyle w:val="TextBody"/>
        <w:bidi w:val="0"/>
        <w:spacing w:before="0" w:after="0"/>
        <w:jc w:val="both"/>
        <w:rPr/>
      </w:pPr>
      <w:r>
        <w:rPr>
          <w:sz w:val="20"/>
        </w:rPr>
        <w:t>Information is “Material Nonpublic Information” if: (1) there is a reasonable likelihood that the information would be considered important to an investor making an investment decision regarding the transaction of securities (“material information”), and (2) it has not been previously disclosed to the general public and is otherwise not available to the general public (“nonpublic information”). Information generally would be considered widely disseminated to the general public if it has been disclosed through the newswire services, a broadcast on widely-available radio or television programs, publication in a widely-available newspaper, magazine or news website, or public disclosure documents filed with the SEC that are available on the SEC’s website. By contrast, information would likely not be considered widely disseminated if it is available only to the Company’s employees, or if it is only available to a select group of analysts, brokers and institutional investors.</w:t>
      </w:r>
      <w:r>
        <w:rPr/>
        <w:t xml:space="preserve">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The below categories of Company information (either positive or negative) are particularly sensitive and should be considered material information: </w:t>
      </w:r>
    </w:p>
    <w:p>
      <w:pPr>
        <w:pStyle w:val="TextBody"/>
        <w:bidi w:val="0"/>
        <w:spacing w:before="0" w:after="0"/>
        <w:jc w:val="both"/>
        <w:rPr/>
      </w:pPr>
      <w:r>
        <w:rPr/>
        <w:t xml:space="preserve">  </w:t>
      </w:r>
    </w:p>
    <w:p>
      <w:pPr>
        <w:pStyle w:val="TextBody"/>
        <w:bidi w:val="0"/>
        <w:spacing w:before="0" w:after="0"/>
        <w:ind w:left="0" w:right="0" w:hanging="360"/>
        <w:jc w:val="both"/>
        <w:rPr/>
      </w:pPr>
      <w:r>
        <w:rPr>
          <w:sz w:val="20"/>
        </w:rPr>
        <w:t>Financial results</w:t>
      </w:r>
      <w:r>
        <w:rPr/>
        <w:t xml:space="preserve"> </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228600" cy="175260"/>
                <wp:effectExtent l="0" t="0" r="0" b="0"/>
                <wp:wrapSquare wrapText="right"/>
                <wp:docPr id="227" name="Frame2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Projections of future earnings or losses</w:t>
      </w:r>
      <w:r>
        <w:rPr/>
        <w:t xml:space="preserve"> </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228600" cy="175260"/>
                <wp:effectExtent l="0" t="0" r="0" b="0"/>
                <wp:wrapSquare wrapText="right"/>
                <wp:docPr id="228" name="Frame2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News of a pending or proposed merger or acquisition</w:t>
      </w:r>
      <w:r>
        <w:rPr/>
        <w:t xml:space="preserve"> </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228600" cy="175260"/>
                <wp:effectExtent l="0" t="0" r="0" b="0"/>
                <wp:wrapSquare wrapText="right"/>
                <wp:docPr id="229" name="Frame2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A Company restructuring</w:t>
      </w:r>
      <w:r>
        <w:rPr/>
        <w:t xml:space="preserve"> </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228600" cy="175260"/>
                <wp:effectExtent l="0" t="0" r="0" b="0"/>
                <wp:wrapSquare wrapText="right"/>
                <wp:docPr id="230" name="Frame2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News of the disposition of a subsidiary</w:t>
      </w:r>
      <w:r>
        <w:rPr/>
        <w:t xml:space="preserve"> </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228600" cy="175260"/>
                <wp:effectExtent l="0" t="0" r="0" b="0"/>
                <wp:wrapSquare wrapText="right"/>
                <wp:docPr id="231" name="Frame2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Major marketing changes</w:t>
      </w:r>
      <w:r>
        <w:rPr/>
        <w:t xml:space="preserve"> </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228600" cy="175260"/>
                <wp:effectExtent l="0" t="0" r="0" b="0"/>
                <wp:wrapSquare wrapText="right"/>
                <wp:docPr id="232" name="Frame2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A significant cybersecurity incident, such as a data breach, or any other significant disruption in the Company’s information technology infrastructure</w:t>
      </w:r>
      <w:r>
        <w:rPr/>
        <w:t xml:space="preserve">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228600" cy="175260"/>
                <wp:effectExtent l="0" t="0" r="0" b="0"/>
                <wp:wrapSquare wrapText="right"/>
                <wp:docPr id="233" name="Frame2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Significant related party transactions</w:t>
      </w:r>
      <w:r>
        <w:rPr/>
        <w:t xml:space="preserve"> </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228600" cy="175260"/>
                <wp:effectExtent l="0" t="0" r="0" b="0"/>
                <wp:wrapSquare wrapText="right"/>
                <wp:docPr id="234" name="Frame2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Impending bankruptcy or financial liquidity problems</w:t>
      </w:r>
      <w:r>
        <w:rPr/>
        <w:t xml:space="preserve"> </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228600" cy="175260"/>
                <wp:effectExtent l="0" t="0" r="0" b="0"/>
                <wp:wrapSquare wrapText="right"/>
                <wp:docPr id="235" name="Frame2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Gain or loss of a substantial customer or supplier</w:t>
      </w:r>
      <w:r>
        <w:rPr/>
        <w:t xml:space="preserve"> </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228600" cy="175260"/>
                <wp:effectExtent l="0" t="0" r="0" b="0"/>
                <wp:wrapSquare wrapText="right"/>
                <wp:docPr id="236" name="Frame2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Procurement or loss of significant contracts</w:t>
      </w:r>
      <w:r>
        <w:rPr/>
        <w:t xml:space="preserve"> </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228600" cy="175260"/>
                <wp:effectExtent l="0" t="0" r="0" b="0"/>
                <wp:wrapSquare wrapText="right"/>
                <wp:docPr id="237" name="Frame2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Status of significant projects/initiatives</w:t>
      </w:r>
      <w:r>
        <w:rPr/>
        <w:t xml:space="preserve"> </w:t>
      </w:r>
      <w:r>
        <mc:AlternateContent>
          <mc:Choice Requires="wps">
            <w:drawing>
              <wp:anchor behindDoc="0" distT="0" distB="0" distL="0" distR="0" simplePos="0" locked="0" layoutInCell="1" allowOverlap="1" relativeHeight="240">
                <wp:simplePos x="0" y="0"/>
                <wp:positionH relativeFrom="column">
                  <wp:align>left</wp:align>
                </wp:positionH>
                <wp:positionV relativeFrom="line">
                  <wp:posOffset>635</wp:posOffset>
                </wp:positionV>
                <wp:extent cx="228600" cy="175260"/>
                <wp:effectExtent l="0" t="0" r="0" b="0"/>
                <wp:wrapSquare wrapText="right"/>
                <wp:docPr id="238" name="Frame2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Changes in dividend policy</w:t>
      </w:r>
      <w:r>
        <w:rPr/>
        <w:t xml:space="preserve"> </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228600" cy="175260"/>
                <wp:effectExtent l="0" t="0" r="0" b="0"/>
                <wp:wrapSquare wrapText="right"/>
                <wp:docPr id="239" name="Frame2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both"/>
        <w:rPr/>
      </w:pPr>
      <w:r>
        <w:rPr>
          <w:sz w:val="20"/>
        </w:rPr>
        <w:t>New product announcements of a significant nature</w:t>
      </w:r>
      <w:r>
        <w:rPr/>
        <w:t xml:space="preserve"> </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228600" cy="175260"/>
                <wp:effectExtent l="0" t="0" r="0" b="0"/>
                <wp:wrapSquare wrapText="right"/>
                <wp:docPr id="240" name="Frame2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Results of any clinical trials</w:t>
      </w:r>
      <w:r>
        <w:rPr/>
        <w:t xml:space="preserve"> </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228600" cy="175260"/>
                <wp:effectExtent l="0" t="0" r="0" b="0"/>
                <wp:wrapSquare wrapText="right"/>
                <wp:docPr id="241" name="Frame2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Significant product defects or modifications</w:t>
      </w:r>
      <w:r>
        <w:rPr/>
        <w:t xml:space="preserve"> </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228600" cy="175260"/>
                <wp:effectExtent l="0" t="0" r="0" b="0"/>
                <wp:wrapSquare wrapText="right"/>
                <wp:docPr id="242" name="Frame2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Significant operations-related information</w:t>
      </w:r>
      <w:r>
        <w:rPr/>
        <w:t xml:space="preserve"> </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228600" cy="175260"/>
                <wp:effectExtent l="0" t="0" r="0" b="0"/>
                <wp:wrapSquare wrapText="right"/>
                <wp:docPr id="243" name="Frame2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Significant pricing changes</w:t>
      </w:r>
      <w:r>
        <w:rPr/>
        <w:t xml:space="preserve"> </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228600" cy="175260"/>
                <wp:effectExtent l="0" t="0" r="0" b="0"/>
                <wp:wrapSquare wrapText="right"/>
                <wp:docPr id="244" name="Frame2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Stock splits</w:t>
      </w:r>
      <w:r>
        <w:rPr/>
        <w:t xml:space="preserve"> </w: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228600" cy="175260"/>
                <wp:effectExtent l="0" t="0" r="0" b="0"/>
                <wp:wrapSquare wrapText="right"/>
                <wp:docPr id="245" name="Frame2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New equity or debt offerings</w:t>
      </w:r>
      <w:r>
        <w:rPr/>
        <w:t xml:space="preserve"> </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228600" cy="175260"/>
                <wp:effectExtent l="0" t="0" r="0" b="0"/>
                <wp:wrapSquare wrapText="right"/>
                <wp:docPr id="246" name="Frame2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Potential for significant litigation exposure</w:t>
      </w:r>
      <w:r>
        <w:rPr/>
        <w:t xml:space="preserve"> </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228600" cy="175260"/>
                <wp:effectExtent l="0" t="0" r="0" b="0"/>
                <wp:wrapSquare wrapText="right"/>
                <wp:docPr id="247" name="Frame2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Changes in senior management</w:t>
      </w:r>
      <w:r>
        <w:rPr/>
        <w:t xml:space="preserve"> </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228600" cy="175260"/>
                <wp:effectExtent l="0" t="0" r="0" b="0"/>
                <wp:wrapSquare wrapText="right"/>
                <wp:docPr id="248" name="Frame2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The establishment of, or any significant developments or changes regarding, a repurchase program for Company securities, including the Company’s stock repurchase plan for its common stock (such as planned repurchases, increases or decreases in the program’s authorization, suspensions and similar changes)</w:t>
      </w:r>
      <w:r>
        <w:rPr/>
        <w:t xml:space="preserve"> </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228600" cy="175260"/>
                <wp:effectExtent l="0" t="0" r="0" b="0"/>
                <wp:wrapSquare wrapText="right"/>
                <wp:docPr id="249" name="Frame2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The imposition of an event-specific restriction on trading in Company securities or the securities of another company or the extension or termination of such restriction</w:t>
      </w:r>
      <w:r>
        <w:rPr/>
        <w:t xml:space="preserve"> </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228600" cy="175260"/>
                <wp:effectExtent l="0" t="0" r="0" b="0"/>
                <wp:wrapSquare wrapText="right"/>
                <wp:docPr id="250" name="Frame2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jc w:val="both"/>
        <w:rPr>
          <w:b/>
        </w:rPr>
      </w:pPr>
      <w:r>
        <w:rPr>
          <w:b/>
          <w:i/>
          <w:sz w:val="20"/>
        </w:rPr>
        <w:t>Applicability to Material Nonpublic Information Regarding Other Companies</w:t>
      </w:r>
      <w:r>
        <w:rPr>
          <w:b/>
        </w:rPr>
        <w:t xml:space="preserve"> </w:t>
      </w:r>
    </w:p>
    <w:p>
      <w:pPr>
        <w:pStyle w:val="TextBody"/>
        <w:bidi w:val="0"/>
        <w:spacing w:before="0" w:after="0"/>
        <w:jc w:val="both"/>
        <w:rPr/>
      </w:pPr>
      <w:r>
        <w:rPr/>
        <w:t xml:space="preserve">  </w:t>
      </w:r>
    </w:p>
    <w:p>
      <w:pPr>
        <w:pStyle w:val="TextBody"/>
        <w:bidi w:val="0"/>
        <w:spacing w:before="0" w:after="0"/>
        <w:jc w:val="both"/>
        <w:rPr/>
      </w:pPr>
      <w:r>
        <w:rPr>
          <w:sz w:val="20"/>
        </w:rPr>
        <w:t>This policy and the guidelines described herein also apply to Material Nonpublic Information relating to other companies, including the Company’s collaborative partners, customers, vendors, or suppliers (collectively, “business partners”), potential acquisition targets or acquirors, or competitors, when the Material Nonpublic Information is obtained in the course of employment or services performed for the Company, or otherwise obtained. Covered Persons must not engage in transactions of securities for the Company’s business partners or competitors while in possession of their Material Nonpublic Information. Moreover, Covered Persons must not engage in transactions of securities for any closely correlated or economically-linked business partners or competitors while in possession of Material Nonpublic Information about the Company (i.e., “shadow trading”).</w:t>
      </w:r>
      <w:r>
        <w:rPr/>
        <w:t xml:space="preserve"> </w:t>
      </w:r>
    </w:p>
    <w:p>
      <w:pPr>
        <w:pStyle w:val="TextBody"/>
        <w:bidi w:val="0"/>
        <w:spacing w:before="0" w:after="0"/>
        <w:jc w:val="both"/>
        <w:rPr/>
      </w:pPr>
      <w:r>
        <w:rPr/>
        <w:t xml:space="preserve">  </w:t>
      </w:r>
    </w:p>
    <w:p>
      <w:pPr>
        <w:pStyle w:val="TextBody"/>
        <w:bidi w:val="0"/>
        <w:spacing w:before="0" w:after="0"/>
        <w:jc w:val="both"/>
        <w:rPr/>
      </w:pPr>
      <w:r>
        <w:rPr>
          <w:b/>
          <w:sz w:val="20"/>
        </w:rPr>
        <w:t>Designations for Covered Persons</w:t>
      </w:r>
      <w:r>
        <w:rPr/>
        <w:t xml:space="preserve">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The Company has determined that those persons identified on Exhibit 1 (“Section 16 Individuals”) are subject to the reporting and penalty provisions of Section 16 of the Securities Exchange Act of 1934, as amended (“Section 16”). The Company has determined that Section 16 Individuals are subject to the pre-clearance requirement described below because they are likely to have access to Material Nonpublic Information.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sz w:val="20"/>
        </w:rPr>
        <w:t>The Company has also determined that Access Persons who are not Section 16 Individuals are subject to the pre-clearance requirement described below because they are likely to have access to Material Nonpublic Information. The Insider Trading Compliance Officer may designate additional Access Persons, as necessary from time to time. During any period of time where someone not previously identified as an Access Person has access to Material Nonpublic Information, that person shall become an Access Person subject to additional provisions of this policy.</w:t>
      </w:r>
      <w:r>
        <w:rPr/>
        <w:t xml:space="preserve"> </w:t>
      </w:r>
    </w:p>
    <w:p>
      <w:pPr>
        <w:pStyle w:val="TextBody"/>
        <w:bidi w:val="0"/>
        <w:spacing w:before="0" w:after="0"/>
        <w:jc w:val="both"/>
        <w:rPr/>
      </w:pPr>
      <w:r>
        <w:rPr/>
        <w:t xml:space="preserve">  </w:t>
      </w:r>
    </w:p>
    <w:p>
      <w:pPr>
        <w:pStyle w:val="TextBody"/>
        <w:bidi w:val="0"/>
        <w:spacing w:before="0" w:after="0"/>
        <w:jc w:val="both"/>
        <w:rPr>
          <w:b/>
        </w:rPr>
      </w:pPr>
      <w:r>
        <w:rPr>
          <w:b/>
          <w:sz w:val="20"/>
        </w:rPr>
        <w:t>Considerations Related to Insider Trading</w:t>
      </w:r>
      <w:r>
        <w:rPr>
          <w:b/>
        </w:rPr>
        <w:t xml:space="preserve"> </w:t>
      </w:r>
    </w:p>
    <w:p>
      <w:pPr>
        <w:pStyle w:val="TextBody"/>
        <w:bidi w:val="0"/>
        <w:spacing w:before="0" w:after="0"/>
        <w:jc w:val="both"/>
        <w:rPr/>
      </w:pPr>
      <w:r>
        <w:rPr/>
        <w:t xml:space="preserve">  </w:t>
      </w:r>
    </w:p>
    <w:p>
      <w:pPr>
        <w:pStyle w:val="TextBody"/>
        <w:bidi w:val="0"/>
        <w:spacing w:before="0" w:after="0"/>
        <w:jc w:val="both"/>
        <w:rPr/>
      </w:pPr>
      <w:r>
        <w:rPr>
          <w:sz w:val="20"/>
        </w:rPr>
        <w:t>The Company prohibits the unauthorized disclosure of confidential information acquired while performing services for the Company and the misuse of Material Nonpublic Information in securities trading. Specific restrictions on securities trading are outlined below.</w:t>
      </w:r>
      <w:r>
        <w:rPr/>
        <w:t xml:space="preserve"> </w:t>
      </w:r>
    </w:p>
    <w:p>
      <w:pPr>
        <w:pStyle w:val="TextBody"/>
        <w:bidi w:val="0"/>
        <w:spacing w:before="0" w:after="0"/>
        <w:jc w:val="both"/>
        <w:rPr/>
      </w:pPr>
      <w:r>
        <w:rPr/>
        <w:t xml:space="preserve">  </w:t>
      </w:r>
    </w:p>
    <w:p>
      <w:pPr>
        <w:pStyle w:val="TextBody"/>
        <w:bidi w:val="0"/>
        <w:spacing w:before="0" w:after="0"/>
        <w:ind w:left="720" w:right="0" w:hanging="0"/>
        <w:jc w:val="both"/>
        <w:rPr/>
      </w:pPr>
      <w:r>
        <w:rPr>
          <w:b/>
          <w:sz w:val="20"/>
          <w:u w:val="single"/>
        </w:rPr>
        <w:t>Prohibitions on Trading</w:t>
      </w:r>
      <w:r>
        <w:rPr>
          <w:sz w:val="20"/>
        </w:rPr>
        <w:t>. Covered Persons are prohibited from entering into any trade immediately after the Company has made a public announcement of material information, including earnings releases. Covered Persons must not engage in any transaction involving a purchase or sale of the Company’s securities from the date that they possess Material Nonpublic Information concerning the Company, until either (1) the passage of two full Trading Days following the public disclosure of that information, or (2) such time as that nonpublic information is no longer material. For example, if a public announcement is made on a Monday afternoon, Covered Persons may not make trades of Company securities until Thursday. “Trading Day” means a day on which national stock exchanges are open for trading, and a “full” Trading Day includes from market open to market close.</w:t>
      </w:r>
      <w:r>
        <w:rPr/>
        <w:t xml:space="preserve"> </w:t>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457200" cy="175260"/>
                <wp:effectExtent l="0" t="0" r="0" b="0"/>
                <wp:wrapSquare wrapText="right"/>
                <wp:docPr id="251" name="Frame2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b/>
          <w:sz w:val="20"/>
          <w:u w:val="single"/>
        </w:rPr>
        <w:t>Disclosure of Information to Others</w:t>
      </w:r>
      <w:r>
        <w:rPr>
          <w:sz w:val="20"/>
        </w:rPr>
        <w:t>. The Company is required to avoid the selective disclosure of Material Nonpublic Information. The Company has established procedures for releasing material information in a manner designed to achieve broad public dissemination of the information immediately upon its release. Covered Persons may not disclose material information to anyone outside the Company, including Family Members, relatives, friends, or acquaintances, other than in accordance with these procedures. Covered Persons may not disclose or discuss the Company’s confidential information or material information in any public forum, including internet blogs, posts, or other web forums, unless that Covered Person is authorized as a Company spokesperson in accordance with these procedures.</w:t>
      </w:r>
      <w:r>
        <w:rPr/>
        <w:t xml:space="preserve"> </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457200" cy="175260"/>
                <wp:effectExtent l="0" t="0" r="0" b="0"/>
                <wp:wrapSquare wrapText="right"/>
                <wp:docPr id="252" name="Frame2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b/>
          <w:sz w:val="20"/>
          <w:u w:val="single"/>
        </w:rPr>
        <w:t>Confidentiality of Nonpublic Information</w:t>
      </w:r>
      <w:r>
        <w:rPr>
          <w:sz w:val="20"/>
        </w:rPr>
        <w:t>. The nondisclosure obligations under this policy are in addition to any confidentially obligations Covered Persons have to the Company. Nonpublic information relating to the Company is the property of the Company and the unauthorized disclosure of such information is strictly prohibited.</w:t>
      </w:r>
      <w:r>
        <w:rPr/>
        <w:t xml:space="preserve"> </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457200" cy="175260"/>
                <wp:effectExtent l="0" t="0" r="0" b="0"/>
                <wp:wrapSquare wrapText="right"/>
                <wp:docPr id="253" name="Frame2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both"/>
        <w:rPr/>
      </w:pPr>
      <w:r>
        <w:rPr>
          <w:b/>
          <w:sz w:val="20"/>
          <w:u w:val="single"/>
        </w:rPr>
        <w:t>Appearance of Impropriety</w:t>
      </w:r>
      <w:r>
        <w:rPr>
          <w:sz w:val="20"/>
        </w:rPr>
        <w:t>. Covered Persons must also avoid transactions that may appear to be improper.</w:t>
      </w:r>
      <w:r>
        <w:rPr/>
        <w:t xml:space="preserve"> </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457200" cy="175260"/>
                <wp:effectExtent l="0" t="0" r="0" b="0"/>
                <wp:wrapSquare wrapText="right"/>
                <wp:docPr id="254" name="Frame2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b/>
          <w:sz w:val="20"/>
          <w:u w:val="single"/>
        </w:rPr>
        <w:t>Twenty-Twenty Hindsight</w:t>
      </w:r>
      <w:r>
        <w:rPr>
          <w:sz w:val="20"/>
        </w:rPr>
        <w:t>. If securities transactions become subject to scrutiny, they will be viewed after-the-fact with the benefit of hindsight. As a result, before engaging in any transaction, Covered Persons should carefully consider how regulators and others might perceive their transactions after-the-fact.</w:t>
      </w:r>
      <w:r>
        <w:rPr/>
        <w:t xml:space="preserve"> </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457200" cy="175260"/>
                <wp:effectExtent l="0" t="0" r="0" b="0"/>
                <wp:wrapSquare wrapText="right"/>
                <wp:docPr id="255" name="Frame2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E.</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jc w:val="both"/>
        <w:rPr>
          <w:b/>
        </w:rPr>
      </w:pPr>
      <w:r>
        <w:rPr>
          <w:b/>
          <w:sz w:val="20"/>
        </w:rPr>
        <w:t>Trading Restrictions</w:t>
      </w:r>
      <w:r>
        <w:rPr>
          <w:b/>
        </w:rPr>
        <w:t xml:space="preserve"> </w:t>
      </w:r>
    </w:p>
    <w:p>
      <w:pPr>
        <w:pStyle w:val="TextBody"/>
        <w:bidi w:val="0"/>
        <w:spacing w:before="0" w:after="0"/>
        <w:jc w:val="both"/>
        <w:rPr/>
      </w:pPr>
      <w:r>
        <w:rPr/>
        <w:t xml:space="preserve">  </w:t>
      </w:r>
    </w:p>
    <w:p>
      <w:pPr>
        <w:pStyle w:val="TextBody"/>
        <w:bidi w:val="0"/>
        <w:spacing w:before="0" w:after="0"/>
        <w:ind w:left="720" w:right="0" w:hanging="0"/>
        <w:jc w:val="both"/>
        <w:rPr/>
      </w:pPr>
      <w:r>
        <w:rPr>
          <w:b/>
          <w:sz w:val="20"/>
          <w:u w:val="single"/>
        </w:rPr>
        <w:t>Prohibition on Trading During Blackout Periods</w:t>
      </w:r>
      <w:r>
        <w:rPr>
          <w:sz w:val="20"/>
        </w:rPr>
        <w:t xml:space="preserve">. The Company prohibits Covered Persons from buying or selling the Company’s securities during the quarterly blackout period unless they have established a pre-arranged trading plan that complies with Rule 10b5-1 (“Rule 10b5-1”) promulgated under the Securities Exchange Act of 1934, as amended (the “Exchange Act”). </w:t>
      </w:r>
      <w:r>
        <w:rPr>
          <w:b/>
          <w:sz w:val="20"/>
        </w:rPr>
        <w:t>Each blackout period begins on the 20th day of the last month of the fiscal quarter and continues until two full Trading Days have passed after the public release of quarterly results (or annual results in the case of the fourth quarter)</w:t>
      </w:r>
      <w:r>
        <w:rPr>
          <w:sz w:val="20"/>
        </w:rPr>
        <w:t>.</w:t>
      </w:r>
      <w:r>
        <w:rPr/>
        <w:t xml:space="preserve"> </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457200" cy="175260"/>
                <wp:effectExtent l="0" t="0" r="0" b="0"/>
                <wp:wrapSquare wrapText="right"/>
                <wp:docPr id="256" name="Frame2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sz w:val="20"/>
        </w:rPr>
        <w:t>In addition, the Insider Trading Compliance Officer may designate additional blackout periods when Covered Persons may not purchase or sell Company securities. If the Insider Trading Compliance Officer declares a blackout period under this section of the policy, the Company will notify those Covered Persons to whom the blackout period applies when the blackout period begins and ends. The existence of an extended blackout period or event-specific blackout period is highly confidential and must not be disclosed by a Covered Person to any other person.</w:t>
      </w:r>
      <w:r>
        <w:rPr/>
        <w:t xml:space="preserve"> </w: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b/>
          <w:i/>
          <w:sz w:val="20"/>
        </w:rPr>
        <w:t>Trading on dates that are outside of blackout periods will not protect anyone with Material Nonpublic Information from liability.</w:t>
      </w:r>
      <w:r>
        <w:rPr/>
        <w:t> </w:t>
      </w:r>
      <w:r>
        <w:rPr>
          <w:sz w:val="20"/>
        </w:rPr>
        <w:t>Although the Company may, from time to time, recommend that certain individuals stop trading in Company securities, each Covered Person is individually responsible at all times for compliance with the prohibitions against insider trading. Trading in the Company’s securities during periods that are outside of any blackout period should not be considered a “safe harbor” and all Covered Persons must use good judgment at all times.</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both"/>
        <w:rPr/>
      </w:pPr>
      <w:r>
        <w:rPr>
          <w:b/>
          <w:sz w:val="20"/>
          <w:u w:val="single"/>
        </w:rPr>
        <w:t>Pre-clearance of Trades</w:t>
      </w:r>
      <w:r>
        <w:rPr>
          <w:sz w:val="20"/>
        </w:rPr>
        <w:t>. Access Persons may not purchase, sell, or otherwise transact securities of the Company without obtaining prior clearance of the transaction via e-mail by the Insider Trading Compliance Officer. Access Persons are required to complete the Notice of Trading in Company Securities form to the Insider Trading Compliance Officer’s satisfaction, and may not trade absent such e-mail approval. The Insider Trading Compliance Officer will review the proposed transaction for compliance with regulatory requirements and may take into account various factors in determining whether to grant a request for pre-clearance, including consideration of the Company’s stock repurchase plan. The Insider Trading Compliance Officer may not trade Company securities without completing the Notice of Trading in Company Securities form and receiving approval from the President and Chief Executive Officer. The Compliance Officer may, at any time in their discretion, prohibit Covered Persons from trading in the Company’s securities.</w:t>
      </w:r>
      <w:r>
        <w:rPr/>
        <w:t xml:space="preserve"> </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457200" cy="175260"/>
                <wp:effectExtent l="0" t="0" r="0" b="0"/>
                <wp:wrapSquare wrapText="right"/>
                <wp:docPr id="257" name="Frame2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sz w:val="20"/>
        </w:rPr>
      </w:pPr>
      <w:r>
        <w:rPr>
          <w:sz w:val="20"/>
        </w:rPr>
        <w:t xml:space="preserve">The Company may also find it necessary, from time to time, to require that certain Covered Persons who are not Access Persons comply with the pre-clearance process. At those times, those Covered Persons will be designated as Access Persons and notified when they begin being designated an Access Person as well as when they cease being designated as an Access Person. </w: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b/>
          <w:sz w:val="20"/>
          <w:u w:val="single"/>
        </w:rPr>
        <w:t>Additional Requirements</w:t>
      </w:r>
      <w:r>
        <w:rPr>
          <w:sz w:val="20"/>
        </w:rPr>
        <w:t>. The Company has established the following additional policies for Covered Persons trading Company securities:</w:t>
      </w:r>
      <w:r>
        <w:rPr/>
        <w:t xml:space="preserve"> </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457200" cy="175260"/>
                <wp:effectExtent l="0" t="0" r="0" b="0"/>
                <wp:wrapSquare wrapText="right"/>
                <wp:docPr id="258" name="Frame2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Any Company stock purchased in the open market by a Covered Person must be held for a minimum of six months. Unless otherwise specified, this prohibition does not apply to the sale of: (a) stock acquired upon the exercise of stock options, or (b) stock acquired under an employee stock purchase plan.</w:t>
      </w:r>
      <w:r>
        <w:rPr/>
        <w:t xml:space="preserve"> </w: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228600" cy="175260"/>
                <wp:effectExtent l="0" t="0" r="0" b="0"/>
                <wp:wrapSquare wrapText="right"/>
                <wp:docPr id="259" name="Frame25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Covered Persons may not engage in short sales. “Short sales” of Company stock include borrowing Company stock, selling it, and then buying (or intending to buy) the stock again at a lower price to replace the borrowed shares within a short period of time following the initial sale of the borrowed shares.</w:t>
      </w:r>
      <w:r>
        <w:rPr/>
        <w:t xml:space="preserve"> </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228600" cy="175260"/>
                <wp:effectExtent l="0" t="0" r="0" b="0"/>
                <wp:wrapSquare wrapText="right"/>
                <wp:docPr id="260" name="Frame25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Covered Persons may not purchase Company stock on margin. However, Covered Persons may establish loan accounts secured by Company stock.</w:t>
      </w:r>
      <w:r>
        <w:rPr/>
        <w:t xml:space="preserve"> </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228600" cy="175260"/>
                <wp:effectExtent l="0" t="0" r="0" b="0"/>
                <wp:wrapSquare wrapText="right"/>
                <wp:docPr id="261" name="Frame2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Covered Persons may not buy or sell puts or calls for Company stock. “Puts” are options or rights to sell a specific stock at a specific price prior to a set date. “Calls” are options or rights to buy a specific stock at a specific price prior to a set date. These transactions appear improper because they suggest that the Covered Person believes the price of Company stock will rise or fall.</w:t>
      </w:r>
      <w:r>
        <w:rPr/>
        <w:t xml:space="preserve"> </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228600" cy="175260"/>
                <wp:effectExtent l="0" t="0" r="0" b="0"/>
                <wp:wrapSquare wrapText="right"/>
                <wp:docPr id="262" name="Frame2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The Company seeks to have the long-term financial interests of its officers, directors, and employees fully aligned with the interests of our other stockholders. For this reason, Covered Persons are prohibited from purchasing financial instruments (including prepaid variable forward contracts, equity swaps, collars, and exchange funds), or otherwise engaging in transactions that hedge, offset, or are designed to hedge or offset, any decrease in the market value or the full ownership risks and rewards of their direct or indirect holdings in Company securities.</w:t>
      </w:r>
      <w:r>
        <w:rPr/>
        <w:t xml:space="preserve"> </w: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228600" cy="175260"/>
                <wp:effectExtent l="0" t="0" r="0" b="0"/>
                <wp:wrapSquare wrapText="right"/>
                <wp:docPr id="263" name="Frame26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both"/>
        <w:rPr/>
      </w:pPr>
      <w:r>
        <w:rPr>
          <w:sz w:val="20"/>
        </w:rPr>
        <w:t>The Board recognizes that pledging by executive officers and directors of the Company’s stock as collateral for indebtedness creates the risk of an unplanned sale that may occur at a time when the director or executive officer is aware of Material Nonpublic Information or is otherwise not permitted to trade in the Company’s securities. Section 16 Individuals may not, directly or indirectly, pledge, hypothecate, or otherwise encumber shares of the Company’s stock as collateral for indebtedness. This prohibition includes, but is not limited to, holding such securities in a margin account or any other account that could cause the Company’s securities to be subject to a margin call or otherwise be available as collateral for a margin loan. The foregoing prohibition applies to the Company’s securities that (i) an executive officer or director owns directly or indirectly or (ii) are granted by the Company as part of an executive officer’s or director’s compensation. Notwithstanding anything in the foregoing to the contrary, an exception to the prohibition against pledging may be granted where an executive officer or director wishes to pledge the Company’s securities as collateral for a loan (not including margin debt) and clearly demonstrates the financial capacity to repay the loan without resort to the pledged securities. Any executive officer or director who wishes to pledge Company securities as collateral for a loan must submit a request for approval in writing at least one (1) week prior to the proposed execution of documents evidencing the proposed pledge to the Compliance Officer/General Counsel. For the avoidance of doubt, the foregoing prohibition on pledging securities shall not apply to pledges in existence prior to the effective date of this updated Insider Trading Policy.</w:t>
      </w:r>
      <w:r>
        <w:rPr/>
        <w:t xml:space="preserve"> </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228600" cy="175260"/>
                <wp:effectExtent l="0" t="0" r="0" b="0"/>
                <wp:wrapSquare wrapText="right"/>
                <wp:docPr id="264" name="Frame2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720" w:right="0" w:hanging="0"/>
        <w:jc w:val="both"/>
        <w:rPr/>
      </w:pPr>
      <w:r>
        <w:rPr>
          <w:b/>
          <w:sz w:val="20"/>
          <w:u w:val="single"/>
        </w:rPr>
        <w:t>Rule 10b5-1 Trading Programs</w:t>
      </w:r>
      <w:r>
        <w:rPr>
          <w:sz w:val="20"/>
        </w:rPr>
        <w:t xml:space="preserve">. The Board may approve stock repurchase programs for Company securities at its discretion, including through open market transactions, privately negotiated transactions or the use of plans designed to comply with Rule 10b5‐1 and 10b‐18 of the Exchange Act. However, the Company shall not, directly or indirectly, buy Company securities while being aware of Material Nonpublic Information relating to the Company, other than pursuant to a Rule 10b5-1 Trading Program or as otherwise provided for herein. Per Rule 10b5-1, an individual who buys or sells securities while aware of Material Nonpublic Information does not violate Rule 10b5 if buying or selling in conformity with a binding contract, instruction, or written plan that was put into place at a time when the individual was not aware of Material Nonpublic Information (also known as a “Rule 10b5-1 Trading Program”). This type of pre-arranged trading plan provides an opportunity to limit potential insider trading liability. </w: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457200" cy="175260"/>
                <wp:effectExtent l="0" t="0" r="0" b="0"/>
                <wp:wrapSquare wrapText="right"/>
                <wp:docPr id="265" name="Frame2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sz w:val="20"/>
        </w:rPr>
        <w:t>The Company permits only those Access Persons listed in Exhibit 1 and members of senior management determined by the Insider Trading Compliance Officer (collectively, “Eligible 10b5-1 Participants”) to set up Rule 10b5-1 Trading Programs. However, these Rule 10b5-1 Trading Programs must be utilized carefully for the following reasons:</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both"/>
        <w:rPr/>
      </w:pPr>
      <w:r>
        <w:rPr>
          <w:sz w:val="20"/>
        </w:rPr>
        <w:t>In order to comply with Rule 10b5-1, binding contracts, instructions, and written plans must: (i) lock in the amount, price, and dates of future trades; (ii) provide a formula or algorithm for determining future trades; or (iii) delegate discretion for determining amount, price and dates to a third party as provided under the rule.</w:t>
      </w:r>
      <w:r>
        <w:rPr/>
        <w:t xml:space="preserve"> </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228600" cy="175260"/>
                <wp:effectExtent l="0" t="0" r="0" b="0"/>
                <wp:wrapSquare wrapText="right"/>
                <wp:docPr id="266" name="Frame2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It is risky to modify or terminate these arrangements.</w:t>
      </w:r>
      <w:r>
        <w:rPr/>
        <w:t xml:space="preserve"> </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228600" cy="175260"/>
                <wp:effectExtent l="0" t="0" r="0" b="0"/>
                <wp:wrapSquare wrapText="right"/>
                <wp:docPr id="267" name="Frame2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Rule 10b5-1 does not eliminate other requirements and prohibitions under securities laws and transactions must also comply with, for example, reporting and short-swing profit rules under Section 16, limitations on insider selling imposed by Rule 144 promulgated under the Securities Act of 1933, as amended (“Rule 144”), prohibitions on trading during administrative blackouts under pension plans, and any other requirements.</w:t>
      </w:r>
      <w:r>
        <w:rPr/>
        <w:t xml:space="preserve"> </w:t>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228600" cy="175260"/>
                <wp:effectExtent l="0" t="0" r="0" b="0"/>
                <wp:wrapSquare wrapText="right"/>
                <wp:docPr id="268" name="Frame26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The liability avoidance provisions of Rule 10b5-1 are affirmative defenses in litigation, which means that the individual is required to prove that any trades were pursuant to a contract, instruction, or written plan compliant with Rule 10b5-1.</w:t>
      </w:r>
      <w:r>
        <w:rPr/>
        <w:t xml:space="preserve"> </w: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228600" cy="175260"/>
                <wp:effectExtent l="0" t="0" r="0" b="0"/>
                <wp:wrapSquare wrapText="right"/>
                <wp:docPr id="269" name="Frame2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Compliance must be well-documented, keeping in mind the possibility of defending a legal action.</w:t>
      </w:r>
      <w:r>
        <w:rPr/>
        <w:t xml:space="preserve"> </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228600" cy="175260"/>
                <wp:effectExtent l="0" t="0" r="0" b="0"/>
                <wp:wrapSquare wrapText="right"/>
                <wp:docPr id="270" name="Frame2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720" w:right="0" w:hanging="0"/>
        <w:jc w:val="both"/>
        <w:rPr/>
      </w:pPr>
      <w:r>
        <w:rPr>
          <w:b/>
          <w:sz w:val="20"/>
          <w:u w:val="single"/>
        </w:rPr>
        <w:t>Establishing Rule 10b5-1 Trading Programs</w:t>
      </w:r>
      <w:r>
        <w:rPr>
          <w:sz w:val="20"/>
        </w:rPr>
        <w:t xml:space="preserve">. Eligible 10b5-1 Participants who wish to establish a Rule 10b5-1 Trading Program must ensure that: </w: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457200" cy="175260"/>
                <wp:effectExtent l="0" t="0" r="0" b="0"/>
                <wp:wrapSquare wrapText="right"/>
                <wp:docPr id="271" name="Frame2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E.</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the arrangement is a written contract;</w:t>
      </w:r>
      <w:r>
        <w:rPr/>
        <w:t xml:space="preserve"> </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228600" cy="175260"/>
                <wp:effectExtent l="0" t="0" r="0" b="0"/>
                <wp:wrapSquare wrapText="right"/>
                <wp:docPr id="272" name="Frame26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the contract was reviewed and pre-approved by the Company’s Insider Trading Compliance Officer (or, if the Eligible 10b5-1 Participant is the Insider Trading Compliance Officer, the Board) prior to finalization;</w:t>
      </w:r>
      <w:r>
        <w:rPr/>
        <w:t xml:space="preserve"> </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228600" cy="175260"/>
                <wp:effectExtent l="0" t="0" r="0" b="0"/>
                <wp:wrapSquare wrapText="right"/>
                <wp:docPr id="273" name="Frame27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the contract is entered into when the Eligible 10b5-1 Participant is not in possession of any Material Nonpublic Information and not subject to any blackout period;</w:t>
      </w:r>
      <w:r>
        <w:rPr/>
        <w:t xml:space="preserve"> </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228600" cy="175260"/>
                <wp:effectExtent l="0" t="0" r="0" b="0"/>
                <wp:wrapSquare wrapText="right"/>
                <wp:docPr id="274" name="Frame27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the Eligible 10b5-1 Participant does not cancel or make any changes to the contract while in possession of any Material Nonpublic Information or during any blackout period. All cancellations or amendments require advance, written approval by the Company’s Insider Trading Compliance Officer (or, if the Eligible 10b5-1 Participant is the Insider Trading Compliance Officer, the Board); and</w:t>
      </w:r>
      <w:r>
        <w:rPr/>
        <w:t xml:space="preserve"> </w: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228600" cy="175260"/>
                <wp:effectExtent l="0" t="0" r="0" b="0"/>
                <wp:wrapSquare wrapText="right"/>
                <wp:docPr id="275" name="Frame2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the contract does one of the following:</w:t>
      </w:r>
      <w:r>
        <w:rPr/>
        <w:t xml:space="preserve"> </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228600" cy="175260"/>
                <wp:effectExtent l="0" t="0" r="0" b="0"/>
                <wp:wrapSquare wrapText="right"/>
                <wp:docPr id="276" name="Frame2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specifies the amount of securities to be purchased or sold (</w:t>
      </w:r>
      <w:r>
        <w:rPr>
          <w:i/>
          <w:sz w:val="20"/>
        </w:rPr>
        <w:t>i.e.</w:t>
      </w:r>
      <w:r>
        <w:rPr>
          <w:sz w:val="20"/>
        </w:rPr>
        <w:t>, a set number of shares or a set dollar amount), including the price and date on which the securities are to be purchased or sold;</w:t>
      </w:r>
      <w:r>
        <w:rPr/>
        <w:t xml:space="preserve"> </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228600" cy="180340"/>
                <wp:effectExtent l="0" t="0" r="0" b="0"/>
                <wp:wrapSquare wrapText="right"/>
                <wp:docPr id="277" name="Frame274"/>
                <a:graphic xmlns:a="http://schemas.openxmlformats.org/drawingml/2006/main">
                  <a:graphicData uri="http://schemas.microsoft.com/office/word/2010/wordprocessingShape">
                    <wps:wsp>
                      <wps:cNvSpPr txBox="1"/>
                      <wps:spPr>
                        <a:xfrm>
                          <a:off x="0" y="0"/>
                          <a:ext cx="228600" cy="180340"/>
                        </a:xfrm>
                        <a:prstGeom prst="rect"/>
                        <a:solidFill>
                          <a:srgbClr val="FFFFFF"/>
                        </a:solidFill>
                      </wps:spPr>
                      <wps:txbx>
                        <w:txbxContent>
                          <w:p>
                            <w:pPr>
                              <w:pStyle w:val="TextBody"/>
                              <w:bidi w:val="0"/>
                              <w:spacing w:before="0" w:after="283"/>
                              <w:jc w:val="left"/>
                              <w:rPr/>
                            </w:pPr>
                            <w:r>
                              <w:rPr>
                                <w:rFonts w:ascii="Courier New" w:hAnsi="Courier New"/>
                                <w:sz w:val="20"/>
                              </w:rPr>
                              <w:t>o</w:t>
                            </w:r>
                            <w:r>
                              <w:rPr/>
                              <w:t xml:space="preserve"> </w:t>
                            </w:r>
                          </w:p>
                        </w:txbxContent>
                      </wps:txbx>
                      <wps:bodyPr anchor="t" lIns="0" tIns="0" rIns="0" bIns="0">
                        <a:noAutofit/>
                      </wps:bodyPr>
                    </wps:wsp>
                  </a:graphicData>
                </a:graphic>
              </wp:anchor>
            </w:drawing>
          </mc:Choice>
          <mc:Fallback>
            <w:pict>
              <v:rect style="position:absolute;rotation:-0;width:18pt;height:1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Courier New" w:hAnsi="Courier New"/>
                          <w:sz w:val="20"/>
                        </w:rPr>
                        <w:t>o</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sz w:val="20"/>
        </w:rPr>
        <w:t>includes a written formula or algorithm for determining the amount of securities to be purchased or sold, and includes the price and date of their purchase or sale; or</w:t>
      </w:r>
      <w:r>
        <w:rPr/>
        <w:t xml:space="preserve"> </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228600" cy="180340"/>
                <wp:effectExtent l="0" t="0" r="0" b="0"/>
                <wp:wrapSquare wrapText="right"/>
                <wp:docPr id="278" name="Frame275"/>
                <a:graphic xmlns:a="http://schemas.openxmlformats.org/drawingml/2006/main">
                  <a:graphicData uri="http://schemas.microsoft.com/office/word/2010/wordprocessingShape">
                    <wps:wsp>
                      <wps:cNvSpPr txBox="1"/>
                      <wps:spPr>
                        <a:xfrm>
                          <a:off x="0" y="0"/>
                          <a:ext cx="228600" cy="180340"/>
                        </a:xfrm>
                        <a:prstGeom prst="rect"/>
                        <a:solidFill>
                          <a:srgbClr val="FFFFFF"/>
                        </a:solidFill>
                      </wps:spPr>
                      <wps:txbx>
                        <w:txbxContent>
                          <w:p>
                            <w:pPr>
                              <w:pStyle w:val="TextBody"/>
                              <w:bidi w:val="0"/>
                              <w:spacing w:before="0" w:after="283"/>
                              <w:jc w:val="left"/>
                              <w:rPr/>
                            </w:pPr>
                            <w:r>
                              <w:rPr>
                                <w:rFonts w:ascii="Courier New" w:hAnsi="Courier New"/>
                                <w:sz w:val="20"/>
                              </w:rPr>
                              <w:t>o</w:t>
                            </w:r>
                            <w:r>
                              <w:rPr/>
                              <w:t xml:space="preserve"> </w:t>
                            </w:r>
                          </w:p>
                        </w:txbxContent>
                      </wps:txbx>
                      <wps:bodyPr anchor="t" lIns="0" tIns="0" rIns="0" bIns="0">
                        <a:noAutofit/>
                      </wps:bodyPr>
                    </wps:wsp>
                  </a:graphicData>
                </a:graphic>
              </wp:anchor>
            </w:drawing>
          </mc:Choice>
          <mc:Fallback>
            <w:pict>
              <v:rect style="position:absolute;rotation:-0;width:18pt;height:1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Courier New" w:hAnsi="Courier New"/>
                          <w:sz w:val="20"/>
                        </w:rPr>
                        <w:t>o</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8</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both"/>
        <w:rPr/>
      </w:pPr>
      <w:r>
        <w:rPr>
          <w:sz w:val="20"/>
        </w:rPr>
        <w:t>delegates all power to a third party who does not have access to any Material Nonpublic Information, and who will determine how, when, or whether to effectuate purchases or sales.</w:t>
      </w:r>
      <w:r>
        <w:rPr/>
        <w:t xml:space="preserve"> </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228600" cy="180340"/>
                <wp:effectExtent l="0" t="0" r="0" b="0"/>
                <wp:wrapSquare wrapText="right"/>
                <wp:docPr id="279" name="Frame276"/>
                <a:graphic xmlns:a="http://schemas.openxmlformats.org/drawingml/2006/main">
                  <a:graphicData uri="http://schemas.microsoft.com/office/word/2010/wordprocessingShape">
                    <wps:wsp>
                      <wps:cNvSpPr txBox="1"/>
                      <wps:spPr>
                        <a:xfrm>
                          <a:off x="0" y="0"/>
                          <a:ext cx="228600" cy="180340"/>
                        </a:xfrm>
                        <a:prstGeom prst="rect"/>
                        <a:solidFill>
                          <a:srgbClr val="FFFFFF"/>
                        </a:solidFill>
                      </wps:spPr>
                      <wps:txbx>
                        <w:txbxContent>
                          <w:p>
                            <w:pPr>
                              <w:pStyle w:val="TextBody"/>
                              <w:bidi w:val="0"/>
                              <w:spacing w:before="0" w:after="283"/>
                              <w:jc w:val="left"/>
                              <w:rPr/>
                            </w:pPr>
                            <w:r>
                              <w:rPr>
                                <w:rFonts w:ascii="Courier New" w:hAnsi="Courier New"/>
                                <w:sz w:val="20"/>
                              </w:rPr>
                              <w:t>o</w:t>
                            </w:r>
                            <w:r>
                              <w:rPr/>
                              <w:t xml:space="preserve"> </w:t>
                            </w:r>
                          </w:p>
                        </w:txbxContent>
                      </wps:txbx>
                      <wps:bodyPr anchor="t" lIns="0" tIns="0" rIns="0" bIns="0">
                        <a:noAutofit/>
                      </wps:bodyPr>
                    </wps:wsp>
                  </a:graphicData>
                </a:graphic>
              </wp:anchor>
            </w:drawing>
          </mc:Choice>
          <mc:Fallback>
            <w:pict>
              <v:rect style="position:absolute;rotation:-0;width:18pt;height:1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Courier New" w:hAnsi="Courier New"/>
                          <w:sz w:val="20"/>
                        </w:rPr>
                        <w:t>o</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720" w:right="0" w:hanging="0"/>
        <w:jc w:val="both"/>
        <w:rPr/>
      </w:pPr>
      <w:r>
        <w:rPr>
          <w:sz w:val="20"/>
        </w:rPr>
        <w:t>Individuals considering such an arrangement should be aware that the Company may be required to publicly disclose the arrangement, and the details of any transactions made pursuant to this Rule 10b5-1 Trading Program may be public. Additionally, the Company will establish a procedure with the entity handling the transactions to ensure the prompt filing of a Form 4 after each transaction and compliance with Rule 144 at the time of any sale.</w:t>
      </w:r>
      <w:r>
        <w:rPr/>
        <w:t xml:space="preserve"> </w: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sz w:val="20"/>
        </w:rPr>
      </w:pPr>
      <w:r>
        <w:rPr>
          <w:sz w:val="20"/>
        </w:rPr>
        <w:t xml:space="preserve">Many sophisticated brokers, investment bankers, and advisors have developed protocols for Rule 10b5-1 trading plans. We strongly recommend that Eligible 10b5-1 Participants work with an experienced advisor on these matters. </w: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b/>
          <w:i/>
          <w:sz w:val="20"/>
        </w:rPr>
        <w:t>In order to ensure compliance with Rule 10b5-1 and applicable securities laws, Eligible 10b5-1 Participants are required to notify the Company’s Insider Trading Compliance Officer via e-mail of any planned adoption, termination or amendment of a 10b5-1 Trading Program, and also submit any 10b5-1 Trading Program subject to potential adoption, termination or amendment for the Company’s Insider Trading Compliance Officer’s review and approval, no later than five (5) Trading Days prior to the anticipated date of adoption, termination or amendment.</w:t>
      </w:r>
      <w:r>
        <w:rPr/>
        <w:t xml:space="preserve"> </w: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b/>
          <w:sz w:val="20"/>
          <w:u w:val="single"/>
        </w:rPr>
        <w:t>Trading Restrictions During Administrative Blackout Periods</w:t>
      </w:r>
      <w:r>
        <w:rPr>
          <w:sz w:val="20"/>
        </w:rPr>
        <w:t xml:space="preserve">. Access Persons are prohibited from trading in any Company securities during any period of three or more consecutive days during which at least 50% of the participants or beneficiaries in a Company individual account retirement plan are unable to purchase, sell, or otherwise acquire or transfer an interest in the equity of the Company held in such plan due to a temporary suspension by the Company or the plan fiduciary (“administrative blackout period”) unless the individual has established a pre-arranged trading plan that complies with Rule 10b5-1. Individual account plans include, without limitation, defined contribution plans such as broad-based tax-qualified 401(k) plans and profit-sharing plans, stock bonus plans, and similar plans. </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457200" cy="175260"/>
                <wp:effectExtent l="0" t="0" r="0" b="0"/>
                <wp:wrapSquare wrapText="right"/>
                <wp:docPr id="280" name="Frame2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F.</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sz w:val="20"/>
        </w:rPr>
        <w:t>The Company’s Insider Trading Compliance Officer will advise Access Persons of any administrative blackout periods.</w:t>
      </w:r>
      <w:r>
        <w:rPr/>
        <w:t xml:space="preserve"> </w: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b/>
          <w:i/>
          <w:sz w:val="20"/>
        </w:rPr>
      </w:pPr>
      <w:r>
        <w:rPr>
          <w:b/>
          <w:i/>
          <w:sz w:val="20"/>
        </w:rPr>
        <w:t xml:space="preserve">Note that any profits gained from a prohibited transaction are recoverable by the Company without regard to the intent of the person who entered into the prohibited transaction. </w: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b/>
          <w:sz w:val="20"/>
          <w:u w:val="single"/>
        </w:rPr>
        <w:t>Individual Responsibility</w:t>
      </w:r>
      <w:r>
        <w:rPr>
          <w:sz w:val="20"/>
        </w:rPr>
        <w:t xml:space="preserve">. Every Covered Person has an individual responsibility to comply with this policy. A Covered Person may, from time to time, have to forego a planned or proposed transaction in the Company’s securities. </w:t>
      </w:r>
      <w:r>
        <w:rPr>
          <w:b/>
          <w:i/>
          <w:sz w:val="20"/>
          <w:u w:val="single"/>
        </w:rPr>
        <w:t>There are no exceptions to this policy</w:t>
      </w:r>
      <w:r>
        <w:rPr>
          <w:sz w:val="20"/>
        </w:rPr>
        <w:t>.</w:t>
      </w:r>
      <w:r>
        <w:rPr/>
        <w:t xml:space="preserve"> </w: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457200" cy="175260"/>
                <wp:effectExtent l="0" t="0" r="0" b="0"/>
                <wp:wrapSquare wrapText="right"/>
                <wp:docPr id="281" name="Frame2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G.</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9</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b/>
        </w:rPr>
      </w:pPr>
      <w:r>
        <w:rPr>
          <w:b/>
          <w:sz w:val="20"/>
        </w:rPr>
        <w:t>Exercise of Stock Options</w:t>
      </w:r>
      <w:r>
        <w:rPr>
          <w:b/>
        </w:rPr>
        <w:t xml:space="preserve">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The following transactions are not covered by this policy: (1) the exercise of stock options for cash under the Company’s stock option plans, (2) the purchase of shares under any Company employee stock purchase plan (but not the sale of any such shares) and (3) the automatic exercise of expiring in-the-money stock options under the Company’s stock option plans pursuant to the Company’s brokerage platform. Individuals may perform these transactions at any time, unless the Company specifically instructs you otherwise. </w:t>
      </w:r>
    </w:p>
    <w:p>
      <w:pPr>
        <w:pStyle w:val="TextBody"/>
        <w:bidi w:val="0"/>
        <w:spacing w:before="0" w:after="0"/>
        <w:jc w:val="both"/>
        <w:rPr/>
      </w:pPr>
      <w:r>
        <w:rPr/>
        <w:t xml:space="preserve">  </w:t>
      </w:r>
    </w:p>
    <w:p>
      <w:pPr>
        <w:pStyle w:val="TextBody"/>
        <w:bidi w:val="0"/>
        <w:spacing w:before="0" w:after="0"/>
        <w:jc w:val="both"/>
        <w:rPr/>
      </w:pPr>
      <w:r>
        <w:rPr>
          <w:b/>
          <w:sz w:val="20"/>
        </w:rPr>
        <w:t>Gifts and Donations</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Bona fide gifts are not transactions subject to this policy, unless the person making the gift has reason to believe that the recipient intends to sell Company securities while the officer, employee or director is aware of Material Nonpublic Information, or the person making the gift is subject to the trading restrictions and the sales by the recipient of the Company Securities occur during a blackout period. Whether a gift is truly bona fide will depend on the circumstances surrounding each gift. The more unrelated the donee is to the donor, the more likely the gift would be considered “bona fide.” For example, gifts to charities, churches and service organizations would clearly not be a trading transaction. On the other hand, gifts to dependent children followed by a sale of the “gift” securities in close proximity to the time of the gift may imply some economic benefit to the donor and, therefore, make the gift non bona fide. In addition, please note that a gift transaction by Section 16 Individuals is required to be reported on a Form 4 within two (2) business days of such transaction, therefore it is important that executive officers and directors inform the Insider Trading Compliance Officer immediately of any pending gift transactions.</w:t>
      </w:r>
      <w:r>
        <w:rPr/>
        <w:t xml:space="preserve"> </w:t>
      </w:r>
    </w:p>
    <w:p>
      <w:pPr>
        <w:pStyle w:val="TextBody"/>
        <w:bidi w:val="0"/>
        <w:spacing w:before="0" w:after="0"/>
        <w:jc w:val="both"/>
        <w:rPr/>
      </w:pPr>
      <w:r>
        <w:rPr/>
        <w:t xml:space="preserve">  </w:t>
      </w:r>
    </w:p>
    <w:p>
      <w:pPr>
        <w:pStyle w:val="TextBody"/>
        <w:bidi w:val="0"/>
        <w:spacing w:before="0" w:after="0"/>
        <w:jc w:val="both"/>
        <w:rPr>
          <w:b/>
        </w:rPr>
      </w:pPr>
      <w:r>
        <w:rPr>
          <w:b/>
          <w:sz w:val="20"/>
        </w:rPr>
        <w:t>Additional Information for Directors and Officers</w:t>
      </w:r>
      <w:r>
        <w:rPr>
          <w:b/>
        </w:rPr>
        <w:t xml:space="preserve"> </w:t>
      </w:r>
    </w:p>
    <w:p>
      <w:pPr>
        <w:pStyle w:val="TextBody"/>
        <w:bidi w:val="0"/>
        <w:spacing w:before="0" w:after="0"/>
        <w:jc w:val="both"/>
        <w:rPr/>
      </w:pPr>
      <w:r>
        <w:rPr/>
        <w:t xml:space="preserve">  </w:t>
      </w:r>
    </w:p>
    <w:p>
      <w:pPr>
        <w:pStyle w:val="TextBody"/>
        <w:bidi w:val="0"/>
        <w:spacing w:before="0" w:after="0"/>
        <w:jc w:val="both"/>
        <w:rPr/>
      </w:pPr>
      <w:r>
        <w:rPr>
          <w:sz w:val="20"/>
        </w:rPr>
        <w:t>Section 16 Individuals must also comply with the reporting obligations and limitations on short-swing transactions. Section 16 Individuals who purchase and sell the Company’s securities within a six-month period must disgorge all profits to the Company regardless of whether they had knowledge of Material Nonpublic Information. Under these provisions, the receipt of an option under the Company’s option plans, the exercise of an option under the Company’s option plans, and/or the receipt of stock under the Company’s employee stock purchase plan are not typically deemed a purchase under Section 16. However, the sale of any such stock is a sale under Section 16, such that the purchase and sale must be reported on Form 4. In addition, Section 16 Individuals must not make a short sale of the Company’s stock. The Company will provide separate memoranda and other materials to Section 16 Individuals regarding compliance with Section 16.</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10</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b/>
        </w:rPr>
      </w:pPr>
      <w:r>
        <w:rPr>
          <w:b/>
          <w:sz w:val="20"/>
        </w:rPr>
        <w:t>Potential Criminal Liability, Civil Liability, and/or Disciplinary Action</w:t>
      </w:r>
      <w:r>
        <w:rPr>
          <w:b/>
        </w:rPr>
        <w:t xml:space="preserve"> </w:t>
      </w:r>
    </w:p>
    <w:p>
      <w:pPr>
        <w:pStyle w:val="TextBody"/>
        <w:bidi w:val="0"/>
        <w:spacing w:before="0" w:after="0"/>
        <w:jc w:val="both"/>
        <w:rPr/>
      </w:pPr>
      <w:r>
        <w:rPr/>
        <w:t xml:space="preserve">  </w:t>
      </w:r>
    </w:p>
    <w:p>
      <w:pPr>
        <w:pStyle w:val="TextBody"/>
        <w:bidi w:val="0"/>
        <w:spacing w:before="0" w:after="0"/>
        <w:jc w:val="both"/>
        <w:rPr/>
      </w:pPr>
      <w:r>
        <w:rPr>
          <w:sz w:val="20"/>
        </w:rPr>
        <w:t>Insider trading violations can lead to substantial discipline, liability, and reputational damage:</w:t>
      </w:r>
      <w:r>
        <w:rPr/>
        <w:t xml:space="preserve"> </w:t>
      </w:r>
    </w:p>
    <w:p>
      <w:pPr>
        <w:pStyle w:val="TextBody"/>
        <w:bidi w:val="0"/>
        <w:spacing w:before="0" w:after="0"/>
        <w:jc w:val="both"/>
        <w:rPr/>
      </w:pPr>
      <w:r>
        <w:rPr/>
        <w:t xml:space="preserve">  </w:t>
      </w:r>
    </w:p>
    <w:p>
      <w:pPr>
        <w:pStyle w:val="TextBody"/>
        <w:bidi w:val="0"/>
        <w:spacing w:before="0" w:after="0"/>
        <w:ind w:left="720" w:right="0" w:hanging="0"/>
        <w:jc w:val="both"/>
        <w:rPr/>
      </w:pPr>
      <w:r>
        <w:rPr>
          <w:b/>
          <w:sz w:val="20"/>
          <w:u w:val="single"/>
        </w:rPr>
        <w:t>Liability for Insider Trading</w:t>
      </w:r>
      <w:r>
        <w:rPr>
          <w:sz w:val="20"/>
        </w:rPr>
        <w:t>. Covered Persons who violate these provisions may be subject to fines of up to $5,000,000, penalties of up to three times the profit gained or loss avoided, and up to 20 years imprisonment.</w:t>
      </w:r>
      <w:r>
        <w:rPr/>
        <w:t xml:space="preserve"> </w: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457200" cy="175260"/>
                <wp:effectExtent l="0" t="0" r="0" b="0"/>
                <wp:wrapSquare wrapText="right"/>
                <wp:docPr id="282" name="Frame2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b/>
          <w:sz w:val="20"/>
          <w:u w:val="single"/>
        </w:rPr>
        <w:t>Liability for Tipping</w:t>
      </w:r>
      <w:r>
        <w:rPr>
          <w:sz w:val="20"/>
        </w:rPr>
        <w:t xml:space="preserve">. Covered Persons may also be liable for improper transactions by any person to whom they have disclosed Material Nonpublic Information, made recommendations, or expressed opinions regarding trading in the Company’s securities. This applies to trading in the Company’s securities as well as the securities of any other company on the basis of Material Nonpublic Information. For example, if an employee learns that the Company is entering into a contract with another public company, then the employee is prohibited from trading in or advising others regarding trades in the securities of that other company based on Material Nonpublic Information. Regulatory authorities use sophisticated electronic surveillance techniques to uncover insider trading and have imposed large penalties even when the disclosing person did not personally profit from the trading. </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457200" cy="175260"/>
                <wp:effectExtent l="0" t="0" r="0" b="0"/>
                <wp:wrapSquare wrapText="right"/>
                <wp:docPr id="283" name="Frame2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b/>
          <w:sz w:val="20"/>
          <w:u w:val="single"/>
        </w:rPr>
        <w:t>Disciplinary Action</w:t>
      </w:r>
      <w:r>
        <w:rPr>
          <w:sz w:val="20"/>
        </w:rPr>
        <w:t>. Covered Persons who violate this policy will also be subject to disciplinary action by the Company, including disqualification from participation in the Company’s equity incentive plans, up to and including termination of employment.</w:t>
      </w:r>
      <w:r>
        <w:rPr/>
        <w:t xml:space="preserve"> </w: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457200" cy="175260"/>
                <wp:effectExtent l="0" t="0" r="0" b="0"/>
                <wp:wrapSquare wrapText="right"/>
                <wp:docPr id="284" name="Frame2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b/>
          <w:sz w:val="20"/>
          <w:u w:val="single"/>
        </w:rPr>
        <w:t>Reputational Damage</w:t>
      </w:r>
      <w:r>
        <w:rPr>
          <w:sz w:val="20"/>
        </w:rPr>
        <w:t>. Note that reputational damage may result even in the absence of criminal or civil penalties. An SEC investigation alone can tarnish or irreparably damage a career.</w:t>
      </w:r>
      <w:r>
        <w:rPr/>
        <w:t xml:space="preserve"> </w: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457200" cy="175260"/>
                <wp:effectExtent l="0" t="0" r="0" b="0"/>
                <wp:wrapSquare wrapText="right"/>
                <wp:docPr id="285" name="Frame2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jc w:val="both"/>
        <w:rPr>
          <w:b/>
        </w:rPr>
      </w:pPr>
      <w:r>
        <w:rPr>
          <w:b/>
          <w:sz w:val="20"/>
        </w:rPr>
        <w:t>Certification and Questions</w:t>
      </w:r>
      <w:r>
        <w:rPr>
          <w:b/>
        </w:rPr>
        <w:t xml:space="preserve"> </w:t>
      </w:r>
    </w:p>
    <w:p>
      <w:pPr>
        <w:pStyle w:val="TextBody"/>
        <w:bidi w:val="0"/>
        <w:spacing w:before="0" w:after="0"/>
        <w:jc w:val="both"/>
        <w:rPr/>
      </w:pPr>
      <w:r>
        <w:rPr/>
        <w:t xml:space="preserve">  </w:t>
      </w:r>
    </w:p>
    <w:p>
      <w:pPr>
        <w:pStyle w:val="TextBody"/>
        <w:bidi w:val="0"/>
        <w:spacing w:before="0" w:after="0"/>
        <w:jc w:val="both"/>
        <w:rPr/>
      </w:pPr>
      <w:r>
        <w:rPr>
          <w:sz w:val="20"/>
        </w:rPr>
        <w:t>All Covered Persons will be required to certify in writing their understanding of and intent to comply with the Insider Trading Policy on the commencement of their relationship with the Company. In addition, all Covered Persons will be required to certify their compliance with the Insider Trading Policy on an annual basis.</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Please direct all questions or concerns related to this policy to the Company’s Insider Trading Compliance Officer.</w:t>
      </w:r>
      <w:r>
        <w:rPr/>
        <w:t xml:space="preserve"> </w:t>
      </w:r>
    </w:p>
    <w:p>
      <w:pPr>
        <w:pStyle w:val="TextBody"/>
        <w:bidi w:val="0"/>
        <w:spacing w:before="0" w:after="0"/>
        <w:jc w:val="both"/>
        <w:rPr/>
      </w:pPr>
      <w:r>
        <w:rPr/>
        <w:t xml:space="preserve">  </w:t>
      </w:r>
    </w:p>
    <w:p>
      <w:pPr>
        <w:pStyle w:val="TextBody"/>
        <w:bidi w:val="0"/>
        <w:spacing w:before="0" w:after="0"/>
        <w:jc w:val="center"/>
        <w:rPr>
          <w:b/>
        </w:rPr>
      </w:pPr>
      <w:r>
        <w:rPr>
          <w:b/>
          <w:sz w:val="20"/>
        </w:rPr>
        <w:t>INSIDER TRADING COMPLIANCE OFFICER</w:t>
      </w:r>
      <w:r>
        <w:rPr>
          <w:b/>
        </w:rPr>
        <w:t xml:space="preserve"> </w:t>
      </w:r>
    </w:p>
    <w:p>
      <w:pPr>
        <w:pStyle w:val="TextBody"/>
        <w:bidi w:val="0"/>
        <w:spacing w:before="0" w:after="0"/>
        <w:jc w:val="center"/>
        <w:rPr/>
      </w:pPr>
      <w:r>
        <w:rPr/>
        <w:t xml:space="preserve">  </w:t>
      </w:r>
    </w:p>
    <w:p>
      <w:pPr>
        <w:pStyle w:val="TextBody"/>
        <w:bidi w:val="0"/>
        <w:spacing w:before="0" w:after="0"/>
        <w:jc w:val="both"/>
        <w:rPr>
          <w:b/>
        </w:rPr>
      </w:pPr>
      <w:r>
        <w:rPr>
          <w:b/>
          <w:sz w:val="20"/>
        </w:rPr>
        <w:t>Appointment of Insider Trading Compliance Officer</w:t>
      </w:r>
      <w:r>
        <w:rPr>
          <w:b/>
        </w:rPr>
        <w:t xml:space="preserve">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The Company’s Compliance Officer shall also serve as the Company’s Insider Trading Compliance Officer.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b/>
        </w:rPr>
      </w:pPr>
      <w:r>
        <w:rPr>
          <w:b/>
          <w:sz w:val="20"/>
        </w:rPr>
        <w:t>Duties of Insider Trading Compliance Officer</w:t>
      </w:r>
      <w:r>
        <w:rPr>
          <w:b/>
        </w:rPr>
        <w:t xml:space="preserve"> </w:t>
      </w:r>
    </w:p>
    <w:p>
      <w:pPr>
        <w:pStyle w:val="TextBody"/>
        <w:bidi w:val="0"/>
        <w:spacing w:before="0" w:after="0"/>
        <w:jc w:val="both"/>
        <w:rPr/>
      </w:pPr>
      <w:r>
        <w:rPr/>
        <w:t xml:space="preserve">  </w:t>
      </w:r>
    </w:p>
    <w:p>
      <w:pPr>
        <w:pStyle w:val="TextBody"/>
        <w:bidi w:val="0"/>
        <w:spacing w:before="0" w:after="0"/>
        <w:jc w:val="both"/>
        <w:rPr/>
      </w:pPr>
      <w:r>
        <w:rPr>
          <w:sz w:val="20"/>
        </w:rPr>
        <w:t>The duties of the Insider Trading Compliance Officer include, but are not limited to:</w:t>
      </w:r>
      <w:r>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sz w:val="20"/>
        </w:rPr>
        <w:t>Pre-clearance of all transactions involving the Company’s securities by all Access Persons, in order to determine compliance with the Insider Trading Policy, applicable law, Section 16, Rule 10b5-1, and Rule 144;</w:t>
      </w:r>
      <w:r>
        <w:rPr/>
        <w:t xml:space="preserve"> </w: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228600" cy="175260"/>
                <wp:effectExtent l="0" t="0" r="0" b="0"/>
                <wp:wrapSquare wrapText="right"/>
                <wp:docPr id="286" name="Frame28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Review of Rule 10b5-1 Trading Programs;</w:t>
      </w:r>
      <w:r>
        <w:rPr/>
        <w:t xml:space="preserve"> </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228600" cy="175260"/>
                <wp:effectExtent l="0" t="0" r="0" b="0"/>
                <wp:wrapSquare wrapText="right"/>
                <wp:docPr id="287" name="Frame28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Assist in the preparation of Section 16 reports (Forms 3, 4, and 5) for all Section 16 Individuals;</w:t>
      </w:r>
      <w:r>
        <w:rPr/>
        <w:t xml:space="preserve"> </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228600" cy="175260"/>
                <wp:effectExtent l="0" t="0" r="0" b="0"/>
                <wp:wrapSquare wrapText="right"/>
                <wp:docPr id="288" name="Frame28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Provide reminders to all Section 16 Individuals regarding their obligations for Section 16 reports (Forms 3, 4, and 5);</w:t>
      </w:r>
      <w:r>
        <w:rPr/>
        <w:t xml:space="preserve"> </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228600" cy="175260"/>
                <wp:effectExtent l="0" t="0" r="0" b="0"/>
                <wp:wrapSquare wrapText="right"/>
                <wp:docPr id="289" name="Frame28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Perform cross-checks of available materials related to trading activity by officers, directors, and others with access to Material Nonpublic Information. Materials to be reviewed include Form 144, Forms 3, 4, and 5, officer and director questionnaires, and reports received from the Company’s stock administrator and transfer agent;</w:t>
      </w:r>
      <w:r>
        <w:rPr/>
        <w:t xml:space="preserve"> </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228600" cy="175260"/>
                <wp:effectExtent l="0" t="0" r="0" b="0"/>
                <wp:wrapSquare wrapText="right"/>
                <wp:docPr id="290" name="Frame28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Distribution of the policy each year to those who have or may have access to Material Nonpublic Information;</w:t>
      </w:r>
      <w:r>
        <w:rPr/>
        <w:t xml:space="preserve"> </w: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228600" cy="175260"/>
                <wp:effectExtent l="0" t="0" r="0" b="0"/>
                <wp:wrapSquare wrapText="right"/>
                <wp:docPr id="291" name="Frame28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Notification to Access Persons of each administrative blackout period under any retirement or pension plan, including individual account retirement or 401(k) plans; and</w:t>
      </w:r>
      <w:r>
        <w:rPr/>
        <w:t xml:space="preserve"> </w:t>
      </w:r>
      <w:r>
        <mc:AlternateContent>
          <mc:Choice Requires="wps">
            <w:drawing>
              <wp:anchor behindDoc="0" distT="0" distB="0" distL="0" distR="0" simplePos="0" locked="0" layoutInCell="1" allowOverlap="1" relativeHeight="294">
                <wp:simplePos x="0" y="0"/>
                <wp:positionH relativeFrom="column">
                  <wp:align>left</wp:align>
                </wp:positionH>
                <wp:positionV relativeFrom="line">
                  <wp:posOffset>635</wp:posOffset>
                </wp:positionV>
                <wp:extent cx="228600" cy="175260"/>
                <wp:effectExtent l="0" t="0" r="0" b="0"/>
                <wp:wrapSquare wrapText="right"/>
                <wp:docPr id="292" name="Frame28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Provide any additional advice or assistance necessary to help Covered Persons comply with the Insider Trading Policy.</w:t>
      </w:r>
      <w:r>
        <w:rPr/>
        <w:t xml:space="preserve"> </w: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228600" cy="175260"/>
                <wp:effectExtent l="0" t="0" r="0" b="0"/>
                <wp:wrapSquare wrapText="right"/>
                <wp:docPr id="293" name="Frame29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57" w:name="ef20059416_ex21-1.htm"/>
      <w:bookmarkStart w:id="58" w:name="ksef20059416_ex211"/>
      <w:bookmarkStart w:id="59" w:name="ef20059416_ex21-1.htm"/>
      <w:bookmarkStart w:id="60" w:name="ksef20059416_ex211"/>
      <w:bookmarkEnd w:id="59"/>
      <w:bookmarkEnd w:id="60"/>
      <w:r>
        <w:br w:type="page"/>
      </w:r>
    </w:p>
    <w:p>
      <w:pPr>
        <w:pStyle w:val="TextBody"/>
        <w:bidi w:val="0"/>
        <w:spacing w:before="0" w:after="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EXHIBIT 21.1</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u w:val="single"/>
        </w:rPr>
        <w:t>ADMA BioCenters Georgia Inc.</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7277" w:type="dxa"/>
        <w:jc w:val="left"/>
        <w:tblInd w:w="0" w:type="dxa"/>
        <w:tblLayout w:type="fixed"/>
        <w:tblCellMar>
          <w:top w:w="28" w:type="dxa"/>
          <w:left w:w="28" w:type="dxa"/>
          <w:bottom w:w="28" w:type="dxa"/>
          <w:right w:w="28" w:type="dxa"/>
        </w:tblCellMar>
      </w:tblPr>
      <w:tblGrid>
        <w:gridCol w:w="3946"/>
        <w:gridCol w:w="3331"/>
      </w:tblGrid>
      <w:tr>
        <w:trPr/>
        <w:tc>
          <w:tcPr>
            <w:tcW w:w="39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Jurisdiction of incorporation: </w:t>
            </w:r>
          </w:p>
        </w:tc>
        <w:tc>
          <w:tcPr>
            <w:tcW w:w="333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Delaware </w:t>
            </w:r>
          </w:p>
        </w:tc>
      </w:tr>
      <w:tr>
        <w:trPr/>
        <w:tc>
          <w:tcPr>
            <w:tcW w:w="3946" w:type="dxa"/>
            <w:tcBorders/>
            <w:tcMar>
              <w:top w:w="0" w:type="dxa"/>
              <w:left w:w="0" w:type="dxa"/>
              <w:bottom w:w="0" w:type="dxa"/>
              <w:right w:w="0" w:type="dxa"/>
            </w:tcMar>
            <w:vAlign w:val="center"/>
          </w:tcPr>
          <w:p>
            <w:pPr>
              <w:pStyle w:val="TableContents"/>
              <w:bidi w:val="0"/>
              <w:spacing w:before="0" w:after="0"/>
              <w:jc w:val="left"/>
              <w:rPr/>
            </w:pPr>
            <w:r>
              <w:rPr/>
              <w:t xml:space="preserve">Name under which business conducted: </w:t>
            </w:r>
          </w:p>
        </w:tc>
        <w:tc>
          <w:tcPr>
            <w:tcW w:w="3331" w:type="dxa"/>
            <w:tcBorders/>
            <w:tcMar>
              <w:top w:w="0" w:type="dxa"/>
              <w:left w:w="0" w:type="dxa"/>
              <w:bottom w:w="0" w:type="dxa"/>
              <w:right w:w="0" w:type="dxa"/>
            </w:tcMar>
            <w:vAlign w:val="center"/>
          </w:tcPr>
          <w:p>
            <w:pPr>
              <w:pStyle w:val="TableContents"/>
              <w:bidi w:val="0"/>
              <w:spacing w:before="0" w:after="0"/>
              <w:jc w:val="left"/>
              <w:rPr/>
            </w:pPr>
            <w:r>
              <w:rPr/>
              <w:t xml:space="preserve">ADMA BioCenters Georgia Inc. </w:t>
            </w:r>
          </w:p>
        </w:tc>
      </w:tr>
    </w:tbl>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u w:val="single"/>
        </w:rPr>
        <w:t>ADMA Plasma Biologics, Inc.</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jc w:val="left"/>
        <w:rPr/>
      </w:pPr>
      <w:r>
        <w:rPr/>
        <w:t xml:space="preserve">  </w:t>
      </w:r>
    </w:p>
    <w:tbl>
      <w:tblPr>
        <w:tblW w:w="7082" w:type="dxa"/>
        <w:jc w:val="left"/>
        <w:tblInd w:w="0" w:type="dxa"/>
        <w:tblLayout w:type="fixed"/>
        <w:tblCellMar>
          <w:top w:w="28" w:type="dxa"/>
          <w:left w:w="28" w:type="dxa"/>
          <w:bottom w:w="28" w:type="dxa"/>
          <w:right w:w="28" w:type="dxa"/>
        </w:tblCellMar>
      </w:tblPr>
      <w:tblGrid>
        <w:gridCol w:w="3946"/>
        <w:gridCol w:w="3136"/>
      </w:tblGrid>
      <w:tr>
        <w:trPr/>
        <w:tc>
          <w:tcPr>
            <w:tcW w:w="394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Jurisdiction of incorporation: </w:t>
            </w:r>
          </w:p>
        </w:tc>
        <w:tc>
          <w:tcPr>
            <w:tcW w:w="3136"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Delaware </w:t>
            </w:r>
          </w:p>
        </w:tc>
      </w:tr>
      <w:tr>
        <w:trPr/>
        <w:tc>
          <w:tcPr>
            <w:tcW w:w="3946" w:type="dxa"/>
            <w:tcBorders/>
            <w:tcMar>
              <w:top w:w="0" w:type="dxa"/>
              <w:left w:w="0" w:type="dxa"/>
              <w:bottom w:w="0" w:type="dxa"/>
              <w:right w:w="0" w:type="dxa"/>
            </w:tcMar>
            <w:vAlign w:val="center"/>
          </w:tcPr>
          <w:p>
            <w:pPr>
              <w:pStyle w:val="TableContents"/>
              <w:bidi w:val="0"/>
              <w:spacing w:before="0" w:after="0"/>
              <w:jc w:val="left"/>
              <w:rPr/>
            </w:pPr>
            <w:r>
              <w:rPr/>
              <w:t xml:space="preserve">Name under which business conducted: </w:t>
            </w:r>
          </w:p>
        </w:tc>
        <w:tc>
          <w:tcPr>
            <w:tcW w:w="3136" w:type="dxa"/>
            <w:tcBorders/>
            <w:tcMar>
              <w:top w:w="0" w:type="dxa"/>
              <w:left w:w="0" w:type="dxa"/>
              <w:bottom w:w="0" w:type="dxa"/>
              <w:right w:w="0" w:type="dxa"/>
            </w:tcMar>
            <w:vAlign w:val="center"/>
          </w:tcPr>
          <w:p>
            <w:pPr>
              <w:pStyle w:val="TableContents"/>
              <w:bidi w:val="0"/>
              <w:spacing w:before="0" w:after="0"/>
              <w:jc w:val="left"/>
              <w:rPr/>
            </w:pPr>
            <w:r>
              <w:rPr/>
              <w:t xml:space="preserve">ADMA Plasma Biologics, Inc. </w:t>
            </w:r>
          </w:p>
        </w:tc>
      </w:tr>
    </w:tbl>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u w:val="single"/>
        </w:rPr>
        <w:t>ADMA BioManufacturing, LLC</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7292" w:type="dxa"/>
        <w:jc w:val="left"/>
        <w:tblInd w:w="0" w:type="dxa"/>
        <w:tblLayout w:type="fixed"/>
        <w:tblCellMar>
          <w:top w:w="28" w:type="dxa"/>
          <w:left w:w="28" w:type="dxa"/>
          <w:bottom w:w="28" w:type="dxa"/>
          <w:right w:w="28" w:type="dxa"/>
        </w:tblCellMar>
      </w:tblPr>
      <w:tblGrid>
        <w:gridCol w:w="3946"/>
        <w:gridCol w:w="3346"/>
      </w:tblGrid>
      <w:tr>
        <w:trPr/>
        <w:tc>
          <w:tcPr>
            <w:tcW w:w="3946"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Jurisdiction of incorporation: </w:t>
            </w:r>
          </w:p>
        </w:tc>
        <w:tc>
          <w:tcPr>
            <w:tcW w:w="3346"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Delaware </w:t>
            </w:r>
          </w:p>
        </w:tc>
      </w:tr>
      <w:tr>
        <w:trPr/>
        <w:tc>
          <w:tcPr>
            <w:tcW w:w="3946" w:type="dxa"/>
            <w:tcBorders/>
            <w:tcMar>
              <w:top w:w="0" w:type="dxa"/>
              <w:left w:w="0" w:type="dxa"/>
              <w:bottom w:w="0" w:type="dxa"/>
              <w:right w:w="0" w:type="dxa"/>
            </w:tcMar>
            <w:vAlign w:val="center"/>
          </w:tcPr>
          <w:p>
            <w:pPr>
              <w:pStyle w:val="TableContents"/>
              <w:bidi w:val="0"/>
              <w:spacing w:before="0" w:after="0"/>
              <w:jc w:val="left"/>
              <w:rPr/>
            </w:pPr>
            <w:r>
              <w:rPr/>
              <w:t xml:space="preserve">Name under which business conducted: </w:t>
            </w:r>
          </w:p>
        </w:tc>
        <w:tc>
          <w:tcPr>
            <w:tcW w:w="3346" w:type="dxa"/>
            <w:tcBorders/>
            <w:tcMar>
              <w:top w:w="0" w:type="dxa"/>
              <w:left w:w="0" w:type="dxa"/>
              <w:bottom w:w="0" w:type="dxa"/>
              <w:right w:w="0" w:type="dxa"/>
            </w:tcMar>
            <w:vAlign w:val="center"/>
          </w:tcPr>
          <w:p>
            <w:pPr>
              <w:pStyle w:val="TableContents"/>
              <w:bidi w:val="0"/>
              <w:spacing w:before="0" w:after="0"/>
              <w:jc w:val="left"/>
              <w:rPr/>
            </w:pPr>
            <w:r>
              <w:rPr/>
              <w:t xml:space="preserve">ADMA BioManufacturing, LLC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61" w:name="ef20059416_ex23-1.htm"/>
      <w:bookmarkStart w:id="62" w:name="ksef20059416_ex231"/>
      <w:bookmarkStart w:id="63" w:name="ef20059416_ex23-1.htm"/>
      <w:bookmarkStart w:id="64" w:name="ksef20059416_ex231"/>
      <w:bookmarkEnd w:id="63"/>
      <w:bookmarkEnd w:id="64"/>
      <w:r>
        <w:br w:type="page"/>
      </w:r>
    </w:p>
    <w:p>
      <w:pPr>
        <w:pStyle w:val="TextBody"/>
        <w:bidi w:val="0"/>
        <w:spacing w:before="0" w:after="0"/>
        <w:jc w:val="right"/>
        <w:rPr/>
      </w:pPr>
      <w:r>
        <w:rPr>
          <w:b/>
        </w:rPr>
        <w:t>Exhibit 23.1</w:t>
      </w:r>
      <w:r>
        <w:rPr/>
        <w:t xml:space="preserve"> </w:t>
      </w:r>
    </w:p>
    <w:p>
      <w:pPr>
        <w:pStyle w:val="TextBody"/>
        <w:bidi w:val="0"/>
        <w:spacing w:before="0" w:after="0"/>
        <w:jc w:val="left"/>
        <w:rPr/>
      </w:pPr>
      <w:r>
        <w:rPr/>
        <w:t> </w:t>
      </w:r>
    </w:p>
    <w:p>
      <w:pPr>
        <w:pStyle w:val="TextBody"/>
        <w:bidi w:val="0"/>
        <w:spacing w:before="0" w:after="0"/>
        <w:jc w:val="left"/>
        <w:rPr/>
      </w:pPr>
      <w:r>
        <w:rPr/>
        <w:t> </w:t>
      </w:r>
      <w:r>
        <w:rPr/>
        <w:drawing>
          <wp:inline distT="0" distB="0" distL="0" distR="0">
            <wp:extent cx="1095375" cy="523875"/>
            <wp:effectExtent l="0" t="0" r="0" b="0"/>
            <wp:docPr id="29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4" descr=""/>
                    <pic:cNvPicPr>
                      <a:picLocks noChangeAspect="1" noChangeArrowheads="1"/>
                    </pic:cNvPicPr>
                  </pic:nvPicPr>
                  <pic:blipFill>
                    <a:blip r:embed="rId30"/>
                    <a:stretch>
                      <a:fillRect/>
                    </a:stretch>
                  </pic:blipFill>
                  <pic:spPr bwMode="auto">
                    <a:xfrm>
                      <a:off x="0" y="0"/>
                      <a:ext cx="1095375" cy="523875"/>
                    </a:xfrm>
                    <a:prstGeom prst="rect">
                      <a:avLst/>
                    </a:prstGeom>
                  </pic:spPr>
                </pic:pic>
              </a:graphicData>
            </a:graphic>
          </wp:inline>
        </w:drawing>
      </w:r>
      <w:r>
        <w:rPr/>
        <w:t xml:space="preserve"> </w:t>
      </w:r>
    </w:p>
    <w:tbl>
      <w:tblPr>
        <w:tblW w:w="5000" w:type="pct"/>
        <w:jc w:val="left"/>
        <w:tblInd w:w="0" w:type="dxa"/>
        <w:tblLayout w:type="fixed"/>
        <w:tblCellMar>
          <w:top w:w="0" w:type="dxa"/>
          <w:left w:w="0" w:type="dxa"/>
          <w:bottom w:w="0" w:type="dxa"/>
          <w:right w:w="0" w:type="dxa"/>
        </w:tblCellMar>
      </w:tblPr>
      <w:tblGrid>
        <w:gridCol w:w="437"/>
        <w:gridCol w:w="9768"/>
      </w:tblGrid>
      <w:tr>
        <w:trPr/>
        <w:tc>
          <w:tcPr>
            <w:tcW w:w="437" w:type="dxa"/>
            <w:tcBorders/>
            <w:vAlign w:val="center"/>
          </w:tcPr>
          <w:p>
            <w:pPr>
              <w:pStyle w:val="TableContents"/>
              <w:bidi w:val="0"/>
              <w:spacing w:before="0" w:after="283"/>
              <w:jc w:val="left"/>
              <w:rPr/>
            </w:pPr>
            <w:r>
              <w:rPr/>
              <w:t> </w:t>
            </w:r>
          </w:p>
        </w:tc>
        <w:tc>
          <w:tcPr>
            <w:tcW w:w="9768" w:type="dxa"/>
            <w:tcBorders/>
            <w:vAlign w:val="center"/>
          </w:tcPr>
          <w:p>
            <w:pPr>
              <w:pStyle w:val="TableContents"/>
              <w:bidi w:val="0"/>
              <w:spacing w:before="0" w:after="283"/>
              <w:jc w:val="left"/>
              <w:rPr/>
            </w:pPr>
            <w:r>
              <w:rPr/>
              <w:t> </w:t>
            </w:r>
          </w:p>
        </w:tc>
      </w:tr>
      <w:tr>
        <w:trPr/>
        <w:tc>
          <w:tcPr>
            <w:tcW w:w="437" w:type="dxa"/>
            <w:tcBorders/>
            <w:vAlign w:val="center"/>
          </w:tcPr>
          <w:p>
            <w:pPr>
              <w:pStyle w:val="TableContents"/>
              <w:bidi w:val="0"/>
              <w:spacing w:before="0" w:after="283"/>
              <w:jc w:val="left"/>
              <w:rPr/>
            </w:pPr>
            <w:r>
              <w:rPr/>
              <w:t> </w:t>
            </w:r>
          </w:p>
        </w:tc>
        <w:tc>
          <w:tcPr>
            <w:tcW w:w="9768" w:type="dxa"/>
            <w:tcBorders/>
            <w:vAlign w:val="center"/>
          </w:tcPr>
          <w:p>
            <w:pPr>
              <w:pStyle w:val="TableContents"/>
              <w:bidi w:val="0"/>
              <w:spacing w:before="0" w:after="0"/>
              <w:ind w:left="0" w:right="0" w:hanging="0"/>
              <w:jc w:val="left"/>
              <w:rPr>
                <w:sz w:val="20"/>
              </w:rPr>
            </w:pPr>
            <w:r>
              <w:rPr>
                <w:sz w:val="20"/>
              </w:rPr>
              <w:t>KPMG LLP</w:t>
            </w:r>
          </w:p>
        </w:tc>
      </w:tr>
      <w:tr>
        <w:trPr/>
        <w:tc>
          <w:tcPr>
            <w:tcW w:w="437" w:type="dxa"/>
            <w:tcBorders/>
            <w:vAlign w:val="center"/>
          </w:tcPr>
          <w:p>
            <w:pPr>
              <w:pStyle w:val="TableContents"/>
              <w:bidi w:val="0"/>
              <w:spacing w:before="0" w:after="283"/>
              <w:jc w:val="left"/>
              <w:rPr/>
            </w:pPr>
            <w:r>
              <w:rPr/>
              <w:t> </w:t>
            </w:r>
          </w:p>
        </w:tc>
        <w:tc>
          <w:tcPr>
            <w:tcW w:w="9768" w:type="dxa"/>
            <w:tcBorders/>
            <w:vAlign w:val="center"/>
          </w:tcPr>
          <w:p>
            <w:pPr>
              <w:pStyle w:val="TableContents"/>
              <w:bidi w:val="0"/>
              <w:spacing w:before="0" w:after="0"/>
              <w:ind w:left="0" w:right="0" w:hanging="0"/>
              <w:jc w:val="left"/>
              <w:rPr>
                <w:sz w:val="20"/>
              </w:rPr>
            </w:pPr>
            <w:r>
              <w:rPr>
                <w:sz w:val="20"/>
              </w:rPr>
              <w:t>677 Washington Boulevard</w:t>
            </w:r>
          </w:p>
        </w:tc>
      </w:tr>
      <w:tr>
        <w:trPr/>
        <w:tc>
          <w:tcPr>
            <w:tcW w:w="437" w:type="dxa"/>
            <w:tcBorders/>
            <w:vAlign w:val="center"/>
          </w:tcPr>
          <w:p>
            <w:pPr>
              <w:pStyle w:val="TableContents"/>
              <w:bidi w:val="0"/>
              <w:spacing w:before="0" w:after="283"/>
              <w:jc w:val="left"/>
              <w:rPr/>
            </w:pPr>
            <w:r>
              <w:rPr/>
              <w:t> </w:t>
            </w:r>
          </w:p>
        </w:tc>
        <w:tc>
          <w:tcPr>
            <w:tcW w:w="9768" w:type="dxa"/>
            <w:tcBorders/>
            <w:vAlign w:val="center"/>
          </w:tcPr>
          <w:p>
            <w:pPr>
              <w:pStyle w:val="TableContents"/>
              <w:bidi w:val="0"/>
              <w:spacing w:before="0" w:after="0"/>
              <w:ind w:left="0" w:right="0" w:hanging="0"/>
              <w:jc w:val="left"/>
              <w:rPr>
                <w:sz w:val="20"/>
              </w:rPr>
            </w:pPr>
            <w:r>
              <w:rPr>
                <w:sz w:val="20"/>
              </w:rPr>
              <w:t>Stamford, CT 06901</w:t>
            </w:r>
          </w:p>
        </w:tc>
      </w:tr>
    </w:tbl>
    <w:p>
      <w:pPr>
        <w:pStyle w:val="TextBody"/>
        <w:bidi w:val="0"/>
        <w:spacing w:before="0" w:after="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rPr>
      </w:pPr>
      <w:r>
        <w:rPr>
          <w:b/>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xml:space="preserve">We consent to the incorporation by reference in the registration statements (Nos. 333-266291, 333-263345, 333-254770, 333-237658, 333-229921, 333-224492, 333-220058, and 333-204590) on Form </w:t>
      </w:r>
      <w:bookmarkStart w:id="65" w:name="z_0-0"/>
      <w:bookmarkEnd w:id="65"/>
      <w:r>
        <w:rPr/>
        <w:t xml:space="preserve">S-8 of our reports dated </w:t>
      </w:r>
      <w:bookmarkStart w:id="66" w:name="z_1-0"/>
      <w:bookmarkEnd w:id="66"/>
      <w:r>
        <w:rPr/>
        <w:t>February 25, 2026, with respect to the consolidated financial statements of ADMA Biologics, Inc. and subsidiaries and the effectiveness of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spacing w:val="0"/>
        </w:rPr>
      </w:pPr>
      <w:r>
        <w:rPr>
          <w:spacing w:val="0"/>
        </w:rPr>
        <w:t>/s/ KPMG LLP</w:t>
      </w:r>
    </w:p>
    <w:p>
      <w:pPr>
        <w:pStyle w:val="TextBody"/>
        <w:bidi w:val="0"/>
        <w:spacing w:before="0" w:after="0"/>
        <w:ind w:left="0" w:right="0" w:hanging="0"/>
        <w:jc w:val="left"/>
        <w:rPr/>
      </w:pPr>
      <w:r>
        <w:rPr/>
        <w:t> </w:t>
      </w:r>
    </w:p>
    <w:tbl>
      <w:tblPr>
        <w:tblW w:w="2030" w:type="dxa"/>
        <w:jc w:val="left"/>
        <w:tblInd w:w="0" w:type="dxa"/>
        <w:tblLayout w:type="fixed"/>
        <w:tblCellMar>
          <w:top w:w="0" w:type="dxa"/>
          <w:left w:w="0" w:type="dxa"/>
          <w:bottom w:w="0" w:type="dxa"/>
          <w:right w:w="0" w:type="dxa"/>
        </w:tblCellMar>
      </w:tblPr>
      <w:tblGrid>
        <w:gridCol w:w="1895"/>
        <w:gridCol w:w="135"/>
      </w:tblGrid>
      <w:tr>
        <w:trPr/>
        <w:tc>
          <w:tcPr>
            <w:tcW w:w="1895" w:type="dxa"/>
            <w:tcBorders/>
          </w:tcPr>
          <w:p>
            <w:pPr>
              <w:pStyle w:val="TableContents"/>
              <w:bidi w:val="0"/>
              <w:spacing w:before="0" w:after="0"/>
              <w:ind w:left="0" w:right="0" w:hanging="0"/>
              <w:jc w:val="left"/>
              <w:rPr>
                <w:sz w:val="20"/>
              </w:rPr>
            </w:pPr>
            <w:r>
              <w:rPr>
                <w:sz w:val="20"/>
              </w:rPr>
              <w:t>Stamford, Connecticut</w:t>
            </w:r>
            <w:bookmarkStart w:id="67" w:name="z_2-1"/>
            <w:bookmarkEnd w:id="67"/>
          </w:p>
        </w:tc>
        <w:tc>
          <w:tcPr>
            <w:tcW w:w="135" w:type="dxa"/>
            <w:tcBorders/>
          </w:tcPr>
          <w:p>
            <w:pPr>
              <w:pStyle w:val="TableContents"/>
              <w:bidi w:val="0"/>
              <w:spacing w:before="0" w:after="283"/>
              <w:jc w:val="left"/>
              <w:rPr/>
            </w:pPr>
            <w:r>
              <w:rPr/>
              <w:t> </w:t>
            </w:r>
          </w:p>
        </w:tc>
      </w:tr>
      <w:tr>
        <w:trPr/>
        <w:tc>
          <w:tcPr>
            <w:tcW w:w="1895" w:type="dxa"/>
            <w:tcBorders/>
          </w:tcPr>
          <w:p>
            <w:pPr>
              <w:pStyle w:val="TableContents"/>
              <w:bidi w:val="0"/>
              <w:spacing w:before="0" w:after="0"/>
              <w:ind w:left="0" w:right="0" w:hanging="0"/>
              <w:jc w:val="left"/>
              <w:rPr>
                <w:sz w:val="20"/>
              </w:rPr>
            </w:pPr>
            <w:r>
              <w:rPr>
                <w:sz w:val="20"/>
              </w:rPr>
              <w:t>February 25, 2026</w:t>
            </w:r>
          </w:p>
        </w:tc>
        <w:tc>
          <w:tcPr>
            <w:tcW w:w="135" w:type="dxa"/>
            <w:tcBorders/>
          </w:tcPr>
          <w:p>
            <w:pPr>
              <w:pStyle w:val="TableContents"/>
              <w:bidi w:val="0"/>
              <w:spacing w:before="0" w:after="283"/>
              <w:jc w:val="left"/>
              <w:rPr/>
            </w:pPr>
            <w:r>
              <w:rPr/>
              <w:t> </w:t>
            </w:r>
          </w:p>
        </w:tc>
      </w:tr>
    </w:tbl>
    <w:p>
      <w:pPr>
        <w:pStyle w:val="TextBody"/>
        <w:bidi w:val="0"/>
        <w:spacing w:before="0" w:after="0"/>
        <w:jc w:val="left"/>
        <w:rPr/>
      </w:pPr>
      <w:r>
        <w:rPr/>
        <w:t> </w:t>
      </w:r>
    </w:p>
    <w:tbl>
      <w:tblPr>
        <w:tblW w:w="3300" w:type="pct"/>
        <w:jc w:val="left"/>
        <w:tblInd w:w="0" w:type="dxa"/>
        <w:tblLayout w:type="fixed"/>
        <w:tblCellMar>
          <w:top w:w="0" w:type="dxa"/>
          <w:left w:w="0" w:type="dxa"/>
          <w:bottom w:w="0" w:type="dxa"/>
          <w:right w:w="0" w:type="dxa"/>
        </w:tblCellMar>
      </w:tblPr>
      <w:tblGrid>
        <w:gridCol w:w="143"/>
        <w:gridCol w:w="6592"/>
      </w:tblGrid>
      <w:tr>
        <w:trPr/>
        <w:tc>
          <w:tcPr>
            <w:tcW w:w="143" w:type="dxa"/>
            <w:tcBorders/>
            <w:vAlign w:val="center"/>
          </w:tcPr>
          <w:p>
            <w:pPr>
              <w:pStyle w:val="TableContents"/>
              <w:bidi w:val="0"/>
              <w:spacing w:before="0" w:after="283"/>
              <w:jc w:val="left"/>
              <w:rPr/>
            </w:pPr>
            <w:r>
              <w:rPr/>
              <w:t> </w:t>
            </w:r>
          </w:p>
        </w:tc>
        <w:tc>
          <w:tcPr>
            <w:tcW w:w="6592" w:type="dxa"/>
            <w:tcBorders/>
            <w:vAlign w:val="center"/>
          </w:tcPr>
          <w:p>
            <w:pPr>
              <w:pStyle w:val="TableContents"/>
              <w:bidi w:val="0"/>
              <w:spacing w:before="0" w:after="283"/>
              <w:jc w:val="left"/>
              <w:rPr/>
            </w:pPr>
            <w:r>
              <w:rPr/>
              <w:t> </w:t>
            </w:r>
          </w:p>
        </w:tc>
      </w:tr>
      <w:tr>
        <w:trPr/>
        <w:tc>
          <w:tcPr>
            <w:tcW w:w="143" w:type="dxa"/>
            <w:tcBorders/>
            <w:vAlign w:val="center"/>
          </w:tcPr>
          <w:p>
            <w:pPr>
              <w:pStyle w:val="TableContents"/>
              <w:bidi w:val="0"/>
              <w:spacing w:before="0" w:after="283"/>
              <w:jc w:val="left"/>
              <w:rPr/>
            </w:pPr>
            <w:r>
              <w:rPr/>
              <w:t> </w:t>
            </w:r>
          </w:p>
        </w:tc>
        <w:tc>
          <w:tcPr>
            <w:tcW w:w="6592"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sz w:val="14"/>
              </w:rPr>
            </w:pPr>
            <w:r>
              <w:rPr>
                <w:sz w:val="14"/>
              </w:rPr>
              <w:t>KPMG LLP, a Delaware limited liability partnership, and its subsidiaries are part of</w:t>
            </w:r>
          </w:p>
          <w:p>
            <w:pPr>
              <w:pStyle w:val="TableContents"/>
              <w:bidi w:val="0"/>
              <w:spacing w:before="0" w:after="0"/>
              <w:jc w:val="left"/>
              <w:rPr>
                <w:sz w:val="14"/>
              </w:rPr>
            </w:pPr>
            <w:r>
              <w:rPr>
                <w:sz w:val="14"/>
              </w:rPr>
              <w:t>the KPMG global organization of independent member firms affiliated with KPMG</w:t>
            </w:r>
          </w:p>
          <w:p>
            <w:pPr>
              <w:pStyle w:val="TableContents"/>
              <w:bidi w:val="0"/>
              <w:spacing w:before="0" w:after="0"/>
              <w:jc w:val="left"/>
              <w:rPr>
                <w:sz w:val="14"/>
              </w:rPr>
            </w:pPr>
            <w:r>
              <w:rPr>
                <w:sz w:val="14"/>
              </w:rPr>
              <w:t>International Limited, a private English company limited by guarantee.</w:t>
            </w:r>
          </w:p>
          <w:p>
            <w:pPr>
              <w:pStyle w:val="TableContents"/>
              <w:bidi w:val="0"/>
              <w:spacing w:before="0" w:after="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68" w:name="ef20059416_ex23-2.htm"/>
      <w:bookmarkStart w:id="69" w:name="ksef20059416_ex232"/>
      <w:bookmarkStart w:id="70" w:name="ef20059416_ex23-2.htm"/>
      <w:bookmarkStart w:id="71" w:name="ksef20059416_ex232"/>
      <w:bookmarkEnd w:id="70"/>
      <w:bookmarkEnd w:id="71"/>
      <w:r>
        <w:br w:type="page"/>
      </w:r>
    </w:p>
    <w:p>
      <w:pPr>
        <w:pStyle w:val="TextBody"/>
        <w:bidi w:val="0"/>
        <w:spacing w:before="0" w:after="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Exhibit 23.2</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Consent of Independent Registered</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Public Accounting Firm</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We consent to the incorporation by reference in the registration statements on Form S-8 (File Nos. 333-266291, 333-263345, 333-254770, 333-237658, 333-229921, 333-224492, 333-220058 and 333-204590) of ADMA Biologics, Inc., of our report dated February 28, 2024 (except for Note 11 and Note 13 as to which the date is March 18, 2025, and except for Note 13 as to which the date is February 25, 2026), with respect to the consolidated statements of operations, changes in stockholders’ equity, and cash flows and financial statement schedule II – valuation and qualifying accounts for the year ended December 31, 2023, included in the Annual Report on Form 10-K of ADMA Biologics, Inc. and subsidiaries for the year ended December 31, 2025.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 CohnReznick LLP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Parsippany, New Jersey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February 25, 2026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72" w:name="ef20059416_ex31-1.htm"/>
      <w:bookmarkStart w:id="73" w:name="ksef20059416_ex311"/>
      <w:bookmarkStart w:id="74" w:name="ef20059416_ex31-1.htm"/>
      <w:bookmarkStart w:id="75" w:name="ksef20059416_ex311"/>
      <w:bookmarkEnd w:id="74"/>
      <w:bookmarkEnd w:id="75"/>
      <w:r>
        <w:br w:type="page"/>
      </w:r>
    </w:p>
    <w:p>
      <w:pPr>
        <w:pStyle w:val="TextBody"/>
        <w:bidi w:val="0"/>
        <w:spacing w:before="0" w:after="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Exhibit 31.1</w:t>
      </w:r>
      <w:r>
        <w:rPr>
          <w:rFonts w:ascii="TimesNewRoman;Times New Roman;Times;Baskerville;Georgia;serif" w:hAnsi="TimesNewRoman;Times New Roman;Times;Baskerville;Georgia;serif"/>
          <w:sz w:val="20"/>
        </w:rPr>
        <w:t xml:space="preserve"> </w:t>
      </w:r>
    </w:p>
    <w:p>
      <w:pPr>
        <w:pStyle w:val="TextBody"/>
        <w:bidi w:val="0"/>
        <w:spacing w:before="0" w:after="0"/>
        <w:jc w:val="righ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CERTIFICATION OF THE PRINCIPAL EXECUTIVE OFFICER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PURSUANT TO SECTION 302 OF THE SARBANES-OXLEY ACT OF 2002 </w:t>
      </w:r>
    </w:p>
    <w:p>
      <w:pPr>
        <w:pStyle w:val="TextBody"/>
        <w:bidi w:val="0"/>
        <w:spacing w:before="0" w:after="0"/>
        <w:jc w:val="center"/>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Adam S. Grossman, certify that: </w:t>
      </w:r>
    </w:p>
    <w:p>
      <w:pPr>
        <w:pStyle w:val="TextBody"/>
        <w:bidi w:val="0"/>
        <w:spacing w:before="0" w:after="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have reviewed this Annual Report on Form 10-K of ADMA Biologics, Inc. for the year ended December 31, 2025; </w:t>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342900" cy="146685"/>
                <wp:effectExtent l="0" t="0" r="0" b="0"/>
                <wp:wrapSquare wrapText="right"/>
                <wp:docPr id="295" name="Frame29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 </w:t>
                      </w:r>
                    </w:p>
                  </w:txbxContent>
                </v:textbox>
                <w10:wrap type="square" side="right"/>
              </v:rect>
            </w:pict>
          </mc:Fallback>
        </mc:AlternateContent>
      </w:r>
    </w:p>
    <w:p>
      <w:pPr>
        <w:pStyle w:val="TextBody"/>
        <w:bidi w:val="0"/>
        <w:spacing w:before="0" w:after="0"/>
        <w:ind w:left="0" w:right="0" w:hanging="54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342900" cy="146685"/>
                <wp:effectExtent l="0" t="0" r="0" b="0"/>
                <wp:wrapSquare wrapText="right"/>
                <wp:docPr id="296" name="Frame29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 </w:t>
                      </w:r>
                    </w:p>
                  </w:txbxContent>
                </v:textbox>
                <w10:wrap type="square" side="right"/>
              </v:rect>
            </w:pict>
          </mc:Fallback>
        </mc:AlternateContent>
      </w:r>
    </w:p>
    <w:p>
      <w:pPr>
        <w:pStyle w:val="TextBody"/>
        <w:bidi w:val="0"/>
        <w:spacing w:before="0" w:after="0"/>
        <w:ind w:left="0" w:right="0" w:hanging="72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342900" cy="146685"/>
                <wp:effectExtent l="0" t="0" r="0" b="0"/>
                <wp:wrapSquare wrapText="right"/>
                <wp:docPr id="297" name="Frame29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 </w:t>
                      </w:r>
                    </w:p>
                  </w:txbxContent>
                </v:textbox>
                <w10:wrap type="square" side="right"/>
              </v:rect>
            </w:pict>
          </mc:Fallback>
        </mc:AlternateContent>
      </w:r>
    </w:p>
    <w:p>
      <w:pPr>
        <w:pStyle w:val="TextBody"/>
        <w:bidi w:val="0"/>
        <w:spacing w:before="0" w:after="0"/>
        <w:ind w:left="0" w:right="0" w:hanging="54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342900" cy="146685"/>
                <wp:effectExtent l="0" t="0" r="0" b="0"/>
                <wp:wrapSquare wrapText="right"/>
                <wp:docPr id="298" name="Frame29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4.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4.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342900" cy="146685"/>
                <wp:effectExtent l="0" t="0" r="0" b="0"/>
                <wp:wrapSquare wrapText="right"/>
                <wp:docPr id="299" name="Frame29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342900" cy="146685"/>
                <wp:effectExtent l="0" t="0" r="0" b="0"/>
                <wp:wrapSquare wrapText="right"/>
                <wp:docPr id="300" name="Frame29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ind w:left="0" w:right="0" w:hanging="54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342900" cy="146685"/>
                <wp:effectExtent l="0" t="0" r="0" b="0"/>
                <wp:wrapSquare wrapText="right"/>
                <wp:docPr id="301" name="Frame29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v:textbox>
                <w10:wrap type="square" side="right"/>
              </v:rect>
            </w:pict>
          </mc:Fallback>
        </mc:AlternateContent>
      </w:r>
    </w:p>
    <w:p>
      <w:pPr>
        <w:pStyle w:val="TextBody"/>
        <w:bidi w:val="0"/>
        <w:spacing w:before="0" w:after="0"/>
        <w:ind w:left="0" w:right="0" w:hanging="54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342900" cy="146685"/>
                <wp:effectExtent l="0" t="0" r="0" b="0"/>
                <wp:wrapSquare wrapText="right"/>
                <wp:docPr id="302" name="Frame298"/>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342900" cy="146685"/>
                <wp:effectExtent l="0" t="0" r="0" b="0"/>
                <wp:wrapSquare wrapText="right"/>
                <wp:docPr id="303" name="Frame29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342900" cy="146685"/>
                <wp:effectExtent l="0" t="0" r="0" b="0"/>
                <wp:wrapSquare wrapText="right"/>
                <wp:docPr id="304" name="Frame30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342900" cy="146685"/>
                <wp:effectExtent l="0" t="0" r="0" b="0"/>
                <wp:wrapSquare wrapText="right"/>
                <wp:docPr id="305" name="Frame30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jc w:val="left"/>
        <w:rPr/>
      </w:pPr>
      <w:r>
        <w:rPr/>
        <w:t xml:space="preserve">  </w:t>
      </w:r>
    </w:p>
    <w:tbl>
      <w:tblPr>
        <w:tblW w:w="9333" w:type="dxa"/>
        <w:jc w:val="left"/>
        <w:tblInd w:w="0" w:type="dxa"/>
        <w:tblLayout w:type="fixed"/>
        <w:tblCellMar>
          <w:top w:w="28" w:type="dxa"/>
          <w:left w:w="28" w:type="dxa"/>
          <w:bottom w:w="28" w:type="dxa"/>
          <w:right w:w="28" w:type="dxa"/>
        </w:tblCellMar>
      </w:tblPr>
      <w:tblGrid>
        <w:gridCol w:w="1936"/>
        <w:gridCol w:w="796"/>
        <w:gridCol w:w="6601"/>
      </w:tblGrid>
      <w:tr>
        <w:trPr/>
        <w:tc>
          <w:tcPr>
            <w:tcW w:w="193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601" w:type="dxa"/>
            <w:tcBorders/>
            <w:vAlign w:val="center"/>
          </w:tcPr>
          <w:p>
            <w:pPr>
              <w:pStyle w:val="TableContents"/>
              <w:bidi w:val="0"/>
              <w:spacing w:before="0" w:after="283"/>
              <w:jc w:val="left"/>
              <w:rPr/>
            </w:pPr>
            <w:r>
              <w:rPr/>
              <w:t> </w:t>
            </w:r>
          </w:p>
        </w:tc>
      </w:tr>
      <w:tr>
        <w:trPr/>
        <w:tc>
          <w:tcPr>
            <w:tcW w:w="1936" w:type="dxa"/>
            <w:tcBorders/>
            <w:vAlign w:val="center"/>
          </w:tcPr>
          <w:p>
            <w:pPr>
              <w:pStyle w:val="TableContents"/>
              <w:bidi w:val="0"/>
              <w:spacing w:before="0" w:after="283"/>
              <w:jc w:val="left"/>
              <w:rPr/>
            </w:pPr>
            <w:r>
              <w:rPr/>
              <w:t xml:space="preserve">February 25, 2026 </w:t>
            </w:r>
          </w:p>
        </w:tc>
        <w:tc>
          <w:tcPr>
            <w:tcW w:w="7397" w:type="dxa"/>
            <w:gridSpan w:val="2"/>
            <w:tcBorders>
              <w:bottom w:val="single" w:sz="12" w:space="0" w:color="000000"/>
            </w:tcBorders>
            <w:tcMar>
              <w:top w:w="0" w:type="dxa"/>
              <w:left w:w="0" w:type="dxa"/>
              <w:right w:w="0" w:type="dxa"/>
            </w:tcMar>
            <w:vAlign w:val="center"/>
          </w:tcPr>
          <w:p>
            <w:pPr>
              <w:pStyle w:val="TableContents"/>
              <w:bidi w:val="0"/>
              <w:spacing w:before="0" w:after="283"/>
              <w:jc w:val="left"/>
              <w:rPr/>
            </w:pPr>
            <w:r>
              <w:rPr/>
              <w:t xml:space="preserve">/s/ Adam S. Grossman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xml:space="preserve">Name: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xml:space="preserve">Adam S. Grossman </w:t>
            </w:r>
          </w:p>
        </w:tc>
      </w:tr>
      <w:tr>
        <w:trPr/>
        <w:tc>
          <w:tcPr>
            <w:tcW w:w="193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Title: </w:t>
            </w:r>
          </w:p>
        </w:tc>
        <w:tc>
          <w:tcPr>
            <w:tcW w:w="6601" w:type="dxa"/>
            <w:tcBorders/>
            <w:vAlign w:val="center"/>
          </w:tcPr>
          <w:p>
            <w:pPr>
              <w:pStyle w:val="TableContents"/>
              <w:bidi w:val="0"/>
              <w:spacing w:before="0" w:after="283"/>
              <w:jc w:val="left"/>
              <w:rPr/>
            </w:pPr>
            <w:r>
              <w:rPr/>
              <w:t xml:space="preserve">President and Chief Executive Officer (Principal Executive Officer)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76" w:name="ef20059416_ex31-2.htm"/>
      <w:bookmarkStart w:id="77" w:name="ksef20059416_ex312"/>
      <w:bookmarkStart w:id="78" w:name="ef20059416_ex31-2.htm"/>
      <w:bookmarkStart w:id="79" w:name="ksef20059416_ex312"/>
      <w:bookmarkEnd w:id="78"/>
      <w:bookmarkEnd w:id="79"/>
      <w:r>
        <w:br w:type="page"/>
      </w:r>
    </w:p>
    <w:p>
      <w:pPr>
        <w:pStyle w:val="TextBody"/>
        <w:bidi w:val="0"/>
        <w:spacing w:before="0" w:after="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Exhibit 31.2</w:t>
      </w:r>
      <w:r>
        <w:rPr>
          <w:rFonts w:ascii="TimesNewRoman;Times New Roman;Times;Baskerville;Georgia;serif" w:hAnsi="TimesNewRoman;Times New Roman;Times;Baskerville;Georgia;serif"/>
          <w:sz w:val="20"/>
        </w:rPr>
        <w:t xml:space="preserve"> </w:t>
      </w:r>
    </w:p>
    <w:p>
      <w:pPr>
        <w:pStyle w:val="TextBody"/>
        <w:bidi w:val="0"/>
        <w:spacing w:before="0" w:after="0"/>
        <w:jc w:val="righ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CERTIFICATION OF THE PRINCIPAL FINANCIAL OFFICER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PURSUANT TO SECTION 302 OF THE SARBANES-OXLEY ACT OF 2002 </w:t>
      </w:r>
    </w:p>
    <w:p>
      <w:pPr>
        <w:pStyle w:val="TextBody"/>
        <w:bidi w:val="0"/>
        <w:spacing w:before="0" w:after="0"/>
        <w:jc w:val="center"/>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Brad Tade, certify that: </w:t>
      </w:r>
    </w:p>
    <w:p>
      <w:pPr>
        <w:pStyle w:val="TextBody"/>
        <w:bidi w:val="0"/>
        <w:spacing w:before="0" w:after="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have reviewed this Annual Report on Form 10-K of ADMA Biologics, Inc. for the year ended December 31, 2025; </w: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342900" cy="146685"/>
                <wp:effectExtent l="0" t="0" r="0" b="0"/>
                <wp:wrapSquare wrapText="right"/>
                <wp:docPr id="306" name="Frame30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 </w:t>
                      </w:r>
                    </w:p>
                  </w:txbxContent>
                </v:textbox>
                <w10:wrap type="square" side="right"/>
              </v:rect>
            </w:pict>
          </mc:Fallback>
        </mc:AlternateContent>
      </w:r>
    </w:p>
    <w:p>
      <w:pPr>
        <w:pStyle w:val="TextBody"/>
        <w:bidi w:val="0"/>
        <w:spacing w:before="0" w:after="0"/>
        <w:ind w:left="0" w:right="0" w:hanging="54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r>
        <mc:AlternateContent>
          <mc:Choice Requires="wps">
            <w:drawing>
              <wp:anchor behindDoc="0" distT="0" distB="0" distL="0" distR="0" simplePos="0" locked="0" layoutInCell="1" allowOverlap="1" relativeHeight="308">
                <wp:simplePos x="0" y="0"/>
                <wp:positionH relativeFrom="column">
                  <wp:align>left</wp:align>
                </wp:positionH>
                <wp:positionV relativeFrom="line">
                  <wp:posOffset>635</wp:posOffset>
                </wp:positionV>
                <wp:extent cx="342900" cy="146685"/>
                <wp:effectExtent l="0" t="0" r="0" b="0"/>
                <wp:wrapSquare wrapText="right"/>
                <wp:docPr id="307" name="Frame30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342900" cy="146685"/>
                <wp:effectExtent l="0" t="0" r="0" b="0"/>
                <wp:wrapSquare wrapText="right"/>
                <wp:docPr id="308" name="Frame30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 </w:t>
                      </w:r>
                    </w:p>
                  </w:txbxContent>
                </v:textbox>
                <w10:wrap type="square" side="right"/>
              </v:rect>
            </w:pict>
          </mc:Fallback>
        </mc:AlternateContent>
      </w:r>
    </w:p>
    <w:p>
      <w:pPr>
        <w:pStyle w:val="TextBody"/>
        <w:bidi w:val="0"/>
        <w:spacing w:before="0" w:after="0"/>
        <w:ind w:left="0" w:right="0" w:hanging="54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342900" cy="146685"/>
                <wp:effectExtent l="0" t="0" r="0" b="0"/>
                <wp:wrapSquare wrapText="right"/>
                <wp:docPr id="309" name="Frame30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4.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4.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457200" cy="146685"/>
                <wp:effectExtent l="0" t="0" r="0" b="0"/>
                <wp:wrapSquare wrapText="right"/>
                <wp:docPr id="310" name="Frame306"/>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457200" cy="146685"/>
                <wp:effectExtent l="0" t="0" r="0" b="0"/>
                <wp:wrapSquare wrapText="right"/>
                <wp:docPr id="311" name="Frame307"/>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457200" cy="146685"/>
                <wp:effectExtent l="0" t="0" r="0" b="0"/>
                <wp:wrapSquare wrapText="right"/>
                <wp:docPr id="312" name="Frame308"/>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mc:AlternateContent>
          <mc:Choice Requires="wps">
            <w:drawing>
              <wp:anchor behindDoc="0" distT="0" distB="0" distL="0" distR="0" simplePos="0" locked="0" layoutInCell="1" allowOverlap="1" relativeHeight="314">
                <wp:simplePos x="0" y="0"/>
                <wp:positionH relativeFrom="column">
                  <wp:align>left</wp:align>
                </wp:positionH>
                <wp:positionV relativeFrom="line">
                  <wp:posOffset>635</wp:posOffset>
                </wp:positionV>
                <wp:extent cx="457200" cy="146685"/>
                <wp:effectExtent l="0" t="0" r="0" b="0"/>
                <wp:wrapSquare wrapText="right"/>
                <wp:docPr id="313" name="Frame309"/>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342900" cy="146685"/>
                <wp:effectExtent l="0" t="0" r="0" b="0"/>
                <wp:wrapSquare wrapText="right"/>
                <wp:docPr id="314" name="Frame31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457200" cy="146685"/>
                <wp:effectExtent l="0" t="0" r="0" b="0"/>
                <wp:wrapSquare wrapText="right"/>
                <wp:docPr id="315" name="Frame311"/>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v:textbox>
                <w10:wrap type="square" side="right"/>
              </v:rect>
            </w:pict>
          </mc:Fallback>
        </mc:AlternateContent>
      </w:r>
    </w:p>
    <w:p>
      <w:pPr>
        <w:pStyle w:val="TextBody"/>
        <w:bidi w:val="0"/>
        <w:spacing w:before="0" w:after="0"/>
        <w:ind w:left="0" w:right="0" w:hanging="720"/>
        <w:jc w:val="both"/>
        <w:rPr/>
      </w:pPr>
      <w:r>
        <w:rPr/>
        <w:t xml:space="preserve">  </w:t>
      </w:r>
    </w:p>
    <w:p>
      <w:pPr>
        <w:pStyle w:val="TextBody"/>
        <w:bidi w:val="0"/>
        <w:spacing w:before="0" w:after="0"/>
        <w:ind w:left="0" w:right="0" w:hanging="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457200" cy="146685"/>
                <wp:effectExtent l="0" t="0" r="0" b="0"/>
                <wp:wrapSquare wrapText="right"/>
                <wp:docPr id="316" name="Frame312"/>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ind w:left="0" w:right="0" w:hanging="720"/>
        <w:jc w:val="left"/>
        <w:rPr/>
      </w:pPr>
      <w:r>
        <w:rPr/>
        <w:t xml:space="preserve">  </w:t>
      </w:r>
    </w:p>
    <w:tbl>
      <w:tblPr>
        <w:tblW w:w="5598" w:type="dxa"/>
        <w:jc w:val="left"/>
        <w:tblInd w:w="0" w:type="dxa"/>
        <w:tblLayout w:type="fixed"/>
        <w:tblCellMar>
          <w:top w:w="28" w:type="dxa"/>
          <w:left w:w="28" w:type="dxa"/>
          <w:bottom w:w="28" w:type="dxa"/>
          <w:right w:w="28" w:type="dxa"/>
        </w:tblCellMar>
      </w:tblPr>
      <w:tblGrid>
        <w:gridCol w:w="1936"/>
        <w:gridCol w:w="796"/>
        <w:gridCol w:w="2866"/>
      </w:tblGrid>
      <w:tr>
        <w:trPr/>
        <w:tc>
          <w:tcPr>
            <w:tcW w:w="193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2866" w:type="dxa"/>
            <w:tcBorders/>
            <w:vAlign w:val="center"/>
          </w:tcPr>
          <w:p>
            <w:pPr>
              <w:pStyle w:val="TableContents"/>
              <w:bidi w:val="0"/>
              <w:spacing w:before="0" w:after="283"/>
              <w:jc w:val="left"/>
              <w:rPr/>
            </w:pPr>
            <w:r>
              <w:rPr/>
              <w:t> </w:t>
            </w:r>
          </w:p>
        </w:tc>
      </w:tr>
      <w:tr>
        <w:trPr/>
        <w:tc>
          <w:tcPr>
            <w:tcW w:w="1936" w:type="dxa"/>
            <w:tcBorders/>
            <w:vAlign w:val="center"/>
          </w:tcPr>
          <w:p>
            <w:pPr>
              <w:pStyle w:val="TableContents"/>
              <w:bidi w:val="0"/>
              <w:spacing w:before="0" w:after="0"/>
              <w:jc w:val="left"/>
              <w:rPr/>
            </w:pPr>
            <w:r>
              <w:rPr/>
              <w:t xml:space="preserve">February 25, 2026 </w:t>
            </w:r>
          </w:p>
        </w:tc>
        <w:tc>
          <w:tcPr>
            <w:tcW w:w="3662"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 Brad Tade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2866" w:type="dxa"/>
            <w:tcBorders/>
            <w:tcMar>
              <w:top w:w="0" w:type="dxa"/>
              <w:left w:w="0" w:type="dxa"/>
              <w:bottom w:w="0" w:type="dxa"/>
              <w:right w:w="0" w:type="dxa"/>
            </w:tcMar>
            <w:vAlign w:val="center"/>
          </w:tcPr>
          <w:p>
            <w:pPr>
              <w:pStyle w:val="TableContents"/>
              <w:bidi w:val="0"/>
              <w:spacing w:before="0" w:after="0"/>
              <w:jc w:val="left"/>
              <w:rPr/>
            </w:pPr>
            <w:r>
              <w:rPr/>
              <w:t xml:space="preserve">Brad Tade </w:t>
            </w:r>
          </w:p>
        </w:tc>
      </w:tr>
      <w:tr>
        <w:trPr/>
        <w:tc>
          <w:tcPr>
            <w:tcW w:w="193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left"/>
              <w:rPr/>
            </w:pPr>
            <w:r>
              <w:rPr/>
              <w:t xml:space="preserve">Title: </w:t>
            </w:r>
          </w:p>
        </w:tc>
        <w:tc>
          <w:tcPr>
            <w:tcW w:w="2866" w:type="dxa"/>
            <w:tcBorders/>
            <w:vAlign w:val="center"/>
          </w:tcPr>
          <w:p>
            <w:pPr>
              <w:pStyle w:val="TableContents"/>
              <w:bidi w:val="0"/>
              <w:spacing w:before="0" w:after="0"/>
              <w:jc w:val="left"/>
              <w:rPr/>
            </w:pPr>
            <w:r>
              <w:rPr/>
              <w:t xml:space="preserve">Chief Financial Officer </w:t>
            </w:r>
          </w:p>
          <w:p>
            <w:pPr>
              <w:pStyle w:val="TableContents"/>
              <w:bidi w:val="0"/>
              <w:spacing w:before="0" w:after="0"/>
              <w:jc w:val="left"/>
              <w:rPr/>
            </w:pPr>
            <w:r>
              <w:rPr/>
              <w:t xml:space="preserve">(Principal Financial Officer)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80" w:name="ef20059416_ex32-1.htm"/>
      <w:bookmarkStart w:id="81" w:name="ksef20059416_ex321"/>
      <w:bookmarkStart w:id="82" w:name="ef20059416_ex32-1.htm"/>
      <w:bookmarkStart w:id="83" w:name="ksef20059416_ex321"/>
      <w:bookmarkEnd w:id="82"/>
      <w:bookmarkEnd w:id="83"/>
      <w:r>
        <w:br w:type="page"/>
      </w:r>
    </w:p>
    <w:p>
      <w:pPr>
        <w:pStyle w:val="TextBody"/>
        <w:bidi w:val="0"/>
        <w:spacing w:before="0" w:after="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Exhibit 32.1</w:t>
      </w:r>
      <w:r>
        <w:rPr>
          <w:rFonts w:ascii="TimesNewRoman;Times New Roman;Times;Baskerville;Georgia;serif" w:hAnsi="TimesNewRoman;Times New Roman;Times;Baskerville;Georgia;serif"/>
          <w:sz w:val="20"/>
        </w:rPr>
        <w:t xml:space="preserve"> </w:t>
      </w:r>
    </w:p>
    <w:p>
      <w:pPr>
        <w:pStyle w:val="TextBody"/>
        <w:bidi w:val="0"/>
        <w:spacing w:before="0" w:after="0"/>
        <w:jc w:val="righ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CERTIFICATION OF THE PRINCIPAL EXECUTIVE OFFICER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PURSUANT TO SECTION 906 OF THE SARBANES-OXLEY ACT OF 2002 </w:t>
      </w:r>
    </w:p>
    <w:p>
      <w:pPr>
        <w:pStyle w:val="TextBody"/>
        <w:bidi w:val="0"/>
        <w:spacing w:before="0" w:after="0"/>
        <w:jc w:val="center"/>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connection with the annual report of ADMA Biologics, Inc., a Delaware corporation (the “Company”), on Form 10-K for the year ended December 31, 2025, as filed with the Securities and Exchange Commission on the date hereof (the “Report”), I, Adam S. Grossman, President and Chief Executive Officer of the Company, hereby certify, pursuant to 18 U.S.C. Section 1350, as adopted pursuant to Section 906 of the Sarbanes-Oxley Act of 2002, that, to my knowledge: </w:t>
      </w:r>
    </w:p>
    <w:p>
      <w:pPr>
        <w:pStyle w:val="TextBody"/>
        <w:bidi w:val="0"/>
        <w:spacing w:before="0" w:after="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Report fully complies with the requirements of Section 13(a) or 15(d) of the Securities Exchange Act of 1934, as amended; and </w: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342900" cy="146685"/>
                <wp:effectExtent l="0" t="0" r="0" b="0"/>
                <wp:wrapSquare wrapText="right"/>
                <wp:docPr id="317" name="Frame31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information contained in the Report fairly presents, in all material respects, the financial condition and results of operations of the Company. </w:t>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342900" cy="146685"/>
                <wp:effectExtent l="0" t="0" r="0" b="0"/>
                <wp:wrapSquare wrapText="right"/>
                <wp:docPr id="318" name="Frame31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 </w:t>
                      </w:r>
                    </w:p>
                  </w:txbxContent>
                </v:textbox>
                <w10:wrap type="square" side="right"/>
              </v:rect>
            </w:pict>
          </mc:Fallback>
        </mc:AlternateContent>
      </w:r>
    </w:p>
    <w:p>
      <w:pPr>
        <w:pStyle w:val="TextBody"/>
        <w:bidi w:val="0"/>
        <w:spacing w:before="0" w:after="0"/>
        <w:jc w:val="left"/>
        <w:rPr/>
      </w:pPr>
      <w:r>
        <w:rPr/>
        <w:t xml:space="preserve">  </w:t>
      </w:r>
    </w:p>
    <w:tbl>
      <w:tblPr>
        <w:tblW w:w="6483" w:type="dxa"/>
        <w:jc w:val="left"/>
        <w:tblInd w:w="0" w:type="dxa"/>
        <w:tblLayout w:type="fixed"/>
        <w:tblCellMar>
          <w:top w:w="28" w:type="dxa"/>
          <w:left w:w="28" w:type="dxa"/>
          <w:bottom w:w="28" w:type="dxa"/>
          <w:right w:w="28" w:type="dxa"/>
        </w:tblCellMar>
      </w:tblPr>
      <w:tblGrid>
        <w:gridCol w:w="1936"/>
        <w:gridCol w:w="796"/>
        <w:gridCol w:w="3751"/>
      </w:tblGrid>
      <w:tr>
        <w:trPr/>
        <w:tc>
          <w:tcPr>
            <w:tcW w:w="193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r>
      <w:tr>
        <w:trPr/>
        <w:tc>
          <w:tcPr>
            <w:tcW w:w="1936" w:type="dxa"/>
            <w:tcBorders/>
            <w:vAlign w:val="center"/>
          </w:tcPr>
          <w:p>
            <w:pPr>
              <w:pStyle w:val="TableContents"/>
              <w:bidi w:val="0"/>
              <w:spacing w:before="0" w:after="283"/>
              <w:jc w:val="left"/>
              <w:rPr/>
            </w:pPr>
            <w:r>
              <w:rPr/>
              <w:t xml:space="preserve">February 25, 2026 </w:t>
            </w:r>
          </w:p>
        </w:tc>
        <w:tc>
          <w:tcPr>
            <w:tcW w:w="4547" w:type="dxa"/>
            <w:gridSpan w:val="2"/>
            <w:tcBorders>
              <w:bottom w:val="single" w:sz="12" w:space="0" w:color="000000"/>
            </w:tcBorders>
            <w:tcMar>
              <w:top w:w="0" w:type="dxa"/>
              <w:left w:w="0" w:type="dxa"/>
              <w:right w:w="0" w:type="dxa"/>
            </w:tcMar>
            <w:vAlign w:val="center"/>
          </w:tcPr>
          <w:p>
            <w:pPr>
              <w:pStyle w:val="TableContents"/>
              <w:bidi w:val="0"/>
              <w:spacing w:before="0" w:after="283"/>
              <w:jc w:val="left"/>
              <w:rPr/>
            </w:pPr>
            <w:r>
              <w:rPr/>
              <w:t xml:space="preserve">/s/ Adam S. Grossman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xml:space="preserve">Name: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xml:space="preserve">Adam S. Grossman </w:t>
            </w:r>
          </w:p>
        </w:tc>
      </w:tr>
      <w:tr>
        <w:trPr/>
        <w:tc>
          <w:tcPr>
            <w:tcW w:w="193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Title: </w:t>
            </w:r>
          </w:p>
        </w:tc>
        <w:tc>
          <w:tcPr>
            <w:tcW w:w="3751" w:type="dxa"/>
            <w:tcBorders/>
            <w:vAlign w:val="center"/>
          </w:tcPr>
          <w:p>
            <w:pPr>
              <w:pStyle w:val="TableContents"/>
              <w:bidi w:val="0"/>
              <w:spacing w:before="0" w:after="283"/>
              <w:jc w:val="left"/>
              <w:rPr/>
            </w:pPr>
            <w:r>
              <w:rPr/>
              <w:t>President and Chief Executive Officer</w:t>
              <w:br/>
              <w:t xml:space="preserve">(Principal Executive Officer)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84" w:name="ef20059416_ex32-2.htm"/>
      <w:bookmarkStart w:id="85" w:name="ksef20059416_ex322"/>
      <w:bookmarkStart w:id="86" w:name="ef20059416_ex32-2.htm"/>
      <w:bookmarkStart w:id="87" w:name="ksef20059416_ex322"/>
      <w:bookmarkEnd w:id="86"/>
      <w:bookmarkEnd w:id="87"/>
      <w:r>
        <w:br w:type="page"/>
      </w:r>
    </w:p>
    <w:p>
      <w:pPr>
        <w:pStyle w:val="TextBody"/>
        <w:bidi w:val="0"/>
        <w:spacing w:before="0" w:after="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Exhibit 32.2</w:t>
      </w:r>
      <w:r>
        <w:rPr>
          <w:rFonts w:ascii="TimesNewRoman;Times New Roman;Times;Baskerville;Georgia;serif" w:hAnsi="TimesNewRoman;Times New Roman;Times;Baskerville;Georgia;serif"/>
          <w:sz w:val="20"/>
        </w:rPr>
        <w:t xml:space="preserve"> </w:t>
      </w:r>
    </w:p>
    <w:p>
      <w:pPr>
        <w:pStyle w:val="TextBody"/>
        <w:bidi w:val="0"/>
        <w:spacing w:before="0" w:after="0"/>
        <w:jc w:val="righ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CERTIFICATION OF THE PRINCIPAL FINANCIAL OFFICER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PURSUANT TO SECTION 906 OF THE SARBANES-OXLEY ACT OF 2002 </w:t>
      </w:r>
    </w:p>
    <w:p>
      <w:pPr>
        <w:pStyle w:val="TextBody"/>
        <w:bidi w:val="0"/>
        <w:spacing w:before="0" w:after="0"/>
        <w:jc w:val="center"/>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connection with the annual report of ADMA Biologics, Inc., a Delaware corporation (the “Company”), on Form 10-K for the year ended December 31, 2025, as filed with the Securities and Exchange Commission on the date hereof (the “Report”), I, Brad Tade, Chief Financial Officer of the Company, hereby certify, pursuant to 18 U.S.C. Section 1350, as adopted pursuant to Section 906 of the Sarbanes-Oxley Act of 2002, that, to my knowledge: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204"/>
        <w:gridCol w:w="399"/>
        <w:gridCol w:w="9602"/>
      </w:tblGrid>
      <w:tr>
        <w:trPr/>
        <w:tc>
          <w:tcPr>
            <w:tcW w:w="204" w:type="dxa"/>
            <w:tcBorders/>
            <w:vAlign w:val="center"/>
          </w:tcPr>
          <w:p>
            <w:pPr>
              <w:pStyle w:val="TableContents"/>
              <w:bidi w:val="0"/>
              <w:spacing w:before="0" w:after="283"/>
              <w:jc w:val="left"/>
              <w:rPr/>
            </w:pPr>
            <w:r>
              <w:rPr/>
              <w:t xml:space="preserve">  </w:t>
            </w:r>
          </w:p>
        </w:tc>
        <w:tc>
          <w:tcPr>
            <w:tcW w:w="399" w:type="dxa"/>
            <w:tcBorders/>
            <w:vAlign w:val="center"/>
          </w:tcPr>
          <w:p>
            <w:pPr>
              <w:pStyle w:val="TableContents"/>
              <w:bidi w:val="0"/>
              <w:spacing w:before="0" w:after="0"/>
              <w:jc w:val="left"/>
              <w:rPr/>
            </w:pPr>
            <w:r>
              <w:rPr/>
              <w:t xml:space="preserve">(1) </w:t>
            </w:r>
          </w:p>
        </w:tc>
        <w:tc>
          <w:tcPr>
            <w:tcW w:w="9602" w:type="dxa"/>
            <w:tcBorders/>
            <w:vAlign w:val="center"/>
          </w:tcPr>
          <w:p>
            <w:pPr>
              <w:pStyle w:val="TableContents"/>
              <w:bidi w:val="0"/>
              <w:spacing w:before="0" w:after="0"/>
              <w:jc w:val="left"/>
              <w:rPr/>
            </w:pPr>
            <w:r>
              <w:rPr/>
              <w:t xml:space="preserve">The Report fully complies with the requirements of Section 13(a) or 15(d) of the Securities Exchange Act of 1934, as amended; and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200"/>
        <w:gridCol w:w="390"/>
        <w:gridCol w:w="9615"/>
      </w:tblGrid>
      <w:tr>
        <w:trPr/>
        <w:tc>
          <w:tcPr>
            <w:tcW w:w="200" w:type="dxa"/>
            <w:tcBorders/>
            <w:vAlign w:val="center"/>
          </w:tcPr>
          <w:p>
            <w:pPr>
              <w:pStyle w:val="TableContents"/>
              <w:bidi w:val="0"/>
              <w:spacing w:before="0" w:after="283"/>
              <w:jc w:val="left"/>
              <w:rPr/>
            </w:pPr>
            <w:r>
              <w:rPr/>
              <w:t xml:space="preserve">  </w:t>
            </w:r>
          </w:p>
        </w:tc>
        <w:tc>
          <w:tcPr>
            <w:tcW w:w="390" w:type="dxa"/>
            <w:tcBorders/>
            <w:vAlign w:val="center"/>
          </w:tcPr>
          <w:p>
            <w:pPr>
              <w:pStyle w:val="TableContents"/>
              <w:bidi w:val="0"/>
              <w:spacing w:before="0" w:after="0"/>
              <w:jc w:val="left"/>
              <w:rPr/>
            </w:pPr>
            <w:r>
              <w:rPr/>
              <w:t xml:space="preserve">(2) </w:t>
            </w:r>
          </w:p>
        </w:tc>
        <w:tc>
          <w:tcPr>
            <w:tcW w:w="9615" w:type="dxa"/>
            <w:tcBorders/>
            <w:vAlign w:val="center"/>
          </w:tcPr>
          <w:p>
            <w:pPr>
              <w:pStyle w:val="TableContents"/>
              <w:bidi w:val="0"/>
              <w:spacing w:before="0" w:after="0"/>
              <w:jc w:val="left"/>
              <w:rPr/>
            </w:pPr>
            <w:r>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xml:space="preserve">  </w:t>
      </w:r>
    </w:p>
    <w:tbl>
      <w:tblPr>
        <w:tblW w:w="5598" w:type="dxa"/>
        <w:jc w:val="left"/>
        <w:tblInd w:w="0" w:type="dxa"/>
        <w:tblLayout w:type="fixed"/>
        <w:tblCellMar>
          <w:top w:w="28" w:type="dxa"/>
          <w:left w:w="28" w:type="dxa"/>
          <w:bottom w:w="28" w:type="dxa"/>
          <w:right w:w="28" w:type="dxa"/>
        </w:tblCellMar>
      </w:tblPr>
      <w:tblGrid>
        <w:gridCol w:w="1936"/>
        <w:gridCol w:w="796"/>
        <w:gridCol w:w="2866"/>
      </w:tblGrid>
      <w:tr>
        <w:trPr/>
        <w:tc>
          <w:tcPr>
            <w:tcW w:w="193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2866" w:type="dxa"/>
            <w:tcBorders/>
            <w:vAlign w:val="center"/>
          </w:tcPr>
          <w:p>
            <w:pPr>
              <w:pStyle w:val="TableContents"/>
              <w:bidi w:val="0"/>
              <w:spacing w:before="0" w:after="283"/>
              <w:jc w:val="left"/>
              <w:rPr/>
            </w:pPr>
            <w:r>
              <w:rPr/>
              <w:t> </w:t>
            </w:r>
          </w:p>
        </w:tc>
      </w:tr>
      <w:tr>
        <w:trPr/>
        <w:tc>
          <w:tcPr>
            <w:tcW w:w="1936" w:type="dxa"/>
            <w:tcBorders/>
            <w:vAlign w:val="center"/>
          </w:tcPr>
          <w:p>
            <w:pPr>
              <w:pStyle w:val="TableContents"/>
              <w:bidi w:val="0"/>
              <w:spacing w:before="0" w:after="283"/>
              <w:jc w:val="left"/>
              <w:rPr/>
            </w:pPr>
            <w:r>
              <w:rPr/>
              <w:t xml:space="preserve">February 25, 2026 </w:t>
            </w:r>
          </w:p>
        </w:tc>
        <w:tc>
          <w:tcPr>
            <w:tcW w:w="3662" w:type="dxa"/>
            <w:gridSpan w:val="2"/>
            <w:tcBorders>
              <w:bottom w:val="single" w:sz="12" w:space="0" w:color="000000"/>
            </w:tcBorders>
            <w:tcMar>
              <w:top w:w="0" w:type="dxa"/>
              <w:left w:w="0" w:type="dxa"/>
              <w:right w:w="0" w:type="dxa"/>
            </w:tcMar>
            <w:vAlign w:val="center"/>
          </w:tcPr>
          <w:p>
            <w:pPr>
              <w:pStyle w:val="TableContents"/>
              <w:bidi w:val="0"/>
              <w:spacing w:before="0" w:after="283"/>
              <w:jc w:val="left"/>
              <w:rPr/>
            </w:pPr>
            <w:r>
              <w:rPr/>
              <w:t xml:space="preserve">/s/ Brad Tade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xml:space="preserve">Name: </w:t>
            </w:r>
          </w:p>
        </w:tc>
        <w:tc>
          <w:tcPr>
            <w:tcW w:w="2866" w:type="dxa"/>
            <w:tcBorders/>
            <w:tcMar>
              <w:top w:w="0" w:type="dxa"/>
              <w:left w:w="0" w:type="dxa"/>
              <w:bottom w:w="0" w:type="dxa"/>
              <w:right w:w="0" w:type="dxa"/>
            </w:tcMar>
            <w:vAlign w:val="center"/>
          </w:tcPr>
          <w:p>
            <w:pPr>
              <w:pStyle w:val="TableContents"/>
              <w:bidi w:val="0"/>
              <w:spacing w:before="0" w:after="283"/>
              <w:jc w:val="left"/>
              <w:rPr/>
            </w:pPr>
            <w:r>
              <w:rPr/>
              <w:t xml:space="preserve">Brad Tade </w:t>
            </w:r>
          </w:p>
        </w:tc>
      </w:tr>
      <w:tr>
        <w:trPr/>
        <w:tc>
          <w:tcPr>
            <w:tcW w:w="193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Title: </w:t>
            </w:r>
          </w:p>
        </w:tc>
        <w:tc>
          <w:tcPr>
            <w:tcW w:w="2866" w:type="dxa"/>
            <w:tcBorders/>
            <w:vAlign w:val="center"/>
          </w:tcPr>
          <w:p>
            <w:pPr>
              <w:pStyle w:val="TableContents"/>
              <w:bidi w:val="0"/>
              <w:spacing w:before="0" w:after="283"/>
              <w:jc w:val="left"/>
              <w:rPr/>
            </w:pPr>
            <w:r>
              <w:rPr/>
              <w:t xml:space="preserve">Chief Financial Officer </w:t>
              <w:br/>
              <w:t xml:space="preserve">(Principal Financial Officer)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 w:name="Times New Roman">
    <w:charset w:val="01"/>
    <w:family w:val="auto"/>
    <w:pitch w:val="default"/>
  </w:font>
  <w:font w:name="Aptos">
    <w:charset w:val="01"/>
    <w:family w:val="auto"/>
    <w:pitch w:val="default"/>
  </w:font>
  <w:font w:name="Times New Roman">
    <w:altName w:val="serif"/>
    <w:charset w:val="01"/>
    <w:family w:val="auto"/>
    <w:pitch w:val="default"/>
  </w:font>
  <w:font w:name="Aptos">
    <w:altName w:val="sans-serif"/>
    <w:charset w:val="01"/>
    <w:family w:val="auto"/>
    <w:pitch w:val="default"/>
  </w:font>
  <w:font w:name="Arial">
    <w:charset w:val="01"/>
    <w:family w:val="auto"/>
    <w:pitch w:val="default"/>
  </w:font>
  <w:font w:name="Aptos Display">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368514/000119380519000774/e618626_ex3-1.htm" TargetMode="External"/><Relationship Id="rId4" Type="http://schemas.openxmlformats.org/officeDocument/2006/relationships/hyperlink" Target="https://www.sec.gov/Archives/edgar/data/1368514/000119380521000749/e620651_ex3-1.htm" TargetMode="External"/><Relationship Id="rId5" Type="http://schemas.openxmlformats.org/officeDocument/2006/relationships/hyperlink" Target="https://www.sec.gov/Archives/edgar/data/1368514/000114036124031778/ef20031848_ex3-1.htm" TargetMode="External"/><Relationship Id="rId6" Type="http://schemas.openxmlformats.org/officeDocument/2006/relationships/hyperlink" Target="https://www.sec.gov/Archives/edgar/data/1368514/000114036121042611/brhc10032042_ex3-1.htm" TargetMode="External"/><Relationship Id="rId7" Type="http://schemas.openxmlformats.org/officeDocument/2006/relationships/hyperlink" Target="https://www.sec.gov/Archives/edgar/data/1368514/000119380512000555/e609522_ex4-1.htm" TargetMode="External"/><Relationship Id="rId8" Type="http://schemas.openxmlformats.org/officeDocument/2006/relationships/hyperlink" Target="https://www.sec.gov/Archives/edgar/data/1368514/000114036122011030/brhc10035480_ex4-11.htm" TargetMode="External"/><Relationship Id="rId9" Type="http://schemas.openxmlformats.org/officeDocument/2006/relationships/hyperlink" Target="https://www.sec.gov/Archives/edgar/data/1368514/000119380517001506/e616485_ex10-1.htm" TargetMode="External"/><Relationship Id="rId10" Type="http://schemas.openxmlformats.org/officeDocument/2006/relationships/hyperlink" Target="https://www.sec.gov/Archives/edgar/data/1368514/000114036122023666/brhc10038967_ex10-1.htm" TargetMode="External"/><Relationship Id="rId11" Type="http://schemas.openxmlformats.org/officeDocument/2006/relationships/hyperlink" Target="https://www.sec.gov/Archives/edgar/data/1368514/000119380519000098/e618169_ex10-1.htm" TargetMode="External"/><Relationship Id="rId12" Type="http://schemas.openxmlformats.org/officeDocument/2006/relationships/hyperlink" Target="https://www.sec.gov/Archives/edgar/data/1368514/000114036121033302/brhc10029407_ex10-2.htm" TargetMode="External"/><Relationship Id="rId13" Type="http://schemas.openxmlformats.org/officeDocument/2006/relationships/hyperlink" Target="https://www.sec.gov/Archives/edgar/data/1368514/000114036124017331/ef20025617_ex10-1.htm" TargetMode="External"/><Relationship Id="rId14" Type="http://schemas.openxmlformats.org/officeDocument/2006/relationships/hyperlink" Target="https://www.sec.gov/Archives/edgar/data/1368514/000114036124034440/ef20033085_ex10-1.htm" TargetMode="External"/><Relationship Id="rId15" Type="http://schemas.openxmlformats.org/officeDocument/2006/relationships/hyperlink" Target="https://www.sec.gov/Archives/edgar/data/1368514/000114036125009257/ef20038923_ex10-7.htm" TargetMode="External"/><Relationship Id="rId16" Type="http://schemas.openxmlformats.org/officeDocument/2006/relationships/hyperlink" Target="https://www.sec.gov/Archives/edgar/data/1368514/000114036125009257/ef20038923_ex10-8.htm" TargetMode="External"/><Relationship Id="rId17" Type="http://schemas.openxmlformats.org/officeDocument/2006/relationships/hyperlink" Target="https://www.sec.gov/Archives/edgar/data/1368514/000119380517001446/e616455_ex10-5.htm" TargetMode="External"/><Relationship Id="rId18" Type="http://schemas.openxmlformats.org/officeDocument/2006/relationships/hyperlink" Target="https://www.sec.gov/Archives/edgar/data/1368514/000119380518001059/e618214_ex10-2.htm" TargetMode="External"/><Relationship Id="rId19" Type="http://schemas.openxmlformats.org/officeDocument/2006/relationships/hyperlink" Target="https://www.sec.gov/Archives/edgar/data/1368514/000119380516003725/e615266_ex10-18.htm" TargetMode="External"/><Relationship Id="rId20" Type="http://schemas.openxmlformats.org/officeDocument/2006/relationships/hyperlink" Target="https://www.sec.gov/Archives/edgar/data/1368514/000119380520000348/e619435_ex10-27.htm" TargetMode="External"/><Relationship Id="rId21" Type="http://schemas.openxmlformats.org/officeDocument/2006/relationships/hyperlink" Target="https://www.sec.gov/Archives/edgar/data/1368514/000114036122040738/brhc10043861_ex10-1.htm" TargetMode="External"/><Relationship Id="rId22" Type="http://schemas.openxmlformats.org/officeDocument/2006/relationships/hyperlink" Target="https://www.sec.gov/Archives/edgar/data/1368514/000114036125009257/ef20038923_ex10-11.htm" TargetMode="External"/><Relationship Id="rId23" Type="http://schemas.openxmlformats.org/officeDocument/2006/relationships/hyperlink" Target="https://www.sec.gov/Archives/edgar/data/1368514/000119380513000287/e610467_ex10-21.htm" TargetMode="External"/><Relationship Id="rId24" Type="http://schemas.openxmlformats.org/officeDocument/2006/relationships/hyperlink" Target="https://www.sec.gov/Archives/edgar/data/1368514/000119380517001446/e616455_ex10-8.htm" TargetMode="External"/><Relationship Id="rId25" Type="http://schemas.openxmlformats.org/officeDocument/2006/relationships/hyperlink" Target="https://www.sec.gov/Archives/edgar/data/1368514/000114036125029143/ef20053140_ex10-1.htm" TargetMode="External"/><Relationship Id="rId26" Type="http://schemas.openxmlformats.org/officeDocument/2006/relationships/hyperlink" Target="https://www.sec.gov/Archives/edgar/data/1368514/000114036124043222/ef20037071_ex16-1.htm" TargetMode="External"/><Relationship Id="rId27" Type="http://schemas.openxmlformats.org/officeDocument/2006/relationships/hyperlink" Target="https://www.sec.gov/Archives/edgar/data/1368514/000114036124010147/ef20015264_ex97.htm" TargetMode="External"/><Relationship Id="rId28" Type="http://schemas.openxmlformats.org/officeDocument/2006/relationships/image" Target="media/image2.gif"/><Relationship Id="rId29" Type="http://schemas.openxmlformats.org/officeDocument/2006/relationships/image" Target="media/image2.gif"/><Relationship Id="rId30" Type="http://schemas.openxmlformats.org/officeDocument/2006/relationships/image" Target="media/image3.gif"/><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85513</Words>
  <Characters>480381</Characters>
  <CharactersWithSpaces>573911</CharactersWithSpaces>
  <Paragraphs>12603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